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theme/themeOverride6.xml" ContentType="application/vnd.openxmlformats-officedocument.themeOverride+xml"/>
  <Override PartName="/word/drawings/drawing4.xml" ContentType="application/vnd.openxmlformats-officedocument.drawingml.chartshapes+xml"/>
  <Override PartName="/word/charts/chart16.xml" ContentType="application/vnd.openxmlformats-officedocument.drawingml.chart+xml"/>
  <Override PartName="/word/theme/themeOverride7.xml" ContentType="application/vnd.openxmlformats-officedocument.themeOverride+xml"/>
  <Override PartName="/word/charts/chart17.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8.xml" ContentType="application/vnd.openxmlformats-officedocument.themeOverride+xml"/>
  <Override PartName="/word/drawings/drawing5.xml" ContentType="application/vnd.openxmlformats-officedocument.drawingml.chartshapes+xml"/>
  <Override PartName="/word/charts/chart18.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9.xml" ContentType="application/vnd.openxmlformats-officedocument.themeOverride+xml"/>
  <Override PartName="/word/drawings/drawing6.xml" ContentType="application/vnd.openxmlformats-officedocument.drawingml.chartshapes+xml"/>
  <Override PartName="/word/charts/chart19.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0.xml" ContentType="application/vnd.openxmlformats-officedocument.themeOverride+xml"/>
  <Override PartName="/word/drawings/drawing7.xml" ContentType="application/vnd.openxmlformats-officedocument.drawingml.chartshapes+xml"/>
  <Override PartName="/word/charts/chart20.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21.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22.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23.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4.xml" ContentType="application/vnd.openxmlformats-officedocument.drawingml.chart+xml"/>
  <Override PartName="/word/charts/style20.xml" ContentType="application/vnd.ms-office.chartstyle+xml"/>
  <Override PartName="/word/charts/colors20.xml" ContentType="application/vnd.ms-office.chartcolorstyle+xml"/>
  <Override PartName="/word/drawings/drawing8.xml" ContentType="application/vnd.openxmlformats-officedocument.drawingml.chartshapes+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5.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11.xml" ContentType="application/vnd.openxmlformats-officedocument.themeOverride+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6.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12.xml" ContentType="application/vnd.openxmlformats-officedocument.themeOverride+xml"/>
  <Override PartName="/word/charts/chart27.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8.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13.xml" ContentType="application/vnd.openxmlformats-officedocument.themeOverride+xml"/>
  <Override PartName="/word/charts/chart29.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14.xml" ContentType="application/vnd.openxmlformats-officedocument.themeOverride+xml"/>
  <Override PartName="/word/charts/chart30.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5.xml" ContentType="application/vnd.openxmlformats-officedocument.themeOverride+xml"/>
  <Override PartName="/word/charts/chart31.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32.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6.xml" ContentType="application/vnd.openxmlformats-officedocument.themeOverride+xml"/>
  <Override PartName="/word/charts/chart33.xml" ContentType="application/vnd.openxmlformats-officedocument.drawingml.chart+xml"/>
  <Override PartName="/word/charts/style29.xml" ContentType="application/vnd.ms-office.chartstyle+xml"/>
  <Override PartName="/word/charts/colors29.xml" ContentType="application/vnd.ms-office.chartcolorstyle+xml"/>
  <Override PartName="/word/drawings/drawing9.xml" ContentType="application/vnd.openxmlformats-officedocument.drawingml.chartshapes+xml"/>
  <Override PartName="/word/charts/chart34.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5.xml" ContentType="application/vnd.openxmlformats-officedocument.drawingml.chart+xml"/>
  <Override PartName="/word/theme/themeOverride17.xml" ContentType="application/vnd.openxmlformats-officedocument.themeOverride+xml"/>
  <Override PartName="/word/drawings/drawing10.xml" ContentType="application/vnd.openxmlformats-officedocument.drawingml.chartshapes+xml"/>
  <Override PartName="/word/charts/chart36.xml" ContentType="application/vnd.openxmlformats-officedocument.drawingml.chart+xml"/>
  <Override PartName="/word/theme/themeOverride18.xml" ContentType="application/vnd.openxmlformats-officedocument.themeOverride+xml"/>
  <Override PartName="/word/charts/chart37.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19.xml" ContentType="application/vnd.openxmlformats-officedocument.themeOverride+xml"/>
  <Override PartName="/word/drawings/drawing11.xml" ContentType="application/vnd.openxmlformats-officedocument.drawingml.chartshapes+xml"/>
  <Override PartName="/word/charts/chart38.xml" ContentType="application/vnd.openxmlformats-officedocument.drawingml.chart+xml"/>
  <Override PartName="/word/theme/themeOverride20.xml" ContentType="application/vnd.openxmlformats-officedocument.themeOverride+xml"/>
  <Override PartName="/word/charts/chart39.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1.xml" ContentType="application/vnd.openxmlformats-officedocument.themeOverride+xml"/>
  <Override PartName="/word/charts/chart40.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22.xml" ContentType="application/vnd.openxmlformats-officedocument.themeOverride+xml"/>
  <Override PartName="/word/drawings/drawing12.xml" ContentType="application/vnd.openxmlformats-officedocument.drawingml.chartshapes+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41.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23.xml" ContentType="application/vnd.openxmlformats-officedocument.themeOverride+xml"/>
  <Override PartName="/word/charts/chart42.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24.xml" ContentType="application/vnd.openxmlformats-officedocument.themeOverride+xml"/>
  <Override PartName="/word/charts/chart43.xml" ContentType="application/vnd.openxmlformats-officedocument.drawingml.chart+xml"/>
  <Override PartName="/word/theme/themeOverride25.xml" ContentType="application/vnd.openxmlformats-officedocument.themeOverride+xml"/>
  <Override PartName="/word/drawings/drawing13.xml" ContentType="application/vnd.openxmlformats-officedocument.drawingml.chartshapes+xml"/>
  <Override PartName="/word/charts/chart44.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45.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26.xml" ContentType="application/vnd.openxmlformats-officedocument.themeOverride+xml"/>
  <Override PartName="/word/drawings/drawing14.xml" ContentType="application/vnd.openxmlformats-officedocument.drawingml.chartshapes+xml"/>
  <Override PartName="/word/charts/chart46.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27.xml" ContentType="application/vnd.openxmlformats-officedocument.themeOverride+xml"/>
  <Override PartName="/word/drawings/drawing15.xml" ContentType="application/vnd.openxmlformats-officedocument.drawingml.chartshapes+xml"/>
  <Override PartName="/word/charts/chart47.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28.xml" ContentType="application/vnd.openxmlformats-officedocument.themeOverride+xml"/>
  <Override PartName="/word/drawings/drawing16.xml" ContentType="application/vnd.openxmlformats-officedocument.drawingml.chartshapes+xml"/>
  <Override PartName="/word/charts/chart48.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29.xml" ContentType="application/vnd.openxmlformats-officedocument.themeOverride+xml"/>
  <Override PartName="/word/drawings/drawing17.xml" ContentType="application/vnd.openxmlformats-officedocument.drawingml.chartshapes+xml"/>
  <Override PartName="/word/charts/chart49.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0.xml" ContentType="application/vnd.openxmlformats-officedocument.themeOverride+xml"/>
  <Override PartName="/word/drawings/drawing18.xml" ContentType="application/vnd.openxmlformats-officedocument.drawingml.chartshapes+xml"/>
  <Override PartName="/word/charts/chart50.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1.xml" ContentType="application/vnd.openxmlformats-officedocument.themeOverride+xml"/>
  <Override PartName="/word/drawings/drawing19.xml" ContentType="application/vnd.openxmlformats-officedocument.drawingml.chartshapes+xml"/>
  <Override PartName="/word/charts/chart51.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32.xml" ContentType="application/vnd.openxmlformats-officedocument.themeOverride+xml"/>
  <Override PartName="/word/charts/chart52.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33.xml" ContentType="application/vnd.openxmlformats-officedocument.themeOverride+xml"/>
  <Override PartName="/word/charts/chart53.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34.xml" ContentType="application/vnd.openxmlformats-officedocument.themeOverride+xml"/>
  <Override PartName="/word/charts/chart54.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35.xml" ContentType="application/vnd.openxmlformats-officedocument.themeOverride+xml"/>
  <Override PartName="/word/drawings/drawing20.xml" ContentType="application/vnd.openxmlformats-officedocument.drawingml.chartshapes+xml"/>
  <Override PartName="/word/charts/chart55.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36.xml" ContentType="application/vnd.openxmlformats-officedocument.themeOverride+xml"/>
  <Override PartName="/word/charts/chart56.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37.xml" ContentType="application/vnd.openxmlformats-officedocument.themeOverride+xml"/>
  <Override PartName="/word/drawings/drawing21.xml" ContentType="application/vnd.openxmlformats-officedocument.drawingml.chartshapes+xml"/>
  <Override PartName="/word/charts/chart57.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38.xml" ContentType="application/vnd.openxmlformats-officedocument.themeOverride+xml"/>
  <Override PartName="/word/charts/chart58.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39.xml" ContentType="application/vnd.openxmlformats-officedocument.themeOverrid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59.xml" ContentType="application/vnd.openxmlformats-officedocument.drawingml.chart+xml"/>
  <Override PartName="/word/charts/style51.xml" ContentType="application/vnd.ms-office.chartstyle+xml"/>
  <Override PartName="/word/charts/colors51.xml" ContentType="application/vnd.ms-office.chartcolorstyle+xml"/>
  <Override PartName="/word/drawings/drawing22.xml" ContentType="application/vnd.openxmlformats-officedocument.drawingml.chartshapes+xml"/>
  <Override PartName="/word/charts/chart60.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40.xml" ContentType="application/vnd.openxmlformats-officedocument.themeOverride+xml"/>
  <Override PartName="/word/drawings/drawing23.xml" ContentType="application/vnd.openxmlformats-officedocument.drawingml.chartshapes+xml"/>
  <Override PartName="/word/charts/chart61.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41.xml" ContentType="application/vnd.openxmlformats-officedocument.themeOverride+xml"/>
  <Override PartName="/word/drawings/drawing24.xml" ContentType="application/vnd.openxmlformats-officedocument.drawingml.chartshapes+xml"/>
  <Override PartName="/word/charts/chart62.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42.xml" ContentType="application/vnd.openxmlformats-officedocument.themeOverride+xml"/>
  <Override PartName="/word/charts/chart63.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43.xml" ContentType="application/vnd.openxmlformats-officedocument.themeOverride+xml"/>
  <Override PartName="/word/drawings/drawing25.xml" ContentType="application/vnd.openxmlformats-officedocument.drawingml.chartshapes+xml"/>
  <Override PartName="/word/charts/chart64.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44.xml" ContentType="application/vnd.openxmlformats-officedocument.themeOverride+xml"/>
  <Override PartName="/word/charts/chart65.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45.xml" ContentType="application/vnd.openxmlformats-officedocument.themeOverride+xml"/>
  <Override PartName="/word/drawings/drawing26.xml" ContentType="application/vnd.openxmlformats-officedocument.drawingml.chartshapes+xml"/>
  <Override PartName="/word/charts/chart66.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46.xml" ContentType="application/vnd.openxmlformats-officedocument.themeOverride+xml"/>
  <Override PartName="/word/drawings/drawing27.xml" ContentType="application/vnd.openxmlformats-officedocument.drawingml.chartshapes+xml"/>
  <Override PartName="/word/charts/chart67.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47.xml" ContentType="application/vnd.openxmlformats-officedocument.themeOverride+xml"/>
  <Override PartName="/word/drawings/drawing28.xml" ContentType="application/vnd.openxmlformats-officedocument.drawingml.chartshapes+xml"/>
  <Override PartName="/word/charts/chart68.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48.xml" ContentType="application/vnd.openxmlformats-officedocument.themeOverride+xml"/>
  <Override PartName="/word/drawings/drawing29.xml" ContentType="application/vnd.openxmlformats-officedocument.drawingml.chartshapes+xml"/>
  <Override PartName="/word/charts/chart69.xml" ContentType="application/vnd.openxmlformats-officedocument.drawingml.chart+xml"/>
  <Override PartName="/word/charts/style61.xml" ContentType="application/vnd.ms-office.chartstyle+xml"/>
  <Override PartName="/word/charts/colors61.xml" ContentType="application/vnd.ms-office.chartcolorstyle+xml"/>
  <Override PartName="/word/charts/chart70.xml" ContentType="application/vnd.openxmlformats-officedocument.drawingml.chart+xml"/>
  <Override PartName="/word/charts/style62.xml" ContentType="application/vnd.ms-office.chartstyle+xml"/>
  <Override PartName="/word/charts/colors62.xml" ContentType="application/vnd.ms-office.chartcolorstyle+xml"/>
  <Override PartName="/word/charts/chart71.xml" ContentType="application/vnd.openxmlformats-officedocument.drawingml.chart+xml"/>
  <Override PartName="/word/charts/style63.xml" ContentType="application/vnd.ms-office.chartstyle+xml"/>
  <Override PartName="/word/charts/colors63.xml" ContentType="application/vnd.ms-office.chartcolorstyle+xml"/>
  <Override PartName="/word/charts/chart72.xml" ContentType="application/vnd.openxmlformats-officedocument.drawingml.chart+xml"/>
  <Override PartName="/word/charts/style64.xml" ContentType="application/vnd.ms-office.chartstyle+xml"/>
  <Override PartName="/word/charts/colors64.xml" ContentType="application/vnd.ms-office.chartcolorstyle+xml"/>
  <Override PartName="/word/charts/chart73.xml" ContentType="application/vnd.openxmlformats-officedocument.drawingml.chart+xml"/>
  <Override PartName="/word/charts/style65.xml" ContentType="application/vnd.ms-office.chartstyle+xml"/>
  <Override PartName="/word/charts/colors65.xml" ContentType="application/vnd.ms-office.chartcolorstyle+xml"/>
  <Override PartName="/word/charts/chart74.xml" ContentType="application/vnd.openxmlformats-officedocument.drawingml.chart+xml"/>
  <Override PartName="/word/charts/style66.xml" ContentType="application/vnd.ms-office.chartstyle+xml"/>
  <Override PartName="/word/charts/colors66.xml" ContentType="application/vnd.ms-office.chartcolorstyle+xml"/>
  <Override PartName="/word/charts/chart75.xml" ContentType="application/vnd.openxmlformats-officedocument.drawingml.chart+xml"/>
  <Override PartName="/word/charts/style67.xml" ContentType="application/vnd.ms-office.chartstyle+xml"/>
  <Override PartName="/word/charts/colors67.xml" ContentType="application/vnd.ms-office.chartcolorstyle+xml"/>
  <Override PartName="/word/drawings/drawing30.xml" ContentType="application/vnd.openxmlformats-officedocument.drawingml.chartshapes+xml"/>
  <Override PartName="/word/charts/chart76.xml" ContentType="application/vnd.openxmlformats-officedocument.drawingml.chart+xml"/>
  <Override PartName="/word/charts/style68.xml" ContentType="application/vnd.ms-office.chartstyle+xml"/>
  <Override PartName="/word/charts/colors68.xml" ContentType="application/vnd.ms-office.chartcolorstyle+xml"/>
  <Override PartName="/word/charts/chart77.xml" ContentType="application/vnd.openxmlformats-officedocument.drawingml.chart+xml"/>
  <Override PartName="/word/charts/style69.xml" ContentType="application/vnd.ms-office.chartstyle+xml"/>
  <Override PartName="/word/charts/colors69.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Default="009332EA" w:rsidP="009332EA">
      <w:pPr>
        <w:jc w:val="center"/>
        <w:rPr>
          <w:b/>
          <w:sz w:val="28"/>
          <w:szCs w:val="28"/>
        </w:rPr>
      </w:pPr>
    </w:p>
    <w:p w:rsidR="009332EA" w:rsidRPr="006E5888" w:rsidRDefault="009332EA" w:rsidP="009332EA">
      <w:pPr>
        <w:jc w:val="center"/>
        <w:rPr>
          <w:b/>
          <w:sz w:val="32"/>
          <w:szCs w:val="32"/>
        </w:rPr>
      </w:pPr>
      <w:r w:rsidRPr="006E5888">
        <w:rPr>
          <w:b/>
          <w:sz w:val="32"/>
          <w:szCs w:val="32"/>
        </w:rPr>
        <w:t xml:space="preserve">Informatīvais ziņojums </w:t>
      </w:r>
    </w:p>
    <w:p w:rsidR="009332EA" w:rsidRPr="006E5888" w:rsidRDefault="009332EA" w:rsidP="009332EA">
      <w:pPr>
        <w:jc w:val="center"/>
        <w:rPr>
          <w:b/>
          <w:sz w:val="28"/>
          <w:szCs w:val="28"/>
        </w:rPr>
      </w:pPr>
      <w:r w:rsidRPr="006E5888">
        <w:rPr>
          <w:b/>
          <w:sz w:val="32"/>
          <w:szCs w:val="32"/>
        </w:rPr>
        <w:t>“Par valsts bud</w:t>
      </w:r>
      <w:r w:rsidR="00114162">
        <w:rPr>
          <w:b/>
          <w:sz w:val="32"/>
          <w:szCs w:val="32"/>
        </w:rPr>
        <w:t>žeta izdevumu pārskatīšanas 2018., 2019. un 2020</w:t>
      </w:r>
      <w:r w:rsidRPr="006E5888">
        <w:rPr>
          <w:b/>
          <w:sz w:val="32"/>
          <w:szCs w:val="32"/>
        </w:rPr>
        <w:t xml:space="preserve">.gadam rezultātiem un priekšlikumi par šo rezultātu izmantošanu likumprojekta “Par </w:t>
      </w:r>
      <w:r w:rsidR="00E732CF">
        <w:rPr>
          <w:b/>
          <w:sz w:val="32"/>
          <w:szCs w:val="32"/>
        </w:rPr>
        <w:t>vidēja termiņa budžeta 2018., 2019. un 2020</w:t>
      </w:r>
      <w:r w:rsidRPr="006E5888">
        <w:rPr>
          <w:b/>
          <w:sz w:val="32"/>
          <w:szCs w:val="32"/>
        </w:rPr>
        <w:t>.gadam” un likump</w:t>
      </w:r>
      <w:r w:rsidR="00E732CF">
        <w:rPr>
          <w:b/>
          <w:sz w:val="32"/>
          <w:szCs w:val="32"/>
        </w:rPr>
        <w:t>rojekta “Par valsts budžetu 2018</w:t>
      </w:r>
      <w:r w:rsidRPr="006E5888">
        <w:rPr>
          <w:b/>
          <w:sz w:val="32"/>
          <w:szCs w:val="32"/>
        </w:rPr>
        <w:t>.gadam” izstrādes procesā”</w:t>
      </w: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9332EA" w:rsidRPr="006E5888" w:rsidRDefault="009332EA" w:rsidP="009332EA">
      <w:pPr>
        <w:rPr>
          <w:sz w:val="28"/>
          <w:szCs w:val="28"/>
        </w:rPr>
      </w:pPr>
    </w:p>
    <w:p w:rsidR="00237A1C" w:rsidRPr="006E5888" w:rsidRDefault="009332EA" w:rsidP="009332EA">
      <w:pPr>
        <w:tabs>
          <w:tab w:val="left" w:pos="1494"/>
        </w:tabs>
        <w:rPr>
          <w:sz w:val="28"/>
          <w:szCs w:val="28"/>
        </w:rPr>
      </w:pPr>
      <w:r w:rsidRPr="006E5888">
        <w:rPr>
          <w:sz w:val="28"/>
          <w:szCs w:val="28"/>
        </w:rPr>
        <w:tab/>
      </w:r>
    </w:p>
    <w:p w:rsidR="009332EA" w:rsidRPr="006E5888" w:rsidRDefault="009332EA" w:rsidP="009332EA">
      <w:pPr>
        <w:tabs>
          <w:tab w:val="left" w:pos="1494"/>
        </w:tabs>
        <w:rPr>
          <w:sz w:val="28"/>
          <w:szCs w:val="28"/>
        </w:rPr>
      </w:pPr>
    </w:p>
    <w:p w:rsidR="00CA1C2E" w:rsidRPr="0060137F" w:rsidRDefault="00C0177A" w:rsidP="0060137F">
      <w:pPr>
        <w:jc w:val="center"/>
        <w:rPr>
          <w:b/>
          <w:sz w:val="28"/>
        </w:rPr>
      </w:pPr>
      <w:r w:rsidRPr="00E732CF">
        <w:rPr>
          <w:b/>
          <w:sz w:val="28"/>
        </w:rPr>
        <w:t>Saturs</w:t>
      </w:r>
    </w:p>
    <w:sdt>
      <w:sdtPr>
        <w:rPr>
          <w:rFonts w:ascii="Times New Roman" w:eastAsiaTheme="minorHAnsi" w:hAnsi="Times New Roman" w:cstheme="minorBidi"/>
          <w:color w:val="auto"/>
          <w:sz w:val="24"/>
          <w:szCs w:val="22"/>
          <w:lang w:val="lv-LV"/>
        </w:rPr>
        <w:id w:val="807905066"/>
        <w:docPartObj>
          <w:docPartGallery w:val="Table of Contents"/>
          <w:docPartUnique/>
        </w:docPartObj>
      </w:sdtPr>
      <w:sdtEndPr>
        <w:rPr>
          <w:b/>
          <w:bCs/>
          <w:noProof/>
        </w:rPr>
      </w:sdtEndPr>
      <w:sdtContent>
        <w:p w:rsidR="0060137F" w:rsidRDefault="0060137F">
          <w:pPr>
            <w:pStyle w:val="TOCHeading"/>
          </w:pPr>
        </w:p>
        <w:p w:rsidR="004D7DC0" w:rsidRDefault="0060137F">
          <w:pPr>
            <w:pStyle w:val="TOC1"/>
            <w:tabs>
              <w:tab w:val="right" w:leader="dot" w:pos="9061"/>
            </w:tabs>
            <w:rPr>
              <w:rFonts w:asciiTheme="minorHAnsi" w:eastAsiaTheme="minorEastAsia" w:hAnsiTheme="minorHAnsi"/>
              <w:noProof/>
              <w:sz w:val="22"/>
              <w:lang w:eastAsia="lv-LV"/>
            </w:rPr>
          </w:pPr>
          <w:r>
            <w:fldChar w:fldCharType="begin"/>
          </w:r>
          <w:r>
            <w:instrText xml:space="preserve"> TOC \o "1-3" \h \z \u </w:instrText>
          </w:r>
          <w:r>
            <w:fldChar w:fldCharType="separate"/>
          </w:r>
          <w:hyperlink w:anchor="_Toc487036784" w:history="1">
            <w:r w:rsidR="004D7DC0" w:rsidRPr="00B26DEE">
              <w:rPr>
                <w:rStyle w:val="Hyperlink"/>
                <w:rFonts w:cs="Times New Roman"/>
                <w:noProof/>
              </w:rPr>
              <w:t>IEVADS</w:t>
            </w:r>
            <w:r w:rsidR="004D7DC0">
              <w:rPr>
                <w:noProof/>
                <w:webHidden/>
              </w:rPr>
              <w:tab/>
            </w:r>
            <w:r w:rsidR="004D7DC0">
              <w:rPr>
                <w:noProof/>
                <w:webHidden/>
              </w:rPr>
              <w:fldChar w:fldCharType="begin"/>
            </w:r>
            <w:r w:rsidR="004D7DC0">
              <w:rPr>
                <w:noProof/>
                <w:webHidden/>
              </w:rPr>
              <w:instrText xml:space="preserve"> PAGEREF _Toc487036784 \h </w:instrText>
            </w:r>
            <w:r w:rsidR="004D7DC0">
              <w:rPr>
                <w:noProof/>
                <w:webHidden/>
              </w:rPr>
            </w:r>
            <w:r w:rsidR="004D7DC0">
              <w:rPr>
                <w:noProof/>
                <w:webHidden/>
              </w:rPr>
              <w:fldChar w:fldCharType="separate"/>
            </w:r>
            <w:r w:rsidR="00A73CAE">
              <w:rPr>
                <w:noProof/>
                <w:webHidden/>
              </w:rPr>
              <w:t>6</w:t>
            </w:r>
            <w:r w:rsidR="004D7DC0">
              <w:rPr>
                <w:noProof/>
                <w:webHidden/>
              </w:rPr>
              <w:fldChar w:fldCharType="end"/>
            </w:r>
          </w:hyperlink>
        </w:p>
        <w:p w:rsidR="004D7DC0" w:rsidRDefault="001B3901">
          <w:pPr>
            <w:pStyle w:val="TOC1"/>
            <w:tabs>
              <w:tab w:val="left" w:pos="480"/>
              <w:tab w:val="right" w:leader="dot" w:pos="9061"/>
            </w:tabs>
            <w:rPr>
              <w:rFonts w:asciiTheme="minorHAnsi" w:eastAsiaTheme="minorEastAsia" w:hAnsiTheme="minorHAnsi"/>
              <w:noProof/>
              <w:sz w:val="22"/>
              <w:lang w:eastAsia="lv-LV"/>
            </w:rPr>
          </w:pPr>
          <w:hyperlink w:anchor="_Toc487036785" w:history="1">
            <w:r w:rsidR="004D7DC0" w:rsidRPr="00B26DEE">
              <w:rPr>
                <w:rStyle w:val="Hyperlink"/>
                <w:rFonts w:cs="Times New Roman"/>
                <w:noProof/>
              </w:rPr>
              <w:t>1.</w:t>
            </w:r>
            <w:r w:rsidR="004D7DC0">
              <w:rPr>
                <w:rFonts w:asciiTheme="minorHAnsi" w:eastAsiaTheme="minorEastAsia" w:hAnsiTheme="minorHAnsi"/>
                <w:noProof/>
                <w:sz w:val="22"/>
                <w:lang w:eastAsia="lv-LV"/>
              </w:rPr>
              <w:tab/>
            </w:r>
            <w:r w:rsidR="004D7DC0" w:rsidRPr="00B26DEE">
              <w:rPr>
                <w:rStyle w:val="Hyperlink"/>
                <w:rFonts w:cs="Times New Roman"/>
                <w:noProof/>
              </w:rPr>
              <w:t>IEPRIEKŠEJĀS IZDEVUMU PĀRSKATĪŠANAS REZULTĀTU IEVIEŠANA</w:t>
            </w:r>
            <w:r w:rsidR="004D7DC0">
              <w:rPr>
                <w:noProof/>
                <w:webHidden/>
              </w:rPr>
              <w:tab/>
            </w:r>
            <w:r w:rsidR="004D7DC0">
              <w:rPr>
                <w:noProof/>
                <w:webHidden/>
              </w:rPr>
              <w:fldChar w:fldCharType="begin"/>
            </w:r>
            <w:r w:rsidR="004D7DC0">
              <w:rPr>
                <w:noProof/>
                <w:webHidden/>
              </w:rPr>
              <w:instrText xml:space="preserve"> PAGEREF _Toc487036785 \h </w:instrText>
            </w:r>
            <w:r w:rsidR="004D7DC0">
              <w:rPr>
                <w:noProof/>
                <w:webHidden/>
              </w:rPr>
            </w:r>
            <w:r w:rsidR="004D7DC0">
              <w:rPr>
                <w:noProof/>
                <w:webHidden/>
              </w:rPr>
              <w:fldChar w:fldCharType="separate"/>
            </w:r>
            <w:r w:rsidR="00A73CAE">
              <w:rPr>
                <w:noProof/>
                <w:webHidden/>
              </w:rPr>
              <w:t>8</w:t>
            </w:r>
            <w:r w:rsidR="004D7DC0">
              <w:rPr>
                <w:noProof/>
                <w:webHidden/>
              </w:rPr>
              <w:fldChar w:fldCharType="end"/>
            </w:r>
          </w:hyperlink>
        </w:p>
        <w:p w:rsidR="004D7DC0" w:rsidRDefault="001B3901">
          <w:pPr>
            <w:pStyle w:val="TOC1"/>
            <w:tabs>
              <w:tab w:val="left" w:pos="480"/>
              <w:tab w:val="right" w:leader="dot" w:pos="9061"/>
            </w:tabs>
            <w:rPr>
              <w:rFonts w:asciiTheme="minorHAnsi" w:eastAsiaTheme="minorEastAsia" w:hAnsiTheme="minorHAnsi"/>
              <w:noProof/>
              <w:sz w:val="22"/>
              <w:lang w:eastAsia="lv-LV"/>
            </w:rPr>
          </w:pPr>
          <w:hyperlink w:anchor="_Toc487036786" w:history="1">
            <w:r w:rsidR="004D7DC0" w:rsidRPr="00B26DEE">
              <w:rPr>
                <w:rStyle w:val="Hyperlink"/>
                <w:rFonts w:cs="Times New Roman"/>
                <w:noProof/>
              </w:rPr>
              <w:t>2.</w:t>
            </w:r>
            <w:r w:rsidR="004D7DC0">
              <w:rPr>
                <w:rFonts w:asciiTheme="minorHAnsi" w:eastAsiaTheme="minorEastAsia" w:hAnsiTheme="minorHAnsi"/>
                <w:noProof/>
                <w:sz w:val="22"/>
                <w:lang w:eastAsia="lv-LV"/>
              </w:rPr>
              <w:tab/>
            </w:r>
            <w:r w:rsidR="004D7DC0" w:rsidRPr="00B26DEE">
              <w:rPr>
                <w:rStyle w:val="Hyperlink"/>
                <w:rFonts w:cs="Times New Roman"/>
                <w:noProof/>
              </w:rPr>
              <w:t>IZMAIŅAS VALSTS BUDŽETA POLITIKĀ</w:t>
            </w:r>
            <w:r w:rsidR="004D7DC0">
              <w:rPr>
                <w:noProof/>
                <w:webHidden/>
              </w:rPr>
              <w:tab/>
            </w:r>
            <w:r w:rsidR="004D7DC0">
              <w:rPr>
                <w:noProof/>
                <w:webHidden/>
              </w:rPr>
              <w:fldChar w:fldCharType="begin"/>
            </w:r>
            <w:r w:rsidR="004D7DC0">
              <w:rPr>
                <w:noProof/>
                <w:webHidden/>
              </w:rPr>
              <w:instrText xml:space="preserve"> PAGEREF _Toc487036786 \h </w:instrText>
            </w:r>
            <w:r w:rsidR="004D7DC0">
              <w:rPr>
                <w:noProof/>
                <w:webHidden/>
              </w:rPr>
            </w:r>
            <w:r w:rsidR="004D7DC0">
              <w:rPr>
                <w:noProof/>
                <w:webHidden/>
              </w:rPr>
              <w:fldChar w:fldCharType="separate"/>
            </w:r>
            <w:r w:rsidR="00A73CAE">
              <w:rPr>
                <w:noProof/>
                <w:webHidden/>
              </w:rPr>
              <w:t>26</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787" w:history="1">
            <w:r w:rsidR="004D7DC0" w:rsidRPr="00B26DEE">
              <w:rPr>
                <w:rStyle w:val="Hyperlink"/>
                <w:rFonts w:cs="Times New Roman"/>
                <w:noProof/>
              </w:rPr>
              <w:t>2.1. Valsts budžeta līdzekļu pieprasījumi prioritārajiem pasākumiem</w:t>
            </w:r>
            <w:r w:rsidR="004D7DC0">
              <w:rPr>
                <w:noProof/>
                <w:webHidden/>
              </w:rPr>
              <w:tab/>
            </w:r>
            <w:r w:rsidR="004D7DC0">
              <w:rPr>
                <w:noProof/>
                <w:webHidden/>
              </w:rPr>
              <w:fldChar w:fldCharType="begin"/>
            </w:r>
            <w:r w:rsidR="004D7DC0">
              <w:rPr>
                <w:noProof/>
                <w:webHidden/>
              </w:rPr>
              <w:instrText xml:space="preserve"> PAGEREF _Toc487036787 \h </w:instrText>
            </w:r>
            <w:r w:rsidR="004D7DC0">
              <w:rPr>
                <w:noProof/>
                <w:webHidden/>
              </w:rPr>
            </w:r>
            <w:r w:rsidR="004D7DC0">
              <w:rPr>
                <w:noProof/>
                <w:webHidden/>
              </w:rPr>
              <w:fldChar w:fldCharType="separate"/>
            </w:r>
            <w:r w:rsidR="00A73CAE">
              <w:rPr>
                <w:noProof/>
                <w:webHidden/>
              </w:rPr>
              <w:t>26</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788" w:history="1">
            <w:r w:rsidR="004D7DC0" w:rsidRPr="00B26DEE">
              <w:rPr>
                <w:rStyle w:val="Hyperlink"/>
                <w:rFonts w:cs="Times New Roman"/>
                <w:noProof/>
              </w:rPr>
              <w:t>2.2. Vispārēja procesu efektivizēšana un pilnveidošana</w:t>
            </w:r>
            <w:r w:rsidR="004D7DC0">
              <w:rPr>
                <w:noProof/>
                <w:webHidden/>
              </w:rPr>
              <w:tab/>
            </w:r>
            <w:r w:rsidR="004D7DC0">
              <w:rPr>
                <w:noProof/>
                <w:webHidden/>
              </w:rPr>
              <w:fldChar w:fldCharType="begin"/>
            </w:r>
            <w:r w:rsidR="004D7DC0">
              <w:rPr>
                <w:noProof/>
                <w:webHidden/>
              </w:rPr>
              <w:instrText xml:space="preserve"> PAGEREF _Toc487036788 \h </w:instrText>
            </w:r>
            <w:r w:rsidR="004D7DC0">
              <w:rPr>
                <w:noProof/>
                <w:webHidden/>
              </w:rPr>
            </w:r>
            <w:r w:rsidR="004D7DC0">
              <w:rPr>
                <w:noProof/>
                <w:webHidden/>
              </w:rPr>
              <w:fldChar w:fldCharType="separate"/>
            </w:r>
            <w:r w:rsidR="00A73CAE">
              <w:rPr>
                <w:noProof/>
                <w:webHidden/>
              </w:rPr>
              <w:t>27</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789" w:history="1">
            <w:r w:rsidR="004D7DC0" w:rsidRPr="00B26DEE">
              <w:rPr>
                <w:rStyle w:val="Hyperlink"/>
                <w:rFonts w:cs="Times New Roman"/>
                <w:noProof/>
              </w:rPr>
              <w:t>2.2.1. Budžeta plānošanas un izpildes procesa pārskatīšana</w:t>
            </w:r>
            <w:r w:rsidR="004D7DC0">
              <w:rPr>
                <w:noProof/>
                <w:webHidden/>
              </w:rPr>
              <w:tab/>
            </w:r>
            <w:r w:rsidR="004D7DC0">
              <w:rPr>
                <w:noProof/>
                <w:webHidden/>
              </w:rPr>
              <w:fldChar w:fldCharType="begin"/>
            </w:r>
            <w:r w:rsidR="004D7DC0">
              <w:rPr>
                <w:noProof/>
                <w:webHidden/>
              </w:rPr>
              <w:instrText xml:space="preserve"> PAGEREF _Toc487036789 \h </w:instrText>
            </w:r>
            <w:r w:rsidR="004D7DC0">
              <w:rPr>
                <w:noProof/>
                <w:webHidden/>
              </w:rPr>
            </w:r>
            <w:r w:rsidR="004D7DC0">
              <w:rPr>
                <w:noProof/>
                <w:webHidden/>
              </w:rPr>
              <w:fldChar w:fldCharType="separate"/>
            </w:r>
            <w:r w:rsidR="00A73CAE">
              <w:rPr>
                <w:noProof/>
                <w:webHidden/>
              </w:rPr>
              <w:t>29</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790" w:history="1">
            <w:r w:rsidR="004D7DC0" w:rsidRPr="00B26DEE">
              <w:rPr>
                <w:rStyle w:val="Hyperlink"/>
                <w:rFonts w:cs="Times New Roman"/>
                <w:noProof/>
              </w:rPr>
              <w:t>2.2.2. Apropriāciju izmaiņu procesu efektivizēšana</w:t>
            </w:r>
            <w:r w:rsidR="004D7DC0">
              <w:rPr>
                <w:noProof/>
                <w:webHidden/>
              </w:rPr>
              <w:tab/>
            </w:r>
            <w:r w:rsidR="004D7DC0">
              <w:rPr>
                <w:noProof/>
                <w:webHidden/>
              </w:rPr>
              <w:fldChar w:fldCharType="begin"/>
            </w:r>
            <w:r w:rsidR="004D7DC0">
              <w:rPr>
                <w:noProof/>
                <w:webHidden/>
              </w:rPr>
              <w:instrText xml:space="preserve"> PAGEREF _Toc487036790 \h </w:instrText>
            </w:r>
            <w:r w:rsidR="004D7DC0">
              <w:rPr>
                <w:noProof/>
                <w:webHidden/>
              </w:rPr>
            </w:r>
            <w:r w:rsidR="004D7DC0">
              <w:rPr>
                <w:noProof/>
                <w:webHidden/>
              </w:rPr>
              <w:fldChar w:fldCharType="separate"/>
            </w:r>
            <w:r w:rsidR="00A73CAE">
              <w:rPr>
                <w:noProof/>
                <w:webHidden/>
              </w:rPr>
              <w:t>38</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791" w:history="1">
            <w:r w:rsidR="004D7DC0" w:rsidRPr="00B26DEE">
              <w:rPr>
                <w:rStyle w:val="Hyperlink"/>
                <w:rFonts w:cs="Times New Roman"/>
                <w:noProof/>
              </w:rPr>
              <w:t>2.2.3. Budžeta paskaidrojumu pilnveidošana</w:t>
            </w:r>
            <w:r w:rsidR="004D7DC0">
              <w:rPr>
                <w:noProof/>
                <w:webHidden/>
              </w:rPr>
              <w:tab/>
            </w:r>
            <w:r w:rsidR="004D7DC0">
              <w:rPr>
                <w:noProof/>
                <w:webHidden/>
              </w:rPr>
              <w:fldChar w:fldCharType="begin"/>
            </w:r>
            <w:r w:rsidR="004D7DC0">
              <w:rPr>
                <w:noProof/>
                <w:webHidden/>
              </w:rPr>
              <w:instrText xml:space="preserve"> PAGEREF _Toc487036791 \h </w:instrText>
            </w:r>
            <w:r w:rsidR="004D7DC0">
              <w:rPr>
                <w:noProof/>
                <w:webHidden/>
              </w:rPr>
            </w:r>
            <w:r w:rsidR="004D7DC0">
              <w:rPr>
                <w:noProof/>
                <w:webHidden/>
              </w:rPr>
              <w:fldChar w:fldCharType="separate"/>
            </w:r>
            <w:r w:rsidR="00A73CAE">
              <w:rPr>
                <w:noProof/>
                <w:webHidden/>
              </w:rPr>
              <w:t>48</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792" w:history="1">
            <w:r w:rsidR="004D7DC0" w:rsidRPr="00B26DEE">
              <w:rPr>
                <w:rStyle w:val="Hyperlink"/>
                <w:rFonts w:cs="Times New Roman"/>
                <w:noProof/>
              </w:rPr>
              <w:t>2.2.4. Priekšlikumi izmaiņām Likumā par budžetu un finanšu vadību</w:t>
            </w:r>
            <w:r w:rsidR="004D7DC0">
              <w:rPr>
                <w:noProof/>
                <w:webHidden/>
              </w:rPr>
              <w:tab/>
            </w:r>
            <w:r w:rsidR="004D7DC0">
              <w:rPr>
                <w:noProof/>
                <w:webHidden/>
              </w:rPr>
              <w:fldChar w:fldCharType="begin"/>
            </w:r>
            <w:r w:rsidR="004D7DC0">
              <w:rPr>
                <w:noProof/>
                <w:webHidden/>
              </w:rPr>
              <w:instrText xml:space="preserve"> PAGEREF _Toc487036792 \h </w:instrText>
            </w:r>
            <w:r w:rsidR="004D7DC0">
              <w:rPr>
                <w:noProof/>
                <w:webHidden/>
              </w:rPr>
            </w:r>
            <w:r w:rsidR="004D7DC0">
              <w:rPr>
                <w:noProof/>
                <w:webHidden/>
              </w:rPr>
              <w:fldChar w:fldCharType="separate"/>
            </w:r>
            <w:r w:rsidR="00A73CAE">
              <w:rPr>
                <w:noProof/>
                <w:webHidden/>
              </w:rPr>
              <w:t>50</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793" w:history="1">
            <w:r w:rsidR="004D7DC0" w:rsidRPr="00B26DEE">
              <w:rPr>
                <w:rStyle w:val="Hyperlink"/>
                <w:rFonts w:cs="Times New Roman"/>
                <w:noProof/>
              </w:rPr>
              <w:t>2.3. Valsts budžeta bāzes izdevumu noteikšanas kārtība</w:t>
            </w:r>
            <w:r w:rsidR="004D7DC0">
              <w:rPr>
                <w:noProof/>
                <w:webHidden/>
              </w:rPr>
              <w:tab/>
            </w:r>
            <w:r w:rsidR="004D7DC0">
              <w:rPr>
                <w:noProof/>
                <w:webHidden/>
              </w:rPr>
              <w:fldChar w:fldCharType="begin"/>
            </w:r>
            <w:r w:rsidR="004D7DC0">
              <w:rPr>
                <w:noProof/>
                <w:webHidden/>
              </w:rPr>
              <w:instrText xml:space="preserve"> PAGEREF _Toc487036793 \h </w:instrText>
            </w:r>
            <w:r w:rsidR="004D7DC0">
              <w:rPr>
                <w:noProof/>
                <w:webHidden/>
              </w:rPr>
            </w:r>
            <w:r w:rsidR="004D7DC0">
              <w:rPr>
                <w:noProof/>
                <w:webHidden/>
              </w:rPr>
              <w:fldChar w:fldCharType="separate"/>
            </w:r>
            <w:r w:rsidR="00A73CAE">
              <w:rPr>
                <w:noProof/>
                <w:webHidden/>
              </w:rPr>
              <w:t>51</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794" w:history="1">
            <w:r w:rsidR="004D7DC0" w:rsidRPr="00B26DEE">
              <w:rPr>
                <w:rStyle w:val="Hyperlink"/>
                <w:rFonts w:cs="Times New Roman"/>
                <w:noProof/>
              </w:rPr>
              <w:t>2.4. Amata vietu skaita un dinamikas analīze</w:t>
            </w:r>
            <w:r w:rsidR="004D7DC0">
              <w:rPr>
                <w:noProof/>
                <w:webHidden/>
              </w:rPr>
              <w:tab/>
            </w:r>
            <w:r w:rsidR="004D7DC0">
              <w:rPr>
                <w:noProof/>
                <w:webHidden/>
              </w:rPr>
              <w:fldChar w:fldCharType="begin"/>
            </w:r>
            <w:r w:rsidR="004D7DC0">
              <w:rPr>
                <w:noProof/>
                <w:webHidden/>
              </w:rPr>
              <w:instrText xml:space="preserve"> PAGEREF _Toc487036794 \h </w:instrText>
            </w:r>
            <w:r w:rsidR="004D7DC0">
              <w:rPr>
                <w:noProof/>
                <w:webHidden/>
              </w:rPr>
            </w:r>
            <w:r w:rsidR="004D7DC0">
              <w:rPr>
                <w:noProof/>
                <w:webHidden/>
              </w:rPr>
              <w:fldChar w:fldCharType="separate"/>
            </w:r>
            <w:r w:rsidR="00A73CAE">
              <w:rPr>
                <w:noProof/>
                <w:webHidden/>
              </w:rPr>
              <w:t>57</w:t>
            </w:r>
            <w:r w:rsidR="004D7DC0">
              <w:rPr>
                <w:noProof/>
                <w:webHidden/>
              </w:rPr>
              <w:fldChar w:fldCharType="end"/>
            </w:r>
          </w:hyperlink>
        </w:p>
        <w:p w:rsidR="004D7DC0" w:rsidRDefault="001B3901">
          <w:pPr>
            <w:pStyle w:val="TOC1"/>
            <w:tabs>
              <w:tab w:val="right" w:leader="dot" w:pos="9061"/>
            </w:tabs>
            <w:rPr>
              <w:rFonts w:asciiTheme="minorHAnsi" w:eastAsiaTheme="minorEastAsia" w:hAnsiTheme="minorHAnsi"/>
              <w:noProof/>
              <w:sz w:val="22"/>
              <w:lang w:eastAsia="lv-LV"/>
            </w:rPr>
          </w:pPr>
          <w:hyperlink w:anchor="_Toc487036795" w:history="1">
            <w:r w:rsidR="004D7DC0" w:rsidRPr="00B26DEE">
              <w:rPr>
                <w:rStyle w:val="Hyperlink"/>
                <w:rFonts w:cs="Times New Roman"/>
                <w:noProof/>
              </w:rPr>
              <w:t>3. IZMAIŅAS NOZARU FINANSĒŠANAS POLITIKĀ</w:t>
            </w:r>
            <w:r w:rsidR="004D7DC0">
              <w:rPr>
                <w:noProof/>
                <w:webHidden/>
              </w:rPr>
              <w:tab/>
            </w:r>
            <w:r w:rsidR="004D7DC0">
              <w:rPr>
                <w:noProof/>
                <w:webHidden/>
              </w:rPr>
              <w:fldChar w:fldCharType="begin"/>
            </w:r>
            <w:r w:rsidR="004D7DC0">
              <w:rPr>
                <w:noProof/>
                <w:webHidden/>
              </w:rPr>
              <w:instrText xml:space="preserve"> PAGEREF _Toc487036795 \h </w:instrText>
            </w:r>
            <w:r w:rsidR="004D7DC0">
              <w:rPr>
                <w:noProof/>
                <w:webHidden/>
              </w:rPr>
            </w:r>
            <w:r w:rsidR="004D7DC0">
              <w:rPr>
                <w:noProof/>
                <w:webHidden/>
              </w:rPr>
              <w:fldChar w:fldCharType="separate"/>
            </w:r>
            <w:r w:rsidR="00A73CAE">
              <w:rPr>
                <w:noProof/>
                <w:webHidden/>
              </w:rPr>
              <w:t>61</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796" w:history="1">
            <w:r w:rsidR="004D7DC0" w:rsidRPr="00B26DEE">
              <w:rPr>
                <w:rStyle w:val="Hyperlink"/>
                <w:rFonts w:cs="Times New Roman"/>
                <w:noProof/>
              </w:rPr>
              <w:t>3.1. Līdzšinēji izstrādāto priekšlikumu aktualizācija</w:t>
            </w:r>
            <w:r w:rsidR="004D7DC0">
              <w:rPr>
                <w:noProof/>
                <w:webHidden/>
              </w:rPr>
              <w:tab/>
            </w:r>
            <w:r w:rsidR="004D7DC0">
              <w:rPr>
                <w:noProof/>
                <w:webHidden/>
              </w:rPr>
              <w:fldChar w:fldCharType="begin"/>
            </w:r>
            <w:r w:rsidR="004D7DC0">
              <w:rPr>
                <w:noProof/>
                <w:webHidden/>
              </w:rPr>
              <w:instrText xml:space="preserve"> PAGEREF _Toc487036796 \h </w:instrText>
            </w:r>
            <w:r w:rsidR="004D7DC0">
              <w:rPr>
                <w:noProof/>
                <w:webHidden/>
              </w:rPr>
            </w:r>
            <w:r w:rsidR="004D7DC0">
              <w:rPr>
                <w:noProof/>
                <w:webHidden/>
              </w:rPr>
              <w:fldChar w:fldCharType="separate"/>
            </w:r>
            <w:r w:rsidR="00A73CAE">
              <w:rPr>
                <w:noProof/>
                <w:webHidden/>
              </w:rPr>
              <w:t>61</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797" w:history="1">
            <w:r w:rsidR="004D7DC0" w:rsidRPr="00B26DEE">
              <w:rPr>
                <w:rStyle w:val="Hyperlink"/>
                <w:rFonts w:cs="Times New Roman"/>
                <w:noProof/>
              </w:rPr>
              <w:t>3.2. Nulles budžeta principa ieviešana atsevišķu pilotprojektu veidā</w:t>
            </w:r>
            <w:r w:rsidR="004D7DC0">
              <w:rPr>
                <w:noProof/>
                <w:webHidden/>
              </w:rPr>
              <w:tab/>
            </w:r>
            <w:r w:rsidR="004D7DC0">
              <w:rPr>
                <w:noProof/>
                <w:webHidden/>
              </w:rPr>
              <w:fldChar w:fldCharType="begin"/>
            </w:r>
            <w:r w:rsidR="004D7DC0">
              <w:rPr>
                <w:noProof/>
                <w:webHidden/>
              </w:rPr>
              <w:instrText xml:space="preserve"> PAGEREF _Toc487036797 \h </w:instrText>
            </w:r>
            <w:r w:rsidR="004D7DC0">
              <w:rPr>
                <w:noProof/>
                <w:webHidden/>
              </w:rPr>
            </w:r>
            <w:r w:rsidR="004D7DC0">
              <w:rPr>
                <w:noProof/>
                <w:webHidden/>
              </w:rPr>
              <w:fldChar w:fldCharType="separate"/>
            </w:r>
            <w:r w:rsidR="00A73CAE">
              <w:rPr>
                <w:noProof/>
                <w:webHidden/>
              </w:rPr>
              <w:t>62</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798" w:history="1">
            <w:r w:rsidR="004D7DC0" w:rsidRPr="00B26DEE">
              <w:rPr>
                <w:rStyle w:val="Hyperlink"/>
                <w:rFonts w:cs="Times New Roman"/>
                <w:noProof/>
              </w:rPr>
              <w:t>3.3. Valsts budžeta finansēto funkciju optimizēšanas iespējas</w:t>
            </w:r>
            <w:r w:rsidR="004D7DC0">
              <w:rPr>
                <w:noProof/>
                <w:webHidden/>
              </w:rPr>
              <w:tab/>
            </w:r>
            <w:r w:rsidR="004D7DC0">
              <w:rPr>
                <w:noProof/>
                <w:webHidden/>
              </w:rPr>
              <w:fldChar w:fldCharType="begin"/>
            </w:r>
            <w:r w:rsidR="004D7DC0">
              <w:rPr>
                <w:noProof/>
                <w:webHidden/>
              </w:rPr>
              <w:instrText xml:space="preserve"> PAGEREF _Toc487036798 \h </w:instrText>
            </w:r>
            <w:r w:rsidR="004D7DC0">
              <w:rPr>
                <w:noProof/>
                <w:webHidden/>
              </w:rPr>
            </w:r>
            <w:r w:rsidR="004D7DC0">
              <w:rPr>
                <w:noProof/>
                <w:webHidden/>
              </w:rPr>
              <w:fldChar w:fldCharType="separate"/>
            </w:r>
            <w:r w:rsidR="00A73CAE">
              <w:rPr>
                <w:noProof/>
                <w:webHidden/>
              </w:rPr>
              <w:t>80</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799" w:history="1">
            <w:r w:rsidR="004D7DC0" w:rsidRPr="00B26DEE">
              <w:rPr>
                <w:rStyle w:val="Hyperlink"/>
                <w:rFonts w:cs="Times New Roman"/>
                <w:noProof/>
              </w:rPr>
              <w:t xml:space="preserve">3.3.1. </w:t>
            </w:r>
            <w:r w:rsidR="004D7DC0" w:rsidRPr="00B26DEE">
              <w:rPr>
                <w:rStyle w:val="Hyperlink"/>
                <w:rFonts w:cs="Times New Roman"/>
                <w:bCs/>
                <w:noProof/>
              </w:rPr>
              <w:t>Izvērtējums preču un pakalpojumu centralizētas iegādes paplašināšanai</w:t>
            </w:r>
            <w:r w:rsidR="004D7DC0">
              <w:rPr>
                <w:noProof/>
                <w:webHidden/>
              </w:rPr>
              <w:tab/>
            </w:r>
            <w:r w:rsidR="004D7DC0">
              <w:rPr>
                <w:noProof/>
                <w:webHidden/>
              </w:rPr>
              <w:fldChar w:fldCharType="begin"/>
            </w:r>
            <w:r w:rsidR="004D7DC0">
              <w:rPr>
                <w:noProof/>
                <w:webHidden/>
              </w:rPr>
              <w:instrText xml:space="preserve"> PAGEREF _Toc487036799 \h </w:instrText>
            </w:r>
            <w:r w:rsidR="004D7DC0">
              <w:rPr>
                <w:noProof/>
                <w:webHidden/>
              </w:rPr>
            </w:r>
            <w:r w:rsidR="004D7DC0">
              <w:rPr>
                <w:noProof/>
                <w:webHidden/>
              </w:rPr>
              <w:fldChar w:fldCharType="separate"/>
            </w:r>
            <w:r w:rsidR="00A73CAE">
              <w:rPr>
                <w:noProof/>
                <w:webHidden/>
              </w:rPr>
              <w:t>80</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0" w:history="1">
            <w:r w:rsidR="004D7DC0" w:rsidRPr="00B26DEE">
              <w:rPr>
                <w:rStyle w:val="Hyperlink"/>
                <w:rFonts w:cs="Times New Roman"/>
                <w:noProof/>
              </w:rPr>
              <w:t>3.3.2. Izdevumu dalībai starptautiskajās organizācijās pārskatīšana</w:t>
            </w:r>
            <w:r w:rsidR="004D7DC0">
              <w:rPr>
                <w:noProof/>
                <w:webHidden/>
              </w:rPr>
              <w:tab/>
            </w:r>
            <w:r w:rsidR="004D7DC0">
              <w:rPr>
                <w:noProof/>
                <w:webHidden/>
              </w:rPr>
              <w:fldChar w:fldCharType="begin"/>
            </w:r>
            <w:r w:rsidR="004D7DC0">
              <w:rPr>
                <w:noProof/>
                <w:webHidden/>
              </w:rPr>
              <w:instrText xml:space="preserve"> PAGEREF _Toc487036800 \h </w:instrText>
            </w:r>
            <w:r w:rsidR="004D7DC0">
              <w:rPr>
                <w:noProof/>
                <w:webHidden/>
              </w:rPr>
            </w:r>
            <w:r w:rsidR="004D7DC0">
              <w:rPr>
                <w:noProof/>
                <w:webHidden/>
              </w:rPr>
              <w:fldChar w:fldCharType="separate"/>
            </w:r>
            <w:r w:rsidR="00A73CAE">
              <w:rPr>
                <w:noProof/>
                <w:webHidden/>
              </w:rPr>
              <w:t>91</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1" w:history="1">
            <w:r w:rsidR="004D7DC0" w:rsidRPr="00B26DEE">
              <w:rPr>
                <w:rStyle w:val="Hyperlink"/>
                <w:rFonts w:cs="Times New Roman"/>
                <w:noProof/>
              </w:rPr>
              <w:t>3.3.3. Atbalsta funkciju ar veicošo amata vietu analīze</w:t>
            </w:r>
            <w:r w:rsidR="004D7DC0">
              <w:rPr>
                <w:noProof/>
                <w:webHidden/>
              </w:rPr>
              <w:tab/>
            </w:r>
            <w:r w:rsidR="004D7DC0">
              <w:rPr>
                <w:noProof/>
                <w:webHidden/>
              </w:rPr>
              <w:fldChar w:fldCharType="begin"/>
            </w:r>
            <w:r w:rsidR="004D7DC0">
              <w:rPr>
                <w:noProof/>
                <w:webHidden/>
              </w:rPr>
              <w:instrText xml:space="preserve"> PAGEREF _Toc487036801 \h </w:instrText>
            </w:r>
            <w:r w:rsidR="004D7DC0">
              <w:rPr>
                <w:noProof/>
                <w:webHidden/>
              </w:rPr>
            </w:r>
            <w:r w:rsidR="004D7DC0">
              <w:rPr>
                <w:noProof/>
                <w:webHidden/>
              </w:rPr>
              <w:fldChar w:fldCharType="separate"/>
            </w:r>
            <w:r w:rsidR="00A73CAE">
              <w:rPr>
                <w:noProof/>
                <w:webHidden/>
              </w:rPr>
              <w:t>98</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2" w:history="1">
            <w:r w:rsidR="004D7DC0" w:rsidRPr="00B26DEE">
              <w:rPr>
                <w:rStyle w:val="Hyperlink"/>
                <w:rFonts w:cs="Times New Roman"/>
                <w:noProof/>
              </w:rPr>
              <w:t>3.3.4. Ministriju iestāžu efektivizēšanas iespējas</w:t>
            </w:r>
            <w:r w:rsidR="004D7DC0">
              <w:rPr>
                <w:noProof/>
                <w:webHidden/>
              </w:rPr>
              <w:tab/>
            </w:r>
            <w:r w:rsidR="004D7DC0">
              <w:rPr>
                <w:noProof/>
                <w:webHidden/>
              </w:rPr>
              <w:fldChar w:fldCharType="begin"/>
            </w:r>
            <w:r w:rsidR="004D7DC0">
              <w:rPr>
                <w:noProof/>
                <w:webHidden/>
              </w:rPr>
              <w:instrText xml:space="preserve"> PAGEREF _Toc487036802 \h </w:instrText>
            </w:r>
            <w:r w:rsidR="004D7DC0">
              <w:rPr>
                <w:noProof/>
                <w:webHidden/>
              </w:rPr>
            </w:r>
            <w:r w:rsidR="004D7DC0">
              <w:rPr>
                <w:noProof/>
                <w:webHidden/>
              </w:rPr>
              <w:fldChar w:fldCharType="separate"/>
            </w:r>
            <w:r w:rsidR="00A73CAE">
              <w:rPr>
                <w:noProof/>
                <w:webHidden/>
              </w:rPr>
              <w:t>101</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3" w:history="1">
            <w:r w:rsidR="004D7DC0" w:rsidRPr="00B26DEE">
              <w:rPr>
                <w:rStyle w:val="Hyperlink"/>
                <w:rFonts w:cs="Times New Roman"/>
                <w:noProof/>
              </w:rPr>
              <w:t>3.3.5. Ekspertīzes veicošo iestāžu funkciju pārskatīšana</w:t>
            </w:r>
            <w:r w:rsidR="004D7DC0">
              <w:rPr>
                <w:noProof/>
                <w:webHidden/>
              </w:rPr>
              <w:tab/>
            </w:r>
            <w:r w:rsidR="004D7DC0">
              <w:rPr>
                <w:noProof/>
                <w:webHidden/>
              </w:rPr>
              <w:fldChar w:fldCharType="begin"/>
            </w:r>
            <w:r w:rsidR="004D7DC0">
              <w:rPr>
                <w:noProof/>
                <w:webHidden/>
              </w:rPr>
              <w:instrText xml:space="preserve"> PAGEREF _Toc487036803 \h </w:instrText>
            </w:r>
            <w:r w:rsidR="004D7DC0">
              <w:rPr>
                <w:noProof/>
                <w:webHidden/>
              </w:rPr>
            </w:r>
            <w:r w:rsidR="004D7DC0">
              <w:rPr>
                <w:noProof/>
                <w:webHidden/>
              </w:rPr>
              <w:fldChar w:fldCharType="separate"/>
            </w:r>
            <w:r w:rsidR="00A73CAE">
              <w:rPr>
                <w:noProof/>
                <w:webHidden/>
              </w:rPr>
              <w:t>121</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4" w:history="1">
            <w:r w:rsidR="004D7DC0" w:rsidRPr="00B26DEE">
              <w:rPr>
                <w:rStyle w:val="Hyperlink"/>
                <w:rFonts w:cs="Times New Roman"/>
                <w:noProof/>
              </w:rPr>
              <w:t>3.3.6. Ministriju priekšlikumi par funkciju īstenošanu</w:t>
            </w:r>
            <w:r w:rsidR="004D7DC0">
              <w:rPr>
                <w:noProof/>
                <w:webHidden/>
              </w:rPr>
              <w:tab/>
            </w:r>
            <w:r w:rsidR="004D7DC0">
              <w:rPr>
                <w:noProof/>
                <w:webHidden/>
              </w:rPr>
              <w:fldChar w:fldCharType="begin"/>
            </w:r>
            <w:r w:rsidR="004D7DC0">
              <w:rPr>
                <w:noProof/>
                <w:webHidden/>
              </w:rPr>
              <w:instrText xml:space="preserve"> PAGEREF _Toc487036804 \h </w:instrText>
            </w:r>
            <w:r w:rsidR="004D7DC0">
              <w:rPr>
                <w:noProof/>
                <w:webHidden/>
              </w:rPr>
            </w:r>
            <w:r w:rsidR="004D7DC0">
              <w:rPr>
                <w:noProof/>
                <w:webHidden/>
              </w:rPr>
              <w:fldChar w:fldCharType="separate"/>
            </w:r>
            <w:r w:rsidR="00A73CAE">
              <w:rPr>
                <w:noProof/>
                <w:webHidden/>
              </w:rPr>
              <w:t>125</w:t>
            </w:r>
            <w:r w:rsidR="004D7DC0">
              <w:rPr>
                <w:noProof/>
                <w:webHidden/>
              </w:rPr>
              <w:fldChar w:fldCharType="end"/>
            </w:r>
          </w:hyperlink>
        </w:p>
        <w:p w:rsidR="004D7DC0" w:rsidRDefault="001B3901">
          <w:pPr>
            <w:pStyle w:val="TOC2"/>
            <w:rPr>
              <w:rFonts w:asciiTheme="minorHAnsi" w:eastAsiaTheme="minorEastAsia" w:hAnsiTheme="minorHAnsi"/>
              <w:noProof/>
              <w:sz w:val="22"/>
              <w:lang w:eastAsia="lv-LV"/>
            </w:rPr>
          </w:pPr>
          <w:hyperlink w:anchor="_Toc487036805" w:history="1">
            <w:r w:rsidR="004D7DC0" w:rsidRPr="00B26DEE">
              <w:rPr>
                <w:rStyle w:val="Hyperlink"/>
                <w:rFonts w:cs="Times New Roman"/>
                <w:noProof/>
              </w:rPr>
              <w:t>3.4. Horizontālie risinājumi valsts budžeta resursu novirzīšanai aktuālajām prioritātēm</w:t>
            </w:r>
            <w:r w:rsidR="004D7DC0">
              <w:rPr>
                <w:noProof/>
                <w:webHidden/>
              </w:rPr>
              <w:tab/>
            </w:r>
            <w:r w:rsidR="004D7DC0">
              <w:rPr>
                <w:noProof/>
                <w:webHidden/>
              </w:rPr>
              <w:fldChar w:fldCharType="begin"/>
            </w:r>
            <w:r w:rsidR="004D7DC0">
              <w:rPr>
                <w:noProof/>
                <w:webHidden/>
              </w:rPr>
              <w:instrText xml:space="preserve"> PAGEREF _Toc487036805 \h </w:instrText>
            </w:r>
            <w:r w:rsidR="004D7DC0">
              <w:rPr>
                <w:noProof/>
                <w:webHidden/>
              </w:rPr>
            </w:r>
            <w:r w:rsidR="004D7DC0">
              <w:rPr>
                <w:noProof/>
                <w:webHidden/>
              </w:rPr>
              <w:fldChar w:fldCharType="separate"/>
            </w:r>
            <w:r w:rsidR="00A73CAE">
              <w:rPr>
                <w:noProof/>
                <w:webHidden/>
              </w:rPr>
              <w:t>133</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6" w:history="1">
            <w:r w:rsidR="004D7DC0" w:rsidRPr="00B26DEE">
              <w:rPr>
                <w:rStyle w:val="Hyperlink"/>
                <w:rFonts w:cs="Times New Roman"/>
                <w:noProof/>
              </w:rPr>
              <w:t>3.4.1. Resursu veidošana no pašu ieņēmumu atlikumiem</w:t>
            </w:r>
            <w:r w:rsidR="004D7DC0">
              <w:rPr>
                <w:noProof/>
                <w:webHidden/>
              </w:rPr>
              <w:tab/>
            </w:r>
            <w:r w:rsidR="004D7DC0">
              <w:rPr>
                <w:noProof/>
                <w:webHidden/>
              </w:rPr>
              <w:fldChar w:fldCharType="begin"/>
            </w:r>
            <w:r w:rsidR="004D7DC0">
              <w:rPr>
                <w:noProof/>
                <w:webHidden/>
              </w:rPr>
              <w:instrText xml:space="preserve"> PAGEREF _Toc487036806 \h </w:instrText>
            </w:r>
            <w:r w:rsidR="004D7DC0">
              <w:rPr>
                <w:noProof/>
                <w:webHidden/>
              </w:rPr>
            </w:r>
            <w:r w:rsidR="004D7DC0">
              <w:rPr>
                <w:noProof/>
                <w:webHidden/>
              </w:rPr>
              <w:fldChar w:fldCharType="separate"/>
            </w:r>
            <w:r w:rsidR="00A73CAE">
              <w:rPr>
                <w:noProof/>
                <w:webHidden/>
              </w:rPr>
              <w:t>133</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7" w:history="1">
            <w:r w:rsidR="004D7DC0" w:rsidRPr="00B26DEE">
              <w:rPr>
                <w:rStyle w:val="Hyperlink"/>
                <w:rFonts w:cs="Times New Roman"/>
                <w:noProof/>
              </w:rPr>
              <w:t>3.4.2. Maksas pakalpojumu cenrāžu aktualizācija</w:t>
            </w:r>
            <w:r w:rsidR="004D7DC0">
              <w:rPr>
                <w:noProof/>
                <w:webHidden/>
              </w:rPr>
              <w:tab/>
            </w:r>
            <w:r w:rsidR="004D7DC0">
              <w:rPr>
                <w:noProof/>
                <w:webHidden/>
              </w:rPr>
              <w:fldChar w:fldCharType="begin"/>
            </w:r>
            <w:r w:rsidR="004D7DC0">
              <w:rPr>
                <w:noProof/>
                <w:webHidden/>
              </w:rPr>
              <w:instrText xml:space="preserve"> PAGEREF _Toc487036807 \h </w:instrText>
            </w:r>
            <w:r w:rsidR="004D7DC0">
              <w:rPr>
                <w:noProof/>
                <w:webHidden/>
              </w:rPr>
            </w:r>
            <w:r w:rsidR="004D7DC0">
              <w:rPr>
                <w:noProof/>
                <w:webHidden/>
              </w:rPr>
              <w:fldChar w:fldCharType="separate"/>
            </w:r>
            <w:r w:rsidR="00A73CAE">
              <w:rPr>
                <w:noProof/>
                <w:webHidden/>
              </w:rPr>
              <w:t>145</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8" w:history="1">
            <w:r w:rsidR="004D7DC0" w:rsidRPr="00B26DEE">
              <w:rPr>
                <w:rStyle w:val="Hyperlink"/>
                <w:rFonts w:cs="Times New Roman"/>
                <w:noProof/>
              </w:rPr>
              <w:t>3.4.3. Zemākās prioritātes administratīvo izdevumu pārskatīšana</w:t>
            </w:r>
            <w:r w:rsidR="004D7DC0">
              <w:rPr>
                <w:noProof/>
                <w:webHidden/>
              </w:rPr>
              <w:tab/>
            </w:r>
            <w:r w:rsidR="004D7DC0">
              <w:rPr>
                <w:noProof/>
                <w:webHidden/>
              </w:rPr>
              <w:fldChar w:fldCharType="begin"/>
            </w:r>
            <w:r w:rsidR="004D7DC0">
              <w:rPr>
                <w:noProof/>
                <w:webHidden/>
              </w:rPr>
              <w:instrText xml:space="preserve"> PAGEREF _Toc487036808 \h </w:instrText>
            </w:r>
            <w:r w:rsidR="004D7DC0">
              <w:rPr>
                <w:noProof/>
                <w:webHidden/>
              </w:rPr>
            </w:r>
            <w:r w:rsidR="004D7DC0">
              <w:rPr>
                <w:noProof/>
                <w:webHidden/>
              </w:rPr>
              <w:fldChar w:fldCharType="separate"/>
            </w:r>
            <w:r w:rsidR="00A73CAE">
              <w:rPr>
                <w:noProof/>
                <w:webHidden/>
              </w:rPr>
              <w:t>148</w:t>
            </w:r>
            <w:r w:rsidR="004D7DC0">
              <w:rPr>
                <w:noProof/>
                <w:webHidden/>
              </w:rPr>
              <w:fldChar w:fldCharType="end"/>
            </w:r>
          </w:hyperlink>
        </w:p>
        <w:p w:rsidR="004D7DC0" w:rsidRDefault="001B3901">
          <w:pPr>
            <w:pStyle w:val="TOC3"/>
            <w:tabs>
              <w:tab w:val="right" w:leader="dot" w:pos="9061"/>
            </w:tabs>
            <w:rPr>
              <w:rFonts w:asciiTheme="minorHAnsi" w:eastAsiaTheme="minorEastAsia" w:hAnsiTheme="minorHAnsi"/>
              <w:noProof/>
              <w:sz w:val="22"/>
              <w:lang w:eastAsia="lv-LV"/>
            </w:rPr>
          </w:pPr>
          <w:hyperlink w:anchor="_Toc487036809" w:history="1">
            <w:r w:rsidR="004D7DC0" w:rsidRPr="00B26DEE">
              <w:rPr>
                <w:rStyle w:val="Hyperlink"/>
                <w:rFonts w:cs="Times New Roman"/>
                <w:noProof/>
              </w:rPr>
              <w:t>3.4.4. Līdzšinēji piešķirtā finansējuma prioritārajiem pasākumiem pārskatīšana</w:t>
            </w:r>
            <w:r w:rsidR="004D7DC0">
              <w:rPr>
                <w:noProof/>
                <w:webHidden/>
              </w:rPr>
              <w:tab/>
            </w:r>
            <w:r w:rsidR="004D7DC0">
              <w:rPr>
                <w:noProof/>
                <w:webHidden/>
              </w:rPr>
              <w:fldChar w:fldCharType="begin"/>
            </w:r>
            <w:r w:rsidR="004D7DC0">
              <w:rPr>
                <w:noProof/>
                <w:webHidden/>
              </w:rPr>
              <w:instrText xml:space="preserve"> PAGEREF _Toc487036809 \h </w:instrText>
            </w:r>
            <w:r w:rsidR="004D7DC0">
              <w:rPr>
                <w:noProof/>
                <w:webHidden/>
              </w:rPr>
            </w:r>
            <w:r w:rsidR="004D7DC0">
              <w:rPr>
                <w:noProof/>
                <w:webHidden/>
              </w:rPr>
              <w:fldChar w:fldCharType="separate"/>
            </w:r>
            <w:r w:rsidR="00A73CAE">
              <w:rPr>
                <w:noProof/>
                <w:webHidden/>
              </w:rPr>
              <w:t>154</w:t>
            </w:r>
            <w:r w:rsidR="004D7DC0">
              <w:rPr>
                <w:noProof/>
                <w:webHidden/>
              </w:rPr>
              <w:fldChar w:fldCharType="end"/>
            </w:r>
          </w:hyperlink>
        </w:p>
        <w:p w:rsidR="004D7DC0" w:rsidRDefault="001B3901">
          <w:pPr>
            <w:pStyle w:val="TOC1"/>
            <w:tabs>
              <w:tab w:val="right" w:leader="dot" w:pos="9061"/>
            </w:tabs>
            <w:rPr>
              <w:rFonts w:asciiTheme="minorHAnsi" w:eastAsiaTheme="minorEastAsia" w:hAnsiTheme="minorHAnsi"/>
              <w:noProof/>
              <w:sz w:val="22"/>
              <w:lang w:eastAsia="lv-LV"/>
            </w:rPr>
          </w:pPr>
          <w:hyperlink w:anchor="_Toc487036810" w:history="1">
            <w:r w:rsidR="004D7DC0" w:rsidRPr="00B26DEE">
              <w:rPr>
                <w:rStyle w:val="Hyperlink"/>
                <w:rFonts w:cs="Times New Roman"/>
                <w:noProof/>
              </w:rPr>
              <w:t>4. VALSTS BUDŽETA IESTĀŽU PUBLISKO PAKALPOJUMU PIEGĀDES UN IKT JOMA</w:t>
            </w:r>
            <w:r w:rsidR="004D7DC0">
              <w:rPr>
                <w:noProof/>
                <w:webHidden/>
              </w:rPr>
              <w:tab/>
            </w:r>
            <w:r w:rsidR="004D7DC0">
              <w:rPr>
                <w:noProof/>
                <w:webHidden/>
              </w:rPr>
              <w:fldChar w:fldCharType="begin"/>
            </w:r>
            <w:r w:rsidR="004D7DC0">
              <w:rPr>
                <w:noProof/>
                <w:webHidden/>
              </w:rPr>
              <w:instrText xml:space="preserve"> PAGEREF _Toc487036810 \h </w:instrText>
            </w:r>
            <w:r w:rsidR="004D7DC0">
              <w:rPr>
                <w:noProof/>
                <w:webHidden/>
              </w:rPr>
            </w:r>
            <w:r w:rsidR="004D7DC0">
              <w:rPr>
                <w:noProof/>
                <w:webHidden/>
              </w:rPr>
              <w:fldChar w:fldCharType="separate"/>
            </w:r>
            <w:r w:rsidR="00A73CAE">
              <w:rPr>
                <w:noProof/>
                <w:webHidden/>
              </w:rPr>
              <w:t>217</w:t>
            </w:r>
            <w:r w:rsidR="004D7DC0">
              <w:rPr>
                <w:noProof/>
                <w:webHidden/>
              </w:rPr>
              <w:fldChar w:fldCharType="end"/>
            </w:r>
          </w:hyperlink>
        </w:p>
        <w:p w:rsidR="0060137F" w:rsidRDefault="0060137F" w:rsidP="0060137F">
          <w:r>
            <w:rPr>
              <w:b/>
              <w:bCs/>
              <w:noProof/>
            </w:rPr>
            <w:fldChar w:fldCharType="end"/>
          </w:r>
        </w:p>
      </w:sdtContent>
    </w:sdt>
    <w:p w:rsidR="00835387" w:rsidRPr="00835387" w:rsidRDefault="00835387" w:rsidP="00F242CE">
      <w:pPr>
        <w:spacing w:after="200"/>
        <w:jc w:val="both"/>
        <w:rPr>
          <w:noProof/>
        </w:rPr>
      </w:pPr>
      <w:r w:rsidRPr="006420D0">
        <w:rPr>
          <w:noProof/>
        </w:rPr>
        <w:t>PIELIKUMI</w:t>
      </w:r>
    </w:p>
    <w:p w:rsidR="00E13F0B" w:rsidRDefault="00EA38FC" w:rsidP="00195837">
      <w:pPr>
        <w:tabs>
          <w:tab w:val="left" w:pos="7590"/>
        </w:tabs>
        <w:spacing w:after="120"/>
        <w:jc w:val="both"/>
        <w:rPr>
          <w:noProof/>
        </w:rPr>
      </w:pPr>
      <w:r>
        <w:rPr>
          <w:noProof/>
        </w:rPr>
        <w:t xml:space="preserve">1.pielikums </w:t>
      </w:r>
      <w:r w:rsidR="00E13F0B">
        <w:rPr>
          <w:noProof/>
        </w:rPr>
        <w:t>“</w:t>
      </w:r>
      <w:r w:rsidR="00E60672" w:rsidRPr="00E60672">
        <w:rPr>
          <w:noProof/>
        </w:rPr>
        <w:t>Kopsavilkums par izdevumu pārskatīšanas rezultātiem sadalījumā pa ministrijām un resursu pielietojuma veidiem</w:t>
      </w:r>
      <w:r w:rsidR="00E13F0B" w:rsidRPr="00E60672">
        <w:rPr>
          <w:noProof/>
        </w:rPr>
        <w:t>”</w:t>
      </w:r>
    </w:p>
    <w:p w:rsidR="00E13F0B" w:rsidRDefault="00EA38FC" w:rsidP="00195837">
      <w:pPr>
        <w:spacing w:after="120"/>
        <w:jc w:val="both"/>
        <w:rPr>
          <w:noProof/>
        </w:rPr>
      </w:pPr>
      <w:r>
        <w:rPr>
          <w:noProof/>
        </w:rPr>
        <w:lastRenderedPageBreak/>
        <w:t xml:space="preserve">2.pielikums </w:t>
      </w:r>
      <w:r w:rsidR="00E13F0B">
        <w:rPr>
          <w:noProof/>
        </w:rPr>
        <w:t>“</w:t>
      </w:r>
      <w:r w:rsidR="00E60672" w:rsidRPr="00E60672">
        <w:rPr>
          <w:noProof/>
        </w:rPr>
        <w:t>Kopsavilkums par izdevumu pārskatīšanas rezultātiem sadalījumā pa ministrijām un izdevumu pārskatīšanas metodēm</w:t>
      </w:r>
      <w:r w:rsidR="00E13F0B">
        <w:rPr>
          <w:noProof/>
        </w:rPr>
        <w:t>”</w:t>
      </w:r>
    </w:p>
    <w:p w:rsidR="00517B32" w:rsidRDefault="00517B32" w:rsidP="00195837">
      <w:pPr>
        <w:spacing w:after="120"/>
        <w:jc w:val="both"/>
        <w:rPr>
          <w:noProof/>
        </w:rPr>
      </w:pPr>
      <w:r>
        <w:rPr>
          <w:noProof/>
        </w:rPr>
        <w:t xml:space="preserve">3.pielikums </w:t>
      </w:r>
      <w:r w:rsidR="00E60672">
        <w:rPr>
          <w:noProof/>
        </w:rPr>
        <w:t>“</w:t>
      </w:r>
      <w:r w:rsidRPr="00517B32">
        <w:rPr>
          <w:noProof/>
        </w:rPr>
        <w:t>Kopsavilkums par izdevumu pārskatīšanas rezultātiem sadalījumā pa ministrijām, un to programmām/apakšprogrammām</w:t>
      </w:r>
      <w:r w:rsidR="00E60672">
        <w:rPr>
          <w:noProof/>
        </w:rPr>
        <w:t>”</w:t>
      </w:r>
    </w:p>
    <w:p w:rsidR="00E13F0B" w:rsidRDefault="00517B32" w:rsidP="00195837">
      <w:pPr>
        <w:spacing w:after="120"/>
        <w:jc w:val="both"/>
        <w:rPr>
          <w:noProof/>
        </w:rPr>
      </w:pPr>
      <w:r>
        <w:rPr>
          <w:noProof/>
        </w:rPr>
        <w:t>4</w:t>
      </w:r>
      <w:r w:rsidR="00E13F0B">
        <w:rPr>
          <w:noProof/>
        </w:rPr>
        <w:t xml:space="preserve">.pielikums“FM iesniedzāmās prezentācijas sagatave un </w:t>
      </w:r>
      <w:r w:rsidR="00E13F0B" w:rsidRPr="00EA38FC">
        <w:rPr>
          <w:noProof/>
        </w:rPr>
        <w:t>ministrij</w:t>
      </w:r>
      <w:r w:rsidR="00E13F0B">
        <w:rPr>
          <w:noProof/>
        </w:rPr>
        <w:t>u</w:t>
      </w:r>
      <w:r w:rsidR="00E13F0B" w:rsidRPr="00EA38FC">
        <w:rPr>
          <w:noProof/>
        </w:rPr>
        <w:t xml:space="preserve"> prezentācija</w:t>
      </w:r>
      <w:r w:rsidR="00E13F0B">
        <w:rPr>
          <w:noProof/>
        </w:rPr>
        <w:t>s”</w:t>
      </w:r>
    </w:p>
    <w:p w:rsidR="00EA38FC" w:rsidRDefault="00517B32" w:rsidP="00195837">
      <w:pPr>
        <w:spacing w:after="120"/>
        <w:jc w:val="both"/>
        <w:rPr>
          <w:noProof/>
        </w:rPr>
      </w:pPr>
      <w:r>
        <w:rPr>
          <w:noProof/>
        </w:rPr>
        <w:t>5</w:t>
      </w:r>
      <w:r w:rsidR="00E13F0B">
        <w:rPr>
          <w:noProof/>
        </w:rPr>
        <w:t xml:space="preserve">.pielikums </w:t>
      </w:r>
      <w:r w:rsidR="000A371D">
        <w:rPr>
          <w:noProof/>
        </w:rPr>
        <w:t>“Ministriju iesniegtie priekšlikumi</w:t>
      </w:r>
      <w:r w:rsidR="00EB2A2C" w:rsidRPr="00EB2A2C">
        <w:rPr>
          <w:szCs w:val="24"/>
        </w:rPr>
        <w:t xml:space="preserve"> </w:t>
      </w:r>
      <w:r w:rsidR="00EB2A2C">
        <w:rPr>
          <w:szCs w:val="24"/>
        </w:rPr>
        <w:t>par vispārējo procesu efektivizēšanu un pilnveidošanu</w:t>
      </w:r>
      <w:r w:rsidR="000A371D">
        <w:rPr>
          <w:noProof/>
        </w:rPr>
        <w:t>”</w:t>
      </w:r>
    </w:p>
    <w:p w:rsidR="000A371D" w:rsidRDefault="00517B32" w:rsidP="00195837">
      <w:pPr>
        <w:spacing w:after="120"/>
        <w:jc w:val="both"/>
        <w:rPr>
          <w:noProof/>
        </w:rPr>
      </w:pPr>
      <w:r>
        <w:rPr>
          <w:noProof/>
        </w:rPr>
        <w:t>6</w:t>
      </w:r>
      <w:r w:rsidR="000A371D">
        <w:rPr>
          <w:noProof/>
        </w:rPr>
        <w:t>.pielikums “</w:t>
      </w:r>
      <w:r w:rsidR="00A87649">
        <w:rPr>
          <w:noProof/>
        </w:rPr>
        <w:t>Attīstīt bibliotēkas kā nozīmīgu resursu sabiedrības gudrai un ilgtspējīgai izaugsmei</w:t>
      </w:r>
      <w:r w:rsidR="000A371D">
        <w:rPr>
          <w:noProof/>
        </w:rPr>
        <w:t>”</w:t>
      </w:r>
    </w:p>
    <w:p w:rsidR="00A87649" w:rsidRDefault="00517B32" w:rsidP="00195837">
      <w:pPr>
        <w:spacing w:after="120"/>
        <w:jc w:val="both"/>
        <w:rPr>
          <w:noProof/>
        </w:rPr>
      </w:pPr>
      <w:r>
        <w:rPr>
          <w:noProof/>
        </w:rPr>
        <w:t>7</w:t>
      </w:r>
      <w:r w:rsidR="00A87649">
        <w:rPr>
          <w:noProof/>
        </w:rPr>
        <w:t>.pielikums “</w:t>
      </w:r>
      <w:r w:rsidR="00A87649" w:rsidRPr="00A87649">
        <w:rPr>
          <w:noProof/>
        </w:rPr>
        <w:t>Ministriju priekšlikumi iespējām paplašināt preču un pakalpojumu centralizēto iegādi EIS</w:t>
      </w:r>
      <w:r w:rsidR="00A87649">
        <w:rPr>
          <w:noProof/>
        </w:rPr>
        <w:t>”</w:t>
      </w:r>
    </w:p>
    <w:p w:rsidR="00A87649" w:rsidRDefault="00517B32" w:rsidP="00195837">
      <w:pPr>
        <w:spacing w:after="120"/>
        <w:jc w:val="both"/>
        <w:rPr>
          <w:noProof/>
        </w:rPr>
      </w:pPr>
      <w:r>
        <w:rPr>
          <w:noProof/>
        </w:rPr>
        <w:t>8</w:t>
      </w:r>
      <w:r w:rsidR="00A87649">
        <w:rPr>
          <w:noProof/>
        </w:rPr>
        <w:t>.pielikums “</w:t>
      </w:r>
      <w:r w:rsidR="00B87E61" w:rsidRPr="00B87E61">
        <w:rPr>
          <w:noProof/>
        </w:rPr>
        <w:t>Aprēķins potenciāli atbrīvojamiem resursiem VVD un DAP apvienošanas gadījumā, pārskatot atbalsta funkciju īstenošanu</w:t>
      </w:r>
      <w:r w:rsidR="00A87649">
        <w:rPr>
          <w:noProof/>
        </w:rPr>
        <w:t>”</w:t>
      </w:r>
    </w:p>
    <w:p w:rsidR="00B87E61" w:rsidRDefault="00517B32" w:rsidP="00195837">
      <w:pPr>
        <w:spacing w:after="120"/>
        <w:jc w:val="both"/>
        <w:rPr>
          <w:noProof/>
        </w:rPr>
      </w:pPr>
      <w:r>
        <w:rPr>
          <w:noProof/>
        </w:rPr>
        <w:t>9</w:t>
      </w:r>
      <w:r w:rsidR="00B87E61">
        <w:rPr>
          <w:noProof/>
        </w:rPr>
        <w:t>.pielikums “</w:t>
      </w:r>
      <w:r w:rsidR="00B87E61" w:rsidRPr="00B87E61">
        <w:rPr>
          <w:noProof/>
        </w:rPr>
        <w:t>LVĢMC piešķirtās valsts budžeta dotācijas izlietojuma rezultāti</w:t>
      </w:r>
      <w:r w:rsidR="00B87E61">
        <w:rPr>
          <w:noProof/>
        </w:rPr>
        <w:t>”</w:t>
      </w:r>
    </w:p>
    <w:p w:rsidR="00B87E61" w:rsidRDefault="00517B32" w:rsidP="00195837">
      <w:pPr>
        <w:spacing w:after="120"/>
        <w:jc w:val="both"/>
        <w:rPr>
          <w:noProof/>
        </w:rPr>
      </w:pPr>
      <w:r>
        <w:rPr>
          <w:noProof/>
        </w:rPr>
        <w:t>10</w:t>
      </w:r>
      <w:r w:rsidR="00B87E61">
        <w:rPr>
          <w:noProof/>
        </w:rPr>
        <w:t>.pielikums “</w:t>
      </w:r>
      <w:r w:rsidR="00B87E61" w:rsidRPr="00B87E61">
        <w:rPr>
          <w:noProof/>
        </w:rPr>
        <w:t>Izdevumi sadalījumā pa finansējuma avotiem (</w:t>
      </w:r>
      <w:r w:rsidR="00B87E61" w:rsidRPr="00B87E61">
        <w:rPr>
          <w:i/>
          <w:noProof/>
        </w:rPr>
        <w:t>euro</w:t>
      </w:r>
      <w:r w:rsidR="00B87E61" w:rsidRPr="00B87E61">
        <w:rPr>
          <w:noProof/>
        </w:rPr>
        <w:t>), amata vietu skaits un apmeklējumu skaits valsts muzejos 2014. – 2016.gadā</w:t>
      </w:r>
      <w:r w:rsidR="00B87E61">
        <w:rPr>
          <w:noProof/>
        </w:rPr>
        <w:t>”</w:t>
      </w:r>
    </w:p>
    <w:p w:rsidR="00B87E61" w:rsidRDefault="00517B32" w:rsidP="00195837">
      <w:pPr>
        <w:spacing w:after="120"/>
        <w:jc w:val="both"/>
        <w:rPr>
          <w:noProof/>
        </w:rPr>
      </w:pPr>
      <w:r>
        <w:rPr>
          <w:noProof/>
        </w:rPr>
        <w:t>11</w:t>
      </w:r>
      <w:r w:rsidR="00B87E61">
        <w:rPr>
          <w:noProof/>
        </w:rPr>
        <w:t>.pielikums “</w:t>
      </w:r>
      <w:r w:rsidR="00A65310" w:rsidRPr="00A65310">
        <w:rPr>
          <w:noProof/>
        </w:rPr>
        <w:t>Spēkā esošo maksas pakalpojumu cenrāžu saraksts un gadu skaits kopš to pēdējās aktualizēšanas</w:t>
      </w:r>
      <w:r w:rsidR="00B87E61">
        <w:rPr>
          <w:noProof/>
        </w:rPr>
        <w:t>”</w:t>
      </w:r>
    </w:p>
    <w:p w:rsidR="00A65310" w:rsidRDefault="00E13F0B" w:rsidP="00195837">
      <w:pPr>
        <w:spacing w:after="120"/>
        <w:jc w:val="both"/>
        <w:rPr>
          <w:noProof/>
        </w:rPr>
      </w:pPr>
      <w:r>
        <w:rPr>
          <w:noProof/>
        </w:rPr>
        <w:t>1</w:t>
      </w:r>
      <w:r w:rsidR="00517B32">
        <w:rPr>
          <w:noProof/>
        </w:rPr>
        <w:t>2</w:t>
      </w:r>
      <w:r w:rsidR="00A65310">
        <w:rPr>
          <w:noProof/>
        </w:rPr>
        <w:t>.pielikums “Kopsavilkums par maksas pakalpojumu cenrāžu</w:t>
      </w:r>
      <w:r w:rsidR="00A65310" w:rsidRPr="00A65310">
        <w:rPr>
          <w:noProof/>
        </w:rPr>
        <w:t xml:space="preserve">, </w:t>
      </w:r>
      <w:r w:rsidR="00A65310">
        <w:rPr>
          <w:noProof/>
        </w:rPr>
        <w:t>kas aktualizēti vairāk nekā pirms 2 gadiem</w:t>
      </w:r>
      <w:r w:rsidR="00A65310" w:rsidRPr="00A65310">
        <w:rPr>
          <w:noProof/>
        </w:rPr>
        <w:t xml:space="preserve">, </w:t>
      </w:r>
      <w:r w:rsidR="00A65310">
        <w:rPr>
          <w:noProof/>
        </w:rPr>
        <w:t>horizantālo analīzi sadalījumā pa ministrijām un to programmām/apakšprogrammām”</w:t>
      </w:r>
    </w:p>
    <w:p w:rsidR="00A65310" w:rsidRDefault="00E13F0B" w:rsidP="00195837">
      <w:pPr>
        <w:spacing w:after="120"/>
        <w:jc w:val="both"/>
        <w:rPr>
          <w:noProof/>
        </w:rPr>
      </w:pPr>
      <w:r>
        <w:rPr>
          <w:noProof/>
        </w:rPr>
        <w:t>1</w:t>
      </w:r>
      <w:r w:rsidR="00517B32">
        <w:rPr>
          <w:noProof/>
        </w:rPr>
        <w:t>3</w:t>
      </w:r>
      <w:r w:rsidR="00A65310">
        <w:rPr>
          <w:noProof/>
        </w:rPr>
        <w:t>.pielikums “</w:t>
      </w:r>
      <w:r w:rsidR="005F2A82" w:rsidRPr="005F2A82">
        <w:rPr>
          <w:noProof/>
        </w:rPr>
        <w:t>Ministriju sniegtā informācija par priekšlikumiem publisko pakalpojumu un IKT jomas efektivizēšanai</w:t>
      </w:r>
      <w:r w:rsidR="00A65310">
        <w:rPr>
          <w:noProof/>
        </w:rPr>
        <w:t>”</w:t>
      </w:r>
    </w:p>
    <w:p w:rsidR="005F2A82" w:rsidRDefault="005F2A82" w:rsidP="00195837">
      <w:pPr>
        <w:spacing w:after="120"/>
        <w:jc w:val="both"/>
        <w:rPr>
          <w:noProof/>
        </w:rPr>
      </w:pPr>
      <w:r>
        <w:rPr>
          <w:noProof/>
        </w:rPr>
        <w:t>1</w:t>
      </w:r>
      <w:r w:rsidR="00517B32">
        <w:rPr>
          <w:noProof/>
        </w:rPr>
        <w:t>4</w:t>
      </w:r>
      <w:r>
        <w:rPr>
          <w:noProof/>
        </w:rPr>
        <w:t>.pielikums “</w:t>
      </w:r>
      <w:r w:rsidRPr="005F2A82">
        <w:rPr>
          <w:noProof/>
        </w:rPr>
        <w:t>Turpmākās darbības plāns valsts budžeta iestāžu publisko pakalpojumu piegādes un informācijas un komunikācijas tehnoloģiju jomas optimizācijai</w:t>
      </w:r>
      <w:r>
        <w:rPr>
          <w:noProof/>
        </w:rPr>
        <w:t>”</w:t>
      </w:r>
    </w:p>
    <w:p w:rsidR="00A410AA" w:rsidRDefault="00A410AA" w:rsidP="00195837">
      <w:pPr>
        <w:spacing w:after="120"/>
        <w:jc w:val="both"/>
        <w:rPr>
          <w:noProof/>
        </w:rPr>
      </w:pPr>
      <w:r>
        <w:rPr>
          <w:noProof/>
        </w:rPr>
        <w:t>15.pielikums “Ministriju iesniegt</w:t>
      </w:r>
      <w:r w:rsidR="00AB12AC">
        <w:rPr>
          <w:noProof/>
        </w:rPr>
        <w:t xml:space="preserve">ā informācija par </w:t>
      </w:r>
      <w:r w:rsidR="00AB12AC">
        <w:rPr>
          <w:szCs w:val="24"/>
        </w:rPr>
        <w:t>prioritāro pasākumu pārskatīšanas rezultātā identificētajiem iekšējiem resursiem, kā arī par citiem papildu priekšlikumiem</w:t>
      </w:r>
      <w:r>
        <w:rPr>
          <w:noProof/>
        </w:rPr>
        <w:t>”</w:t>
      </w:r>
    </w:p>
    <w:p w:rsidR="000A371D" w:rsidRDefault="000A371D" w:rsidP="00EA38FC">
      <w:pPr>
        <w:spacing w:after="120"/>
        <w:rPr>
          <w:noProof/>
        </w:rPr>
      </w:pPr>
    </w:p>
    <w:p w:rsidR="00E732CF" w:rsidRDefault="00E732CF">
      <w:pPr>
        <w:rPr>
          <w:b/>
          <w:szCs w:val="24"/>
        </w:rPr>
      </w:pPr>
      <w:r>
        <w:rPr>
          <w:b/>
          <w:szCs w:val="24"/>
        </w:rPr>
        <w:br w:type="page"/>
      </w:r>
    </w:p>
    <w:p w:rsidR="0046669D" w:rsidRPr="006E5888" w:rsidRDefault="00F03E6C" w:rsidP="009332EA">
      <w:pPr>
        <w:tabs>
          <w:tab w:val="left" w:pos="1494"/>
        </w:tabs>
        <w:rPr>
          <w:b/>
          <w:szCs w:val="24"/>
        </w:rPr>
      </w:pPr>
      <w:r w:rsidRPr="006E5888">
        <w:rPr>
          <w:b/>
          <w:szCs w:val="24"/>
        </w:rPr>
        <w:lastRenderedPageBreak/>
        <w:t>INFORMATĪVAJĀ ZIŅOJUMĀ LIETOTIE SAĪSINĀJUMI</w:t>
      </w:r>
    </w:p>
    <w:p w:rsidR="00F03E6C" w:rsidRPr="006E5888" w:rsidRDefault="00F03E6C" w:rsidP="009332EA">
      <w:pPr>
        <w:tabs>
          <w:tab w:val="left" w:pos="1494"/>
        </w:tabs>
        <w:rPr>
          <w:b/>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0"/>
        <w:gridCol w:w="7801"/>
      </w:tblGrid>
      <w:tr w:rsidR="00F50D5D" w:rsidRPr="006E5888" w:rsidTr="007878AE">
        <w:tc>
          <w:tcPr>
            <w:tcW w:w="1270" w:type="dxa"/>
          </w:tcPr>
          <w:p w:rsidR="00F50D5D" w:rsidRPr="006E5888" w:rsidRDefault="00F50D5D" w:rsidP="009332EA">
            <w:pPr>
              <w:tabs>
                <w:tab w:val="left" w:pos="1494"/>
              </w:tabs>
              <w:rPr>
                <w:szCs w:val="24"/>
              </w:rPr>
            </w:pPr>
            <w:r w:rsidRPr="006E5888">
              <w:rPr>
                <w:szCs w:val="24"/>
              </w:rPr>
              <w:t>AiM</w:t>
            </w:r>
          </w:p>
        </w:tc>
        <w:tc>
          <w:tcPr>
            <w:tcW w:w="7801" w:type="dxa"/>
          </w:tcPr>
          <w:p w:rsidR="00F50D5D" w:rsidRPr="006E5888" w:rsidRDefault="00F50D5D" w:rsidP="009332EA">
            <w:pPr>
              <w:tabs>
                <w:tab w:val="left" w:pos="1494"/>
              </w:tabs>
              <w:rPr>
                <w:szCs w:val="24"/>
              </w:rPr>
            </w:pPr>
            <w:r w:rsidRPr="006E5888">
              <w:rPr>
                <w:szCs w:val="24"/>
              </w:rPr>
              <w:t>Aizsardzības ministrija</w:t>
            </w:r>
          </w:p>
        </w:tc>
      </w:tr>
      <w:tr w:rsidR="002D5BA9" w:rsidRPr="006E5888" w:rsidTr="007878AE">
        <w:tc>
          <w:tcPr>
            <w:tcW w:w="1270" w:type="dxa"/>
          </w:tcPr>
          <w:p w:rsidR="002D5BA9" w:rsidRPr="00421431" w:rsidRDefault="002D5BA9" w:rsidP="009332EA">
            <w:pPr>
              <w:tabs>
                <w:tab w:val="left" w:pos="1494"/>
              </w:tabs>
              <w:rPr>
                <w:szCs w:val="24"/>
              </w:rPr>
            </w:pPr>
            <w:r w:rsidRPr="00421431">
              <w:rPr>
                <w:szCs w:val="24"/>
              </w:rPr>
              <w:t>AT</w:t>
            </w:r>
          </w:p>
        </w:tc>
        <w:tc>
          <w:tcPr>
            <w:tcW w:w="7801" w:type="dxa"/>
          </w:tcPr>
          <w:p w:rsidR="002D5BA9" w:rsidRPr="00421431" w:rsidRDefault="002D5BA9" w:rsidP="009332EA">
            <w:pPr>
              <w:tabs>
                <w:tab w:val="left" w:pos="1494"/>
              </w:tabs>
              <w:rPr>
                <w:szCs w:val="24"/>
              </w:rPr>
            </w:pPr>
            <w:r w:rsidRPr="00421431">
              <w:rPr>
                <w:szCs w:val="24"/>
              </w:rPr>
              <w:t>Augstākā tiesa</w:t>
            </w:r>
          </w:p>
        </w:tc>
      </w:tr>
      <w:tr w:rsidR="00F50D5D" w:rsidRPr="006E5888" w:rsidTr="007878AE">
        <w:tc>
          <w:tcPr>
            <w:tcW w:w="1270" w:type="dxa"/>
          </w:tcPr>
          <w:p w:rsidR="00F50D5D" w:rsidRPr="00421431" w:rsidRDefault="00F50D5D" w:rsidP="009332EA">
            <w:pPr>
              <w:tabs>
                <w:tab w:val="left" w:pos="1494"/>
              </w:tabs>
              <w:rPr>
                <w:szCs w:val="24"/>
              </w:rPr>
            </w:pPr>
            <w:r w:rsidRPr="00421431">
              <w:rPr>
                <w:szCs w:val="24"/>
              </w:rPr>
              <w:t>ĀM</w:t>
            </w:r>
          </w:p>
        </w:tc>
        <w:tc>
          <w:tcPr>
            <w:tcW w:w="7801" w:type="dxa"/>
          </w:tcPr>
          <w:p w:rsidR="00F50D5D" w:rsidRPr="00421431" w:rsidRDefault="00F50D5D" w:rsidP="009332EA">
            <w:pPr>
              <w:tabs>
                <w:tab w:val="left" w:pos="1494"/>
              </w:tabs>
              <w:rPr>
                <w:szCs w:val="24"/>
              </w:rPr>
            </w:pPr>
            <w:r w:rsidRPr="00421431">
              <w:rPr>
                <w:szCs w:val="24"/>
              </w:rPr>
              <w:t>Ārlietu ministrija</w:t>
            </w:r>
          </w:p>
        </w:tc>
      </w:tr>
      <w:tr w:rsidR="004766E8" w:rsidRPr="006E5888" w:rsidTr="007878AE">
        <w:tc>
          <w:tcPr>
            <w:tcW w:w="1270" w:type="dxa"/>
          </w:tcPr>
          <w:p w:rsidR="004766E8" w:rsidRPr="00421431" w:rsidRDefault="004766E8" w:rsidP="009332EA">
            <w:pPr>
              <w:tabs>
                <w:tab w:val="left" w:pos="1494"/>
              </w:tabs>
              <w:rPr>
                <w:szCs w:val="24"/>
              </w:rPr>
            </w:pPr>
            <w:r w:rsidRPr="00421431">
              <w:rPr>
                <w:rFonts w:cs="Times New Roman"/>
                <w:szCs w:val="24"/>
                <w:lang w:eastAsia="lv-LV"/>
              </w:rPr>
              <w:t>BIOR</w:t>
            </w:r>
          </w:p>
        </w:tc>
        <w:tc>
          <w:tcPr>
            <w:tcW w:w="7801" w:type="dxa"/>
          </w:tcPr>
          <w:p w:rsidR="004766E8" w:rsidRPr="00421431" w:rsidRDefault="004766E8" w:rsidP="009332EA">
            <w:pPr>
              <w:tabs>
                <w:tab w:val="left" w:pos="1494"/>
              </w:tabs>
              <w:rPr>
                <w:szCs w:val="24"/>
              </w:rPr>
            </w:pPr>
            <w:r w:rsidRPr="00421431">
              <w:rPr>
                <w:rFonts w:cs="Times New Roman"/>
                <w:szCs w:val="24"/>
                <w:lang w:eastAsia="lv-LV"/>
              </w:rPr>
              <w:t>Valsts zinātniskais institūts „Pārtikas drošības, dzīvnieku veselības un vides zinātniskais institūts „BIOR””</w:t>
            </w:r>
          </w:p>
        </w:tc>
      </w:tr>
      <w:tr w:rsidR="002D1E76" w:rsidRPr="00C3105A" w:rsidTr="007878AE">
        <w:tc>
          <w:tcPr>
            <w:tcW w:w="1270" w:type="dxa"/>
          </w:tcPr>
          <w:p w:rsidR="002D1E76" w:rsidRPr="00C3105A" w:rsidRDefault="002D1E76" w:rsidP="009332EA">
            <w:pPr>
              <w:tabs>
                <w:tab w:val="left" w:pos="1494"/>
              </w:tabs>
              <w:rPr>
                <w:rFonts w:eastAsia="Times New Roman" w:cs="Times New Roman"/>
                <w:color w:val="000000"/>
                <w:szCs w:val="24"/>
                <w:lang w:eastAsia="lv-LV"/>
              </w:rPr>
            </w:pPr>
            <w:r w:rsidRPr="00C3105A">
              <w:rPr>
                <w:rFonts w:eastAsia="Times New Roman" w:cs="Times New Roman"/>
                <w:color w:val="000000"/>
                <w:szCs w:val="24"/>
                <w:lang w:eastAsia="lv-LV"/>
              </w:rPr>
              <w:t>BNI</w:t>
            </w:r>
          </w:p>
        </w:tc>
        <w:tc>
          <w:tcPr>
            <w:tcW w:w="7801" w:type="dxa"/>
          </w:tcPr>
          <w:p w:rsidR="002D1E76" w:rsidRPr="00C3105A" w:rsidRDefault="002D1E76" w:rsidP="009332EA">
            <w:pPr>
              <w:tabs>
                <w:tab w:val="left" w:pos="1494"/>
              </w:tabs>
              <w:rPr>
                <w:rFonts w:eastAsia="Times New Roman" w:cs="Times New Roman"/>
                <w:color w:val="000000"/>
                <w:szCs w:val="24"/>
                <w:lang w:eastAsia="lv-LV"/>
              </w:rPr>
            </w:pPr>
            <w:r w:rsidRPr="00C3105A">
              <w:rPr>
                <w:rFonts w:eastAsia="Times New Roman" w:cs="Times New Roman"/>
                <w:color w:val="000000"/>
                <w:szCs w:val="24"/>
                <w:lang w:eastAsia="lv-LV"/>
              </w:rPr>
              <w:t>Budžeta nefinansētā iestāde</w:t>
            </w:r>
          </w:p>
        </w:tc>
      </w:tr>
      <w:tr w:rsidR="00D46969" w:rsidRPr="00661D52" w:rsidTr="007878AE">
        <w:tc>
          <w:tcPr>
            <w:tcW w:w="1270" w:type="dxa"/>
          </w:tcPr>
          <w:p w:rsidR="00D46969" w:rsidRPr="00661D52" w:rsidRDefault="00D46969" w:rsidP="009332EA">
            <w:pPr>
              <w:tabs>
                <w:tab w:val="left" w:pos="1494"/>
              </w:tabs>
              <w:rPr>
                <w:rFonts w:cs="Times New Roman"/>
                <w:szCs w:val="24"/>
                <w:lang w:eastAsia="lv-LV"/>
              </w:rPr>
            </w:pPr>
            <w:r w:rsidRPr="00661D52">
              <w:rPr>
                <w:rFonts w:eastAsia="Times New Roman" w:cs="Times New Roman"/>
                <w:color w:val="000000"/>
                <w:szCs w:val="24"/>
                <w:lang w:eastAsia="lv-LV"/>
              </w:rPr>
              <w:t>CAA</w:t>
            </w:r>
          </w:p>
        </w:tc>
        <w:tc>
          <w:tcPr>
            <w:tcW w:w="7801" w:type="dxa"/>
          </w:tcPr>
          <w:p w:rsidR="00D46969" w:rsidRPr="00661D52" w:rsidRDefault="00D46969" w:rsidP="009332EA">
            <w:pPr>
              <w:tabs>
                <w:tab w:val="left" w:pos="1494"/>
              </w:tabs>
              <w:rPr>
                <w:rFonts w:cs="Times New Roman"/>
                <w:szCs w:val="24"/>
                <w:lang w:eastAsia="lv-LV"/>
              </w:rPr>
            </w:pPr>
            <w:r w:rsidRPr="00661D52">
              <w:rPr>
                <w:rFonts w:eastAsia="Times New Roman" w:cs="Times New Roman"/>
                <w:color w:val="000000"/>
                <w:szCs w:val="24"/>
                <w:lang w:eastAsia="lv-LV"/>
              </w:rPr>
              <w:t>Valsts aģentūra “Civilās aviācijas aģentūra”</w:t>
            </w:r>
          </w:p>
        </w:tc>
      </w:tr>
      <w:tr w:rsidR="009F376D" w:rsidRPr="006E5888" w:rsidTr="007878AE">
        <w:tc>
          <w:tcPr>
            <w:tcW w:w="1270" w:type="dxa"/>
          </w:tcPr>
          <w:p w:rsidR="009F376D" w:rsidRPr="00421431" w:rsidRDefault="009F376D" w:rsidP="009332EA">
            <w:pPr>
              <w:tabs>
                <w:tab w:val="left" w:pos="1494"/>
              </w:tabs>
              <w:rPr>
                <w:szCs w:val="24"/>
              </w:rPr>
            </w:pPr>
            <w:r w:rsidRPr="00421431">
              <w:rPr>
                <w:szCs w:val="24"/>
              </w:rPr>
              <w:t>CSP</w:t>
            </w:r>
          </w:p>
        </w:tc>
        <w:tc>
          <w:tcPr>
            <w:tcW w:w="7801" w:type="dxa"/>
          </w:tcPr>
          <w:p w:rsidR="009F376D" w:rsidRPr="00421431" w:rsidRDefault="009F376D" w:rsidP="009332EA">
            <w:pPr>
              <w:tabs>
                <w:tab w:val="left" w:pos="1494"/>
              </w:tabs>
              <w:rPr>
                <w:szCs w:val="24"/>
              </w:rPr>
            </w:pPr>
            <w:r w:rsidRPr="00421431">
              <w:rPr>
                <w:szCs w:val="24"/>
              </w:rPr>
              <w:t>Centrālā statistikas pārvalde</w:t>
            </w:r>
          </w:p>
        </w:tc>
      </w:tr>
      <w:tr w:rsidR="002D5BA9" w:rsidRPr="006E5888" w:rsidTr="007878AE">
        <w:tc>
          <w:tcPr>
            <w:tcW w:w="1270" w:type="dxa"/>
          </w:tcPr>
          <w:p w:rsidR="002D5BA9" w:rsidRPr="00421431" w:rsidRDefault="002D5BA9" w:rsidP="009332EA">
            <w:pPr>
              <w:tabs>
                <w:tab w:val="left" w:pos="1494"/>
              </w:tabs>
              <w:rPr>
                <w:szCs w:val="24"/>
              </w:rPr>
            </w:pPr>
            <w:r w:rsidRPr="00421431">
              <w:rPr>
                <w:szCs w:val="24"/>
              </w:rPr>
              <w:t>CVK</w:t>
            </w:r>
          </w:p>
        </w:tc>
        <w:tc>
          <w:tcPr>
            <w:tcW w:w="7801" w:type="dxa"/>
          </w:tcPr>
          <w:p w:rsidR="002D5BA9" w:rsidRPr="00421431" w:rsidRDefault="002D5BA9" w:rsidP="009332EA">
            <w:pPr>
              <w:tabs>
                <w:tab w:val="left" w:pos="1494"/>
              </w:tabs>
              <w:rPr>
                <w:szCs w:val="24"/>
              </w:rPr>
            </w:pPr>
            <w:r w:rsidRPr="00421431">
              <w:rPr>
                <w:szCs w:val="24"/>
              </w:rPr>
              <w:t>Centrālā vēlēšanu komisija</w:t>
            </w:r>
          </w:p>
        </w:tc>
      </w:tr>
      <w:tr w:rsidR="002D5BA9" w:rsidRPr="00661D52" w:rsidTr="007878AE">
        <w:tc>
          <w:tcPr>
            <w:tcW w:w="1270" w:type="dxa"/>
          </w:tcPr>
          <w:p w:rsidR="002D5BA9" w:rsidRPr="00661D52" w:rsidRDefault="002D5BA9" w:rsidP="009332EA">
            <w:pPr>
              <w:tabs>
                <w:tab w:val="left" w:pos="1494"/>
              </w:tabs>
              <w:rPr>
                <w:szCs w:val="24"/>
              </w:rPr>
            </w:pPr>
            <w:r w:rsidRPr="00661D52">
              <w:rPr>
                <w:szCs w:val="24"/>
              </w:rPr>
              <w:t>CZK</w:t>
            </w:r>
          </w:p>
        </w:tc>
        <w:tc>
          <w:tcPr>
            <w:tcW w:w="7801" w:type="dxa"/>
          </w:tcPr>
          <w:p w:rsidR="002D5BA9" w:rsidRPr="00661D52" w:rsidRDefault="002D5BA9" w:rsidP="009332EA">
            <w:pPr>
              <w:tabs>
                <w:tab w:val="left" w:pos="1494"/>
              </w:tabs>
              <w:rPr>
                <w:szCs w:val="24"/>
              </w:rPr>
            </w:pPr>
            <w:r w:rsidRPr="00661D52">
              <w:rPr>
                <w:szCs w:val="24"/>
              </w:rPr>
              <w:t>Centrālā zemes komisija</w:t>
            </w:r>
          </w:p>
        </w:tc>
      </w:tr>
      <w:tr w:rsidR="00FE625A" w:rsidRPr="006E5888" w:rsidTr="007878AE">
        <w:tc>
          <w:tcPr>
            <w:tcW w:w="1270" w:type="dxa"/>
          </w:tcPr>
          <w:p w:rsidR="00FE625A" w:rsidRPr="00421431" w:rsidRDefault="00FE625A" w:rsidP="009332EA">
            <w:pPr>
              <w:tabs>
                <w:tab w:val="left" w:pos="1494"/>
              </w:tabs>
              <w:rPr>
                <w:szCs w:val="24"/>
              </w:rPr>
            </w:pPr>
            <w:r w:rsidRPr="00421431">
              <w:rPr>
                <w:rFonts w:cs="Times New Roman"/>
                <w:szCs w:val="24"/>
              </w:rPr>
              <w:t>DAP</w:t>
            </w:r>
          </w:p>
        </w:tc>
        <w:tc>
          <w:tcPr>
            <w:tcW w:w="7801" w:type="dxa"/>
          </w:tcPr>
          <w:p w:rsidR="00FE625A" w:rsidRPr="00421431" w:rsidRDefault="00FE625A" w:rsidP="009332EA">
            <w:pPr>
              <w:tabs>
                <w:tab w:val="left" w:pos="1494"/>
              </w:tabs>
              <w:rPr>
                <w:szCs w:val="24"/>
              </w:rPr>
            </w:pPr>
            <w:r w:rsidRPr="00421431">
              <w:rPr>
                <w:rFonts w:cs="Times New Roman"/>
                <w:szCs w:val="24"/>
              </w:rPr>
              <w:t>Dabas aizsardzības pārvalde</w:t>
            </w:r>
          </w:p>
        </w:tc>
      </w:tr>
      <w:tr w:rsidR="00637DCE" w:rsidRPr="006E5888" w:rsidTr="007878AE">
        <w:tc>
          <w:tcPr>
            <w:tcW w:w="1270" w:type="dxa"/>
          </w:tcPr>
          <w:p w:rsidR="00637DCE" w:rsidRPr="00421431" w:rsidRDefault="00637DCE" w:rsidP="009332EA">
            <w:pPr>
              <w:tabs>
                <w:tab w:val="left" w:pos="1494"/>
              </w:tabs>
              <w:rPr>
                <w:szCs w:val="24"/>
              </w:rPr>
            </w:pPr>
            <w:r w:rsidRPr="00421431">
              <w:rPr>
                <w:szCs w:val="24"/>
              </w:rPr>
              <w:t>EKK</w:t>
            </w:r>
          </w:p>
        </w:tc>
        <w:tc>
          <w:tcPr>
            <w:tcW w:w="7801" w:type="dxa"/>
          </w:tcPr>
          <w:p w:rsidR="00637DCE" w:rsidRPr="00421431" w:rsidRDefault="00637DCE" w:rsidP="009332EA">
            <w:pPr>
              <w:tabs>
                <w:tab w:val="left" w:pos="1494"/>
              </w:tabs>
              <w:rPr>
                <w:szCs w:val="24"/>
              </w:rPr>
            </w:pPr>
            <w:r w:rsidRPr="00421431">
              <w:rPr>
                <w:rFonts w:cs="Times New Roman"/>
                <w:szCs w:val="24"/>
              </w:rPr>
              <w:t>Izdevumu ekonomiskā klasifikācijas kods</w:t>
            </w:r>
          </w:p>
        </w:tc>
      </w:tr>
      <w:tr w:rsidR="00F50D5D" w:rsidRPr="006E5888" w:rsidTr="007878AE">
        <w:tc>
          <w:tcPr>
            <w:tcW w:w="1270" w:type="dxa"/>
          </w:tcPr>
          <w:p w:rsidR="00F50D5D" w:rsidRPr="00421431" w:rsidRDefault="00F50D5D" w:rsidP="009332EA">
            <w:pPr>
              <w:tabs>
                <w:tab w:val="left" w:pos="1494"/>
              </w:tabs>
              <w:rPr>
                <w:szCs w:val="24"/>
              </w:rPr>
            </w:pPr>
            <w:r w:rsidRPr="00421431">
              <w:rPr>
                <w:szCs w:val="24"/>
              </w:rPr>
              <w:t>EM</w:t>
            </w:r>
          </w:p>
        </w:tc>
        <w:tc>
          <w:tcPr>
            <w:tcW w:w="7801" w:type="dxa"/>
          </w:tcPr>
          <w:p w:rsidR="00F50D5D" w:rsidRPr="00421431" w:rsidRDefault="00F50D5D" w:rsidP="009332EA">
            <w:pPr>
              <w:tabs>
                <w:tab w:val="left" w:pos="1494"/>
              </w:tabs>
              <w:rPr>
                <w:szCs w:val="24"/>
              </w:rPr>
            </w:pPr>
            <w:r w:rsidRPr="00421431">
              <w:rPr>
                <w:szCs w:val="24"/>
              </w:rPr>
              <w:t>Ekonomikas ministrija</w:t>
            </w:r>
          </w:p>
        </w:tc>
      </w:tr>
      <w:tr w:rsidR="00F50D5D" w:rsidRPr="006E5888" w:rsidTr="007878AE">
        <w:tc>
          <w:tcPr>
            <w:tcW w:w="1270" w:type="dxa"/>
          </w:tcPr>
          <w:p w:rsidR="00F50D5D" w:rsidRPr="00421431" w:rsidRDefault="00F50D5D" w:rsidP="009332EA">
            <w:pPr>
              <w:tabs>
                <w:tab w:val="left" w:pos="1494"/>
              </w:tabs>
              <w:rPr>
                <w:szCs w:val="24"/>
              </w:rPr>
            </w:pPr>
            <w:r w:rsidRPr="00421431">
              <w:rPr>
                <w:szCs w:val="24"/>
              </w:rPr>
              <w:t>ES</w:t>
            </w:r>
          </w:p>
        </w:tc>
        <w:tc>
          <w:tcPr>
            <w:tcW w:w="7801" w:type="dxa"/>
          </w:tcPr>
          <w:p w:rsidR="00F50D5D" w:rsidRPr="00421431" w:rsidRDefault="00F50D5D" w:rsidP="009332EA">
            <w:pPr>
              <w:tabs>
                <w:tab w:val="left" w:pos="1494"/>
              </w:tabs>
              <w:rPr>
                <w:szCs w:val="24"/>
              </w:rPr>
            </w:pPr>
            <w:r w:rsidRPr="00421431">
              <w:rPr>
                <w:szCs w:val="24"/>
              </w:rPr>
              <w:t>Eiropas Savienība</w:t>
            </w:r>
          </w:p>
        </w:tc>
      </w:tr>
      <w:tr w:rsidR="00F50D5D" w:rsidRPr="006E5888" w:rsidTr="007878AE">
        <w:tc>
          <w:tcPr>
            <w:tcW w:w="1270" w:type="dxa"/>
          </w:tcPr>
          <w:p w:rsidR="00F50D5D" w:rsidRPr="00421431" w:rsidRDefault="00F50D5D" w:rsidP="009332EA">
            <w:pPr>
              <w:tabs>
                <w:tab w:val="left" w:pos="1494"/>
              </w:tabs>
              <w:rPr>
                <w:szCs w:val="24"/>
              </w:rPr>
            </w:pPr>
            <w:r w:rsidRPr="00421431">
              <w:rPr>
                <w:szCs w:val="24"/>
              </w:rPr>
              <w:t>FM</w:t>
            </w:r>
          </w:p>
        </w:tc>
        <w:tc>
          <w:tcPr>
            <w:tcW w:w="7801" w:type="dxa"/>
          </w:tcPr>
          <w:p w:rsidR="00F50D5D" w:rsidRPr="00421431" w:rsidRDefault="00F50D5D" w:rsidP="009332EA">
            <w:pPr>
              <w:tabs>
                <w:tab w:val="left" w:pos="1494"/>
              </w:tabs>
              <w:rPr>
                <w:szCs w:val="24"/>
              </w:rPr>
            </w:pPr>
            <w:r w:rsidRPr="00421431">
              <w:rPr>
                <w:szCs w:val="24"/>
              </w:rPr>
              <w:t>Finanšu ministrija</w:t>
            </w:r>
          </w:p>
        </w:tc>
      </w:tr>
      <w:tr w:rsidR="00F50D5D" w:rsidRPr="006E5888" w:rsidTr="007878AE">
        <w:tc>
          <w:tcPr>
            <w:tcW w:w="1270" w:type="dxa"/>
          </w:tcPr>
          <w:p w:rsidR="00F50D5D" w:rsidRPr="00421431" w:rsidRDefault="00F26A6B" w:rsidP="009332EA">
            <w:pPr>
              <w:tabs>
                <w:tab w:val="left" w:pos="1494"/>
              </w:tabs>
              <w:rPr>
                <w:szCs w:val="24"/>
              </w:rPr>
            </w:pPr>
            <w:r w:rsidRPr="00421431">
              <w:rPr>
                <w:szCs w:val="24"/>
              </w:rPr>
              <w:t>IeM</w:t>
            </w:r>
          </w:p>
        </w:tc>
        <w:tc>
          <w:tcPr>
            <w:tcW w:w="7801" w:type="dxa"/>
          </w:tcPr>
          <w:p w:rsidR="00F50D5D" w:rsidRPr="00421431" w:rsidRDefault="00F26A6B" w:rsidP="009332EA">
            <w:pPr>
              <w:tabs>
                <w:tab w:val="left" w:pos="1494"/>
              </w:tabs>
              <w:rPr>
                <w:szCs w:val="24"/>
              </w:rPr>
            </w:pPr>
            <w:r w:rsidRPr="00421431">
              <w:rPr>
                <w:szCs w:val="24"/>
              </w:rPr>
              <w:t>Iekšlietu ministrija</w:t>
            </w:r>
          </w:p>
        </w:tc>
      </w:tr>
      <w:tr w:rsidR="00B6657F" w:rsidRPr="006E5888" w:rsidTr="007878AE">
        <w:tc>
          <w:tcPr>
            <w:tcW w:w="1270" w:type="dxa"/>
          </w:tcPr>
          <w:p w:rsidR="00B6657F" w:rsidRPr="00421431" w:rsidRDefault="00B6657F" w:rsidP="009332EA">
            <w:pPr>
              <w:tabs>
                <w:tab w:val="left" w:pos="1494"/>
              </w:tabs>
              <w:rPr>
                <w:szCs w:val="24"/>
              </w:rPr>
            </w:pPr>
            <w:r w:rsidRPr="00421431">
              <w:rPr>
                <w:szCs w:val="24"/>
              </w:rPr>
              <w:t>IKT</w:t>
            </w:r>
          </w:p>
        </w:tc>
        <w:tc>
          <w:tcPr>
            <w:tcW w:w="7801" w:type="dxa"/>
          </w:tcPr>
          <w:p w:rsidR="00B6657F" w:rsidRPr="00421431" w:rsidRDefault="00B6657F" w:rsidP="009332EA">
            <w:pPr>
              <w:tabs>
                <w:tab w:val="left" w:pos="1494"/>
              </w:tabs>
              <w:rPr>
                <w:szCs w:val="24"/>
              </w:rPr>
            </w:pPr>
            <w:r w:rsidRPr="00421431">
              <w:rPr>
                <w:szCs w:val="24"/>
              </w:rPr>
              <w:t>Informācijas un komunikācijas tehnoloģijas</w:t>
            </w:r>
          </w:p>
        </w:tc>
      </w:tr>
      <w:tr w:rsidR="002B369A" w:rsidRPr="006E5888" w:rsidTr="007878AE">
        <w:tc>
          <w:tcPr>
            <w:tcW w:w="1270" w:type="dxa"/>
          </w:tcPr>
          <w:p w:rsidR="002B369A" w:rsidRPr="00421431" w:rsidRDefault="002B369A" w:rsidP="009332EA">
            <w:pPr>
              <w:tabs>
                <w:tab w:val="left" w:pos="1494"/>
              </w:tabs>
              <w:rPr>
                <w:szCs w:val="24"/>
              </w:rPr>
            </w:pPr>
            <w:r w:rsidRPr="00421431">
              <w:rPr>
                <w:szCs w:val="24"/>
              </w:rPr>
              <w:t>IKP</w:t>
            </w:r>
          </w:p>
        </w:tc>
        <w:tc>
          <w:tcPr>
            <w:tcW w:w="7801" w:type="dxa"/>
          </w:tcPr>
          <w:p w:rsidR="002B369A" w:rsidRPr="00421431" w:rsidRDefault="002B369A" w:rsidP="009332EA">
            <w:pPr>
              <w:tabs>
                <w:tab w:val="left" w:pos="1494"/>
              </w:tabs>
              <w:rPr>
                <w:szCs w:val="24"/>
              </w:rPr>
            </w:pPr>
            <w:r w:rsidRPr="00421431">
              <w:rPr>
                <w:szCs w:val="24"/>
              </w:rPr>
              <w:t>Iekšzemes kopprodukts</w:t>
            </w:r>
          </w:p>
        </w:tc>
      </w:tr>
      <w:tr w:rsidR="00F50D5D" w:rsidRPr="006E5888" w:rsidTr="007878AE">
        <w:tc>
          <w:tcPr>
            <w:tcW w:w="1270" w:type="dxa"/>
          </w:tcPr>
          <w:p w:rsidR="00F50D5D" w:rsidRPr="00421431" w:rsidRDefault="00F26A6B" w:rsidP="009332EA">
            <w:pPr>
              <w:tabs>
                <w:tab w:val="left" w:pos="1494"/>
              </w:tabs>
              <w:rPr>
                <w:szCs w:val="24"/>
              </w:rPr>
            </w:pPr>
            <w:r w:rsidRPr="00421431">
              <w:rPr>
                <w:szCs w:val="24"/>
              </w:rPr>
              <w:t>IZM</w:t>
            </w:r>
          </w:p>
        </w:tc>
        <w:tc>
          <w:tcPr>
            <w:tcW w:w="7801" w:type="dxa"/>
          </w:tcPr>
          <w:p w:rsidR="00F50D5D" w:rsidRPr="00421431" w:rsidRDefault="00F26A6B" w:rsidP="009332EA">
            <w:pPr>
              <w:tabs>
                <w:tab w:val="left" w:pos="1494"/>
              </w:tabs>
              <w:rPr>
                <w:szCs w:val="24"/>
              </w:rPr>
            </w:pPr>
            <w:r w:rsidRPr="00421431">
              <w:rPr>
                <w:szCs w:val="24"/>
              </w:rPr>
              <w:t>Izglītības un zinātnes ministrija</w:t>
            </w:r>
          </w:p>
        </w:tc>
      </w:tr>
      <w:tr w:rsidR="00F26A6B" w:rsidRPr="006E5888" w:rsidTr="007878AE">
        <w:tc>
          <w:tcPr>
            <w:tcW w:w="1270" w:type="dxa"/>
          </w:tcPr>
          <w:p w:rsidR="00F26A6B" w:rsidRPr="00421431" w:rsidRDefault="0055468D" w:rsidP="009332EA">
            <w:pPr>
              <w:tabs>
                <w:tab w:val="left" w:pos="1494"/>
              </w:tabs>
              <w:rPr>
                <w:szCs w:val="24"/>
              </w:rPr>
            </w:pPr>
            <w:r w:rsidRPr="00421431">
              <w:rPr>
                <w:szCs w:val="24"/>
              </w:rPr>
              <w:t>JPI</w:t>
            </w:r>
          </w:p>
        </w:tc>
        <w:tc>
          <w:tcPr>
            <w:tcW w:w="7801" w:type="dxa"/>
          </w:tcPr>
          <w:p w:rsidR="00F26A6B" w:rsidRPr="00421431" w:rsidRDefault="0055468D" w:rsidP="009332EA">
            <w:pPr>
              <w:tabs>
                <w:tab w:val="left" w:pos="1494"/>
              </w:tabs>
              <w:rPr>
                <w:szCs w:val="24"/>
              </w:rPr>
            </w:pPr>
            <w:r w:rsidRPr="00421431">
              <w:rPr>
                <w:szCs w:val="24"/>
              </w:rPr>
              <w:t>Jaunās politikas iniciatīvas (attīstības daļas finansējums)</w:t>
            </w:r>
          </w:p>
        </w:tc>
      </w:tr>
      <w:tr w:rsidR="00F26A6B" w:rsidRPr="006E5888" w:rsidTr="007878AE">
        <w:tc>
          <w:tcPr>
            <w:tcW w:w="1270" w:type="dxa"/>
          </w:tcPr>
          <w:p w:rsidR="00F26A6B" w:rsidRPr="00421431" w:rsidRDefault="0055468D" w:rsidP="009332EA">
            <w:pPr>
              <w:tabs>
                <w:tab w:val="left" w:pos="1494"/>
              </w:tabs>
              <w:rPr>
                <w:szCs w:val="24"/>
              </w:rPr>
            </w:pPr>
            <w:r w:rsidRPr="00421431">
              <w:rPr>
                <w:szCs w:val="24"/>
              </w:rPr>
              <w:t>KM</w:t>
            </w:r>
          </w:p>
        </w:tc>
        <w:tc>
          <w:tcPr>
            <w:tcW w:w="7801" w:type="dxa"/>
          </w:tcPr>
          <w:p w:rsidR="00F26A6B" w:rsidRPr="00421431" w:rsidRDefault="0055468D" w:rsidP="009332EA">
            <w:pPr>
              <w:tabs>
                <w:tab w:val="left" w:pos="1494"/>
              </w:tabs>
              <w:rPr>
                <w:szCs w:val="24"/>
              </w:rPr>
            </w:pPr>
            <w:r w:rsidRPr="00421431">
              <w:rPr>
                <w:szCs w:val="24"/>
              </w:rPr>
              <w:t>Kultūras ministrija</w:t>
            </w:r>
          </w:p>
        </w:tc>
      </w:tr>
      <w:tr w:rsidR="00C10216" w:rsidRPr="006E5888" w:rsidTr="007878AE">
        <w:tc>
          <w:tcPr>
            <w:tcW w:w="1270" w:type="dxa"/>
          </w:tcPr>
          <w:p w:rsidR="00C10216" w:rsidRPr="00421431" w:rsidRDefault="00C10216" w:rsidP="009332EA">
            <w:pPr>
              <w:tabs>
                <w:tab w:val="left" w:pos="1494"/>
              </w:tabs>
              <w:rPr>
                <w:szCs w:val="24"/>
              </w:rPr>
            </w:pPr>
            <w:r w:rsidRPr="00421431">
              <w:rPr>
                <w:szCs w:val="24"/>
              </w:rPr>
              <w:t>KNAB</w:t>
            </w:r>
          </w:p>
        </w:tc>
        <w:tc>
          <w:tcPr>
            <w:tcW w:w="7801" w:type="dxa"/>
          </w:tcPr>
          <w:p w:rsidR="00C10216" w:rsidRPr="00421431" w:rsidRDefault="00C10216" w:rsidP="009332EA">
            <w:pPr>
              <w:tabs>
                <w:tab w:val="left" w:pos="1494"/>
              </w:tabs>
              <w:rPr>
                <w:szCs w:val="24"/>
              </w:rPr>
            </w:pPr>
            <w:r w:rsidRPr="00421431">
              <w:rPr>
                <w:szCs w:val="24"/>
              </w:rPr>
              <w:t>Korupcijas novēršanas un apkarošanas birojs</w:t>
            </w:r>
          </w:p>
        </w:tc>
      </w:tr>
      <w:tr w:rsidR="00F26A6B" w:rsidRPr="006E5888" w:rsidTr="007878AE">
        <w:tc>
          <w:tcPr>
            <w:tcW w:w="1270" w:type="dxa"/>
          </w:tcPr>
          <w:p w:rsidR="00F26A6B" w:rsidRPr="00421431" w:rsidRDefault="0055468D" w:rsidP="009332EA">
            <w:pPr>
              <w:tabs>
                <w:tab w:val="left" w:pos="1494"/>
              </w:tabs>
              <w:rPr>
                <w:szCs w:val="24"/>
              </w:rPr>
            </w:pPr>
            <w:r w:rsidRPr="00421431">
              <w:rPr>
                <w:szCs w:val="24"/>
              </w:rPr>
              <w:t>LB</w:t>
            </w:r>
          </w:p>
        </w:tc>
        <w:tc>
          <w:tcPr>
            <w:tcW w:w="7801" w:type="dxa"/>
          </w:tcPr>
          <w:p w:rsidR="00F26A6B" w:rsidRPr="00421431" w:rsidRDefault="0055468D" w:rsidP="009332EA">
            <w:pPr>
              <w:tabs>
                <w:tab w:val="left" w:pos="1494"/>
              </w:tabs>
              <w:rPr>
                <w:szCs w:val="24"/>
              </w:rPr>
            </w:pPr>
            <w:r w:rsidRPr="00421431">
              <w:rPr>
                <w:szCs w:val="24"/>
              </w:rPr>
              <w:t>Latvijas Banka</w:t>
            </w:r>
          </w:p>
        </w:tc>
      </w:tr>
      <w:tr w:rsidR="0055468D" w:rsidRPr="006E5888" w:rsidTr="007878AE">
        <w:tc>
          <w:tcPr>
            <w:tcW w:w="1270" w:type="dxa"/>
          </w:tcPr>
          <w:p w:rsidR="0055468D" w:rsidRPr="00421431" w:rsidRDefault="0055468D" w:rsidP="009332EA">
            <w:pPr>
              <w:tabs>
                <w:tab w:val="left" w:pos="1494"/>
              </w:tabs>
              <w:rPr>
                <w:szCs w:val="24"/>
              </w:rPr>
            </w:pPr>
            <w:r w:rsidRPr="00421431">
              <w:rPr>
                <w:szCs w:val="24"/>
              </w:rPr>
              <w:t>LBFV</w:t>
            </w:r>
          </w:p>
        </w:tc>
        <w:tc>
          <w:tcPr>
            <w:tcW w:w="7801" w:type="dxa"/>
          </w:tcPr>
          <w:p w:rsidR="0055468D" w:rsidRPr="00421431" w:rsidRDefault="0055468D" w:rsidP="009332EA">
            <w:pPr>
              <w:tabs>
                <w:tab w:val="left" w:pos="1494"/>
              </w:tabs>
              <w:rPr>
                <w:szCs w:val="24"/>
              </w:rPr>
            </w:pPr>
            <w:r w:rsidRPr="00421431">
              <w:rPr>
                <w:szCs w:val="24"/>
              </w:rPr>
              <w:t>Likums par budžetu un finanšu vadību</w:t>
            </w:r>
          </w:p>
        </w:tc>
      </w:tr>
      <w:tr w:rsidR="001377DF" w:rsidRPr="006E5888" w:rsidTr="007878AE">
        <w:tc>
          <w:tcPr>
            <w:tcW w:w="1270" w:type="dxa"/>
          </w:tcPr>
          <w:p w:rsidR="001377DF" w:rsidRPr="00421431" w:rsidRDefault="001377DF" w:rsidP="009332EA">
            <w:pPr>
              <w:tabs>
                <w:tab w:val="left" w:pos="1494"/>
              </w:tabs>
              <w:rPr>
                <w:szCs w:val="24"/>
              </w:rPr>
            </w:pPr>
            <w:r w:rsidRPr="00421431">
              <w:rPr>
                <w:rFonts w:cs="Times New Roman"/>
                <w:szCs w:val="24"/>
              </w:rPr>
              <w:t>LDM</w:t>
            </w:r>
          </w:p>
        </w:tc>
        <w:tc>
          <w:tcPr>
            <w:tcW w:w="7801" w:type="dxa"/>
          </w:tcPr>
          <w:p w:rsidR="001377DF" w:rsidRPr="00421431" w:rsidRDefault="001377DF" w:rsidP="009332EA">
            <w:pPr>
              <w:tabs>
                <w:tab w:val="left" w:pos="1494"/>
              </w:tabs>
              <w:rPr>
                <w:szCs w:val="24"/>
              </w:rPr>
            </w:pPr>
            <w:r w:rsidRPr="00421431">
              <w:rPr>
                <w:rFonts w:cs="Times New Roman"/>
                <w:szCs w:val="24"/>
              </w:rPr>
              <w:t>Latvijas Dabas muzejs</w:t>
            </w:r>
          </w:p>
        </w:tc>
      </w:tr>
      <w:tr w:rsidR="0055468D" w:rsidRPr="006E5888" w:rsidTr="007878AE">
        <w:tc>
          <w:tcPr>
            <w:tcW w:w="1270" w:type="dxa"/>
          </w:tcPr>
          <w:p w:rsidR="0055468D" w:rsidRPr="00421431" w:rsidRDefault="0055468D" w:rsidP="009332EA">
            <w:pPr>
              <w:tabs>
                <w:tab w:val="left" w:pos="1494"/>
              </w:tabs>
              <w:rPr>
                <w:szCs w:val="24"/>
              </w:rPr>
            </w:pPr>
            <w:r w:rsidRPr="00421431">
              <w:rPr>
                <w:szCs w:val="24"/>
              </w:rPr>
              <w:t>LM</w:t>
            </w:r>
          </w:p>
        </w:tc>
        <w:tc>
          <w:tcPr>
            <w:tcW w:w="7801" w:type="dxa"/>
          </w:tcPr>
          <w:p w:rsidR="0055468D" w:rsidRPr="00421431" w:rsidRDefault="0055468D" w:rsidP="009332EA">
            <w:pPr>
              <w:tabs>
                <w:tab w:val="left" w:pos="1494"/>
              </w:tabs>
              <w:rPr>
                <w:szCs w:val="24"/>
              </w:rPr>
            </w:pPr>
            <w:r w:rsidRPr="00421431">
              <w:rPr>
                <w:szCs w:val="24"/>
              </w:rPr>
              <w:t>Labklājības ministrija</w:t>
            </w:r>
          </w:p>
        </w:tc>
      </w:tr>
      <w:tr w:rsidR="00D46969" w:rsidRPr="006E5888" w:rsidTr="007878AE">
        <w:tc>
          <w:tcPr>
            <w:tcW w:w="1270" w:type="dxa"/>
          </w:tcPr>
          <w:p w:rsidR="00D46969" w:rsidRPr="00421431" w:rsidRDefault="00D46969" w:rsidP="009332EA">
            <w:pPr>
              <w:tabs>
                <w:tab w:val="left" w:pos="1494"/>
              </w:tabs>
              <w:rPr>
                <w:rFonts w:cs="Times New Roman"/>
                <w:szCs w:val="24"/>
              </w:rPr>
            </w:pPr>
            <w:r w:rsidRPr="001657A9">
              <w:rPr>
                <w:rFonts w:eastAsia="Times New Roman" w:cs="Times New Roman"/>
                <w:color w:val="000000"/>
                <w:szCs w:val="24"/>
                <w:lang w:eastAsia="lv-LV"/>
              </w:rPr>
              <w:t>LRPV</w:t>
            </w:r>
          </w:p>
        </w:tc>
        <w:tc>
          <w:tcPr>
            <w:tcW w:w="7801" w:type="dxa"/>
          </w:tcPr>
          <w:p w:rsidR="00D46969" w:rsidRPr="00421431" w:rsidRDefault="00D46969" w:rsidP="009332EA">
            <w:pPr>
              <w:tabs>
                <w:tab w:val="left" w:pos="1494"/>
              </w:tabs>
              <w:rPr>
                <w:rFonts w:cs="Times New Roman"/>
                <w:szCs w:val="24"/>
              </w:rPr>
            </w:pPr>
            <w:r w:rsidRPr="006449E5">
              <w:rPr>
                <w:rFonts w:eastAsia="Times New Roman" w:cs="Times New Roman"/>
                <w:color w:val="000000"/>
                <w:szCs w:val="24"/>
                <w:lang w:eastAsia="lv-LV"/>
              </w:rPr>
              <w:t>Patentu valde</w:t>
            </w:r>
          </w:p>
        </w:tc>
      </w:tr>
      <w:tr w:rsidR="00421431" w:rsidRPr="006E5888" w:rsidTr="007878AE">
        <w:tc>
          <w:tcPr>
            <w:tcW w:w="1270" w:type="dxa"/>
          </w:tcPr>
          <w:p w:rsidR="00421431" w:rsidRPr="00421431" w:rsidRDefault="00421431" w:rsidP="009332EA">
            <w:pPr>
              <w:tabs>
                <w:tab w:val="left" w:pos="1494"/>
              </w:tabs>
              <w:rPr>
                <w:rFonts w:cs="Times New Roman"/>
                <w:szCs w:val="24"/>
              </w:rPr>
            </w:pPr>
            <w:r w:rsidRPr="00421431">
              <w:rPr>
                <w:rFonts w:cs="Times New Roman"/>
                <w:szCs w:val="24"/>
              </w:rPr>
              <w:t>LVAFA</w:t>
            </w:r>
          </w:p>
        </w:tc>
        <w:tc>
          <w:tcPr>
            <w:tcW w:w="7801" w:type="dxa"/>
          </w:tcPr>
          <w:p w:rsidR="00421431" w:rsidRPr="00421431" w:rsidRDefault="00421431" w:rsidP="009332EA">
            <w:pPr>
              <w:tabs>
                <w:tab w:val="left" w:pos="1494"/>
              </w:tabs>
              <w:rPr>
                <w:rFonts w:cs="Times New Roman"/>
                <w:szCs w:val="24"/>
              </w:rPr>
            </w:pPr>
            <w:r w:rsidRPr="00421431">
              <w:rPr>
                <w:rFonts w:cs="Times New Roman"/>
                <w:szCs w:val="24"/>
              </w:rPr>
              <w:t>Latvijas Vides aizsardzības fonda administrācija</w:t>
            </w:r>
          </w:p>
        </w:tc>
      </w:tr>
      <w:tr w:rsidR="003F3A95" w:rsidRPr="006E5888" w:rsidTr="007878AE">
        <w:tc>
          <w:tcPr>
            <w:tcW w:w="1270" w:type="dxa"/>
          </w:tcPr>
          <w:p w:rsidR="003F3A95" w:rsidRPr="00421431" w:rsidRDefault="003F3A95" w:rsidP="009332EA">
            <w:pPr>
              <w:tabs>
                <w:tab w:val="left" w:pos="1494"/>
              </w:tabs>
              <w:rPr>
                <w:szCs w:val="24"/>
              </w:rPr>
            </w:pPr>
            <w:r>
              <w:rPr>
                <w:szCs w:val="24"/>
              </w:rPr>
              <w:t>Ministrijas</w:t>
            </w:r>
          </w:p>
        </w:tc>
        <w:tc>
          <w:tcPr>
            <w:tcW w:w="7801" w:type="dxa"/>
          </w:tcPr>
          <w:p w:rsidR="003F3A95" w:rsidRPr="00421431" w:rsidRDefault="003F3A95" w:rsidP="009332EA">
            <w:pPr>
              <w:tabs>
                <w:tab w:val="left" w:pos="1494"/>
              </w:tabs>
              <w:rPr>
                <w:szCs w:val="24"/>
              </w:rPr>
            </w:pPr>
            <w:r>
              <w:rPr>
                <w:szCs w:val="24"/>
              </w:rPr>
              <w:t>Ministrijas un citas centrālās valsts iestādes</w:t>
            </w:r>
          </w:p>
        </w:tc>
      </w:tr>
      <w:tr w:rsidR="00B34337" w:rsidRPr="006E5888" w:rsidTr="007878AE">
        <w:tc>
          <w:tcPr>
            <w:tcW w:w="1270" w:type="dxa"/>
          </w:tcPr>
          <w:p w:rsidR="00B34337" w:rsidRPr="00421431" w:rsidRDefault="00B34337" w:rsidP="009332EA">
            <w:pPr>
              <w:tabs>
                <w:tab w:val="left" w:pos="1494"/>
              </w:tabs>
              <w:rPr>
                <w:szCs w:val="24"/>
              </w:rPr>
            </w:pPr>
            <w:r>
              <w:rPr>
                <w:szCs w:val="24"/>
              </w:rPr>
              <w:t>MPK</w:t>
            </w:r>
          </w:p>
        </w:tc>
        <w:tc>
          <w:tcPr>
            <w:tcW w:w="7801" w:type="dxa"/>
          </w:tcPr>
          <w:p w:rsidR="00B34337" w:rsidRPr="00421431" w:rsidRDefault="00B34337" w:rsidP="009332EA">
            <w:pPr>
              <w:tabs>
                <w:tab w:val="left" w:pos="1494"/>
              </w:tabs>
              <w:rPr>
                <w:szCs w:val="24"/>
              </w:rPr>
            </w:pPr>
            <w:r>
              <w:rPr>
                <w:szCs w:val="24"/>
              </w:rPr>
              <w:t>Maksas pakalpojumi</w:t>
            </w:r>
          </w:p>
        </w:tc>
      </w:tr>
      <w:tr w:rsidR="0055468D" w:rsidRPr="006E5888" w:rsidTr="007878AE">
        <w:tc>
          <w:tcPr>
            <w:tcW w:w="1270" w:type="dxa"/>
          </w:tcPr>
          <w:p w:rsidR="0055468D" w:rsidRPr="00421431" w:rsidRDefault="00184D4E" w:rsidP="009332EA">
            <w:pPr>
              <w:tabs>
                <w:tab w:val="left" w:pos="1494"/>
              </w:tabs>
              <w:rPr>
                <w:szCs w:val="24"/>
              </w:rPr>
            </w:pPr>
            <w:r w:rsidRPr="00421431">
              <w:rPr>
                <w:szCs w:val="24"/>
              </w:rPr>
              <w:t>MK</w:t>
            </w:r>
          </w:p>
        </w:tc>
        <w:tc>
          <w:tcPr>
            <w:tcW w:w="7801" w:type="dxa"/>
          </w:tcPr>
          <w:p w:rsidR="0055468D" w:rsidRPr="00421431" w:rsidRDefault="00184D4E" w:rsidP="009332EA">
            <w:pPr>
              <w:tabs>
                <w:tab w:val="left" w:pos="1494"/>
              </w:tabs>
              <w:rPr>
                <w:szCs w:val="24"/>
              </w:rPr>
            </w:pPr>
            <w:r w:rsidRPr="00421431">
              <w:rPr>
                <w:szCs w:val="24"/>
              </w:rPr>
              <w:t>Ministru kabinets</w:t>
            </w:r>
          </w:p>
        </w:tc>
      </w:tr>
      <w:tr w:rsidR="00184D4E" w:rsidRPr="006E5888" w:rsidTr="007878AE">
        <w:tc>
          <w:tcPr>
            <w:tcW w:w="1270" w:type="dxa"/>
          </w:tcPr>
          <w:p w:rsidR="00184D4E" w:rsidRPr="00421431" w:rsidRDefault="00184D4E" w:rsidP="009332EA">
            <w:pPr>
              <w:tabs>
                <w:tab w:val="left" w:pos="1494"/>
              </w:tabs>
              <w:rPr>
                <w:szCs w:val="24"/>
              </w:rPr>
            </w:pPr>
            <w:r w:rsidRPr="00421431">
              <w:rPr>
                <w:szCs w:val="24"/>
              </w:rPr>
              <w:t>NAP</w:t>
            </w:r>
          </w:p>
        </w:tc>
        <w:tc>
          <w:tcPr>
            <w:tcW w:w="7801" w:type="dxa"/>
          </w:tcPr>
          <w:p w:rsidR="00184D4E" w:rsidRPr="00421431" w:rsidRDefault="00184D4E" w:rsidP="009332EA">
            <w:pPr>
              <w:tabs>
                <w:tab w:val="left" w:pos="1494"/>
              </w:tabs>
              <w:rPr>
                <w:szCs w:val="24"/>
              </w:rPr>
            </w:pPr>
            <w:r w:rsidRPr="00421431">
              <w:rPr>
                <w:szCs w:val="24"/>
              </w:rPr>
              <w:t>Nacionālais attīstības plāns</w:t>
            </w:r>
          </w:p>
        </w:tc>
      </w:tr>
      <w:tr w:rsidR="005562A7" w:rsidRPr="006E5888" w:rsidTr="007878AE">
        <w:tc>
          <w:tcPr>
            <w:tcW w:w="1270" w:type="dxa"/>
          </w:tcPr>
          <w:p w:rsidR="005562A7" w:rsidRPr="00421431" w:rsidRDefault="005562A7" w:rsidP="009332EA">
            <w:pPr>
              <w:tabs>
                <w:tab w:val="left" w:pos="1494"/>
              </w:tabs>
              <w:rPr>
                <w:szCs w:val="24"/>
              </w:rPr>
            </w:pPr>
            <w:r w:rsidRPr="00421431">
              <w:rPr>
                <w:szCs w:val="24"/>
              </w:rPr>
              <w:t>NMP</w:t>
            </w:r>
          </w:p>
        </w:tc>
        <w:tc>
          <w:tcPr>
            <w:tcW w:w="7801" w:type="dxa"/>
          </w:tcPr>
          <w:p w:rsidR="005562A7" w:rsidRPr="00421431" w:rsidRDefault="005562A7" w:rsidP="009332EA">
            <w:pPr>
              <w:tabs>
                <w:tab w:val="left" w:pos="1494"/>
              </w:tabs>
              <w:rPr>
                <w:szCs w:val="24"/>
              </w:rPr>
            </w:pPr>
            <w:r w:rsidRPr="00421431">
              <w:rPr>
                <w:szCs w:val="24"/>
              </w:rPr>
              <w:t>Neatliekamā medicīniskā palīdzība</w:t>
            </w:r>
          </w:p>
        </w:tc>
      </w:tr>
      <w:tr w:rsidR="00532F9E" w:rsidRPr="006E5888" w:rsidTr="007878AE">
        <w:tc>
          <w:tcPr>
            <w:tcW w:w="1270" w:type="dxa"/>
          </w:tcPr>
          <w:p w:rsidR="00532F9E" w:rsidRPr="00421431" w:rsidRDefault="00532F9E" w:rsidP="009332EA">
            <w:pPr>
              <w:tabs>
                <w:tab w:val="left" w:pos="1494"/>
              </w:tabs>
              <w:rPr>
                <w:szCs w:val="24"/>
              </w:rPr>
            </w:pPr>
            <w:r w:rsidRPr="00421431">
              <w:rPr>
                <w:szCs w:val="24"/>
              </w:rPr>
              <w:t>NVD</w:t>
            </w:r>
          </w:p>
        </w:tc>
        <w:tc>
          <w:tcPr>
            <w:tcW w:w="7801" w:type="dxa"/>
          </w:tcPr>
          <w:p w:rsidR="00532F9E" w:rsidRPr="00421431" w:rsidRDefault="00532F9E" w:rsidP="00532F9E">
            <w:pPr>
              <w:tabs>
                <w:tab w:val="left" w:pos="1494"/>
              </w:tabs>
              <w:rPr>
                <w:szCs w:val="24"/>
              </w:rPr>
            </w:pPr>
            <w:r w:rsidRPr="00421431">
              <w:rPr>
                <w:szCs w:val="24"/>
              </w:rPr>
              <w:t>Nacionālais veselības dienests</w:t>
            </w:r>
          </w:p>
        </w:tc>
      </w:tr>
      <w:tr w:rsidR="004766E8" w:rsidRPr="006E5888" w:rsidTr="007878AE">
        <w:tc>
          <w:tcPr>
            <w:tcW w:w="1270" w:type="dxa"/>
          </w:tcPr>
          <w:p w:rsidR="004766E8" w:rsidRPr="00421431" w:rsidRDefault="004766E8" w:rsidP="009332EA">
            <w:pPr>
              <w:tabs>
                <w:tab w:val="left" w:pos="1494"/>
              </w:tabs>
              <w:rPr>
                <w:szCs w:val="24"/>
              </w:rPr>
            </w:pPr>
            <w:r w:rsidRPr="00421431">
              <w:rPr>
                <w:rFonts w:cs="Times New Roman"/>
                <w:szCs w:val="24"/>
                <w:lang w:eastAsia="lv-LV"/>
              </w:rPr>
              <w:t>PVD</w:t>
            </w:r>
          </w:p>
        </w:tc>
        <w:tc>
          <w:tcPr>
            <w:tcW w:w="7801" w:type="dxa"/>
          </w:tcPr>
          <w:p w:rsidR="004766E8" w:rsidRPr="00421431" w:rsidRDefault="004766E8" w:rsidP="00532F9E">
            <w:pPr>
              <w:tabs>
                <w:tab w:val="left" w:pos="1494"/>
              </w:tabs>
              <w:rPr>
                <w:szCs w:val="24"/>
              </w:rPr>
            </w:pPr>
            <w:r w:rsidRPr="00421431">
              <w:rPr>
                <w:rFonts w:cs="Times New Roman"/>
                <w:szCs w:val="24"/>
                <w:lang w:eastAsia="lv-LV"/>
              </w:rPr>
              <w:t>Pārtikas un veterinārais dienests</w:t>
            </w:r>
          </w:p>
        </w:tc>
      </w:tr>
      <w:tr w:rsidR="003956C0" w:rsidRPr="006E5888" w:rsidTr="007878AE">
        <w:tc>
          <w:tcPr>
            <w:tcW w:w="1270" w:type="dxa"/>
          </w:tcPr>
          <w:p w:rsidR="003956C0" w:rsidRPr="00421431" w:rsidRDefault="003956C0" w:rsidP="009332EA">
            <w:pPr>
              <w:tabs>
                <w:tab w:val="left" w:pos="1494"/>
              </w:tabs>
              <w:rPr>
                <w:szCs w:val="24"/>
              </w:rPr>
            </w:pPr>
            <w:r w:rsidRPr="00421431">
              <w:rPr>
                <w:szCs w:val="24"/>
              </w:rPr>
              <w:t>OECD</w:t>
            </w:r>
          </w:p>
        </w:tc>
        <w:tc>
          <w:tcPr>
            <w:tcW w:w="7801" w:type="dxa"/>
          </w:tcPr>
          <w:p w:rsidR="003956C0" w:rsidRPr="00421431" w:rsidRDefault="003956C0" w:rsidP="00532F9E">
            <w:pPr>
              <w:tabs>
                <w:tab w:val="left" w:pos="1494"/>
              </w:tabs>
              <w:rPr>
                <w:szCs w:val="24"/>
              </w:rPr>
            </w:pPr>
            <w:r w:rsidRPr="00421431">
              <w:rPr>
                <w:szCs w:val="24"/>
              </w:rPr>
              <w:t>Ekonomiskās sadarbības un attīstības organizācija</w:t>
            </w:r>
          </w:p>
        </w:tc>
      </w:tr>
      <w:tr w:rsidR="00184D4E" w:rsidRPr="006E5888" w:rsidTr="007878AE">
        <w:tc>
          <w:tcPr>
            <w:tcW w:w="1270" w:type="dxa"/>
          </w:tcPr>
          <w:p w:rsidR="00184D4E" w:rsidRPr="00421431" w:rsidRDefault="00184D4E" w:rsidP="009332EA">
            <w:pPr>
              <w:tabs>
                <w:tab w:val="left" w:pos="1494"/>
              </w:tabs>
              <w:rPr>
                <w:szCs w:val="24"/>
              </w:rPr>
            </w:pPr>
            <w:r w:rsidRPr="00421431">
              <w:rPr>
                <w:szCs w:val="24"/>
              </w:rPr>
              <w:t>PKC</w:t>
            </w:r>
          </w:p>
        </w:tc>
        <w:tc>
          <w:tcPr>
            <w:tcW w:w="7801" w:type="dxa"/>
          </w:tcPr>
          <w:p w:rsidR="00184D4E" w:rsidRPr="00421431" w:rsidRDefault="00184D4E" w:rsidP="009332EA">
            <w:pPr>
              <w:tabs>
                <w:tab w:val="left" w:pos="1494"/>
              </w:tabs>
              <w:rPr>
                <w:szCs w:val="24"/>
              </w:rPr>
            </w:pPr>
            <w:r w:rsidRPr="00421431">
              <w:rPr>
                <w:szCs w:val="24"/>
              </w:rPr>
              <w:t>Pārresoru koordinācijas centrs</w:t>
            </w:r>
          </w:p>
        </w:tc>
      </w:tr>
      <w:tr w:rsidR="00037F94" w:rsidRPr="006E5888" w:rsidTr="007878AE">
        <w:tc>
          <w:tcPr>
            <w:tcW w:w="1270" w:type="dxa"/>
          </w:tcPr>
          <w:p w:rsidR="00037F94" w:rsidRPr="00421431" w:rsidRDefault="00892C0C" w:rsidP="009332EA">
            <w:pPr>
              <w:tabs>
                <w:tab w:val="left" w:pos="1494"/>
              </w:tabs>
              <w:rPr>
                <w:szCs w:val="24"/>
              </w:rPr>
            </w:pPr>
            <w:r w:rsidRPr="00421431">
              <w:rPr>
                <w:szCs w:val="24"/>
              </w:rPr>
              <w:t>R</w:t>
            </w:r>
            <w:r w:rsidR="00037F94" w:rsidRPr="00421431">
              <w:rPr>
                <w:szCs w:val="24"/>
              </w:rPr>
              <w:t>TV</w:t>
            </w:r>
          </w:p>
        </w:tc>
        <w:tc>
          <w:tcPr>
            <w:tcW w:w="7801" w:type="dxa"/>
          </w:tcPr>
          <w:p w:rsidR="00037F94" w:rsidRPr="00421431" w:rsidRDefault="00037F94" w:rsidP="009332EA">
            <w:pPr>
              <w:tabs>
                <w:tab w:val="left" w:pos="1494"/>
              </w:tabs>
              <w:rPr>
                <w:szCs w:val="24"/>
              </w:rPr>
            </w:pPr>
            <w:r w:rsidRPr="00421431">
              <w:rPr>
                <w:szCs w:val="24"/>
              </w:rPr>
              <w:t>Radio un televīzija</w:t>
            </w:r>
          </w:p>
        </w:tc>
      </w:tr>
      <w:tr w:rsidR="00997E8A" w:rsidRPr="006E5888" w:rsidTr="007878AE">
        <w:tc>
          <w:tcPr>
            <w:tcW w:w="1270" w:type="dxa"/>
          </w:tcPr>
          <w:p w:rsidR="00997E8A" w:rsidRPr="00421431" w:rsidRDefault="00997E8A" w:rsidP="009332EA">
            <w:pPr>
              <w:tabs>
                <w:tab w:val="left" w:pos="1494"/>
              </w:tabs>
              <w:rPr>
                <w:szCs w:val="24"/>
              </w:rPr>
            </w:pPr>
            <w:r w:rsidRPr="00421431">
              <w:rPr>
                <w:szCs w:val="24"/>
              </w:rPr>
              <w:t>SIF</w:t>
            </w:r>
          </w:p>
        </w:tc>
        <w:tc>
          <w:tcPr>
            <w:tcW w:w="7801" w:type="dxa"/>
          </w:tcPr>
          <w:p w:rsidR="00997E8A" w:rsidRPr="00421431" w:rsidRDefault="00997E8A" w:rsidP="009332EA">
            <w:pPr>
              <w:tabs>
                <w:tab w:val="left" w:pos="1494"/>
              </w:tabs>
              <w:rPr>
                <w:szCs w:val="24"/>
              </w:rPr>
            </w:pPr>
            <w:r w:rsidRPr="00421431">
              <w:rPr>
                <w:szCs w:val="24"/>
              </w:rPr>
              <w:t>Sabiedrības integrācijas fonds</w:t>
            </w:r>
          </w:p>
        </w:tc>
      </w:tr>
      <w:tr w:rsidR="00184D4E" w:rsidRPr="006E5888" w:rsidTr="007878AE">
        <w:tc>
          <w:tcPr>
            <w:tcW w:w="1270" w:type="dxa"/>
          </w:tcPr>
          <w:p w:rsidR="00184D4E" w:rsidRPr="00421431" w:rsidRDefault="00184D4E" w:rsidP="009332EA">
            <w:pPr>
              <w:tabs>
                <w:tab w:val="left" w:pos="1494"/>
              </w:tabs>
              <w:rPr>
                <w:szCs w:val="24"/>
              </w:rPr>
            </w:pPr>
            <w:r w:rsidRPr="00421431">
              <w:rPr>
                <w:szCs w:val="24"/>
              </w:rPr>
              <w:t>SM</w:t>
            </w:r>
          </w:p>
        </w:tc>
        <w:tc>
          <w:tcPr>
            <w:tcW w:w="7801" w:type="dxa"/>
          </w:tcPr>
          <w:p w:rsidR="00184D4E" w:rsidRPr="00421431" w:rsidRDefault="00184D4E" w:rsidP="009332EA">
            <w:pPr>
              <w:tabs>
                <w:tab w:val="left" w:pos="1494"/>
              </w:tabs>
              <w:rPr>
                <w:szCs w:val="24"/>
              </w:rPr>
            </w:pPr>
            <w:r w:rsidRPr="00421431">
              <w:rPr>
                <w:szCs w:val="24"/>
              </w:rPr>
              <w:t>Satiksmes ministrija</w:t>
            </w:r>
          </w:p>
        </w:tc>
      </w:tr>
      <w:tr w:rsidR="002D5BA9" w:rsidRPr="006E5888" w:rsidTr="007878AE">
        <w:tc>
          <w:tcPr>
            <w:tcW w:w="1270" w:type="dxa"/>
          </w:tcPr>
          <w:p w:rsidR="002D5BA9" w:rsidRPr="00421431" w:rsidRDefault="002D5BA9" w:rsidP="009332EA">
            <w:pPr>
              <w:tabs>
                <w:tab w:val="left" w:pos="1494"/>
              </w:tabs>
              <w:rPr>
                <w:szCs w:val="24"/>
              </w:rPr>
            </w:pPr>
            <w:r w:rsidRPr="00421431">
              <w:rPr>
                <w:szCs w:val="24"/>
              </w:rPr>
              <w:t>SPRK</w:t>
            </w:r>
          </w:p>
        </w:tc>
        <w:tc>
          <w:tcPr>
            <w:tcW w:w="7801" w:type="dxa"/>
          </w:tcPr>
          <w:p w:rsidR="002D5BA9" w:rsidRPr="00421431" w:rsidRDefault="002D5BA9" w:rsidP="009332EA">
            <w:pPr>
              <w:tabs>
                <w:tab w:val="left" w:pos="1494"/>
              </w:tabs>
              <w:rPr>
                <w:szCs w:val="24"/>
              </w:rPr>
            </w:pPr>
            <w:r w:rsidRPr="00421431">
              <w:rPr>
                <w:szCs w:val="24"/>
              </w:rPr>
              <w:t>Sabiedrisko pakalpojumu regulēšanas komisija</w:t>
            </w:r>
          </w:p>
        </w:tc>
      </w:tr>
      <w:tr w:rsidR="002D5BA9" w:rsidRPr="006E5888" w:rsidTr="007878AE">
        <w:tc>
          <w:tcPr>
            <w:tcW w:w="1270" w:type="dxa"/>
          </w:tcPr>
          <w:p w:rsidR="002D5BA9" w:rsidRPr="00421431" w:rsidRDefault="002D5BA9" w:rsidP="009332EA">
            <w:pPr>
              <w:tabs>
                <w:tab w:val="left" w:pos="1494"/>
              </w:tabs>
              <w:rPr>
                <w:szCs w:val="24"/>
              </w:rPr>
            </w:pPr>
            <w:r w:rsidRPr="00421431">
              <w:rPr>
                <w:szCs w:val="24"/>
              </w:rPr>
              <w:t>ST</w:t>
            </w:r>
          </w:p>
        </w:tc>
        <w:tc>
          <w:tcPr>
            <w:tcW w:w="7801" w:type="dxa"/>
          </w:tcPr>
          <w:p w:rsidR="002D5BA9" w:rsidRPr="00421431" w:rsidRDefault="002D5BA9" w:rsidP="009332EA">
            <w:pPr>
              <w:tabs>
                <w:tab w:val="left" w:pos="1494"/>
              </w:tabs>
              <w:rPr>
                <w:szCs w:val="24"/>
              </w:rPr>
            </w:pPr>
            <w:r w:rsidRPr="00421431">
              <w:rPr>
                <w:szCs w:val="24"/>
              </w:rPr>
              <w:t>Satversmes tiesa</w:t>
            </w:r>
          </w:p>
        </w:tc>
      </w:tr>
      <w:tr w:rsidR="00D46969" w:rsidRPr="006E5888" w:rsidTr="007878AE">
        <w:tc>
          <w:tcPr>
            <w:tcW w:w="1270" w:type="dxa"/>
          </w:tcPr>
          <w:p w:rsidR="00D46969" w:rsidRPr="00421431" w:rsidRDefault="00D46969" w:rsidP="009332EA">
            <w:pPr>
              <w:tabs>
                <w:tab w:val="left" w:pos="1494"/>
              </w:tabs>
              <w:rPr>
                <w:szCs w:val="24"/>
              </w:rPr>
            </w:pPr>
            <w:r w:rsidRPr="001657A9">
              <w:rPr>
                <w:rFonts w:eastAsia="Times New Roman" w:cs="Times New Roman"/>
                <w:color w:val="000000"/>
                <w:szCs w:val="24"/>
                <w:lang w:eastAsia="lv-LV"/>
              </w:rPr>
              <w:t>TAIIB</w:t>
            </w:r>
          </w:p>
        </w:tc>
        <w:tc>
          <w:tcPr>
            <w:tcW w:w="7801" w:type="dxa"/>
          </w:tcPr>
          <w:p w:rsidR="00D46969" w:rsidRPr="00421431" w:rsidRDefault="00D46969" w:rsidP="009332EA">
            <w:pPr>
              <w:tabs>
                <w:tab w:val="left" w:pos="1494"/>
              </w:tabs>
              <w:rPr>
                <w:szCs w:val="24"/>
              </w:rPr>
            </w:pPr>
            <w:r w:rsidRPr="006449E5">
              <w:rPr>
                <w:rFonts w:eastAsia="Times New Roman" w:cs="Times New Roman"/>
                <w:color w:val="000000"/>
                <w:szCs w:val="24"/>
                <w:lang w:eastAsia="lv-LV"/>
              </w:rPr>
              <w:t>Transporta nelaimes gadījumu un incidentu izmeklēšanas birojs</w:t>
            </w:r>
          </w:p>
        </w:tc>
      </w:tr>
      <w:tr w:rsidR="002D5BA9" w:rsidRPr="006E5888" w:rsidTr="007878AE">
        <w:tc>
          <w:tcPr>
            <w:tcW w:w="1270" w:type="dxa"/>
          </w:tcPr>
          <w:p w:rsidR="002D5BA9" w:rsidRPr="00421431" w:rsidRDefault="002D5BA9" w:rsidP="009332EA">
            <w:pPr>
              <w:tabs>
                <w:tab w:val="left" w:pos="1494"/>
              </w:tabs>
              <w:rPr>
                <w:szCs w:val="24"/>
              </w:rPr>
            </w:pPr>
            <w:r w:rsidRPr="00421431">
              <w:rPr>
                <w:szCs w:val="24"/>
              </w:rPr>
              <w:t>TB</w:t>
            </w:r>
          </w:p>
        </w:tc>
        <w:tc>
          <w:tcPr>
            <w:tcW w:w="7801" w:type="dxa"/>
          </w:tcPr>
          <w:p w:rsidR="002D5BA9" w:rsidRPr="00421431" w:rsidRDefault="002D5BA9" w:rsidP="009332EA">
            <w:pPr>
              <w:tabs>
                <w:tab w:val="left" w:pos="1494"/>
              </w:tabs>
              <w:rPr>
                <w:szCs w:val="24"/>
              </w:rPr>
            </w:pPr>
            <w:r w:rsidRPr="00421431">
              <w:rPr>
                <w:szCs w:val="24"/>
              </w:rPr>
              <w:t>Tiesībsarga birojs</w:t>
            </w:r>
          </w:p>
        </w:tc>
      </w:tr>
      <w:tr w:rsidR="00184D4E" w:rsidRPr="006E5888" w:rsidTr="007878AE">
        <w:tc>
          <w:tcPr>
            <w:tcW w:w="1270" w:type="dxa"/>
          </w:tcPr>
          <w:p w:rsidR="00184D4E" w:rsidRPr="00421431" w:rsidRDefault="00184D4E" w:rsidP="009332EA">
            <w:pPr>
              <w:tabs>
                <w:tab w:val="left" w:pos="1494"/>
              </w:tabs>
              <w:rPr>
                <w:szCs w:val="24"/>
              </w:rPr>
            </w:pPr>
            <w:r w:rsidRPr="00421431">
              <w:rPr>
                <w:szCs w:val="24"/>
              </w:rPr>
              <w:t>TM</w:t>
            </w:r>
          </w:p>
        </w:tc>
        <w:tc>
          <w:tcPr>
            <w:tcW w:w="7801" w:type="dxa"/>
          </w:tcPr>
          <w:p w:rsidR="00184D4E" w:rsidRPr="00421431" w:rsidRDefault="00184D4E" w:rsidP="00184D4E">
            <w:pPr>
              <w:tabs>
                <w:tab w:val="left" w:pos="1494"/>
              </w:tabs>
              <w:rPr>
                <w:szCs w:val="24"/>
              </w:rPr>
            </w:pPr>
            <w:r w:rsidRPr="00421431">
              <w:rPr>
                <w:szCs w:val="24"/>
              </w:rPr>
              <w:t>Tieslietu ministrija</w:t>
            </w:r>
          </w:p>
        </w:tc>
      </w:tr>
      <w:tr w:rsidR="00C10216" w:rsidRPr="006E5888" w:rsidTr="007878AE">
        <w:tc>
          <w:tcPr>
            <w:tcW w:w="1270" w:type="dxa"/>
          </w:tcPr>
          <w:p w:rsidR="00C10216" w:rsidRPr="00421431" w:rsidRDefault="00C10216" w:rsidP="009332EA">
            <w:pPr>
              <w:tabs>
                <w:tab w:val="left" w:pos="1494"/>
              </w:tabs>
              <w:rPr>
                <w:szCs w:val="24"/>
              </w:rPr>
            </w:pPr>
            <w:r w:rsidRPr="00421431">
              <w:rPr>
                <w:szCs w:val="24"/>
              </w:rPr>
              <w:t>VPK</w:t>
            </w:r>
          </w:p>
        </w:tc>
        <w:tc>
          <w:tcPr>
            <w:tcW w:w="7801" w:type="dxa"/>
          </w:tcPr>
          <w:p w:rsidR="00F37EAC" w:rsidRPr="00421431" w:rsidRDefault="00C10216" w:rsidP="00F37EAC">
            <w:pPr>
              <w:tabs>
                <w:tab w:val="left" w:pos="1494"/>
              </w:tabs>
              <w:rPr>
                <w:szCs w:val="24"/>
              </w:rPr>
            </w:pPr>
            <w:r w:rsidRPr="00421431">
              <w:rPr>
                <w:szCs w:val="24"/>
              </w:rPr>
              <w:t>Valsts prezidenta kanceleja</w:t>
            </w:r>
          </w:p>
        </w:tc>
      </w:tr>
      <w:tr w:rsidR="00F37EAC" w:rsidRPr="006E5888" w:rsidTr="007878AE">
        <w:tc>
          <w:tcPr>
            <w:tcW w:w="1270" w:type="dxa"/>
          </w:tcPr>
          <w:p w:rsidR="00F37EAC" w:rsidRPr="00421431" w:rsidRDefault="00F37EAC" w:rsidP="009332EA">
            <w:pPr>
              <w:tabs>
                <w:tab w:val="left" w:pos="1494"/>
              </w:tabs>
              <w:rPr>
                <w:szCs w:val="24"/>
              </w:rPr>
            </w:pPr>
            <w:r>
              <w:rPr>
                <w:szCs w:val="24"/>
              </w:rPr>
              <w:t>VPVB</w:t>
            </w:r>
          </w:p>
        </w:tc>
        <w:tc>
          <w:tcPr>
            <w:tcW w:w="7801" w:type="dxa"/>
          </w:tcPr>
          <w:p w:rsidR="00F37EAC" w:rsidRPr="00421431" w:rsidRDefault="00F37EAC" w:rsidP="00184D4E">
            <w:pPr>
              <w:tabs>
                <w:tab w:val="left" w:pos="1494"/>
              </w:tabs>
              <w:rPr>
                <w:szCs w:val="24"/>
              </w:rPr>
            </w:pPr>
            <w:r w:rsidRPr="00F37EAC">
              <w:rPr>
                <w:szCs w:val="24"/>
              </w:rPr>
              <w:t>Vides pārraudzības valsts birojs</w:t>
            </w:r>
          </w:p>
        </w:tc>
      </w:tr>
      <w:tr w:rsidR="00184D4E" w:rsidRPr="006E5888" w:rsidTr="007878AE">
        <w:tc>
          <w:tcPr>
            <w:tcW w:w="1270" w:type="dxa"/>
          </w:tcPr>
          <w:p w:rsidR="00184D4E" w:rsidRPr="00421431" w:rsidRDefault="00184D4E" w:rsidP="009332EA">
            <w:pPr>
              <w:tabs>
                <w:tab w:val="left" w:pos="1494"/>
              </w:tabs>
              <w:rPr>
                <w:szCs w:val="24"/>
              </w:rPr>
            </w:pPr>
            <w:r w:rsidRPr="00421431">
              <w:rPr>
                <w:szCs w:val="24"/>
              </w:rPr>
              <w:t>VARAM</w:t>
            </w:r>
          </w:p>
        </w:tc>
        <w:tc>
          <w:tcPr>
            <w:tcW w:w="7801" w:type="dxa"/>
          </w:tcPr>
          <w:p w:rsidR="00184D4E" w:rsidRPr="00421431" w:rsidRDefault="00184D4E" w:rsidP="009332EA">
            <w:pPr>
              <w:tabs>
                <w:tab w:val="left" w:pos="1494"/>
              </w:tabs>
              <w:rPr>
                <w:szCs w:val="24"/>
              </w:rPr>
            </w:pPr>
            <w:r w:rsidRPr="00421431">
              <w:rPr>
                <w:szCs w:val="24"/>
              </w:rPr>
              <w:t>Vides aizsardzības un reģionālās attīstības ministrija</w:t>
            </w:r>
          </w:p>
        </w:tc>
      </w:tr>
      <w:tr w:rsidR="00D46969" w:rsidRPr="006E5888" w:rsidTr="007878AE">
        <w:tc>
          <w:tcPr>
            <w:tcW w:w="1270" w:type="dxa"/>
          </w:tcPr>
          <w:p w:rsidR="00D46969" w:rsidRPr="001657A9" w:rsidRDefault="00D46969" w:rsidP="009332EA">
            <w:pPr>
              <w:tabs>
                <w:tab w:val="left" w:pos="1494"/>
              </w:tabs>
              <w:rPr>
                <w:rFonts w:eastAsia="Times New Roman" w:cs="Times New Roman"/>
                <w:color w:val="000000"/>
                <w:szCs w:val="24"/>
                <w:lang w:eastAsia="lv-LV"/>
              </w:rPr>
            </w:pPr>
            <w:r w:rsidRPr="001657A9">
              <w:rPr>
                <w:rFonts w:eastAsia="Times New Roman" w:cs="Times New Roman"/>
                <w:color w:val="000000"/>
                <w:szCs w:val="24"/>
                <w:lang w:eastAsia="lv-LV"/>
              </w:rPr>
              <w:t>VDA</w:t>
            </w:r>
          </w:p>
        </w:tc>
        <w:tc>
          <w:tcPr>
            <w:tcW w:w="7801" w:type="dxa"/>
          </w:tcPr>
          <w:p w:rsidR="00D46969" w:rsidRPr="006449E5" w:rsidRDefault="00D46969" w:rsidP="009332EA">
            <w:pPr>
              <w:tabs>
                <w:tab w:val="left" w:pos="1494"/>
              </w:tabs>
              <w:rPr>
                <w:rFonts w:eastAsia="Times New Roman" w:cs="Times New Roman"/>
                <w:color w:val="000000"/>
                <w:szCs w:val="24"/>
                <w:lang w:eastAsia="lv-LV"/>
              </w:rPr>
            </w:pPr>
            <w:r w:rsidRPr="006449E5">
              <w:rPr>
                <w:rFonts w:eastAsia="Times New Roman" w:cs="Times New Roman"/>
                <w:color w:val="000000"/>
                <w:szCs w:val="24"/>
                <w:lang w:eastAsia="lv-LV"/>
              </w:rPr>
              <w:t>Valsts dzelzceļa administrācija</w:t>
            </w:r>
          </w:p>
        </w:tc>
      </w:tr>
      <w:tr w:rsidR="00D46969" w:rsidRPr="006E5888" w:rsidTr="007878AE">
        <w:tc>
          <w:tcPr>
            <w:tcW w:w="1270" w:type="dxa"/>
          </w:tcPr>
          <w:p w:rsidR="00D46969" w:rsidRPr="00421431" w:rsidRDefault="00D46969" w:rsidP="009332EA">
            <w:pPr>
              <w:tabs>
                <w:tab w:val="left" w:pos="1494"/>
              </w:tabs>
              <w:rPr>
                <w:szCs w:val="24"/>
              </w:rPr>
            </w:pPr>
            <w:r w:rsidRPr="001657A9">
              <w:rPr>
                <w:rFonts w:eastAsia="Times New Roman" w:cs="Times New Roman"/>
                <w:color w:val="000000"/>
                <w:szCs w:val="24"/>
                <w:lang w:eastAsia="lv-LV"/>
              </w:rPr>
              <w:lastRenderedPageBreak/>
              <w:t>VDZTI</w:t>
            </w:r>
          </w:p>
        </w:tc>
        <w:tc>
          <w:tcPr>
            <w:tcW w:w="7801" w:type="dxa"/>
          </w:tcPr>
          <w:p w:rsidR="00D46969" w:rsidRPr="00421431" w:rsidRDefault="00D46969" w:rsidP="009332EA">
            <w:pPr>
              <w:tabs>
                <w:tab w:val="left" w:pos="1494"/>
              </w:tabs>
              <w:rPr>
                <w:szCs w:val="24"/>
              </w:rPr>
            </w:pPr>
            <w:r w:rsidRPr="006449E5">
              <w:rPr>
                <w:rFonts w:eastAsia="Times New Roman" w:cs="Times New Roman"/>
                <w:color w:val="000000"/>
                <w:szCs w:val="24"/>
                <w:lang w:eastAsia="lv-LV"/>
              </w:rPr>
              <w:t>Valsts dzelzceļa tehniskā inspekcija</w:t>
            </w:r>
          </w:p>
        </w:tc>
      </w:tr>
      <w:tr w:rsidR="00A000B1" w:rsidRPr="006E5888" w:rsidTr="007878AE">
        <w:tc>
          <w:tcPr>
            <w:tcW w:w="1270" w:type="dxa"/>
          </w:tcPr>
          <w:p w:rsidR="00A000B1" w:rsidRPr="00421431" w:rsidRDefault="00A000B1" w:rsidP="009332EA">
            <w:pPr>
              <w:tabs>
                <w:tab w:val="left" w:pos="1494"/>
              </w:tabs>
              <w:rPr>
                <w:szCs w:val="24"/>
              </w:rPr>
            </w:pPr>
            <w:r w:rsidRPr="00421431">
              <w:rPr>
                <w:szCs w:val="24"/>
              </w:rPr>
              <w:t>VIIS</w:t>
            </w:r>
          </w:p>
        </w:tc>
        <w:tc>
          <w:tcPr>
            <w:tcW w:w="7801" w:type="dxa"/>
          </w:tcPr>
          <w:p w:rsidR="00A000B1" w:rsidRPr="00421431" w:rsidRDefault="00A000B1" w:rsidP="009332EA">
            <w:pPr>
              <w:tabs>
                <w:tab w:val="left" w:pos="1494"/>
              </w:tabs>
              <w:rPr>
                <w:szCs w:val="24"/>
              </w:rPr>
            </w:pPr>
            <w:r w:rsidRPr="00421431">
              <w:rPr>
                <w:szCs w:val="24"/>
              </w:rPr>
              <w:t>Valsts izglītības informācijas sistēma</w:t>
            </w:r>
          </w:p>
        </w:tc>
      </w:tr>
      <w:tr w:rsidR="0049719E" w:rsidRPr="006E5888" w:rsidTr="007878AE">
        <w:tc>
          <w:tcPr>
            <w:tcW w:w="1270" w:type="dxa"/>
          </w:tcPr>
          <w:p w:rsidR="0049719E" w:rsidRPr="00421431" w:rsidRDefault="0049719E" w:rsidP="009332EA">
            <w:pPr>
              <w:tabs>
                <w:tab w:val="left" w:pos="1494"/>
              </w:tabs>
              <w:rPr>
                <w:szCs w:val="24"/>
              </w:rPr>
            </w:pPr>
            <w:r w:rsidRPr="00421431">
              <w:rPr>
                <w:szCs w:val="24"/>
              </w:rPr>
              <w:t>VID</w:t>
            </w:r>
          </w:p>
        </w:tc>
        <w:tc>
          <w:tcPr>
            <w:tcW w:w="7801" w:type="dxa"/>
          </w:tcPr>
          <w:p w:rsidR="0049719E" w:rsidRPr="00421431" w:rsidRDefault="0049719E" w:rsidP="009332EA">
            <w:pPr>
              <w:tabs>
                <w:tab w:val="left" w:pos="1494"/>
              </w:tabs>
              <w:rPr>
                <w:szCs w:val="24"/>
              </w:rPr>
            </w:pPr>
            <w:r w:rsidRPr="00421431">
              <w:rPr>
                <w:szCs w:val="24"/>
              </w:rPr>
              <w:t>Valsts ieņēmumu dienests</w:t>
            </w:r>
          </w:p>
        </w:tc>
      </w:tr>
      <w:tr w:rsidR="00184D4E" w:rsidRPr="006E5888" w:rsidTr="007878AE">
        <w:tc>
          <w:tcPr>
            <w:tcW w:w="1270" w:type="dxa"/>
          </w:tcPr>
          <w:p w:rsidR="00184D4E" w:rsidRPr="00421431" w:rsidRDefault="00184D4E" w:rsidP="009332EA">
            <w:pPr>
              <w:tabs>
                <w:tab w:val="left" w:pos="1494"/>
              </w:tabs>
              <w:rPr>
                <w:szCs w:val="24"/>
              </w:rPr>
            </w:pPr>
            <w:r w:rsidRPr="00421431">
              <w:rPr>
                <w:szCs w:val="24"/>
              </w:rPr>
              <w:t>VK</w:t>
            </w:r>
          </w:p>
        </w:tc>
        <w:tc>
          <w:tcPr>
            <w:tcW w:w="7801" w:type="dxa"/>
          </w:tcPr>
          <w:p w:rsidR="00184D4E" w:rsidRPr="00421431" w:rsidRDefault="00184D4E" w:rsidP="009332EA">
            <w:pPr>
              <w:tabs>
                <w:tab w:val="left" w:pos="1494"/>
              </w:tabs>
              <w:rPr>
                <w:szCs w:val="24"/>
              </w:rPr>
            </w:pPr>
            <w:r w:rsidRPr="00421431">
              <w:rPr>
                <w:szCs w:val="24"/>
              </w:rPr>
              <w:t>Valsts kanceleja</w:t>
            </w:r>
          </w:p>
        </w:tc>
      </w:tr>
      <w:tr w:rsidR="002D5BA9" w:rsidRPr="006E5888" w:rsidTr="007878AE">
        <w:tc>
          <w:tcPr>
            <w:tcW w:w="1270" w:type="dxa"/>
          </w:tcPr>
          <w:p w:rsidR="002D5BA9" w:rsidRPr="00421431" w:rsidRDefault="002D5BA9" w:rsidP="009332EA">
            <w:pPr>
              <w:tabs>
                <w:tab w:val="left" w:pos="1494"/>
              </w:tabs>
              <w:rPr>
                <w:szCs w:val="24"/>
              </w:rPr>
            </w:pPr>
            <w:r w:rsidRPr="00421431">
              <w:rPr>
                <w:szCs w:val="24"/>
              </w:rPr>
              <w:t>VKo</w:t>
            </w:r>
          </w:p>
        </w:tc>
        <w:tc>
          <w:tcPr>
            <w:tcW w:w="7801" w:type="dxa"/>
          </w:tcPr>
          <w:p w:rsidR="002D5BA9" w:rsidRPr="00421431" w:rsidRDefault="002D5BA9" w:rsidP="009332EA">
            <w:pPr>
              <w:tabs>
                <w:tab w:val="left" w:pos="1494"/>
              </w:tabs>
              <w:rPr>
                <w:szCs w:val="24"/>
              </w:rPr>
            </w:pPr>
            <w:r w:rsidRPr="00421431">
              <w:rPr>
                <w:szCs w:val="24"/>
              </w:rPr>
              <w:t>Valsts Kontrole</w:t>
            </w:r>
          </w:p>
        </w:tc>
      </w:tr>
      <w:tr w:rsidR="00184D4E" w:rsidRPr="006E5888" w:rsidTr="007878AE">
        <w:tc>
          <w:tcPr>
            <w:tcW w:w="1270" w:type="dxa"/>
          </w:tcPr>
          <w:p w:rsidR="00184D4E" w:rsidRPr="00421431" w:rsidRDefault="00184D4E" w:rsidP="009332EA">
            <w:pPr>
              <w:tabs>
                <w:tab w:val="left" w:pos="1494"/>
              </w:tabs>
              <w:rPr>
                <w:szCs w:val="24"/>
              </w:rPr>
            </w:pPr>
            <w:r w:rsidRPr="00421431">
              <w:rPr>
                <w:szCs w:val="24"/>
              </w:rPr>
              <w:t>VM</w:t>
            </w:r>
          </w:p>
        </w:tc>
        <w:tc>
          <w:tcPr>
            <w:tcW w:w="7801" w:type="dxa"/>
          </w:tcPr>
          <w:p w:rsidR="00184D4E" w:rsidRPr="00421431" w:rsidRDefault="00184D4E" w:rsidP="009332EA">
            <w:pPr>
              <w:tabs>
                <w:tab w:val="left" w:pos="1494"/>
              </w:tabs>
              <w:rPr>
                <w:szCs w:val="24"/>
              </w:rPr>
            </w:pPr>
            <w:r w:rsidRPr="00421431">
              <w:rPr>
                <w:szCs w:val="24"/>
              </w:rPr>
              <w:t>Veselības ministrija</w:t>
            </w:r>
          </w:p>
        </w:tc>
      </w:tr>
      <w:tr w:rsidR="004766E8" w:rsidRPr="006E5888" w:rsidTr="007878AE">
        <w:tc>
          <w:tcPr>
            <w:tcW w:w="1270" w:type="dxa"/>
          </w:tcPr>
          <w:p w:rsidR="004766E8" w:rsidRPr="00421431" w:rsidRDefault="004766E8" w:rsidP="009332EA">
            <w:pPr>
              <w:tabs>
                <w:tab w:val="left" w:pos="1494"/>
              </w:tabs>
              <w:rPr>
                <w:szCs w:val="24"/>
              </w:rPr>
            </w:pPr>
            <w:r w:rsidRPr="00421431">
              <w:rPr>
                <w:rFonts w:cs="Times New Roman"/>
                <w:szCs w:val="24"/>
                <w:lang w:eastAsia="lv-LV"/>
              </w:rPr>
              <w:t>VMD</w:t>
            </w:r>
          </w:p>
        </w:tc>
        <w:tc>
          <w:tcPr>
            <w:tcW w:w="7801" w:type="dxa"/>
          </w:tcPr>
          <w:p w:rsidR="004766E8" w:rsidRPr="00421431" w:rsidRDefault="004766E8" w:rsidP="009332EA">
            <w:pPr>
              <w:tabs>
                <w:tab w:val="left" w:pos="1494"/>
              </w:tabs>
              <w:rPr>
                <w:szCs w:val="24"/>
              </w:rPr>
            </w:pPr>
            <w:r w:rsidRPr="00421431">
              <w:rPr>
                <w:rFonts w:cs="Times New Roman"/>
                <w:szCs w:val="24"/>
                <w:lang w:eastAsia="lv-LV"/>
              </w:rPr>
              <w:t>Valsts meža dienests</w:t>
            </w:r>
          </w:p>
        </w:tc>
      </w:tr>
      <w:tr w:rsidR="006F097E" w:rsidRPr="006E5888" w:rsidTr="007878AE">
        <w:tc>
          <w:tcPr>
            <w:tcW w:w="1270" w:type="dxa"/>
          </w:tcPr>
          <w:p w:rsidR="006F097E" w:rsidRPr="00421431" w:rsidRDefault="006F097E" w:rsidP="009332EA">
            <w:pPr>
              <w:tabs>
                <w:tab w:val="left" w:pos="1494"/>
              </w:tabs>
              <w:rPr>
                <w:rFonts w:cs="Times New Roman"/>
                <w:szCs w:val="24"/>
              </w:rPr>
            </w:pPr>
            <w:r>
              <w:rPr>
                <w:rFonts w:cs="Times New Roman"/>
                <w:szCs w:val="24"/>
              </w:rPr>
              <w:t>VSAA</w:t>
            </w:r>
          </w:p>
        </w:tc>
        <w:tc>
          <w:tcPr>
            <w:tcW w:w="7801" w:type="dxa"/>
          </w:tcPr>
          <w:p w:rsidR="006F097E" w:rsidRPr="00421431" w:rsidRDefault="006F097E" w:rsidP="009332EA">
            <w:pPr>
              <w:tabs>
                <w:tab w:val="left" w:pos="1494"/>
              </w:tabs>
              <w:rPr>
                <w:rFonts w:cs="Times New Roman"/>
                <w:szCs w:val="24"/>
              </w:rPr>
            </w:pPr>
            <w:r>
              <w:rPr>
                <w:rFonts w:cs="Times New Roman"/>
                <w:szCs w:val="24"/>
              </w:rPr>
              <w:t>Valsts s</w:t>
            </w:r>
            <w:r w:rsidR="00A735CA">
              <w:rPr>
                <w:rFonts w:cs="Times New Roman"/>
                <w:szCs w:val="24"/>
              </w:rPr>
              <w:t>ociālās apdrošināšanas aģentūra</w:t>
            </w:r>
          </w:p>
        </w:tc>
      </w:tr>
      <w:tr w:rsidR="00421431" w:rsidRPr="006E5888" w:rsidTr="007878AE">
        <w:tc>
          <w:tcPr>
            <w:tcW w:w="1270" w:type="dxa"/>
          </w:tcPr>
          <w:p w:rsidR="00421431" w:rsidRPr="00421431" w:rsidRDefault="00421431" w:rsidP="009332EA">
            <w:pPr>
              <w:tabs>
                <w:tab w:val="left" w:pos="1494"/>
              </w:tabs>
              <w:rPr>
                <w:rFonts w:cs="Times New Roman"/>
                <w:szCs w:val="24"/>
                <w:lang w:eastAsia="lv-LV"/>
              </w:rPr>
            </w:pPr>
            <w:r w:rsidRPr="00421431">
              <w:rPr>
                <w:rFonts w:cs="Times New Roman"/>
                <w:szCs w:val="24"/>
              </w:rPr>
              <w:t>VVD</w:t>
            </w:r>
          </w:p>
        </w:tc>
        <w:tc>
          <w:tcPr>
            <w:tcW w:w="7801" w:type="dxa"/>
          </w:tcPr>
          <w:p w:rsidR="00421431" w:rsidRPr="00421431" w:rsidRDefault="00421431" w:rsidP="009332EA">
            <w:pPr>
              <w:tabs>
                <w:tab w:val="left" w:pos="1494"/>
              </w:tabs>
              <w:rPr>
                <w:rFonts w:cs="Times New Roman"/>
                <w:szCs w:val="24"/>
                <w:lang w:eastAsia="lv-LV"/>
              </w:rPr>
            </w:pPr>
            <w:r w:rsidRPr="00421431">
              <w:rPr>
                <w:rFonts w:cs="Times New Roman"/>
                <w:szCs w:val="24"/>
              </w:rPr>
              <w:t>Valsts vides dienests</w:t>
            </w:r>
          </w:p>
        </w:tc>
      </w:tr>
      <w:tr w:rsidR="00184D4E" w:rsidRPr="006E5888" w:rsidTr="007878AE">
        <w:tc>
          <w:tcPr>
            <w:tcW w:w="1270" w:type="dxa"/>
          </w:tcPr>
          <w:p w:rsidR="00184D4E" w:rsidRPr="006E5888" w:rsidRDefault="00184D4E" w:rsidP="009332EA">
            <w:pPr>
              <w:tabs>
                <w:tab w:val="left" w:pos="1494"/>
              </w:tabs>
              <w:rPr>
                <w:szCs w:val="24"/>
              </w:rPr>
            </w:pPr>
            <w:r w:rsidRPr="006E5888">
              <w:rPr>
                <w:szCs w:val="24"/>
              </w:rPr>
              <w:t>ZM</w:t>
            </w:r>
          </w:p>
        </w:tc>
        <w:tc>
          <w:tcPr>
            <w:tcW w:w="7801" w:type="dxa"/>
          </w:tcPr>
          <w:p w:rsidR="00184D4E" w:rsidRPr="006E5888" w:rsidRDefault="00184D4E" w:rsidP="009332EA">
            <w:pPr>
              <w:tabs>
                <w:tab w:val="left" w:pos="1494"/>
              </w:tabs>
              <w:rPr>
                <w:szCs w:val="24"/>
              </w:rPr>
            </w:pPr>
            <w:r w:rsidRPr="006E5888">
              <w:rPr>
                <w:szCs w:val="24"/>
              </w:rPr>
              <w:t>Zemkopības ministrija</w:t>
            </w:r>
          </w:p>
        </w:tc>
      </w:tr>
      <w:tr w:rsidR="001377DF" w:rsidRPr="006E5888" w:rsidTr="007878AE">
        <w:tc>
          <w:tcPr>
            <w:tcW w:w="1270" w:type="dxa"/>
          </w:tcPr>
          <w:p w:rsidR="001377DF" w:rsidRPr="006E5888" w:rsidRDefault="001377DF" w:rsidP="009332EA">
            <w:pPr>
              <w:tabs>
                <w:tab w:val="left" w:pos="1494"/>
              </w:tabs>
              <w:rPr>
                <w:szCs w:val="24"/>
              </w:rPr>
            </w:pPr>
            <w:r w:rsidRPr="001657A9">
              <w:rPr>
                <w:rFonts w:eastAsia="Times New Roman" w:cs="Times New Roman"/>
                <w:color w:val="000000"/>
                <w:szCs w:val="24"/>
                <w:lang w:eastAsia="lv-LV"/>
              </w:rPr>
              <w:t>ZVA</w:t>
            </w:r>
          </w:p>
        </w:tc>
        <w:tc>
          <w:tcPr>
            <w:tcW w:w="7801" w:type="dxa"/>
          </w:tcPr>
          <w:p w:rsidR="001377DF" w:rsidRPr="006E5888" w:rsidRDefault="001377DF" w:rsidP="009332EA">
            <w:pPr>
              <w:tabs>
                <w:tab w:val="left" w:pos="1494"/>
              </w:tabs>
              <w:rPr>
                <w:szCs w:val="24"/>
              </w:rPr>
            </w:pPr>
            <w:r w:rsidRPr="006449E5">
              <w:rPr>
                <w:rFonts w:eastAsia="Times New Roman" w:cs="Times New Roman"/>
                <w:color w:val="000000"/>
                <w:szCs w:val="24"/>
                <w:lang w:eastAsia="lv-LV"/>
              </w:rPr>
              <w:t>Zāļu valsts aģentūra</w:t>
            </w:r>
          </w:p>
        </w:tc>
      </w:tr>
      <w:tr w:rsidR="00037F94" w:rsidRPr="006E5888" w:rsidTr="007878AE">
        <w:tc>
          <w:tcPr>
            <w:tcW w:w="1270" w:type="dxa"/>
          </w:tcPr>
          <w:p w:rsidR="00037F94" w:rsidRPr="006E5888" w:rsidRDefault="00037F94" w:rsidP="009332EA">
            <w:pPr>
              <w:tabs>
                <w:tab w:val="left" w:pos="1494"/>
              </w:tabs>
              <w:rPr>
                <w:szCs w:val="24"/>
              </w:rPr>
            </w:pPr>
            <w:r w:rsidRPr="006E5888">
              <w:rPr>
                <w:szCs w:val="24"/>
              </w:rPr>
              <w:t>62.resors</w:t>
            </w:r>
          </w:p>
        </w:tc>
        <w:tc>
          <w:tcPr>
            <w:tcW w:w="7801" w:type="dxa"/>
          </w:tcPr>
          <w:p w:rsidR="00037F94" w:rsidRPr="006E5888" w:rsidRDefault="00037F94" w:rsidP="009332EA">
            <w:pPr>
              <w:tabs>
                <w:tab w:val="left" w:pos="1494"/>
              </w:tabs>
              <w:rPr>
                <w:szCs w:val="24"/>
              </w:rPr>
            </w:pPr>
            <w:r w:rsidRPr="006E5888">
              <w:rPr>
                <w:szCs w:val="24"/>
              </w:rPr>
              <w:t>Mērķdotācijas pašvaldībām</w:t>
            </w:r>
          </w:p>
        </w:tc>
      </w:tr>
      <w:tr w:rsidR="00037F94" w:rsidRPr="006E5888" w:rsidTr="007878AE">
        <w:tc>
          <w:tcPr>
            <w:tcW w:w="1270" w:type="dxa"/>
          </w:tcPr>
          <w:p w:rsidR="00037F94" w:rsidRPr="006E5888" w:rsidRDefault="00037F94" w:rsidP="009332EA">
            <w:pPr>
              <w:tabs>
                <w:tab w:val="left" w:pos="1494"/>
              </w:tabs>
              <w:rPr>
                <w:szCs w:val="24"/>
              </w:rPr>
            </w:pPr>
            <w:r w:rsidRPr="006E5888">
              <w:rPr>
                <w:szCs w:val="24"/>
              </w:rPr>
              <w:t>64.resors</w:t>
            </w:r>
          </w:p>
        </w:tc>
        <w:tc>
          <w:tcPr>
            <w:tcW w:w="7801" w:type="dxa"/>
          </w:tcPr>
          <w:p w:rsidR="00037F94" w:rsidRPr="006E5888" w:rsidRDefault="00037F94" w:rsidP="009332EA">
            <w:pPr>
              <w:tabs>
                <w:tab w:val="left" w:pos="1494"/>
              </w:tabs>
              <w:rPr>
                <w:szCs w:val="24"/>
              </w:rPr>
            </w:pPr>
            <w:r w:rsidRPr="006E5888">
              <w:rPr>
                <w:szCs w:val="24"/>
              </w:rPr>
              <w:t>Dotācija pašvaldībām</w:t>
            </w:r>
          </w:p>
        </w:tc>
      </w:tr>
      <w:tr w:rsidR="00037F94" w:rsidRPr="006E5888" w:rsidTr="007878AE">
        <w:tc>
          <w:tcPr>
            <w:tcW w:w="1270" w:type="dxa"/>
          </w:tcPr>
          <w:p w:rsidR="00037F94" w:rsidRPr="006E5888" w:rsidRDefault="00037F94" w:rsidP="009332EA">
            <w:pPr>
              <w:tabs>
                <w:tab w:val="left" w:pos="1494"/>
              </w:tabs>
              <w:rPr>
                <w:szCs w:val="24"/>
              </w:rPr>
            </w:pPr>
            <w:r w:rsidRPr="006E5888">
              <w:rPr>
                <w:szCs w:val="24"/>
              </w:rPr>
              <w:t>74.resors</w:t>
            </w:r>
          </w:p>
        </w:tc>
        <w:tc>
          <w:tcPr>
            <w:tcW w:w="7801" w:type="dxa"/>
          </w:tcPr>
          <w:p w:rsidR="004766E8" w:rsidRPr="006E5888" w:rsidRDefault="00037F94" w:rsidP="00F37EAC">
            <w:pPr>
              <w:tabs>
                <w:tab w:val="left" w:pos="1494"/>
              </w:tabs>
              <w:rPr>
                <w:szCs w:val="24"/>
              </w:rPr>
            </w:pPr>
            <w:r w:rsidRPr="006E5888">
              <w:rPr>
                <w:szCs w:val="24"/>
              </w:rPr>
              <w:t>Gadskārtējā valsts budžeta izpildes procesā pārdalāmais finansējums</w:t>
            </w:r>
          </w:p>
        </w:tc>
      </w:tr>
    </w:tbl>
    <w:p w:rsidR="0046669D" w:rsidRPr="006E5888" w:rsidRDefault="0046669D" w:rsidP="009332EA">
      <w:pPr>
        <w:tabs>
          <w:tab w:val="left" w:pos="1494"/>
        </w:tabs>
        <w:rPr>
          <w:b/>
          <w:szCs w:val="24"/>
        </w:rPr>
      </w:pPr>
    </w:p>
    <w:p w:rsidR="004766E8" w:rsidRDefault="004766E8">
      <w:pPr>
        <w:rPr>
          <w:rFonts w:eastAsiaTheme="majorEastAsia" w:cs="Times New Roman"/>
          <w:sz w:val="28"/>
          <w:szCs w:val="28"/>
        </w:rPr>
      </w:pPr>
      <w:r>
        <w:rPr>
          <w:rFonts w:cs="Times New Roman"/>
          <w:sz w:val="28"/>
          <w:szCs w:val="28"/>
        </w:rPr>
        <w:br w:type="page"/>
      </w:r>
    </w:p>
    <w:p w:rsidR="00616BDB" w:rsidRDefault="00616BDB" w:rsidP="00175DE0">
      <w:pPr>
        <w:pStyle w:val="Heading1"/>
        <w:spacing w:after="240"/>
        <w:jc w:val="center"/>
        <w:rPr>
          <w:rFonts w:ascii="Times New Roman" w:hAnsi="Times New Roman" w:cs="Times New Roman"/>
          <w:color w:val="auto"/>
          <w:sz w:val="28"/>
          <w:szCs w:val="28"/>
        </w:rPr>
      </w:pPr>
      <w:bookmarkStart w:id="0" w:name="_Toc487036784"/>
      <w:r w:rsidRPr="00616BDB">
        <w:rPr>
          <w:rFonts w:ascii="Times New Roman" w:hAnsi="Times New Roman" w:cs="Times New Roman"/>
          <w:color w:val="auto"/>
          <w:sz w:val="28"/>
          <w:szCs w:val="28"/>
        </w:rPr>
        <w:lastRenderedPageBreak/>
        <w:t>IEVADS</w:t>
      </w:r>
      <w:bookmarkEnd w:id="0"/>
    </w:p>
    <w:p w:rsidR="0044621F" w:rsidRPr="00EE655F" w:rsidRDefault="0044621F" w:rsidP="0044621F">
      <w:pPr>
        <w:ind w:firstLine="720"/>
        <w:jc w:val="both"/>
        <w:rPr>
          <w:szCs w:val="24"/>
        </w:rPr>
      </w:pPr>
      <w:r w:rsidRPr="00EE655F">
        <w:rPr>
          <w:szCs w:val="24"/>
        </w:rPr>
        <w:t>Pamatojoties uz LBFV 16.</w:t>
      </w:r>
      <w:r w:rsidRPr="00EE655F">
        <w:rPr>
          <w:szCs w:val="24"/>
          <w:vertAlign w:val="superscript"/>
        </w:rPr>
        <w:t>3</w:t>
      </w:r>
      <w:r w:rsidRPr="00EE655F">
        <w:rPr>
          <w:szCs w:val="24"/>
        </w:rPr>
        <w:t xml:space="preserve"> pantu un saskaņā ar MK 2017.gada 28.marta rīkojumu Nr.141 “Par likumprojekta “Par vidēja termiņa budžeta ietvaru 2018., 2019. un 2020.gadam” un likumprojekta “Par valsts budžeta 2018.gadam” sagatavošanas grafiku” (turpmāk – MK rīkojums Nr.141), FM ir sagatavojusi informatīvo ziņojumu “Par valsts budžeta izdevumu pārskatīšanas 2018., 2019. un 2020.gadam rezultātiem un priekšlikumi par šo rezultātu izmantošanu likumprojekta “Par vidēja termiņa budžeta 2018., 2019. un 2020.gadam” un likumprojekta “Par valsts budžetu 2018.gadam” izstrādes procesā”.</w:t>
      </w:r>
    </w:p>
    <w:p w:rsidR="0044621F" w:rsidRPr="00EE655F" w:rsidRDefault="0044621F" w:rsidP="008E62D8">
      <w:pPr>
        <w:ind w:firstLine="720"/>
        <w:jc w:val="both"/>
        <w:rPr>
          <w:szCs w:val="24"/>
        </w:rPr>
      </w:pPr>
      <w:r w:rsidRPr="00EE655F">
        <w:rPr>
          <w:szCs w:val="24"/>
        </w:rPr>
        <w:t>Valsts budžeta izdevumu pārskatīšana ir viens no pamatrīkiem, kā nodrošināt publiskā finansējuma un politikas plānošanas stratēģisko prioritāšu sasaisti. Izdevumu pārskatīšanas pamatmērķis ir regulāri un sistemātiski novērtēt finansējuma izlietojuma efektivitāti, kā arī veicināt iecerēto rezultātu efektīvu sasniegšanu.</w:t>
      </w:r>
    </w:p>
    <w:p w:rsidR="0044621F" w:rsidRPr="00EE655F" w:rsidRDefault="0044621F" w:rsidP="000532B4">
      <w:pPr>
        <w:ind w:firstLine="720"/>
        <w:jc w:val="both"/>
        <w:rPr>
          <w:szCs w:val="24"/>
        </w:rPr>
      </w:pPr>
      <w:r>
        <w:rPr>
          <w:szCs w:val="24"/>
        </w:rPr>
        <w:t xml:space="preserve">Atbilstoši </w:t>
      </w:r>
      <w:r w:rsidRPr="00FE2516">
        <w:rPr>
          <w:szCs w:val="24"/>
        </w:rPr>
        <w:t>MK rīkojum</w:t>
      </w:r>
      <w:r>
        <w:rPr>
          <w:szCs w:val="24"/>
        </w:rPr>
        <w:t>am</w:t>
      </w:r>
      <w:r w:rsidRPr="00FE2516">
        <w:rPr>
          <w:szCs w:val="24"/>
        </w:rPr>
        <w:t xml:space="preserve"> Nr.141</w:t>
      </w:r>
      <w:r>
        <w:rPr>
          <w:szCs w:val="24"/>
        </w:rPr>
        <w:t xml:space="preserve"> ir noteikts, ka, </w:t>
      </w:r>
      <w:r w:rsidRPr="00EE655F">
        <w:rPr>
          <w:szCs w:val="24"/>
        </w:rPr>
        <w:t>izstrādājot budžeta likumprojektus, atbilstoši</w:t>
      </w:r>
      <w:r>
        <w:rPr>
          <w:szCs w:val="24"/>
        </w:rPr>
        <w:t xml:space="preserve"> </w:t>
      </w:r>
      <w:r w:rsidRPr="00EE655F">
        <w:rPr>
          <w:szCs w:val="24"/>
        </w:rPr>
        <w:t>LBFV 16.</w:t>
      </w:r>
      <w:r w:rsidRPr="00EE655F">
        <w:rPr>
          <w:szCs w:val="24"/>
          <w:vertAlign w:val="superscript"/>
        </w:rPr>
        <w:t>3</w:t>
      </w:r>
      <w:r w:rsidRPr="00EE655F">
        <w:rPr>
          <w:szCs w:val="24"/>
        </w:rPr>
        <w:t> panta otrajai daļai tiek pārskatīti valsts budžeta izdevumi un sagatavoti priekšlikumi par nepieciešamajām izmaiņām šādās jomās:</w:t>
      </w:r>
    </w:p>
    <w:p w:rsidR="0044621F" w:rsidRPr="00014AFD" w:rsidRDefault="0044621F" w:rsidP="00014AFD">
      <w:pPr>
        <w:ind w:firstLine="720"/>
        <w:jc w:val="both"/>
        <w:rPr>
          <w:szCs w:val="24"/>
          <w:u w:val="single"/>
        </w:rPr>
      </w:pPr>
      <w:r w:rsidRPr="00014AFD">
        <w:rPr>
          <w:szCs w:val="24"/>
          <w:u w:val="single"/>
        </w:rPr>
        <w:t>valsts budžeta politikas jomā:</w:t>
      </w:r>
    </w:p>
    <w:p w:rsidR="00014AFD" w:rsidRDefault="0044621F" w:rsidP="00014AFD">
      <w:pPr>
        <w:pStyle w:val="ListParagraph"/>
        <w:numPr>
          <w:ilvl w:val="0"/>
          <w:numId w:val="143"/>
        </w:numPr>
        <w:jc w:val="both"/>
        <w:rPr>
          <w:szCs w:val="24"/>
        </w:rPr>
      </w:pPr>
      <w:r w:rsidRPr="00014AFD">
        <w:rPr>
          <w:szCs w:val="24"/>
        </w:rPr>
        <w:t>prioritārajiem pasākumiem nepieciešamo valsts budžeta līdzekļu pieprasījumu sagatavošanas un izvērtēšanas kārtība;</w:t>
      </w:r>
    </w:p>
    <w:p w:rsidR="00014AFD" w:rsidRDefault="0044621F" w:rsidP="00014AFD">
      <w:pPr>
        <w:pStyle w:val="ListParagraph"/>
        <w:numPr>
          <w:ilvl w:val="0"/>
          <w:numId w:val="143"/>
        </w:numPr>
        <w:jc w:val="both"/>
        <w:rPr>
          <w:szCs w:val="24"/>
        </w:rPr>
      </w:pPr>
      <w:r w:rsidRPr="00014AFD">
        <w:rPr>
          <w:szCs w:val="24"/>
        </w:rPr>
        <w:t>valsts budžeta bāzes izdevumu noteikšanas kārtība;</w:t>
      </w:r>
    </w:p>
    <w:p w:rsidR="00014AFD" w:rsidRDefault="0044621F" w:rsidP="00014AFD">
      <w:pPr>
        <w:pStyle w:val="ListParagraph"/>
        <w:numPr>
          <w:ilvl w:val="0"/>
          <w:numId w:val="143"/>
        </w:numPr>
        <w:jc w:val="both"/>
        <w:rPr>
          <w:szCs w:val="24"/>
        </w:rPr>
      </w:pPr>
      <w:r w:rsidRPr="00014AFD">
        <w:rPr>
          <w:szCs w:val="24"/>
        </w:rPr>
        <w:t>vispārēja procesu optimizēšana un turpmāka pilnveidošana, īstenojot valsts budžeta vadību;</w:t>
      </w:r>
    </w:p>
    <w:p w:rsidR="0044621F" w:rsidRPr="00014AFD" w:rsidRDefault="0044621F" w:rsidP="00014AFD">
      <w:pPr>
        <w:pStyle w:val="ListParagraph"/>
        <w:numPr>
          <w:ilvl w:val="0"/>
          <w:numId w:val="143"/>
        </w:numPr>
        <w:jc w:val="both"/>
        <w:rPr>
          <w:szCs w:val="24"/>
        </w:rPr>
      </w:pPr>
      <w:r w:rsidRPr="00014AFD">
        <w:rPr>
          <w:szCs w:val="24"/>
        </w:rPr>
        <w:t>amata vietu skaita un dinamikas analīze un ilgstoši vakanto amata vietu pārskatīšana;</w:t>
      </w:r>
    </w:p>
    <w:p w:rsidR="0044621F" w:rsidRPr="00014AFD" w:rsidRDefault="0044621F" w:rsidP="00014AFD">
      <w:pPr>
        <w:ind w:firstLine="720"/>
        <w:jc w:val="both"/>
        <w:rPr>
          <w:szCs w:val="24"/>
          <w:u w:val="single"/>
        </w:rPr>
      </w:pPr>
      <w:r w:rsidRPr="00014AFD">
        <w:rPr>
          <w:szCs w:val="24"/>
          <w:u w:val="single"/>
        </w:rPr>
        <w:t>nozaru finansēšanas politikas jomā:</w:t>
      </w:r>
    </w:p>
    <w:p w:rsidR="00014AFD" w:rsidRDefault="0044621F" w:rsidP="00014AFD">
      <w:pPr>
        <w:pStyle w:val="ListParagraph"/>
        <w:numPr>
          <w:ilvl w:val="0"/>
          <w:numId w:val="144"/>
        </w:numPr>
        <w:jc w:val="both"/>
        <w:rPr>
          <w:szCs w:val="24"/>
        </w:rPr>
      </w:pPr>
      <w:r w:rsidRPr="00014AFD">
        <w:rPr>
          <w:szCs w:val="24"/>
        </w:rPr>
        <w:t>līdz šim izstrādāto priekšlikumu par izdevumu politikas maiņu aktualizācija;</w:t>
      </w:r>
    </w:p>
    <w:p w:rsidR="00014AFD" w:rsidRDefault="0044621F" w:rsidP="00014AFD">
      <w:pPr>
        <w:pStyle w:val="ListParagraph"/>
        <w:numPr>
          <w:ilvl w:val="0"/>
          <w:numId w:val="144"/>
        </w:numPr>
        <w:jc w:val="both"/>
        <w:rPr>
          <w:szCs w:val="24"/>
        </w:rPr>
      </w:pPr>
      <w:r w:rsidRPr="00014AFD">
        <w:rPr>
          <w:szCs w:val="24"/>
        </w:rPr>
        <w:t>nulles budžeta principa ieviešana atsevišķu izmēģinājumprojektu veidā, pieaicinot Latvijas Bankas ekspertus;</w:t>
      </w:r>
    </w:p>
    <w:p w:rsidR="00014AFD" w:rsidRDefault="0044621F" w:rsidP="00014AFD">
      <w:pPr>
        <w:pStyle w:val="ListParagraph"/>
        <w:numPr>
          <w:ilvl w:val="0"/>
          <w:numId w:val="144"/>
        </w:numPr>
        <w:jc w:val="both"/>
        <w:rPr>
          <w:szCs w:val="24"/>
        </w:rPr>
      </w:pPr>
      <w:r w:rsidRPr="00014AFD">
        <w:rPr>
          <w:szCs w:val="24"/>
        </w:rPr>
        <w:t>valsts budžeta finansēto funkciju ekonomiskāka un racionālāka īstenošana, tajā skaitā centralizācija;</w:t>
      </w:r>
    </w:p>
    <w:p w:rsidR="0044621F" w:rsidRPr="00014AFD" w:rsidRDefault="0044621F" w:rsidP="00014AFD">
      <w:pPr>
        <w:pStyle w:val="ListParagraph"/>
        <w:numPr>
          <w:ilvl w:val="0"/>
          <w:numId w:val="144"/>
        </w:numPr>
        <w:jc w:val="both"/>
        <w:rPr>
          <w:szCs w:val="24"/>
        </w:rPr>
      </w:pPr>
      <w:r w:rsidRPr="00014AFD">
        <w:rPr>
          <w:szCs w:val="24"/>
        </w:rPr>
        <w:t>horizontālie risinājumi valsts budžeta resursu identificēšanai un novirzīšanai aktuālajām prioritātēm, tajā skaitā pārskatot šādus virzienus: maksas pakalpojumi un citi pašu ieņēmumi, administratīvie izdevumi, līdz šim piešķirtais finansējums jaunajām politikas iniciatīvām, neatliekamajiem pasākumiem un citiem prioritārajiem pasākumiem, slēgtie asignējumi.</w:t>
      </w:r>
    </w:p>
    <w:p w:rsidR="0044621F" w:rsidRPr="00512DEA" w:rsidRDefault="0044621F" w:rsidP="0044621F">
      <w:pPr>
        <w:pStyle w:val="ListParagraph"/>
        <w:spacing w:before="120"/>
        <w:ind w:left="0" w:firstLine="720"/>
        <w:contextualSpacing w:val="0"/>
        <w:jc w:val="both"/>
        <w:rPr>
          <w:szCs w:val="24"/>
        </w:rPr>
      </w:pPr>
      <w:r>
        <w:rPr>
          <w:szCs w:val="24"/>
        </w:rPr>
        <w:t>Bez tam VARAM</w:t>
      </w:r>
      <w:r w:rsidRPr="00512DEA">
        <w:rPr>
          <w:szCs w:val="24"/>
        </w:rPr>
        <w:t xml:space="preserve"> sadarbībā ar </w:t>
      </w:r>
      <w:r>
        <w:rPr>
          <w:szCs w:val="24"/>
        </w:rPr>
        <w:t>FM</w:t>
      </w:r>
      <w:r w:rsidRPr="00512DEA">
        <w:rPr>
          <w:szCs w:val="24"/>
        </w:rPr>
        <w:t xml:space="preserve"> uzsāk</w:t>
      </w:r>
      <w:r>
        <w:rPr>
          <w:szCs w:val="24"/>
        </w:rPr>
        <w:t>a</w:t>
      </w:r>
      <w:r w:rsidRPr="00512DEA">
        <w:rPr>
          <w:szCs w:val="24"/>
        </w:rPr>
        <w:t xml:space="preserve"> visaptverošu optimizācijas priekšlikumu izstrādi valsts budžeta iestāžu publisko pakalpojumu piegādes jomā un </w:t>
      </w:r>
      <w:r>
        <w:rPr>
          <w:szCs w:val="24"/>
        </w:rPr>
        <w:t>IKT</w:t>
      </w:r>
      <w:r w:rsidRPr="00512DEA">
        <w:rPr>
          <w:szCs w:val="24"/>
        </w:rPr>
        <w:t xml:space="preserve"> jomā, izstrādā</w:t>
      </w:r>
      <w:r>
        <w:rPr>
          <w:szCs w:val="24"/>
        </w:rPr>
        <w:t>jot</w:t>
      </w:r>
      <w:r w:rsidRPr="00512DEA">
        <w:rPr>
          <w:szCs w:val="24"/>
        </w:rPr>
        <w:t xml:space="preserve"> darbības plānu, prioritāri izvērtējot informācijas sistēmu funkcionalitātes nepamatotas dublēšanās novēršanu un resursu koplietošanas iespējas publisko pakalpojumu piegādes jomā un </w:t>
      </w:r>
      <w:r>
        <w:rPr>
          <w:szCs w:val="24"/>
        </w:rPr>
        <w:t>IKT</w:t>
      </w:r>
      <w:r w:rsidRPr="00512DEA">
        <w:rPr>
          <w:szCs w:val="24"/>
        </w:rPr>
        <w:t xml:space="preserve"> jomā.</w:t>
      </w:r>
    </w:p>
    <w:p w:rsidR="0044621F" w:rsidRPr="00100882" w:rsidRDefault="0044621F" w:rsidP="000532B4">
      <w:pPr>
        <w:spacing w:before="120"/>
        <w:jc w:val="both"/>
        <w:rPr>
          <w:b/>
          <w:u w:val="single"/>
        </w:rPr>
      </w:pPr>
      <w:r w:rsidRPr="00100882">
        <w:rPr>
          <w:b/>
          <w:u w:val="single"/>
        </w:rPr>
        <w:t>Darba grupa</w:t>
      </w:r>
    </w:p>
    <w:p w:rsidR="0044621F" w:rsidRDefault="0044621F" w:rsidP="008E62D8">
      <w:pPr>
        <w:spacing w:before="60"/>
        <w:ind w:firstLine="720"/>
        <w:jc w:val="both"/>
      </w:pPr>
      <w:r w:rsidRPr="006E5888">
        <w:t xml:space="preserve">Atbilstoši dotajam uzdevumam ar FM 2016.gada 5.februāra rīkojumu Nr.71 “Par darba grupu” </w:t>
      </w:r>
      <w:r>
        <w:t xml:space="preserve">tika </w:t>
      </w:r>
      <w:r w:rsidRPr="006E5888">
        <w:t xml:space="preserve">izveidota pastāvīga starpinstitucionālā darba grupa, kuras uzdevums ir sagatavot un iesniegt finanšu ministram izdevumu pārskatīšanas rezultātus un priekšlikumus par šo rezultātu izmantošanu vidēja termiņa budžeta ietvara likuma projekta un gadskārtējā valsts budžeta likuma projekta izstrādes procesā. </w:t>
      </w:r>
      <w:r>
        <w:t>Pamatojoties uz</w:t>
      </w:r>
      <w:r w:rsidRPr="006E5888">
        <w:t xml:space="preserve"> FM 201</w:t>
      </w:r>
      <w:r>
        <w:t>7</w:t>
      </w:r>
      <w:r w:rsidRPr="006E5888">
        <w:t xml:space="preserve">.gada </w:t>
      </w:r>
      <w:r>
        <w:t>25.janvāra</w:t>
      </w:r>
      <w:r w:rsidRPr="006E5888">
        <w:t xml:space="preserve"> rīkojumu Nr.</w:t>
      </w:r>
      <w:r>
        <w:t>38</w:t>
      </w:r>
      <w:r w:rsidRPr="006E5888">
        <w:t xml:space="preserve"> “Par darba grupu”</w:t>
      </w:r>
      <w:r>
        <w:t>, iepriekš minētais FM rīkojums tika atzīts par spēku zaudējušu saistīb</w:t>
      </w:r>
      <w:r w:rsidR="00B54634">
        <w:t>ā</w:t>
      </w:r>
      <w:r>
        <w:t xml:space="preserve"> ar darba grupas noteiktā sastāva maiņu, t.i., </w:t>
      </w:r>
      <w:r w:rsidR="00DE07A0">
        <w:t>darba grupā mainījās deleģētie pārstāvji no šādām iestādēm: FM, VK, LB, VM</w:t>
      </w:r>
      <w:r>
        <w:t>.</w:t>
      </w:r>
      <w:r w:rsidR="001C6799">
        <w:t xml:space="preserve"> Darba grupā iesaistītās iestādes, kā arī ministrijas ir aktīvi </w:t>
      </w:r>
      <w:r w:rsidR="00B54634">
        <w:lastRenderedPageBreak/>
        <w:t>izrādījušas</w:t>
      </w:r>
      <w:r w:rsidR="001C6799">
        <w:t xml:space="preserve"> savu interesi par izdevumu pārskatīšanas procesu, un tās ir ieguldījušas kvalificētus cilvēkresursus gan pārstāvības, gan kvalitatīva darba rezultāta nodrošināšanai.</w:t>
      </w:r>
    </w:p>
    <w:p w:rsidR="0044621F" w:rsidRPr="006E5888" w:rsidRDefault="0044621F" w:rsidP="000532B4">
      <w:pPr>
        <w:spacing w:before="120" w:after="60"/>
        <w:jc w:val="both"/>
        <w:rPr>
          <w:b/>
          <w:u w:val="single"/>
        </w:rPr>
      </w:pPr>
      <w:r w:rsidRPr="00780E25">
        <w:rPr>
          <w:b/>
          <w:u w:val="single"/>
        </w:rPr>
        <w:t>Sarunas ar nozaru ministrijām</w:t>
      </w:r>
    </w:p>
    <w:p w:rsidR="0044621F" w:rsidRPr="006E5888" w:rsidRDefault="0044621F" w:rsidP="008E62D8">
      <w:pPr>
        <w:spacing w:before="60"/>
        <w:ind w:firstLine="720"/>
        <w:jc w:val="both"/>
      </w:pPr>
      <w:r w:rsidRPr="006E5888">
        <w:t>Viens no pamata priekšnosacījumiem izdevumu pārskatīšanas proces</w:t>
      </w:r>
      <w:r>
        <w:t>ā</w:t>
      </w:r>
      <w:r w:rsidRPr="006E5888">
        <w:t xml:space="preserve"> </w:t>
      </w:r>
      <w:r w:rsidR="003417B0">
        <w:t>ir</w:t>
      </w:r>
      <w:r w:rsidRPr="006E5888">
        <w:t xml:space="preserve"> cieša sadarbība ar nozaru ministrijām. </w:t>
      </w:r>
      <w:r>
        <w:t xml:space="preserve">Kopumā </w:t>
      </w:r>
      <w:r w:rsidRPr="006E5888">
        <w:t xml:space="preserve">ar nozaru ministrijām </w:t>
      </w:r>
      <w:r>
        <w:t xml:space="preserve">atbilstoši </w:t>
      </w:r>
      <w:r w:rsidR="00942C07">
        <w:t xml:space="preserve">zemāk </w:t>
      </w:r>
      <w:r w:rsidRPr="00E13F0B">
        <w:t xml:space="preserve">tabulā </w:t>
      </w:r>
      <w:r>
        <w:t>sniegtajai informācijai tika organizētas 13 tikšanās.</w:t>
      </w:r>
    </w:p>
    <w:p w:rsidR="0044621F" w:rsidRPr="00195837" w:rsidRDefault="0044621F" w:rsidP="008E62D8">
      <w:pPr>
        <w:spacing w:before="120" w:after="60"/>
        <w:jc w:val="center"/>
        <w:rPr>
          <w:b/>
        </w:rPr>
      </w:pPr>
      <w:r w:rsidRPr="00195837">
        <w:rPr>
          <w:b/>
        </w:rPr>
        <w:t>Tikšanos ar nozares ministrijām grafiks</w:t>
      </w:r>
    </w:p>
    <w:tbl>
      <w:tblPr>
        <w:tblW w:w="3442" w:type="pct"/>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9"/>
        <w:gridCol w:w="3119"/>
      </w:tblGrid>
      <w:tr w:rsidR="0044621F" w:rsidRPr="008E62D8" w:rsidTr="00014AFD">
        <w:trPr>
          <w:trHeight w:val="302"/>
        </w:trPr>
        <w:tc>
          <w:tcPr>
            <w:tcW w:w="2500" w:type="pct"/>
            <w:shd w:val="clear" w:color="auto" w:fill="C5E0B3" w:themeFill="accent6" w:themeFillTint="66"/>
            <w:tcMar>
              <w:top w:w="0" w:type="dxa"/>
              <w:left w:w="108" w:type="dxa"/>
              <w:bottom w:w="0" w:type="dxa"/>
              <w:right w:w="108" w:type="dxa"/>
            </w:tcMar>
            <w:hideMark/>
          </w:tcPr>
          <w:p w:rsidR="0044621F" w:rsidRPr="008E62D8" w:rsidRDefault="0044621F" w:rsidP="00C3105A">
            <w:pPr>
              <w:autoSpaceDE w:val="0"/>
              <w:autoSpaceDN w:val="0"/>
              <w:jc w:val="center"/>
              <w:rPr>
                <w:rFonts w:cs="Times New Roman"/>
                <w:b/>
                <w:bCs/>
                <w:sz w:val="22"/>
                <w:lang w:eastAsia="lv-LV"/>
              </w:rPr>
            </w:pPr>
            <w:r w:rsidRPr="008E62D8">
              <w:rPr>
                <w:rFonts w:cs="Times New Roman"/>
                <w:b/>
                <w:bCs/>
                <w:sz w:val="22"/>
                <w:lang w:eastAsia="lv-LV"/>
              </w:rPr>
              <w:t>Ministrija</w:t>
            </w:r>
          </w:p>
        </w:tc>
        <w:tc>
          <w:tcPr>
            <w:tcW w:w="2500" w:type="pct"/>
            <w:shd w:val="clear" w:color="auto" w:fill="C5E0B3" w:themeFill="accent6" w:themeFillTint="66"/>
          </w:tcPr>
          <w:p w:rsidR="0044621F" w:rsidRPr="008E62D8" w:rsidRDefault="0044621F" w:rsidP="00C3105A">
            <w:pPr>
              <w:autoSpaceDE w:val="0"/>
              <w:autoSpaceDN w:val="0"/>
              <w:jc w:val="center"/>
              <w:rPr>
                <w:rFonts w:cs="Times New Roman"/>
                <w:b/>
                <w:bCs/>
                <w:sz w:val="22"/>
                <w:lang w:eastAsia="lv-LV"/>
              </w:rPr>
            </w:pPr>
            <w:r w:rsidRPr="008E62D8">
              <w:rPr>
                <w:b/>
                <w:bCs/>
                <w:sz w:val="22"/>
              </w:rPr>
              <w:t>Tikšanās laiks</w:t>
            </w: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AiM</w:t>
            </w:r>
          </w:p>
        </w:tc>
        <w:tc>
          <w:tcPr>
            <w:tcW w:w="2500" w:type="pct"/>
            <w:vAlign w:val="cente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30.maijs</w:t>
            </w: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SM</w:t>
            </w:r>
          </w:p>
        </w:tc>
        <w:tc>
          <w:tcPr>
            <w:tcW w:w="2500" w:type="pct"/>
            <w:vMerge w:val="restart"/>
            <w:vAlign w:val="cente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31.maijs</w:t>
            </w: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EM</w:t>
            </w:r>
          </w:p>
        </w:tc>
        <w:tc>
          <w:tcPr>
            <w:tcW w:w="2500" w:type="pct"/>
            <w:vMerge/>
            <w:vAlign w:val="center"/>
          </w:tcPr>
          <w:p w:rsidR="0044621F" w:rsidRPr="008E62D8" w:rsidRDefault="0044621F" w:rsidP="00C3105A">
            <w:pPr>
              <w:autoSpaceDE w:val="0"/>
              <w:autoSpaceDN w:val="0"/>
              <w:jc w:val="center"/>
              <w:rPr>
                <w:rFonts w:cs="Times New Roman"/>
                <w:sz w:val="22"/>
                <w:lang w:eastAsia="lv-LV"/>
              </w:rPr>
            </w:pP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ĀM</w:t>
            </w:r>
          </w:p>
        </w:tc>
        <w:tc>
          <w:tcPr>
            <w:tcW w:w="2500" w:type="pct"/>
            <w:vAlign w:val="cente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1.jūnijs</w:t>
            </w: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TM</w:t>
            </w:r>
          </w:p>
        </w:tc>
        <w:tc>
          <w:tcPr>
            <w:tcW w:w="2500" w:type="pct"/>
            <w:vMerge w:val="restart"/>
            <w:vAlign w:val="cente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7.jūnijs</w:t>
            </w: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KM</w:t>
            </w:r>
          </w:p>
        </w:tc>
        <w:tc>
          <w:tcPr>
            <w:tcW w:w="2500" w:type="pct"/>
            <w:vMerge/>
            <w:vAlign w:val="center"/>
          </w:tcPr>
          <w:p w:rsidR="0044621F" w:rsidRPr="008E62D8" w:rsidRDefault="0044621F" w:rsidP="00C3105A">
            <w:pPr>
              <w:jc w:val="center"/>
              <w:rPr>
                <w:sz w:val="22"/>
              </w:rPr>
            </w:pP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IZM</w:t>
            </w:r>
          </w:p>
        </w:tc>
        <w:tc>
          <w:tcPr>
            <w:tcW w:w="2500" w:type="pct"/>
            <w:vMerge/>
            <w:vAlign w:val="center"/>
          </w:tcPr>
          <w:p w:rsidR="0044621F" w:rsidRPr="008E62D8" w:rsidRDefault="0044621F" w:rsidP="00C3105A">
            <w:pPr>
              <w:jc w:val="center"/>
              <w:rPr>
                <w:sz w:val="22"/>
              </w:rPr>
            </w:pPr>
          </w:p>
        </w:tc>
      </w:tr>
      <w:tr w:rsidR="0044621F" w:rsidRPr="008E62D8" w:rsidTr="00C3105A">
        <w:trPr>
          <w:trHeight w:val="302"/>
        </w:trPr>
        <w:tc>
          <w:tcPr>
            <w:tcW w:w="2500" w:type="pct"/>
            <w:tcMar>
              <w:top w:w="0" w:type="dxa"/>
              <w:left w:w="108" w:type="dxa"/>
              <w:bottom w:w="0" w:type="dxa"/>
              <w:right w:w="108" w:type="dxa"/>
            </w:tcMa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IeM</w:t>
            </w:r>
          </w:p>
        </w:tc>
        <w:tc>
          <w:tcPr>
            <w:tcW w:w="2500" w:type="pct"/>
            <w:vMerge w:val="restart"/>
            <w:vAlign w:val="cente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8.jūnijs</w:t>
            </w: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VARAM</w:t>
            </w:r>
          </w:p>
        </w:tc>
        <w:tc>
          <w:tcPr>
            <w:tcW w:w="2500" w:type="pct"/>
            <w:vMerge/>
            <w:vAlign w:val="center"/>
          </w:tcPr>
          <w:p w:rsidR="0044621F" w:rsidRPr="008E62D8" w:rsidRDefault="0044621F" w:rsidP="00C3105A">
            <w:pPr>
              <w:jc w:val="center"/>
              <w:rPr>
                <w:sz w:val="22"/>
              </w:rPr>
            </w:pP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ZM</w:t>
            </w:r>
          </w:p>
        </w:tc>
        <w:tc>
          <w:tcPr>
            <w:tcW w:w="2500" w:type="pct"/>
            <w:vMerge/>
            <w:vAlign w:val="center"/>
          </w:tcPr>
          <w:p w:rsidR="0044621F" w:rsidRPr="008E62D8" w:rsidRDefault="0044621F" w:rsidP="00C3105A">
            <w:pPr>
              <w:jc w:val="center"/>
              <w:rPr>
                <w:sz w:val="22"/>
              </w:rPr>
            </w:pP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LM</w:t>
            </w:r>
          </w:p>
        </w:tc>
        <w:tc>
          <w:tcPr>
            <w:tcW w:w="2500" w:type="pct"/>
            <w:vMerge w:val="restart"/>
            <w:vAlign w:val="cente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9.jūnijs</w:t>
            </w:r>
          </w:p>
        </w:tc>
      </w:tr>
      <w:tr w:rsidR="0044621F" w:rsidRPr="008E62D8" w:rsidTr="00C3105A">
        <w:trPr>
          <w:trHeight w:val="302"/>
        </w:trPr>
        <w:tc>
          <w:tcPr>
            <w:tcW w:w="2500" w:type="pct"/>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VM</w:t>
            </w:r>
          </w:p>
        </w:tc>
        <w:tc>
          <w:tcPr>
            <w:tcW w:w="2500" w:type="pct"/>
            <w:vMerge/>
            <w:vAlign w:val="center"/>
          </w:tcPr>
          <w:p w:rsidR="0044621F" w:rsidRPr="008E62D8" w:rsidRDefault="0044621F" w:rsidP="00C3105A">
            <w:pPr>
              <w:autoSpaceDE w:val="0"/>
              <w:autoSpaceDN w:val="0"/>
              <w:jc w:val="center"/>
              <w:rPr>
                <w:rFonts w:cs="Times New Roman"/>
                <w:sz w:val="22"/>
                <w:lang w:eastAsia="lv-LV"/>
              </w:rPr>
            </w:pPr>
          </w:p>
        </w:tc>
      </w:tr>
      <w:tr w:rsidR="0044621F" w:rsidRPr="008E62D8" w:rsidTr="00C3105A">
        <w:trPr>
          <w:trHeight w:val="302"/>
        </w:trPr>
        <w:tc>
          <w:tcPr>
            <w:tcW w:w="25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FM</w:t>
            </w:r>
          </w:p>
        </w:tc>
        <w:tc>
          <w:tcPr>
            <w:tcW w:w="2500" w:type="pct"/>
            <w:tcBorders>
              <w:top w:val="single" w:sz="4" w:space="0" w:color="auto"/>
              <w:left w:val="single" w:sz="4" w:space="0" w:color="auto"/>
              <w:bottom w:val="single" w:sz="4" w:space="0" w:color="auto"/>
              <w:right w:val="single" w:sz="4" w:space="0" w:color="auto"/>
            </w:tcBorders>
            <w:vAlign w:val="center"/>
          </w:tcPr>
          <w:p w:rsidR="0044621F" w:rsidRPr="008E62D8" w:rsidRDefault="0044621F" w:rsidP="00C3105A">
            <w:pPr>
              <w:autoSpaceDE w:val="0"/>
              <w:autoSpaceDN w:val="0"/>
              <w:jc w:val="center"/>
              <w:rPr>
                <w:rFonts w:cs="Times New Roman"/>
                <w:sz w:val="22"/>
                <w:lang w:eastAsia="lv-LV"/>
              </w:rPr>
            </w:pPr>
            <w:r w:rsidRPr="008E62D8">
              <w:rPr>
                <w:rFonts w:cs="Times New Roman"/>
                <w:sz w:val="22"/>
                <w:lang w:eastAsia="lv-LV"/>
              </w:rPr>
              <w:t>14.jūnijs</w:t>
            </w:r>
          </w:p>
        </w:tc>
      </w:tr>
    </w:tbl>
    <w:p w:rsidR="0044621F" w:rsidRDefault="0044621F" w:rsidP="008E62D8">
      <w:pPr>
        <w:spacing w:before="120"/>
        <w:ind w:firstLine="720"/>
        <w:jc w:val="both"/>
      </w:pPr>
      <w:r>
        <w:t>Tiekoties ar ministrijām, tika noteikta šāda sarunu struktūra:</w:t>
      </w:r>
    </w:p>
    <w:p w:rsidR="0044621F" w:rsidRDefault="0044621F" w:rsidP="006C051C">
      <w:pPr>
        <w:pStyle w:val="ListParagraph"/>
        <w:numPr>
          <w:ilvl w:val="0"/>
          <w:numId w:val="146"/>
        </w:numPr>
        <w:jc w:val="both"/>
      </w:pPr>
      <w:r>
        <w:t>FM ievada komentārs;</w:t>
      </w:r>
    </w:p>
    <w:p w:rsidR="0044621F" w:rsidRDefault="0044621F" w:rsidP="006C051C">
      <w:pPr>
        <w:pStyle w:val="ListParagraph"/>
        <w:numPr>
          <w:ilvl w:val="0"/>
          <w:numId w:val="146"/>
        </w:numPr>
        <w:jc w:val="both"/>
      </w:pPr>
      <w:r>
        <w:t xml:space="preserve">Nozares ministrijas prezentācija (atbilstoši </w:t>
      </w:r>
      <w:r w:rsidR="003417B0">
        <w:t xml:space="preserve">FM izsūtītajai </w:t>
      </w:r>
      <w:r>
        <w:t xml:space="preserve">sagatavei) par </w:t>
      </w:r>
      <w:r w:rsidR="003417B0">
        <w:t xml:space="preserve">pašas </w:t>
      </w:r>
      <w:r>
        <w:t>veikto budžeta pārskatīšanu</w:t>
      </w:r>
      <w:r w:rsidR="00545825">
        <w:t xml:space="preserve"> </w:t>
      </w:r>
      <w:r w:rsidR="00545825" w:rsidRPr="00E13F0B">
        <w:t xml:space="preserve">(skat. </w:t>
      </w:r>
      <w:r w:rsidR="00B54634">
        <w:t>4</w:t>
      </w:r>
      <w:r w:rsidR="00545825" w:rsidRPr="00E13F0B">
        <w:t>.pielikumu)</w:t>
      </w:r>
      <w:r w:rsidR="00540A8D">
        <w:rPr>
          <w:rStyle w:val="FootnoteReference"/>
        </w:rPr>
        <w:footnoteReference w:id="1"/>
      </w:r>
      <w:r>
        <w:t>;</w:t>
      </w:r>
    </w:p>
    <w:p w:rsidR="0044621F" w:rsidRDefault="0044621F" w:rsidP="006C051C">
      <w:pPr>
        <w:pStyle w:val="ListParagraph"/>
        <w:numPr>
          <w:ilvl w:val="0"/>
          <w:numId w:val="146"/>
        </w:numPr>
        <w:jc w:val="both"/>
      </w:pPr>
      <w:r>
        <w:t>FM prezentācija par galvenajiem 2017.gada izdevumu pārskatīšanas rezultātiem;</w:t>
      </w:r>
    </w:p>
    <w:p w:rsidR="001C49B4" w:rsidRDefault="001C49B4" w:rsidP="006C051C">
      <w:pPr>
        <w:pStyle w:val="ListParagraph"/>
        <w:numPr>
          <w:ilvl w:val="0"/>
          <w:numId w:val="146"/>
        </w:numPr>
        <w:jc w:val="both"/>
      </w:pPr>
      <w:r>
        <w:t xml:space="preserve">VK prezentācija par </w:t>
      </w:r>
      <w:r w:rsidRPr="001C49B4">
        <w:t>atbalsta funkciju ekonomisko efektivitāti</w:t>
      </w:r>
      <w:r>
        <w:t>;</w:t>
      </w:r>
    </w:p>
    <w:p w:rsidR="004A2026" w:rsidRDefault="0044621F" w:rsidP="006C051C">
      <w:pPr>
        <w:pStyle w:val="ListParagraph"/>
        <w:numPr>
          <w:ilvl w:val="0"/>
          <w:numId w:val="146"/>
        </w:numPr>
        <w:jc w:val="both"/>
      </w:pPr>
      <w:r>
        <w:t>Jautājumi un diskusija</w:t>
      </w:r>
      <w:r w:rsidR="003417B0">
        <w:t>s</w:t>
      </w:r>
      <w:r>
        <w:t>.</w:t>
      </w:r>
    </w:p>
    <w:p w:rsidR="004A2026" w:rsidRPr="004A2026" w:rsidRDefault="004A2026" w:rsidP="000532B4">
      <w:pPr>
        <w:spacing w:before="120"/>
        <w:jc w:val="both"/>
        <w:rPr>
          <w:b/>
          <w:u w:val="single"/>
        </w:rPr>
      </w:pPr>
      <w:r>
        <w:rPr>
          <w:b/>
          <w:u w:val="single"/>
        </w:rPr>
        <w:t>Izdevumu pārskatīšanas rezultātu kopsavilkums</w:t>
      </w:r>
    </w:p>
    <w:p w:rsidR="00B54634" w:rsidRDefault="004D15A3" w:rsidP="008E62D8">
      <w:pPr>
        <w:spacing w:before="60"/>
        <w:ind w:firstLine="709"/>
        <w:jc w:val="both"/>
      </w:pPr>
      <w:r w:rsidRPr="00B54634">
        <w:rPr>
          <w:szCs w:val="24"/>
        </w:rPr>
        <w:t xml:space="preserve">Atbilstoši FM veiktajam novērtējumam </w:t>
      </w:r>
      <w:r w:rsidR="0075513D" w:rsidRPr="00B54634">
        <w:rPr>
          <w:szCs w:val="24"/>
        </w:rPr>
        <w:t>2017.gada izdevumu pārskatīšanas rezultāt</w:t>
      </w:r>
      <w:r w:rsidRPr="00B54634">
        <w:rPr>
          <w:szCs w:val="24"/>
        </w:rPr>
        <w:t xml:space="preserve">i 2018.gadā veido </w:t>
      </w:r>
      <w:r w:rsidR="000532B4">
        <w:rPr>
          <w:szCs w:val="24"/>
        </w:rPr>
        <w:t xml:space="preserve"> 81,1</w:t>
      </w:r>
      <w:r w:rsidRPr="00B54634">
        <w:rPr>
          <w:szCs w:val="24"/>
        </w:rPr>
        <w:t xml:space="preserve"> </w:t>
      </w:r>
      <w:r w:rsidRPr="00B54634">
        <w:t xml:space="preserve">milj. </w:t>
      </w:r>
      <w:r w:rsidRPr="00B54634">
        <w:rPr>
          <w:i/>
        </w:rPr>
        <w:t>euro</w:t>
      </w:r>
      <w:r w:rsidRPr="00B54634">
        <w:t xml:space="preserve">, 2019.gadā </w:t>
      </w:r>
      <w:r w:rsidR="000532B4">
        <w:t xml:space="preserve"> 73,1</w:t>
      </w:r>
      <w:r w:rsidRPr="00B54634">
        <w:t xml:space="preserve"> milj. </w:t>
      </w:r>
      <w:r w:rsidRPr="00B54634">
        <w:rPr>
          <w:i/>
        </w:rPr>
        <w:t>euro</w:t>
      </w:r>
      <w:r w:rsidR="00A77C0E" w:rsidRPr="00B54634">
        <w:t xml:space="preserve"> (skat. </w:t>
      </w:r>
      <w:r w:rsidR="00B54634" w:rsidRPr="00B54634">
        <w:t>1.-3.</w:t>
      </w:r>
      <w:r w:rsidR="00A77C0E" w:rsidRPr="00B54634">
        <w:t>pielikumu)</w:t>
      </w:r>
      <w:r w:rsidRPr="00B54634">
        <w:t>.</w:t>
      </w:r>
      <w:r w:rsidR="00A77C0E" w:rsidRPr="00B54634">
        <w:t xml:space="preserve"> Izdevumu</w:t>
      </w:r>
      <w:r w:rsidR="00A77C0E">
        <w:t xml:space="preserve"> pārskatīšanas rezultāti atspoguļo ministrijām potenciāli pieejamo</w:t>
      </w:r>
      <w:r w:rsidR="003B3715">
        <w:t>s</w:t>
      </w:r>
      <w:r w:rsidR="00A77C0E">
        <w:t xml:space="preserve"> (iekšējos) finanšu resursus </w:t>
      </w:r>
      <w:r w:rsidR="003B3715">
        <w:t>aktuālo prioritāšu finansēšanai, tajā skaitā resursus, ko ministrijas ir novirzījušas tādu mērķu finansēšanai, kas ir atšķirīgi no resursu sākotnējā piešķiršanas mērķa. Norādītie rezultāti izriet no – iepriekšējo periodu prioritāro pasākumu aktualitātes, sasniedzamo rezultātu un mērķu atbilstības pārskatīšanas; iespējas izdevumu segšanai izmantot uzkrātos maksas pakalpojumu un citu pašu ieņēmumu naudas līdzekļu atlikumus; valsts pārvaldes funkciju un finanšu vadības procesu pilnveidošanas</w:t>
      </w:r>
      <w:r w:rsidR="00DD1A82">
        <w:t>;</w:t>
      </w:r>
      <w:r w:rsidR="003B3715">
        <w:t xml:space="preserve"> ilgstošo vakanču </w:t>
      </w:r>
      <w:r w:rsidR="00DD1A82">
        <w:t xml:space="preserve">pārvērtēšanas; </w:t>
      </w:r>
      <w:r w:rsidR="00DD1A82">
        <w:rPr>
          <w:szCs w:val="24"/>
        </w:rPr>
        <w:t xml:space="preserve">MPK cenrāžu aktualizēšanas atbilstoši dabiskajam izmaksu pieaugumam; zemākās prioritātes administratīvo izdevumu </w:t>
      </w:r>
      <w:r w:rsidR="00DD1A82">
        <w:t>pārskatīšanas.</w:t>
      </w:r>
    </w:p>
    <w:p w:rsidR="00616BDB" w:rsidRDefault="00B54634" w:rsidP="000532B4">
      <w:pPr>
        <w:spacing w:after="120"/>
        <w:ind w:firstLine="709"/>
        <w:jc w:val="both"/>
        <w:rPr>
          <w:rFonts w:eastAsiaTheme="majorEastAsia" w:cs="Times New Roman"/>
          <w:sz w:val="32"/>
          <w:szCs w:val="32"/>
        </w:rPr>
      </w:pPr>
      <w:r w:rsidRPr="00B54634">
        <w:rPr>
          <w:rFonts w:cs="Times New Roman"/>
        </w:rPr>
        <w:t>Priekšlikumi par valsts budžeta izdevumu pārskatīšanas rezultātu izmantošanu likumprojekta “Par vidēja termiņa budžeta 2018., 2019. un 2020.gadam” un likumprojekta “Par valsts budžetu 2018.gadam” izstrādes procesā iekļauti MK sēdes protokollēmuma projektā.</w:t>
      </w:r>
      <w:r w:rsidR="00616BDB">
        <w:rPr>
          <w:rFonts w:cs="Times New Roman"/>
        </w:rPr>
        <w:br w:type="page"/>
      </w:r>
    </w:p>
    <w:p w:rsidR="00B06ABF" w:rsidRPr="000C0108" w:rsidRDefault="00616BDB" w:rsidP="000C0108">
      <w:pPr>
        <w:pStyle w:val="Heading1"/>
        <w:numPr>
          <w:ilvl w:val="0"/>
          <w:numId w:val="1"/>
        </w:numPr>
        <w:tabs>
          <w:tab w:val="left" w:pos="426"/>
        </w:tabs>
        <w:spacing w:after="360"/>
        <w:ind w:left="0" w:firstLine="0"/>
        <w:jc w:val="center"/>
        <w:rPr>
          <w:rFonts w:ascii="Times New Roman" w:hAnsi="Times New Roman" w:cs="Times New Roman"/>
          <w:color w:val="auto"/>
          <w:sz w:val="28"/>
          <w:szCs w:val="28"/>
        </w:rPr>
      </w:pPr>
      <w:bookmarkStart w:id="1" w:name="_Toc487036785"/>
      <w:r w:rsidRPr="00616BDB">
        <w:rPr>
          <w:rFonts w:ascii="Times New Roman" w:hAnsi="Times New Roman" w:cs="Times New Roman"/>
          <w:color w:val="auto"/>
          <w:sz w:val="28"/>
          <w:szCs w:val="28"/>
        </w:rPr>
        <w:lastRenderedPageBreak/>
        <w:t>IEPRIEKŠEJĀS IZDEVUMU PĀRSKATĪŠANAS REZULTĀTU IEVIEŠANA</w:t>
      </w:r>
      <w:bookmarkEnd w:id="1"/>
    </w:p>
    <w:p w:rsidR="004F23A3" w:rsidRDefault="00AA4D5A" w:rsidP="00A93475">
      <w:pPr>
        <w:spacing w:after="240"/>
        <w:ind w:firstLine="709"/>
        <w:jc w:val="both"/>
      </w:pPr>
      <w:r>
        <w:rPr>
          <w:noProof/>
          <w:lang w:eastAsia="lv-LV"/>
        </w:rPr>
        <w:drawing>
          <wp:anchor distT="0" distB="0" distL="114300" distR="114300" simplePos="0" relativeHeight="251692032" behindDoc="1" locked="0" layoutInCell="1" allowOverlap="1" wp14:anchorId="09C2137D" wp14:editId="75724FF7">
            <wp:simplePos x="0" y="0"/>
            <wp:positionH relativeFrom="margin">
              <wp:align>right</wp:align>
            </wp:positionH>
            <wp:positionV relativeFrom="paragraph">
              <wp:posOffset>1197279</wp:posOffset>
            </wp:positionV>
            <wp:extent cx="5684354" cy="2650657"/>
            <wp:effectExtent l="0" t="0" r="0" b="0"/>
            <wp:wrapTight wrapText="bothSides">
              <wp:wrapPolygon edited="0">
                <wp:start x="217" y="0"/>
                <wp:lineTo x="217" y="931"/>
                <wp:lineTo x="5574" y="2639"/>
                <wp:lineTo x="507" y="2950"/>
                <wp:lineTo x="434" y="3881"/>
                <wp:lineTo x="2823" y="5123"/>
                <wp:lineTo x="507" y="6210"/>
                <wp:lineTo x="507" y="7141"/>
                <wp:lineTo x="2461" y="7607"/>
                <wp:lineTo x="579" y="9160"/>
                <wp:lineTo x="434" y="10091"/>
                <wp:lineTo x="724" y="10091"/>
                <wp:lineTo x="434" y="12575"/>
                <wp:lineTo x="434" y="13041"/>
                <wp:lineTo x="2099" y="15059"/>
                <wp:lineTo x="724" y="15369"/>
                <wp:lineTo x="652" y="15835"/>
                <wp:lineTo x="1158" y="17543"/>
                <wp:lineTo x="724" y="20027"/>
                <wp:lineTo x="362" y="20027"/>
                <wp:lineTo x="434" y="21114"/>
                <wp:lineTo x="1375" y="21424"/>
                <wp:lineTo x="19691" y="21424"/>
                <wp:lineTo x="20994" y="21114"/>
                <wp:lineTo x="21356" y="20803"/>
                <wp:lineTo x="21429" y="16146"/>
                <wp:lineTo x="21139" y="15680"/>
                <wp:lineTo x="19981" y="15059"/>
                <wp:lineTo x="21139" y="13041"/>
                <wp:lineTo x="21139" y="12575"/>
                <wp:lineTo x="19981" y="12575"/>
                <wp:lineTo x="19981" y="10091"/>
                <wp:lineTo x="21139" y="9936"/>
                <wp:lineTo x="21139" y="9625"/>
                <wp:lineTo x="19981" y="7607"/>
                <wp:lineTo x="21139" y="6831"/>
                <wp:lineTo x="21139" y="6365"/>
                <wp:lineTo x="19981" y="5123"/>
                <wp:lineTo x="21139" y="3726"/>
                <wp:lineTo x="21139" y="3260"/>
                <wp:lineTo x="19981" y="2639"/>
                <wp:lineTo x="21284" y="310"/>
                <wp:lineTo x="1086" y="0"/>
                <wp:lineTo x="217"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4354" cy="2650657"/>
                    </a:xfrm>
                    <a:prstGeom prst="rect">
                      <a:avLst/>
                    </a:prstGeom>
                    <a:noFill/>
                  </pic:spPr>
                </pic:pic>
              </a:graphicData>
            </a:graphic>
          </wp:anchor>
        </w:drawing>
      </w:r>
      <w:r w:rsidR="00185ED4" w:rsidRPr="00185ED4">
        <w:t xml:space="preserve">Atbilstoši </w:t>
      </w:r>
      <w:r w:rsidR="00D30176">
        <w:t>MK</w:t>
      </w:r>
      <w:r w:rsidR="00922FC8">
        <w:t xml:space="preserve"> 2016.gada 31.maija sēdes protokolam Nr.26 </w:t>
      </w:r>
      <w:r w:rsidR="00922FC8" w:rsidRPr="00922FC8">
        <w:t>39.§</w:t>
      </w:r>
      <w:r w:rsidR="00922FC8">
        <w:t xml:space="preserve"> “Informatīvais ziņojums “</w:t>
      </w:r>
      <w:r w:rsidR="00922FC8" w:rsidRPr="00922FC8">
        <w:t>Par valsts budžeta izdevumu pārskatīšanas 2017., 2018. un 2019.gadam rezultātiem un priekšlikumi par šo rezul</w:t>
      </w:r>
      <w:r w:rsidR="00922FC8">
        <w:t>tātu izmantošanu likumprojekta “</w:t>
      </w:r>
      <w:r w:rsidR="00922FC8" w:rsidRPr="00922FC8">
        <w:t>Par vidēja termiņa bud</w:t>
      </w:r>
      <w:r w:rsidR="00922FC8">
        <w:t>žeta 2017., 2018. un 2019.gadam” un likumprojekta “</w:t>
      </w:r>
      <w:r w:rsidR="00922FC8" w:rsidRPr="00922FC8">
        <w:t>Par valsts budžetu</w:t>
      </w:r>
      <w:r w:rsidR="00922FC8">
        <w:t xml:space="preserve"> 2017.gadam” izstrādes procesā” nolemtajam izdevumu pārskatīšanas rezultātā identificēti pieejamie resursi 2017. un 2018.gadam 61,3 milj. </w:t>
      </w:r>
      <w:r w:rsidR="00922FC8" w:rsidRPr="00922FC8">
        <w:rPr>
          <w:i/>
        </w:rPr>
        <w:t>euro</w:t>
      </w:r>
      <w:r w:rsidR="00A93475">
        <w:t xml:space="preserve"> apmērā ik gadu.</w:t>
      </w:r>
    </w:p>
    <w:p w:rsidR="007D7B55" w:rsidRDefault="007D7B55" w:rsidP="00FB23DC">
      <w:pPr>
        <w:jc w:val="center"/>
      </w:pPr>
    </w:p>
    <w:p w:rsidR="00AA4D5A" w:rsidRDefault="00AA4D5A" w:rsidP="00FB23DC">
      <w:pPr>
        <w:jc w:val="center"/>
      </w:pPr>
    </w:p>
    <w:p w:rsidR="00AA4D5A" w:rsidRDefault="00AA4D5A" w:rsidP="00FB23DC">
      <w:pPr>
        <w:jc w:val="center"/>
      </w:pPr>
    </w:p>
    <w:p w:rsidR="00AF6622" w:rsidRPr="00AF6622" w:rsidRDefault="00AF6622" w:rsidP="00AF6622">
      <w:pPr>
        <w:jc w:val="both"/>
        <w:rPr>
          <w:i/>
          <w:sz w:val="10"/>
          <w:szCs w:val="10"/>
        </w:rPr>
      </w:pPr>
    </w:p>
    <w:p w:rsidR="00594353" w:rsidRPr="00466FD6" w:rsidRDefault="00F539DC" w:rsidP="00466FD6">
      <w:pPr>
        <w:spacing w:after="240"/>
        <w:jc w:val="center"/>
        <w:rPr>
          <w:i/>
          <w:sz w:val="22"/>
        </w:rPr>
      </w:pPr>
      <w:r>
        <w:rPr>
          <w:i/>
          <w:sz w:val="22"/>
        </w:rPr>
        <w:t>1.1</w:t>
      </w:r>
      <w:r w:rsidR="00AF6622" w:rsidRPr="009421BF">
        <w:rPr>
          <w:i/>
          <w:sz w:val="22"/>
        </w:rPr>
        <w:t>. att</w:t>
      </w:r>
      <w:r w:rsidR="00AF6622" w:rsidRPr="009421BF">
        <w:rPr>
          <w:sz w:val="22"/>
        </w:rPr>
        <w:t xml:space="preserve">. </w:t>
      </w:r>
      <w:r w:rsidR="00AF6622">
        <w:rPr>
          <w:b/>
          <w:sz w:val="22"/>
        </w:rPr>
        <w:t>Izdevumu pārskatīšanas rezultātā identificētie pieejamie resursi</w:t>
      </w:r>
      <w:r w:rsidR="00D30176">
        <w:rPr>
          <w:b/>
          <w:sz w:val="22"/>
        </w:rPr>
        <w:t xml:space="preserve"> un ministriju ieviestais</w:t>
      </w:r>
      <w:r w:rsidR="00AF6622">
        <w:rPr>
          <w:b/>
          <w:sz w:val="22"/>
        </w:rPr>
        <w:t xml:space="preserve">, milj. </w:t>
      </w:r>
      <w:r w:rsidR="00AF6622" w:rsidRPr="00AF6622">
        <w:rPr>
          <w:b/>
          <w:i/>
          <w:sz w:val="22"/>
        </w:rPr>
        <w:t>euro</w:t>
      </w:r>
    </w:p>
    <w:p w:rsidR="0084722F" w:rsidRDefault="000453CC" w:rsidP="0084722F">
      <w:pPr>
        <w:spacing w:after="120"/>
        <w:ind w:firstLine="709"/>
        <w:jc w:val="both"/>
      </w:pPr>
      <w:r>
        <w:tab/>
        <w:t>I</w:t>
      </w:r>
      <w:r w:rsidR="009E6321">
        <w:t xml:space="preserve">zdevumu pārskatīšanās rezultātā ieviests vairāk nekā sākotnēji konstatēts, respektīvi, </w:t>
      </w:r>
      <w:r w:rsidR="00675A58">
        <w:t>2017.gad</w:t>
      </w:r>
      <w:r w:rsidR="00FB4B61">
        <w:t>ā ieviesti 77,1</w:t>
      </w:r>
      <w:r>
        <w:t xml:space="preserve"> milj. </w:t>
      </w:r>
      <w:r w:rsidRPr="000453CC">
        <w:rPr>
          <w:i/>
        </w:rPr>
        <w:t>euro</w:t>
      </w:r>
      <w:r w:rsidR="00FB4B61">
        <w:t>, kas ir par 15,8</w:t>
      </w:r>
      <w:r>
        <w:t xml:space="preserve"> milj. </w:t>
      </w:r>
      <w:r w:rsidRPr="000453CC">
        <w:rPr>
          <w:i/>
        </w:rPr>
        <w:t>euro</w:t>
      </w:r>
      <w:r w:rsidR="00FB4B61">
        <w:t xml:space="preserve"> jeb 25,8</w:t>
      </w:r>
      <w:r>
        <w:t>% vairāk</w:t>
      </w:r>
      <w:r w:rsidR="00D30176">
        <w:t xml:space="preserve"> nekā konstatēts</w:t>
      </w:r>
      <w:r>
        <w:t xml:space="preserve">, </w:t>
      </w:r>
      <w:r w:rsidR="00FB4B61">
        <w:t>savukārt 2018.gadā ieviests 88,0</w:t>
      </w:r>
      <w:r>
        <w:t xml:space="preserve"> milj. </w:t>
      </w:r>
      <w:r w:rsidRPr="000453CC">
        <w:rPr>
          <w:i/>
        </w:rPr>
        <w:t>euro</w:t>
      </w:r>
      <w:r>
        <w:t>, kas</w:t>
      </w:r>
      <w:r w:rsidR="00FB4B61">
        <w:t xml:space="preserve"> ir par 26,7</w:t>
      </w:r>
      <w:r>
        <w:t xml:space="preserve"> milj. </w:t>
      </w:r>
      <w:r w:rsidRPr="000453CC">
        <w:rPr>
          <w:i/>
        </w:rPr>
        <w:t>euro</w:t>
      </w:r>
      <w:r w:rsidR="00FB4B61">
        <w:t xml:space="preserve"> jeb 43,6%</w:t>
      </w:r>
      <w:r>
        <w:t xml:space="preserve"> vairāk</w:t>
      </w:r>
      <w:r w:rsidR="00D30176">
        <w:t xml:space="preserve"> nekā konstatēts</w:t>
      </w:r>
      <w:r>
        <w:t xml:space="preserve"> (skat. attēlu Nr.</w:t>
      </w:r>
      <w:r w:rsidR="00F539DC">
        <w:t>1.1</w:t>
      </w:r>
      <w:r>
        <w:t>)</w:t>
      </w:r>
      <w:r w:rsidR="0084722F">
        <w:t xml:space="preserve">. </w:t>
      </w:r>
    </w:p>
    <w:p w:rsidR="0084722F" w:rsidRPr="0084722F" w:rsidRDefault="0084722F" w:rsidP="0084722F">
      <w:pPr>
        <w:spacing w:after="120"/>
        <w:ind w:firstLine="709"/>
        <w:jc w:val="both"/>
      </w:pPr>
      <w:r w:rsidRPr="0084722F">
        <w:t>Tas skaidrojams ar to, ka papildus konstatētajam:</w:t>
      </w:r>
    </w:p>
    <w:p w:rsidR="0084722F" w:rsidRDefault="0084722F" w:rsidP="00B127E1">
      <w:pPr>
        <w:pStyle w:val="ListParagraph"/>
        <w:numPr>
          <w:ilvl w:val="0"/>
          <w:numId w:val="5"/>
        </w:numPr>
        <w:spacing w:after="120"/>
        <w:contextualSpacing w:val="0"/>
        <w:jc w:val="both"/>
      </w:pPr>
      <w:r>
        <w:t xml:space="preserve">no 62.resora 2017.gadam 5,3 milj. </w:t>
      </w:r>
      <w:r w:rsidRPr="0084722F">
        <w:rPr>
          <w:i/>
        </w:rPr>
        <w:t>euro</w:t>
      </w:r>
      <w:r>
        <w:t xml:space="preserve"> un 2018.gadam 11,8 milj. </w:t>
      </w:r>
      <w:r w:rsidRPr="0084722F">
        <w:rPr>
          <w:i/>
        </w:rPr>
        <w:t>euro</w:t>
      </w:r>
      <w:r>
        <w:t xml:space="preserve"> tika </w:t>
      </w:r>
      <w:r w:rsidR="00C06B7F">
        <w:t>novirzīti</w:t>
      </w:r>
      <w:r w:rsidR="001B662C">
        <w:t xml:space="preserve"> pedagogu darba samaksas</w:t>
      </w:r>
      <w:r w:rsidR="004F23A3">
        <w:t xml:space="preserve"> reformas</w:t>
      </w:r>
      <w:r w:rsidR="001B662C">
        <w:t xml:space="preserve"> īstenošanai;</w:t>
      </w:r>
    </w:p>
    <w:p w:rsidR="001B662C" w:rsidRDefault="000C0108" w:rsidP="00B127E1">
      <w:pPr>
        <w:pStyle w:val="ListParagraph"/>
        <w:numPr>
          <w:ilvl w:val="0"/>
          <w:numId w:val="5"/>
        </w:numPr>
        <w:spacing w:after="120"/>
        <w:contextualSpacing w:val="0"/>
        <w:jc w:val="both"/>
      </w:pPr>
      <w:r>
        <w:t>TM</w:t>
      </w:r>
      <w:r w:rsidR="00A41367">
        <w:t xml:space="preserve"> ietaupījumu 0,9 milj. </w:t>
      </w:r>
      <w:r w:rsidR="00A41367" w:rsidRPr="00A41367">
        <w:rPr>
          <w:i/>
        </w:rPr>
        <w:t>euro</w:t>
      </w:r>
      <w:r w:rsidR="00A41367">
        <w:t xml:space="preserve"> apmērā no Vecumnieku cietuma likvidēšanas ar 2017.gada 1.janvāri novirzīja i</w:t>
      </w:r>
      <w:r w:rsidR="00A41367" w:rsidRPr="00A41367">
        <w:t>eslodzīto resocializācijas programmu īstenošana</w:t>
      </w:r>
      <w:r w:rsidR="00A41367">
        <w:t>i</w:t>
      </w:r>
      <w:r w:rsidR="00A41367" w:rsidRPr="00A41367">
        <w:t xml:space="preserve"> Olaines cietuma Atkarīgo centrā</w:t>
      </w:r>
      <w:r w:rsidR="00A41367">
        <w:t>;</w:t>
      </w:r>
    </w:p>
    <w:p w:rsidR="0065771B" w:rsidRDefault="00244AFB" w:rsidP="00B127E1">
      <w:pPr>
        <w:pStyle w:val="ListParagraph"/>
        <w:numPr>
          <w:ilvl w:val="0"/>
          <w:numId w:val="5"/>
        </w:numPr>
        <w:spacing w:after="120"/>
        <w:ind w:hanging="436"/>
        <w:contextualSpacing w:val="0"/>
        <w:jc w:val="both"/>
      </w:pPr>
      <w:r>
        <w:t>ņ</w:t>
      </w:r>
      <w:r w:rsidR="00F87919">
        <w:t>emot vērā 2016.</w:t>
      </w:r>
      <w:r w:rsidR="00A02513">
        <w:t>gada 10.jūnija</w:t>
      </w:r>
      <w:r w:rsidR="00F3194B">
        <w:t xml:space="preserve"> </w:t>
      </w:r>
      <w:r w:rsidR="00F87919">
        <w:t xml:space="preserve">aktualizētās </w:t>
      </w:r>
      <w:r>
        <w:t xml:space="preserve">samazinātās </w:t>
      </w:r>
      <w:r w:rsidR="00F87919">
        <w:t>IKP prognozes, nodro</w:t>
      </w:r>
      <w:r>
        <w:t>šinā</w:t>
      </w:r>
      <w:r w:rsidR="00F3194B">
        <w:t>t</w:t>
      </w:r>
      <w:r>
        <w:t>s</w:t>
      </w:r>
      <w:r w:rsidR="00F3194B">
        <w:t xml:space="preserve"> Ai</w:t>
      </w:r>
      <w:r w:rsidR="00C3105A">
        <w:t>M</w:t>
      </w:r>
      <w:r w:rsidR="00F3194B">
        <w:t xml:space="preserve"> bud</w:t>
      </w:r>
      <w:r>
        <w:t>žets</w:t>
      </w:r>
      <w:r w:rsidR="00F3194B">
        <w:t xml:space="preserve"> 2% </w:t>
      </w:r>
      <w:r>
        <w:t xml:space="preserve">apmērā </w:t>
      </w:r>
      <w:r w:rsidR="00F3194B">
        <w:t>no</w:t>
      </w:r>
      <w:r w:rsidR="00F87919">
        <w:t xml:space="preserve"> IKP</w:t>
      </w:r>
      <w:r>
        <w:t xml:space="preserve">, līdzekļu ietaupījumu novirzot </w:t>
      </w:r>
      <w:r w:rsidR="00174AB2">
        <w:t>aktuālākām prioritātēm</w:t>
      </w:r>
      <w:r w:rsidR="008C18FD">
        <w:t>;</w:t>
      </w:r>
    </w:p>
    <w:p w:rsidR="002C1A04" w:rsidRDefault="001D08A0" w:rsidP="007D6F20">
      <w:pPr>
        <w:pStyle w:val="ListParagraph"/>
        <w:numPr>
          <w:ilvl w:val="0"/>
          <w:numId w:val="5"/>
        </w:numPr>
        <w:spacing w:after="120"/>
        <w:contextualSpacing w:val="0"/>
        <w:jc w:val="both"/>
      </w:pPr>
      <w:r w:rsidRPr="001D08A0">
        <w:t>atbilstoši 2016.gadā pieņemtajiem grozījumiem Autoceļu lietoš</w:t>
      </w:r>
      <w:r>
        <w:t>anas nodevas likumā, kas paredz</w:t>
      </w:r>
      <w:r w:rsidRPr="001D08A0">
        <w:t xml:space="preserve"> jaunus autoceļu posmus, par kuriem ir maksājama nodeva, kā arī veicot grozījumus Latvijas Administratīvajā pārkāpumu kodeksā, paredzot jaunus sodus par autoceļu lietošanas nodevas maksāšanas pārkāpumiem, tika palielināta nodevas ieņēmumu prognoze, salīdzi</w:t>
      </w:r>
      <w:r>
        <w:t>not ar iepriekš prognozētiem 25,0</w:t>
      </w:r>
      <w:r w:rsidRPr="001D08A0">
        <w:t xml:space="preserve"> milj. </w:t>
      </w:r>
      <w:r w:rsidRPr="001D08A0">
        <w:rPr>
          <w:i/>
        </w:rPr>
        <w:t>euro</w:t>
      </w:r>
      <w:r w:rsidRPr="001D08A0">
        <w:t xml:space="preserve">, 2017.gadā </w:t>
      </w:r>
      <w:r>
        <w:t xml:space="preserve">tā palielināta </w:t>
      </w:r>
      <w:r w:rsidRPr="001D08A0">
        <w:t>par 2,8 milj.</w:t>
      </w:r>
      <w:r>
        <w:t xml:space="preserve"> </w:t>
      </w:r>
      <w:r w:rsidRPr="001D08A0">
        <w:rPr>
          <w:i/>
        </w:rPr>
        <w:t>euro</w:t>
      </w:r>
      <w:r w:rsidRPr="001D08A0">
        <w:t xml:space="preserve">, </w:t>
      </w:r>
      <w:r>
        <w:t xml:space="preserve">savukārt </w:t>
      </w:r>
      <w:r w:rsidRPr="001D08A0">
        <w:t>2018., 2019.gadā par 7,3 milj.</w:t>
      </w:r>
      <w:r>
        <w:t xml:space="preserve"> </w:t>
      </w:r>
      <w:r w:rsidRPr="001D08A0">
        <w:rPr>
          <w:i/>
        </w:rPr>
        <w:t>euro</w:t>
      </w:r>
      <w:r>
        <w:t xml:space="preserve"> ik gadu, līdz ar to </w:t>
      </w:r>
      <w:r w:rsidRPr="001D08A0">
        <w:t>2017.g</w:t>
      </w:r>
      <w:r>
        <w:t xml:space="preserve">adā </w:t>
      </w:r>
      <w:r>
        <w:lastRenderedPageBreak/>
        <w:t>nodevas ieņēmumi ir plānoti</w:t>
      </w:r>
      <w:r w:rsidRPr="001D08A0">
        <w:t xml:space="preserve"> 27,8 milj. </w:t>
      </w:r>
      <w:r w:rsidRPr="001D08A0">
        <w:rPr>
          <w:i/>
        </w:rPr>
        <w:t>euro</w:t>
      </w:r>
      <w:r>
        <w:rPr>
          <w:i/>
        </w:rPr>
        <w:t xml:space="preserve"> </w:t>
      </w:r>
      <w:r>
        <w:t xml:space="preserve">apmērā, 2018., un </w:t>
      </w:r>
      <w:r w:rsidRPr="001D08A0">
        <w:t>2019.gadā 32,3 milj.</w:t>
      </w:r>
      <w:r>
        <w:t xml:space="preserve"> </w:t>
      </w:r>
      <w:r w:rsidRPr="001D08A0">
        <w:rPr>
          <w:i/>
        </w:rPr>
        <w:t>euro</w:t>
      </w:r>
      <w:r w:rsidRPr="001D08A0">
        <w:t xml:space="preserve"> </w:t>
      </w:r>
      <w:r>
        <w:t xml:space="preserve">apmērā </w:t>
      </w:r>
      <w:r w:rsidRPr="001D08A0">
        <w:t>ik gadu.</w:t>
      </w:r>
    </w:p>
    <w:p w:rsidR="002C1A04" w:rsidRPr="007D6F20" w:rsidRDefault="00840BA2" w:rsidP="007D6F20">
      <w:pPr>
        <w:spacing w:after="240"/>
        <w:ind w:firstLine="709"/>
        <w:jc w:val="both"/>
      </w:pPr>
      <w:r>
        <w:t>A</w:t>
      </w:r>
      <w:r w:rsidR="002C1A04">
        <w:t xml:space="preserve">r </w:t>
      </w:r>
      <w:r w:rsidR="00FD7FDB">
        <w:t>MK</w:t>
      </w:r>
      <w:r w:rsidR="002C1A04">
        <w:t xml:space="preserve"> 2016.gada 31.maija sēdes protokolu Nr.26 </w:t>
      </w:r>
      <w:r w:rsidR="002C1A04" w:rsidRPr="00922FC8">
        <w:t>39.§</w:t>
      </w:r>
      <w:r w:rsidR="002C1A04">
        <w:t xml:space="preserve"> “Informatīvais ziņojums “</w:t>
      </w:r>
      <w:r w:rsidR="002C1A04" w:rsidRPr="00922FC8">
        <w:t>Par valsts budžeta izdevumu pārskatīšanas 2017., 2018. un 2019.gadam rezultātiem un priekšlikumi par šo rezul</w:t>
      </w:r>
      <w:r w:rsidR="002C1A04">
        <w:t>tātu izmantošanu likumprojekta “</w:t>
      </w:r>
      <w:r w:rsidR="002C1A04" w:rsidRPr="00922FC8">
        <w:t>Par vidēja termiņa bud</w:t>
      </w:r>
      <w:r w:rsidR="002C1A04">
        <w:t>žeta 2017., 2018. un 2019.gadam” un likumprojekta “</w:t>
      </w:r>
      <w:r w:rsidR="002C1A04" w:rsidRPr="00922FC8">
        <w:t>Par valsts budžetu</w:t>
      </w:r>
      <w:r w:rsidR="002C1A04">
        <w:t xml:space="preserve"> 2017.gadam” izstrādes procesā” </w:t>
      </w:r>
      <w:r w:rsidR="003227C1">
        <w:t>ministrijām tika uzdotie vairāki uzdevumi</w:t>
      </w:r>
      <w:r w:rsidR="00194577">
        <w:t xml:space="preserve"> – kopskaitā 53 uzdevumi</w:t>
      </w:r>
      <w:r w:rsidR="003227C1">
        <w:t xml:space="preserve">. </w:t>
      </w:r>
      <w:r w:rsidR="00194577">
        <w:t>U</w:t>
      </w:r>
      <w:r w:rsidR="002C1A04">
        <w:t>zdoto uzdevumu izpilde</w:t>
      </w:r>
      <w:r w:rsidR="003227C1">
        <w:t>s statuss</w:t>
      </w:r>
      <w:r w:rsidR="006536C5">
        <w:rPr>
          <w:rStyle w:val="FootnoteReference"/>
        </w:rPr>
        <w:footnoteReference w:id="2"/>
      </w:r>
      <w:r w:rsidR="00194577">
        <w:t xml:space="preserve"> atspoguļots attēlā Nr.1.2</w:t>
      </w:r>
      <w:r w:rsidR="007D6F20">
        <w:t xml:space="preserve">. </w:t>
      </w:r>
    </w:p>
    <w:p w:rsidR="003227C1" w:rsidRDefault="003227C1" w:rsidP="003227C1">
      <w:pPr>
        <w:jc w:val="center"/>
        <w:rPr>
          <w:b/>
        </w:rPr>
      </w:pPr>
      <w:r>
        <w:rPr>
          <w:noProof/>
          <w:lang w:eastAsia="lv-LV"/>
        </w:rPr>
        <w:drawing>
          <wp:inline distT="0" distB="0" distL="0" distR="0" wp14:anchorId="6708BB7E" wp14:editId="1FF3B71F">
            <wp:extent cx="4548146" cy="2449002"/>
            <wp:effectExtent l="0" t="0" r="5080" b="889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227C1" w:rsidRPr="003227C1" w:rsidRDefault="003227C1" w:rsidP="00961D15">
      <w:pPr>
        <w:spacing w:before="120" w:after="240"/>
        <w:jc w:val="center"/>
        <w:rPr>
          <w:b/>
          <w:sz w:val="22"/>
        </w:rPr>
      </w:pPr>
      <w:r w:rsidRPr="003227C1">
        <w:rPr>
          <w:i/>
          <w:sz w:val="22"/>
        </w:rPr>
        <w:t>1.2. att.</w:t>
      </w:r>
      <w:r w:rsidRPr="003227C1">
        <w:rPr>
          <w:b/>
          <w:sz w:val="22"/>
        </w:rPr>
        <w:t xml:space="preserve"> Uzdoto uzdevumu izpildes statuss</w:t>
      </w:r>
    </w:p>
    <w:p w:rsidR="00194577" w:rsidRPr="007D6F20" w:rsidRDefault="00194577" w:rsidP="00175DE0">
      <w:pPr>
        <w:spacing w:before="120"/>
        <w:ind w:firstLine="720"/>
        <w:jc w:val="both"/>
      </w:pPr>
      <w:r w:rsidRPr="00194577">
        <w:t>Aplūkojot attēlu Nr. 1.2., secin</w:t>
      </w:r>
      <w:r>
        <w:t xml:space="preserve">āms, ka lielāka daļa jeb 70% no uzdotajiem uzdevumiem līdz šim brīdim ir jau izpildīti, otra lielākā daļa jeb 19% jau ir uzsākti izpildīt. Savukārt </w:t>
      </w:r>
      <w:r w:rsidR="00961D15">
        <w:t>tikai viena uzdevuma izpilde nav vēl uzsākta. Pārējie pieci uzdevumi jeb 9% ir uzdevumi, kuru izpildes statusu nav iespējams novērtēt.</w:t>
      </w:r>
    </w:p>
    <w:p w:rsidR="002C1A04" w:rsidRPr="002C1A04" w:rsidRDefault="002C1A04" w:rsidP="00195837">
      <w:pPr>
        <w:spacing w:before="240" w:after="240"/>
        <w:rPr>
          <w:b/>
        </w:rPr>
      </w:pPr>
      <w:r w:rsidRPr="002C1A04">
        <w:rPr>
          <w:b/>
        </w:rPr>
        <w:t>Izpildītie uzdevumi</w:t>
      </w:r>
    </w:p>
    <w:p w:rsidR="00E91DBD" w:rsidRDefault="00E91DBD" w:rsidP="00E24874">
      <w:pPr>
        <w:spacing w:after="120"/>
        <w:jc w:val="both"/>
        <w:rPr>
          <w:i/>
        </w:rPr>
      </w:pPr>
      <w:r>
        <w:rPr>
          <w:i/>
        </w:rPr>
        <w:t>“</w:t>
      </w:r>
      <w:r w:rsidR="005F3D60">
        <w:rPr>
          <w:i/>
        </w:rPr>
        <w:t>6.1.</w:t>
      </w:r>
      <w:r>
        <w:rPr>
          <w:i/>
        </w:rPr>
        <w:t>, 6.5.</w:t>
      </w:r>
      <w:r w:rsidR="00F7078F">
        <w:rPr>
          <w:i/>
        </w:rPr>
        <w:t>, 6.18.</w:t>
      </w:r>
      <w:r w:rsidR="00696DB4">
        <w:rPr>
          <w:i/>
        </w:rPr>
        <w:t>apakšpunktā</w:t>
      </w:r>
      <w:r>
        <w:rPr>
          <w:i/>
        </w:rPr>
        <w:t xml:space="preserve"> </w:t>
      </w:r>
      <w:r w:rsidR="00696DB4">
        <w:rPr>
          <w:i/>
        </w:rPr>
        <w:t>un 11.punktā</w:t>
      </w:r>
      <w:r w:rsidR="001E4CEA">
        <w:rPr>
          <w:i/>
        </w:rPr>
        <w:t xml:space="preserve"> </w:t>
      </w:r>
      <w:r>
        <w:rPr>
          <w:i/>
        </w:rPr>
        <w:t>ministrijām uzdots iesniegt Finanšu ministrijā precizējumu bāzes izdevumos”</w:t>
      </w:r>
    </w:p>
    <w:p w:rsidR="00E91DBD" w:rsidRPr="007D6F20" w:rsidRDefault="00E91DBD" w:rsidP="00175DE0">
      <w:pPr>
        <w:spacing w:before="240" w:after="240"/>
        <w:ind w:firstLine="720"/>
        <w:jc w:val="both"/>
      </w:pPr>
      <w:r w:rsidRPr="00E91DBD">
        <w:t>Ministrijas ar oficiālu vēstuli ir ies</w:t>
      </w:r>
      <w:r>
        <w:t>n</w:t>
      </w:r>
      <w:r w:rsidRPr="00E91DBD">
        <w:t>iegušas precizētos bāzes izdevumus atbilst</w:t>
      </w:r>
      <w:r w:rsidR="007D6F20">
        <w:t>oši protokollēmumā noteiktajam.</w:t>
      </w:r>
    </w:p>
    <w:p w:rsidR="00FF1CBD" w:rsidRDefault="002C1A04" w:rsidP="00E24874">
      <w:pPr>
        <w:spacing w:after="120"/>
        <w:jc w:val="both"/>
        <w:rPr>
          <w:i/>
        </w:rPr>
      </w:pPr>
      <w:r w:rsidRPr="00FF1CBD">
        <w:rPr>
          <w:i/>
        </w:rPr>
        <w:t>“6.2.</w:t>
      </w:r>
      <w:r w:rsidR="00FF1CBD" w:rsidRPr="00FF1CBD">
        <w:rPr>
          <w:i/>
        </w:rPr>
        <w:t>apak</w:t>
      </w:r>
      <w:r w:rsidR="006764B2">
        <w:rPr>
          <w:i/>
        </w:rPr>
        <w:t>špunkts</w:t>
      </w:r>
      <w:r w:rsidRPr="00FF1CBD">
        <w:rPr>
          <w:i/>
        </w:rPr>
        <w:t xml:space="preserve"> Finanšu ministrijai izvērtēt Ārlietu ministrijas iesniegtos priekšlikumus stingrākiem ierobežojumiem pievienotās vērtības nodokļa un akcīzes nodokļa atmaksām, ko saskaņā ar Ministru kabineta 2012.gada 18.decembra noteikumiem Nr.908 “Kārtība, kādā piemēro pievienotās vērtības nodokļa 0 procentu likmi preču piegādēm un pakalpojumiem, kas sniegti diplomātiskajām un konsulārajām pārstāvniecībām, starptautiskajām organizācijām, Eiropas Savienības institūcijām un Ziemeļatlantijas līguma organizācijai (NATO), un kārtība, kādā atmaksā akcīzes nodokli par Latvijas Republikā iegādātajām akcīzes precēm” piemēro diplomātiskajām un konsulārajām pārstāvniecībām un minēto pārstāvniecību diplomātiskajiem un konsulārajiem aģentiem, administratīvi tehniskam personālam un šo personu ģimenes locekļiem, ja tie nav Latvijas Republikas valstspiederīgie vai pastāvīgie iedzīvotāji, un </w:t>
      </w:r>
      <w:r w:rsidRPr="00FF1CBD">
        <w:rPr>
          <w:i/>
        </w:rPr>
        <w:lastRenderedPageBreak/>
        <w:t>nepieciešamības gadījumā līdz 2016.gada 15.oktobrim sagatavot atbilstošus grozījumus normatīvajos aktos iesniegšanai Ministru kabinetā</w:t>
      </w:r>
      <w:r w:rsidR="00FF1CBD">
        <w:rPr>
          <w:i/>
        </w:rPr>
        <w:t>.</w:t>
      </w:r>
      <w:r w:rsidRPr="00FF1CBD">
        <w:rPr>
          <w:i/>
        </w:rPr>
        <w:t>”</w:t>
      </w:r>
    </w:p>
    <w:p w:rsidR="002D0D68" w:rsidRDefault="00AA5564" w:rsidP="00195837">
      <w:pPr>
        <w:ind w:firstLine="709"/>
        <w:jc w:val="both"/>
      </w:pPr>
      <w:r>
        <w:t>FM</w:t>
      </w:r>
      <w:r w:rsidR="00FF1CBD">
        <w:t xml:space="preserve"> izstrādāja grozījumus likumā “</w:t>
      </w:r>
      <w:r w:rsidR="00FF1CBD" w:rsidRPr="00FF1CBD">
        <w:t>Par</w:t>
      </w:r>
      <w:r w:rsidR="00FF1CBD">
        <w:t xml:space="preserve"> akcīzes nodokli”, kas tika iekļauti valsts budžeta 2017.gadam likumprojektu paketē. Saskaņā ar grozījumiem a</w:t>
      </w:r>
      <w:r w:rsidR="00FF1CBD" w:rsidRPr="00FF1CBD">
        <w:t xml:space="preserve">r 2017.gada 1.janvāri ir pārskatīta akcīzes nodokļa atbrīvojumu piemērošana diplomātiem un starptautisko organizāciju personālam, paredzot ierobežojumus akcīzes preču iegādei, piemērojot akcīzes nodokļa atbrīvojumu vai akcīzes nodokļa atmaksu. </w:t>
      </w:r>
    </w:p>
    <w:p w:rsidR="00F842F2" w:rsidRDefault="00FF1CBD" w:rsidP="007D6F20">
      <w:pPr>
        <w:spacing w:after="240"/>
        <w:ind w:firstLine="709"/>
        <w:jc w:val="both"/>
      </w:pPr>
      <w:r w:rsidRPr="00FF1CBD">
        <w:t xml:space="preserve">Ņemot vērā </w:t>
      </w:r>
      <w:r w:rsidR="00AA5564">
        <w:t>ĀM</w:t>
      </w:r>
      <w:r w:rsidRPr="00FF1CBD">
        <w:t xml:space="preserve"> iesniegtos priekšlikumus stingrākiem ierobežojumiem akcīzes nodokļa un pievienotās vērtības nodokļa atbrīvojuma piemērošanai vai minēto nodokļu atmaksām diplomātiskajām un konsulārajām un starptautisko organizāciju pārstāvniecībām un ar pārstāvniecību saistītajām personām</w:t>
      </w:r>
      <w:r w:rsidR="00FD7FDB">
        <w:t>,</w:t>
      </w:r>
      <w:r w:rsidRPr="00FF1CBD">
        <w:t xml:space="preserve"> ir noteikts maksimālais alkoholisko dzērienu, tabakas izstrādājumu un elektroniskajās cigaretēs izmantojamā š</w:t>
      </w:r>
      <w:r w:rsidR="00D60C3C">
        <w:t>ķidruma daudzums gadā, ko minētā</w:t>
      </w:r>
      <w:r w:rsidRPr="00FF1CBD">
        <w:t>s personas iegādājas, piemērojot atbrīvojumu no akcīzes nodokļa vai akcīzes nodokļa atmaksu.</w:t>
      </w:r>
    </w:p>
    <w:p w:rsidR="006764B2" w:rsidRPr="007D6F20" w:rsidRDefault="002D0D68" w:rsidP="007D6F20">
      <w:pPr>
        <w:spacing w:after="240"/>
        <w:jc w:val="both"/>
        <w:rPr>
          <w:i/>
        </w:rPr>
      </w:pPr>
      <w:r>
        <w:rPr>
          <w:i/>
        </w:rPr>
        <w:t>“</w:t>
      </w:r>
      <w:r w:rsidR="006764B2" w:rsidRPr="002D0D68">
        <w:rPr>
          <w:i/>
        </w:rPr>
        <w:t>6.4.apakšpunkts noteikt, ka likumā “Par kompensāciju izmaksas atjaunošanu administratīvi nepamatoti izsūtītajām personām un šīm personām piešķirto īpašuma kompensācijas sertifikātu dzēšanu”, Valsts pārvaldes iestāžu nodarīto zaudējumu atlīdzināšanas likumā un Noziedzīgi iegūtu līdzekļu legalizācijas un terorisma finansēšanas novēršanas likumā noteikto kompensāciju un atlīdzību izmaksai finansējums tiek pieprasīts no budžeta resora “74.Gadskārtējā valsts budžeta izpildes procesā pārdalāmais finansējums” budžeta programmas 02.00.00 “Līdze</w:t>
      </w:r>
      <w:r>
        <w:rPr>
          <w:i/>
        </w:rPr>
        <w:t>kļi neparedzētiem gadījumiem</w:t>
      </w:r>
      <w:r w:rsidR="00F549CE">
        <w:rPr>
          <w:i/>
        </w:rPr>
        <w:t>.</w:t>
      </w:r>
      <w:r>
        <w:rPr>
          <w:i/>
        </w:rPr>
        <w:t>””</w:t>
      </w:r>
    </w:p>
    <w:p w:rsidR="002D0D68" w:rsidRDefault="00F549CE" w:rsidP="007D6F20">
      <w:pPr>
        <w:spacing w:after="120"/>
        <w:ind w:firstLine="709"/>
        <w:jc w:val="both"/>
      </w:pPr>
      <w:r>
        <w:t xml:space="preserve">Saskaņā ar grozījumiem </w:t>
      </w:r>
      <w:r w:rsidR="00AA5564">
        <w:t>MK</w:t>
      </w:r>
      <w:r>
        <w:t xml:space="preserve"> 2009.</w:t>
      </w:r>
      <w:r w:rsidRPr="00F549CE">
        <w:t>g</w:t>
      </w:r>
      <w:r>
        <w:t>ada 22.decembra noteikumos Nr.1644 “</w:t>
      </w:r>
      <w:r w:rsidRPr="00F549CE">
        <w:t>Kārtība, kādā pieprasa</w:t>
      </w:r>
      <w:r>
        <w:t xml:space="preserve"> un izlieto budžeta programmas “</w:t>
      </w:r>
      <w:r w:rsidRPr="00F549CE">
        <w:t>Lī</w:t>
      </w:r>
      <w:r>
        <w:t xml:space="preserve">dzekļi neparedzētiem gadījumiem” līdzekļus” no 2017.gada 1.janvāra </w:t>
      </w:r>
      <w:r w:rsidRPr="00F549CE">
        <w:t>likumā “Par kompensāciju izmaksas atjaunošanu administratīvi nepamatoti izsūtītajām personām un šīm personām piešķirto īpašuma kompensācijas sertifikātu dzēšanu”, Valsts pārvaldes iestāžu nodarīto zaudējumu atlīdzināšanas likumā un Noziedzīgi iegūtu līdzekļu legalizācijas un terorisma finansēšanas novēršanas likumā noteikto kompensāciju un atlīdzību izmaksai finansējums tiek pieprasīts</w:t>
      </w:r>
      <w:r>
        <w:t xml:space="preserve"> no līdze</w:t>
      </w:r>
      <w:r w:rsidR="007D6F20">
        <w:t>kļiem neparedzētiem gadījumiem.</w:t>
      </w:r>
    </w:p>
    <w:p w:rsidR="003178A8" w:rsidRPr="007D6F20" w:rsidRDefault="00900C12" w:rsidP="007D6F20">
      <w:pPr>
        <w:spacing w:before="240" w:after="240"/>
        <w:jc w:val="both"/>
        <w:rPr>
          <w:i/>
        </w:rPr>
      </w:pPr>
      <w:r w:rsidRPr="00900C12">
        <w:rPr>
          <w:i/>
        </w:rPr>
        <w:t>“6.6.apakšpunkts Finanšu ministrijai (Valsts kasei) sagatavot un līdz 2016.gada 1.septembrim iesniegt izskatīšanai Ministru kabinetā priekšlikumus par valsts iestāžu grāmatvedības uzskaites funkciju pakāpenisku centralizāciju, atsevišķu pilotprojektu veidā uzsākot šo procesu 2017.gadā</w:t>
      </w:r>
      <w:r w:rsidR="00693C9C">
        <w:rPr>
          <w:i/>
        </w:rPr>
        <w:t>.</w:t>
      </w:r>
      <w:r w:rsidR="007D6F20">
        <w:rPr>
          <w:i/>
        </w:rPr>
        <w:t>”</w:t>
      </w:r>
    </w:p>
    <w:p w:rsidR="00900C12" w:rsidRPr="0010167B" w:rsidRDefault="00AA5564" w:rsidP="0010167B">
      <w:pPr>
        <w:spacing w:after="120"/>
        <w:ind w:firstLine="709"/>
        <w:jc w:val="both"/>
      </w:pPr>
      <w:r>
        <w:t>FM</w:t>
      </w:r>
      <w:r w:rsidR="003178A8">
        <w:t xml:space="preserve"> sagatavoja informatīvo ziņojumu “</w:t>
      </w:r>
      <w:r w:rsidR="003178A8" w:rsidRPr="003178A8">
        <w:t xml:space="preserve">Valsts kases sniegtā grāmatvedības uzskaites </w:t>
      </w:r>
      <w:r w:rsidR="003178A8">
        <w:t xml:space="preserve">pakalpojuma attīstības iespējas”, kas </w:t>
      </w:r>
      <w:r w:rsidR="003178A8" w:rsidRPr="003178A8">
        <w:t xml:space="preserve">2016.gada </w:t>
      </w:r>
      <w:r w:rsidR="003178A8">
        <w:t>25.oktobrī tika izskatīts MK sēdē</w:t>
      </w:r>
      <w:r w:rsidR="00FD7FDB">
        <w:t xml:space="preserve"> (prot. Nr.57 29</w:t>
      </w:r>
      <w:r w:rsidR="00FD7FDB" w:rsidRPr="008303E3">
        <w:t>.§)</w:t>
      </w:r>
      <w:r w:rsidR="003178A8">
        <w:t>. Informatīvā ziņojuma ietvaros ir izpētīti grāmatvedības uzskaites procesi centrālajās valsts iestādēs un</w:t>
      </w:r>
      <w:r w:rsidR="003178A8" w:rsidRPr="003178A8">
        <w:t xml:space="preserve"> centralizācijas iespējas</w:t>
      </w:r>
      <w:r w:rsidR="003178A8">
        <w:t>,</w:t>
      </w:r>
      <w:r w:rsidR="00EA5138">
        <w:t xml:space="preserve"> un sniegti</w:t>
      </w:r>
      <w:r w:rsidR="003178A8">
        <w:t xml:space="preserve"> priekšlikumi</w:t>
      </w:r>
      <w:r w:rsidR="003178A8" w:rsidRPr="003178A8">
        <w:t xml:space="preserve"> grāmatvedības uzskaites funkcijas centralizēšanai</w:t>
      </w:r>
      <w:r w:rsidR="003178A8">
        <w:t>.</w:t>
      </w:r>
      <w:r w:rsidR="00EA5138">
        <w:t xml:space="preserve"> Piedāvāts 2017.</w:t>
      </w:r>
      <w:r w:rsidR="00EA5138" w:rsidRPr="00EA5138">
        <w:t>gadā uzsākt pakāpenisku grāmatvedības uzska</w:t>
      </w:r>
      <w:r w:rsidR="00EA5138">
        <w:t>ites centralizāciju un no 2018.</w:t>
      </w:r>
      <w:r w:rsidR="00EA5138" w:rsidRPr="00EA5138">
        <w:t xml:space="preserve">gada </w:t>
      </w:r>
      <w:r>
        <w:t>FM</w:t>
      </w:r>
      <w:r w:rsidR="00EA5138">
        <w:t xml:space="preserve"> (Valsts kasei) </w:t>
      </w:r>
      <w:r w:rsidR="00EA5138" w:rsidRPr="00EA5138">
        <w:t xml:space="preserve">veikt </w:t>
      </w:r>
      <w:r>
        <w:t>VK</w:t>
      </w:r>
      <w:r w:rsidR="00EA5138" w:rsidRPr="00EA5138">
        <w:t xml:space="preserve">, Valsts administrācijas skolas, </w:t>
      </w:r>
      <w:r>
        <w:t>PKC</w:t>
      </w:r>
      <w:r w:rsidR="00EA5138" w:rsidRPr="00EA5138">
        <w:t xml:space="preserve"> un </w:t>
      </w:r>
      <w:r>
        <w:t>NEPLP</w:t>
      </w:r>
      <w:r w:rsidR="00EA5138" w:rsidRPr="00EA5138">
        <w:t xml:space="preserve"> grāmatvedības uzskaiti</w:t>
      </w:r>
      <w:r w:rsidR="00EA5138">
        <w:t>.</w:t>
      </w:r>
    </w:p>
    <w:p w:rsidR="00693C9C" w:rsidRPr="0010167B" w:rsidRDefault="00693C9C" w:rsidP="0010167B">
      <w:pPr>
        <w:spacing w:before="240" w:after="240"/>
        <w:jc w:val="both"/>
        <w:rPr>
          <w:i/>
        </w:rPr>
      </w:pPr>
      <w:r w:rsidRPr="00693C9C">
        <w:rPr>
          <w:i/>
        </w:rPr>
        <w:t>“6.7.apakšpunkts Finanšu ministrijai (VAS “Valsts nekustamie īpašumi”) sagatavot un līdz 2016.gada 1.jūlijam iesniegt izskatīšanai Ministru kabinetā grozījumus Ministru kabineta 2011.gada 8.jūlija rīkojumā Nr.307 “Par finansējuma piešķiršanu Padomju okupācijas upuru piemiņas memoriāla kompleksa Latviešu strēlnieku laukumā, Rīgā, izveides izdevumu segšanai”, precizējot projekta realizācijas te</w:t>
      </w:r>
      <w:r w:rsidR="0010167B">
        <w:rPr>
          <w:i/>
        </w:rPr>
        <w:t>rmiņu un ilgtermiņa saistības.”</w:t>
      </w:r>
    </w:p>
    <w:p w:rsidR="00F27C31" w:rsidRDefault="00117C55" w:rsidP="000C6FE8">
      <w:pPr>
        <w:spacing w:after="120"/>
        <w:ind w:firstLine="709"/>
        <w:jc w:val="both"/>
      </w:pPr>
      <w:r>
        <w:t xml:space="preserve">2016.gada 22.augustā spēkā stājās </w:t>
      </w:r>
      <w:r w:rsidRPr="00117C55">
        <w:t>VAS “Valsts nekustamie īpašumi”</w:t>
      </w:r>
      <w:r>
        <w:t xml:space="preserve"> sagatavotie grozījumi</w:t>
      </w:r>
      <w:r w:rsidRPr="00117C55">
        <w:t xml:space="preserve"> </w:t>
      </w:r>
      <w:r w:rsidR="00AA5564">
        <w:t>MK</w:t>
      </w:r>
      <w:r>
        <w:t xml:space="preserve"> 2011.gada 8</w:t>
      </w:r>
      <w:r w:rsidR="00FD7FDB">
        <w:t>.</w:t>
      </w:r>
      <w:r w:rsidRPr="00117C55">
        <w:t>jūlija rīko</w:t>
      </w:r>
      <w:r>
        <w:t>jumā Nr.307 “</w:t>
      </w:r>
      <w:r w:rsidRPr="00117C55">
        <w:t xml:space="preserve">Par finansējuma piešķiršanu Padomju </w:t>
      </w:r>
      <w:r w:rsidRPr="00117C55">
        <w:lastRenderedPageBreak/>
        <w:t>okupācijas upuru piemiņas memoriāla kompleksa Latviešu strēlnieku laukumā, R</w:t>
      </w:r>
      <w:r>
        <w:t xml:space="preserve">īgā, izveides izdevumu segšanai”, ar kuriem precizētas </w:t>
      </w:r>
      <w:r w:rsidRPr="00117C55">
        <w:t>Padomju okupācijas upuru piemiņas memoriāla kompleksa Latviešu strēlnieku laukumā, Rīgā, izveides</w:t>
      </w:r>
      <w:r>
        <w:t xml:space="preserve"> ilgtermiņa saistības un noteikts </w:t>
      </w:r>
      <w:r w:rsidRPr="00117C55">
        <w:t>abu kārtu būvni</w:t>
      </w:r>
      <w:r>
        <w:t>ecības darbu pabeigšanas termiņš</w:t>
      </w:r>
      <w:r w:rsidRPr="00117C55">
        <w:t xml:space="preserve"> līdz 2018.gada 1.oktobrim</w:t>
      </w:r>
      <w:r>
        <w:t>.</w:t>
      </w:r>
    </w:p>
    <w:p w:rsidR="00693C9C" w:rsidRPr="000C6FE8" w:rsidRDefault="00BA32E5" w:rsidP="000C6FE8">
      <w:pPr>
        <w:spacing w:before="240" w:after="240"/>
        <w:jc w:val="both"/>
        <w:rPr>
          <w:i/>
        </w:rPr>
      </w:pPr>
      <w:r w:rsidRPr="00BA32E5">
        <w:rPr>
          <w:i/>
        </w:rPr>
        <w:t>“6.8.</w:t>
      </w:r>
      <w:r w:rsidR="004D6B83">
        <w:rPr>
          <w:i/>
        </w:rPr>
        <w:t>apakšpunkts</w:t>
      </w:r>
      <w:r w:rsidRPr="00BA32E5">
        <w:rPr>
          <w:i/>
        </w:rPr>
        <w:t xml:space="preserve"> Izglītības un zinātnes ministrijai sagatavot un atbilstoši vidēja termiņa budžeta ietvara likuma projekta un gadskārtējā valsts budžeta likuma projekta izstrādes un iesniegšanas grafikam iesniegt izskatīšanai Ministru kabinetā priekšlikumus par konceptuālām izmaiņām normatīvajos aktos par pašvaldību padotībā esošo internātskolu, speciālo pirmsskolas izglītības iestāžu, speciālo internātskolu, Izglītības iestāžu reģistrā reģistrēto attīstības un rehabilitācijas centru finansēšanu. Šajā apakšpunktā noteiktā uzdevuma izpildei nepieciešamos likumprojektus Izglītības un zinātnes ministrijai iekļaut valsts budžeta 2017.gadam likumprojektu paketē.”</w:t>
      </w:r>
    </w:p>
    <w:p w:rsidR="00BA32E5" w:rsidRDefault="00AA5564" w:rsidP="000C6FE8">
      <w:pPr>
        <w:spacing w:after="120"/>
        <w:ind w:firstLine="709"/>
        <w:jc w:val="both"/>
        <w:rPr>
          <w:b/>
        </w:rPr>
      </w:pPr>
      <w:r>
        <w:t>IZM</w:t>
      </w:r>
      <w:r w:rsidR="00BA32E5">
        <w:t xml:space="preserve"> izstrādāja grozījumus Izglītības </w:t>
      </w:r>
      <w:r w:rsidR="004D6B83">
        <w:t>likumā</w:t>
      </w:r>
      <w:r w:rsidR="00BA32E5">
        <w:t>, kas tika iekļauti valsts budžeta 2017.gadam likumprojektu paketē. Saskaņā ar grozījumiem</w:t>
      </w:r>
      <w:r w:rsidR="00BF6A73" w:rsidRPr="00BF6A73">
        <w:t xml:space="preserve"> uzturēšanas izdevumus pašvaldību internātskolās no 2017.gada 1.janvāra līdz 2017.gada 31.decembrim sedz no valsts budžeta mērķdotācijas par internātskolas izglītojamiem, kuri ir bāreņi vai bez vecāku gādības palikuši bērni, kā arī par izglītojamiem no trūcīgām un maznodrošinātām ģimenēm, ievērojot </w:t>
      </w:r>
      <w:r>
        <w:t>MK</w:t>
      </w:r>
      <w:r w:rsidR="00BF6A73" w:rsidRPr="00BF6A73">
        <w:t xml:space="preserve"> noteikumus, kas regulē internātskolu finansēšanas kārtību.</w:t>
      </w:r>
      <w:r w:rsidR="00BF6A73">
        <w:t xml:space="preserve"> Savukārt </w:t>
      </w:r>
      <w:r w:rsidR="00BF6A73" w:rsidRPr="00BF6A73">
        <w:t>uzturēšanas izdevumus pašvaldību speciālajās pirmsskolas izglītības iestādēs no 2017.gada 1.janvāra līdz 2017.gada 31.decembrim sedz no valsts budžeta finanšu līdzekļiem 30</w:t>
      </w:r>
      <w:r w:rsidR="005D2965">
        <w:t>%</w:t>
      </w:r>
      <w:r w:rsidR="00BF6A73" w:rsidRPr="00BF6A73">
        <w:t xml:space="preserve"> apmērā no pašvaldību speciālajām pirmsskolas izglītības iestādēm piešķirtā valsts finansējuma 2016.gadā</w:t>
      </w:r>
      <w:r w:rsidR="00BF6A73">
        <w:t>.</w:t>
      </w:r>
    </w:p>
    <w:p w:rsidR="007D1FC5" w:rsidRPr="000C6FE8" w:rsidRDefault="007D1FC5" w:rsidP="000C6FE8">
      <w:pPr>
        <w:spacing w:before="240" w:after="240"/>
        <w:jc w:val="both"/>
        <w:rPr>
          <w:i/>
        </w:rPr>
      </w:pPr>
      <w:r w:rsidRPr="007D1FC5">
        <w:rPr>
          <w:i/>
        </w:rPr>
        <w:t>“6.11.apakšpunkts Zemkopības ministrijai sagatavot un līdz 2016.gada 1.jūlijam iesniegt izskatīšanai Ministru kabinetā grozījumus Ministru kabineta 2015.gada 22.aprīļa rīkojumā Nr.205 “Par finanšu līdzekļu nodrošināšanu Zemkopības ministrijas valsts budžeta apakšprogrammai “Kredītprocentu likmju pieauguma kompensācija akciju sabiedrībai “Attīstības finanšu institūcija Altum”””, nosakot, ka turpmāk finansējums kredītprocentu likmes pieauguma kompensācijas izmaksai tiek pieprasīts no budžeta resora “74.Gadskārtējā valsts budžeta izpildes procesā pārdalāmais finansējums” budžeta programmas 02.00.00 “Līdzekļi</w:t>
      </w:r>
      <w:r w:rsidR="000C6FE8">
        <w:rPr>
          <w:i/>
        </w:rPr>
        <w:t xml:space="preserve"> neparedzētiem gadījumiem (..)”</w:t>
      </w:r>
    </w:p>
    <w:p w:rsidR="000F59C3" w:rsidRDefault="00AA5564" w:rsidP="004C479D">
      <w:pPr>
        <w:spacing w:after="120"/>
        <w:ind w:firstLine="709"/>
        <w:jc w:val="both"/>
      </w:pPr>
      <w:r>
        <w:t>ZM</w:t>
      </w:r>
      <w:r w:rsidR="008C2578">
        <w:t xml:space="preserve"> sagatavoja </w:t>
      </w:r>
      <w:r>
        <w:t>MK</w:t>
      </w:r>
      <w:r w:rsidR="003C5160">
        <w:t xml:space="preserve"> 2016.gada 26.</w:t>
      </w:r>
      <w:r w:rsidR="008C2578">
        <w:t>jūlija rīkojumu Nr.415 “</w:t>
      </w:r>
      <w:r w:rsidR="008C2578" w:rsidRPr="008C2578">
        <w:t>Par finanšu līdzekļu nodrošināšanu Zemkopības ministrijai kredītprocentu likmju pieauguma ko</w:t>
      </w:r>
      <w:r w:rsidR="008C2578">
        <w:t>mpensācijai akciju sabiedrībai “</w:t>
      </w:r>
      <w:r w:rsidR="008C2578" w:rsidRPr="008C2578">
        <w:t>Attīst</w:t>
      </w:r>
      <w:r w:rsidR="008C2578">
        <w:t>ības finanšu institūcija Altum””</w:t>
      </w:r>
      <w:r w:rsidR="003C5160">
        <w:t xml:space="preserve">, kas paredz </w:t>
      </w:r>
      <w:r>
        <w:t>ZM</w:t>
      </w:r>
      <w:r w:rsidR="003C5160" w:rsidRPr="003C5160">
        <w:t xml:space="preserve"> finanšu līdzekļus, kas nepieciešami kredītprocentu likmju pieauguma ko</w:t>
      </w:r>
      <w:r w:rsidR="003C5160">
        <w:t>mpensācijai akciju sabiedrībai “</w:t>
      </w:r>
      <w:r w:rsidR="003C5160" w:rsidRPr="003C5160">
        <w:t>Attīstības finanšu institūcija Altum</w:t>
      </w:r>
      <w:r w:rsidR="003C5160">
        <w:t>”</w:t>
      </w:r>
      <w:r w:rsidR="003C5160" w:rsidRPr="003C5160">
        <w:t xml:space="preserve"> saskaņā ar normatīvajiem aktiem, kuri nosaka kārtību, kādā piešķirams valsts atbalsts lauksaimniecībā izmantojamās zemes iegādei lauksaimniecības produkcijas ražošanai, pieprasīt no </w:t>
      </w:r>
      <w:r w:rsidR="003C5160">
        <w:t>līdzekļiem neparedzētiem gadījumiem</w:t>
      </w:r>
      <w:r w:rsidR="003C5160" w:rsidRPr="003C5160">
        <w:t>.</w:t>
      </w:r>
    </w:p>
    <w:p w:rsidR="003C5160" w:rsidRPr="004C479D" w:rsidRDefault="000F59C3" w:rsidP="004C479D">
      <w:pPr>
        <w:spacing w:before="240" w:after="240"/>
        <w:jc w:val="both"/>
        <w:rPr>
          <w:i/>
        </w:rPr>
      </w:pPr>
      <w:r w:rsidRPr="000F59C3">
        <w:rPr>
          <w:i/>
        </w:rPr>
        <w:t>“6.13.apakšpunkts Satiksmes ministrijai veikt nepieciešamos pasākumus, lai nodrošinātu plānoto ieņēmumu no Autoceļu lietošanas nodevas izpildi 2016., 2017. un 2018.gadā 25 000 000 EUR apmērā ik gadu, tādējādi nodrošinot finansēšanas avotu Satiksmes ministrijas budžeta apakšprogrammas 23.06.00 “Valsts autoceļu pārvaldīšana, uzturēšana un atjaunošana” izdevumiem valsts galveno autoceļu uzturēšanai un attīstībai. Nenodrošinot Autoceļu lietošanas nodevas ieņēmumu izpildi plānotajā apmērā, Satiksmes ministrijai sagatavot un līdz 2016.gada 29.jūlijam iesniegt izskatīšanā Ministru kabinetā priekšlikumus par atbilstošo izdevumu samazināšanu 2017. un 2018.gadam, ņemot vērā plānoto ieņēmumu</w:t>
      </w:r>
      <w:r w:rsidR="004C479D">
        <w:rPr>
          <w:i/>
        </w:rPr>
        <w:t xml:space="preserve"> faktiskās izpildes tendences.”</w:t>
      </w:r>
    </w:p>
    <w:p w:rsidR="000F59C3" w:rsidRDefault="00AA5564" w:rsidP="00195837">
      <w:pPr>
        <w:ind w:firstLine="709"/>
        <w:jc w:val="both"/>
      </w:pPr>
      <w:r>
        <w:lastRenderedPageBreak/>
        <w:t>SM</w:t>
      </w:r>
      <w:r w:rsidR="00D3675E">
        <w:t xml:space="preserve"> ir sagatavojusi informatīvo ziņojumu “</w:t>
      </w:r>
      <w:r w:rsidR="00D3675E" w:rsidRPr="00D3675E">
        <w:t>Par autoceļu lietošanas nodevas i</w:t>
      </w:r>
      <w:r w:rsidR="00D3675E">
        <w:t xml:space="preserve">eņēmumu palielināšanu”, kas </w:t>
      </w:r>
      <w:r>
        <w:t xml:space="preserve">izskatīts MK 2016.gada 27.septembra </w:t>
      </w:r>
      <w:r w:rsidR="00D3675E">
        <w:t>sēdē</w:t>
      </w:r>
      <w:r w:rsidR="00FD7FDB">
        <w:t xml:space="preserve"> (prot. Nr.48 82</w:t>
      </w:r>
      <w:r w:rsidR="00FD7FDB" w:rsidRPr="008303E3">
        <w:t>.§)</w:t>
      </w:r>
      <w:r w:rsidR="00D3675E">
        <w:t xml:space="preserve">. </w:t>
      </w:r>
      <w:r w:rsidR="004D3DBB">
        <w:t>Informatīvajā ziņojumā ietverti priekšlikumi</w:t>
      </w:r>
      <w:r w:rsidR="004D3DBB" w:rsidRPr="004D3DBB">
        <w:t>, lai</w:t>
      </w:r>
      <w:r>
        <w:t xml:space="preserve"> nodrošinātu, ka 2017. un 2018.</w:t>
      </w:r>
      <w:r w:rsidR="004D3DBB" w:rsidRPr="004D3DBB">
        <w:t xml:space="preserve">gadā autoceļu lietošanas nodevas ieņēmumu prognoze 25 000 000 </w:t>
      </w:r>
      <w:r w:rsidR="004D3DBB" w:rsidRPr="004D3DBB">
        <w:rPr>
          <w:i/>
        </w:rPr>
        <w:t>euro</w:t>
      </w:r>
      <w:r w:rsidR="004D3DBB" w:rsidRPr="004D3DBB">
        <w:t xml:space="preserve"> apmērā ik gadu tiktu izpildīta, līdz ar to 2017. un 2018. gadā izdevumus samazināt </w:t>
      </w:r>
      <w:r w:rsidR="00FD7FDB">
        <w:t>nebūtu</w:t>
      </w:r>
      <w:r w:rsidR="004D3DBB" w:rsidRPr="004D3DBB">
        <w:t xml:space="preserve"> nepieciešams.</w:t>
      </w:r>
    </w:p>
    <w:p w:rsidR="00D667B5" w:rsidRPr="00D667B5" w:rsidRDefault="009A350A" w:rsidP="004C479D">
      <w:pPr>
        <w:ind w:firstLine="720"/>
        <w:jc w:val="both"/>
      </w:pPr>
      <w:r>
        <w:t>A</w:t>
      </w:r>
      <w:r w:rsidRPr="009A350A">
        <w:t xml:space="preserve">tbilstoši 2016.gadā pieņemtajiem grozījumiem Autoceļu lietošanas nodevas likumā, kas paredz jaunus autoceļu posmus, par kuriem ir maksājama nodeva, kā arī veicot grozījumus Latvijas Administratīvajā pārkāpumu kodeksā, paredzot jaunus sodus par autoceļu lietošanas nodevas maksāšanas pārkāpumiem, tika palielināta nodevas ieņēmumu prognoze, salīdzinot ar iepriekš prognozētiem 25,0 milj. </w:t>
      </w:r>
      <w:r w:rsidRPr="009A350A">
        <w:rPr>
          <w:i/>
        </w:rPr>
        <w:t>euro</w:t>
      </w:r>
      <w:r w:rsidRPr="009A350A">
        <w:t xml:space="preserve">, 2017.gadā tā palielināta par 2,8 milj. </w:t>
      </w:r>
      <w:r w:rsidRPr="009A350A">
        <w:rPr>
          <w:i/>
        </w:rPr>
        <w:t>euro</w:t>
      </w:r>
      <w:r w:rsidRPr="009A350A">
        <w:t xml:space="preserve">, savukārt 2018., 2019.gadā par 7,3 milj. </w:t>
      </w:r>
      <w:r w:rsidRPr="009A350A">
        <w:rPr>
          <w:i/>
        </w:rPr>
        <w:t>euro</w:t>
      </w:r>
      <w:r w:rsidRPr="009A350A">
        <w:t xml:space="preserve"> ik gadu, līdz ar to 2017.gadā nodevas ieņēmumi ir plānoti 27,8 milj. </w:t>
      </w:r>
      <w:r w:rsidRPr="009A350A">
        <w:rPr>
          <w:i/>
        </w:rPr>
        <w:t>euro</w:t>
      </w:r>
      <w:r w:rsidRPr="009A350A">
        <w:t xml:space="preserve"> apmērā, 2018. un 2019.gadā 32,3 milj. </w:t>
      </w:r>
      <w:r w:rsidRPr="009A350A">
        <w:rPr>
          <w:i/>
        </w:rPr>
        <w:t>euro</w:t>
      </w:r>
      <w:r w:rsidRPr="009A350A">
        <w:t xml:space="preserve"> apmērā ik gadu.</w:t>
      </w:r>
    </w:p>
    <w:p w:rsidR="00366B9C" w:rsidRPr="004C479D" w:rsidRDefault="00366B9C" w:rsidP="004C479D">
      <w:pPr>
        <w:spacing w:before="240" w:after="240"/>
        <w:jc w:val="both"/>
        <w:rPr>
          <w:i/>
        </w:rPr>
      </w:pPr>
      <w:r w:rsidRPr="00366B9C">
        <w:rPr>
          <w:i/>
        </w:rPr>
        <w:t>“6.15.apakšpunkts Satiksmes ministrijai sadarbībā ar Ekonomikas ministriju, Ārlietu ministriju un Finanšu ministriju izvērtēt iespējas specializētā transporta atašeja Kazahstānā un Ķīnā turpmāko darbību 2017., 2018.gadā nodrošināt Satiksmes, Ekonomikas un Ārlietu ministriju budžetu</w:t>
      </w:r>
      <w:r w:rsidR="004C479D">
        <w:rPr>
          <w:i/>
        </w:rPr>
        <w:t xml:space="preserve"> iekšējo resursu ietvaros (..)”</w:t>
      </w:r>
    </w:p>
    <w:p w:rsidR="00607794" w:rsidRDefault="00AA5564" w:rsidP="00195837">
      <w:pPr>
        <w:ind w:firstLine="709"/>
        <w:jc w:val="both"/>
      </w:pPr>
      <w:r>
        <w:t>SM</w:t>
      </w:r>
      <w:r w:rsidR="00607794">
        <w:t xml:space="preserve"> ar</w:t>
      </w:r>
      <w:r w:rsidR="004C479D">
        <w:t xml:space="preserve"> </w:t>
      </w:r>
      <w:r w:rsidR="00607794" w:rsidRPr="00607794">
        <w:t>2016</w:t>
      </w:r>
      <w:r w:rsidR="004C479D">
        <w:t>.gada 1.jūlija</w:t>
      </w:r>
      <w:r w:rsidR="00607794" w:rsidRPr="00607794">
        <w:t xml:space="preserve"> vēstuli Nr.15-01/2413 informē, ka notikušas</w:t>
      </w:r>
      <w:r w:rsidR="00607794">
        <w:t xml:space="preserve"> konsultācijas un tikšanās ar </w:t>
      </w:r>
      <w:r>
        <w:t>EM</w:t>
      </w:r>
      <w:r w:rsidR="00607794">
        <w:t xml:space="preserve"> un </w:t>
      </w:r>
      <w:r>
        <w:t>ĀM</w:t>
      </w:r>
      <w:r w:rsidR="00607794" w:rsidRPr="00607794">
        <w:t xml:space="preserve"> pārstāvjiem par uzdevuma izpildi. Izvērtējot iesaistīto ministriju sniegto informāciju tika secināts, ka specializētā t</w:t>
      </w:r>
      <w:r w:rsidR="00607794">
        <w:t xml:space="preserve">ransporta atašeja Kazahstānā un </w:t>
      </w:r>
      <w:r w:rsidR="00607794" w:rsidRPr="00607794">
        <w:t>Ķīnā turpmākas darbības nodrošināšana 201</w:t>
      </w:r>
      <w:r w:rsidR="00607794">
        <w:t xml:space="preserve">7. un turpmākos gados SM, EM un </w:t>
      </w:r>
      <w:r w:rsidR="00607794" w:rsidRPr="00607794">
        <w:t xml:space="preserve">ĀM budžetu iekšējo resursu ietvaros nav iespējama. </w:t>
      </w:r>
    </w:p>
    <w:p w:rsidR="00DA2D08" w:rsidRPr="00217A33" w:rsidRDefault="00DA2D08" w:rsidP="004C479D">
      <w:pPr>
        <w:ind w:firstLine="709"/>
        <w:jc w:val="both"/>
      </w:pPr>
      <w:r w:rsidRPr="00217A33">
        <w:t>SM vienlaikus norāda, ka nepieciešams papildus finansējums atašeju amata vietu nodrošināšanai, sākot ar 2017.gadu un, ka ir jāsaglabā izveidotās atašeju amata vietas un jāturpina veiksmīgi iesāktā sadarbība ar Ķīnu un Kazahstānu. Atbilstoši MK 2016.gada 16.augustā lemtajam (prot. Nr.40 59.§ 2.punkts) SM ir piešķirts papildu finansējums 2017., 2018. un 2019.gadam specializēto atašeju Ķīnā, Kazahstānā darbības nodrošināšanai 288</w:t>
      </w:r>
      <w:r w:rsidR="005D2965">
        <w:t> </w:t>
      </w:r>
      <w:r w:rsidRPr="00217A33">
        <w:t>758</w:t>
      </w:r>
      <w:r w:rsidR="005D2965">
        <w:t> </w:t>
      </w:r>
      <w:r w:rsidRPr="00217A33">
        <w:rPr>
          <w:i/>
        </w:rPr>
        <w:t>euro</w:t>
      </w:r>
      <w:r w:rsidRPr="00217A33">
        <w:t xml:space="preserve"> apmērā ik gadu.</w:t>
      </w:r>
    </w:p>
    <w:p w:rsidR="009B06E0" w:rsidRPr="004C479D" w:rsidRDefault="00D405B7" w:rsidP="004C479D">
      <w:pPr>
        <w:spacing w:before="240" w:after="240"/>
        <w:jc w:val="both"/>
        <w:rPr>
          <w:i/>
        </w:rPr>
      </w:pPr>
      <w:r w:rsidRPr="00D405B7">
        <w:rPr>
          <w:i/>
        </w:rPr>
        <w:t>“6.16.apakšpunkts Labklājības ministrijai sadarbībā ar Veselības ministriju un Ekonomikas ministriju sagatavot un līdz 2016.gada 1.jūlijam iesniegt izskatīšanai Ministru kabinetā priekšlikumus par risinājumiem slimības pabalstu un darba nespējas lapu izsniegšanas jomā, savlaicīgi novēršot fiskālos riskus strauji augošu izdevumu (slimības pabalstiem) rezultātā un samazinot nepamatotības risku darba nespējas lapu izsniegšanas procesā.”</w:t>
      </w:r>
    </w:p>
    <w:p w:rsidR="00607794" w:rsidRDefault="00AA5564" w:rsidP="00195837">
      <w:pPr>
        <w:ind w:firstLine="709"/>
        <w:jc w:val="both"/>
      </w:pPr>
      <w:r>
        <w:t>LM</w:t>
      </w:r>
      <w:r w:rsidR="00D405B7">
        <w:t xml:space="preserve"> izstrādāja grozījumus likumā </w:t>
      </w:r>
      <w:r w:rsidR="00217A33">
        <w:t>“</w:t>
      </w:r>
      <w:r w:rsidR="00D405B7" w:rsidRPr="00D405B7">
        <w:t>Par maternitātes un slimības apdrošināšanu”,</w:t>
      </w:r>
      <w:r w:rsidR="00D405B7">
        <w:t xml:space="preserve"> kas tika iekļauti valsts budžeta 2017.gadam likumprojektu paketē. Saskaņā ar grozījumiem</w:t>
      </w:r>
      <w:r w:rsidR="002F0673">
        <w:t xml:space="preserve"> </w:t>
      </w:r>
      <w:r w:rsidR="002F0673" w:rsidRPr="002F0673">
        <w:t>noteikt</w:t>
      </w:r>
      <w:r w:rsidR="002F0673">
        <w:t>s</w:t>
      </w:r>
      <w:r w:rsidR="002F0673" w:rsidRPr="002F0673">
        <w:t xml:space="preserve"> slimības pabalsta </w:t>
      </w:r>
      <w:r w:rsidR="002F0673">
        <w:t>kvalifikācijas periods</w:t>
      </w:r>
      <w:r w:rsidR="002F0673" w:rsidRPr="002F0673">
        <w:t>, t.i., 3 mēneši pēdējo 6 mēnešu laikā vai 6 mēneši pēdējo 24 mēnešu laikā. Kvalifikācijas periods neattieksies uz darbnespējas lapām A, kuras apmaksā darba devējs, kā arī neattieksies uz gadījumiem, kad tiek kopts slims bērns, kas nav sasniedzis 14 gadu vecumu. Tiesiskās paļāvības ievērošanai šī norma stāsies spēkā ar 2018.gadu</w:t>
      </w:r>
      <w:r w:rsidR="00EE2BD9">
        <w:t>.</w:t>
      </w:r>
    </w:p>
    <w:p w:rsidR="00680E0B" w:rsidRDefault="00006A6A" w:rsidP="004C479D">
      <w:pPr>
        <w:spacing w:after="120"/>
        <w:ind w:firstLine="709"/>
        <w:jc w:val="both"/>
      </w:pPr>
      <w:r>
        <w:t>Atbilstoši LM aprēķiniem i</w:t>
      </w:r>
      <w:r w:rsidR="00680E0B" w:rsidRPr="00680E0B">
        <w:t>etaupījums slimības pabals</w:t>
      </w:r>
      <w:r>
        <w:t>ta izmaksām 2017.gadā plānots 2 </w:t>
      </w:r>
      <w:r w:rsidR="00680E0B" w:rsidRPr="00680E0B">
        <w:t xml:space="preserve">746 700 </w:t>
      </w:r>
      <w:r w:rsidR="00680E0B" w:rsidRPr="00680E0B">
        <w:rPr>
          <w:i/>
        </w:rPr>
        <w:t>euro</w:t>
      </w:r>
      <w:r w:rsidR="00680E0B" w:rsidRPr="00680E0B">
        <w:t xml:space="preserve"> apmērā, 2018.gadā – 3 768 904 </w:t>
      </w:r>
      <w:r w:rsidR="00680E0B" w:rsidRPr="00680E0B">
        <w:rPr>
          <w:i/>
        </w:rPr>
        <w:t>euro</w:t>
      </w:r>
      <w:r w:rsidR="00680E0B" w:rsidRPr="00680E0B">
        <w:t xml:space="preserve"> apmērā, 2019.gadā – 3 948 125 </w:t>
      </w:r>
      <w:r w:rsidR="00680E0B" w:rsidRPr="00680E0B">
        <w:rPr>
          <w:i/>
        </w:rPr>
        <w:t>euro</w:t>
      </w:r>
      <w:r w:rsidR="00680E0B" w:rsidRPr="00680E0B">
        <w:t xml:space="preserve"> apmērā</w:t>
      </w:r>
      <w:r w:rsidR="00680E0B">
        <w:t>.</w:t>
      </w:r>
    </w:p>
    <w:p w:rsidR="00D405B7" w:rsidRPr="004C479D" w:rsidRDefault="004D189C" w:rsidP="004C479D">
      <w:pPr>
        <w:spacing w:before="240" w:after="240"/>
        <w:jc w:val="both"/>
        <w:rPr>
          <w:i/>
        </w:rPr>
      </w:pPr>
      <w:r>
        <w:rPr>
          <w:i/>
        </w:rPr>
        <w:t>”</w:t>
      </w:r>
      <w:r w:rsidRPr="004D189C">
        <w:rPr>
          <w:i/>
        </w:rPr>
        <w:t>6.17.</w:t>
      </w:r>
      <w:r>
        <w:rPr>
          <w:i/>
        </w:rPr>
        <w:t>apakšpunkts</w:t>
      </w:r>
      <w:r w:rsidRPr="004D189C">
        <w:rPr>
          <w:i/>
        </w:rPr>
        <w:t xml:space="preserve"> Tieslietu ministrijai izvērtēt procesuālajos likumos paredzēto dokumentu piegādāšanas un izsniegšanas kārtību ar mērķi to vienkāršot un samazināt saziņas ar procesa dalībniekiem nodrošināšanai nepieciešamos resursus, minētā mērķa sasniegšanai izstrādājot risinājumus par e-saziņas ieviešanu komunikācijā starp noteiktu subjektu loku, un atbilstoši vidēja termiņa budžeta ietvara likuma projekta un gadskārtējā valsts budžeta likuma projekta </w:t>
      </w:r>
      <w:r w:rsidRPr="004D189C">
        <w:rPr>
          <w:i/>
        </w:rPr>
        <w:lastRenderedPageBreak/>
        <w:t>izstrādes un iesniegšanas grafikam iesniegt izskatīšanai Ministru kabinetā priekšlikumus par veicamajiem pasākumiem šo risinājumu ieviešanai. Šajā apakšpunktā noteiktā uzdevuma izpildei nepieciešamos likumprojektus iekļaut valsts budžeta 2017.gadam likumprojektu pake</w:t>
      </w:r>
      <w:r w:rsidR="004C479D">
        <w:rPr>
          <w:i/>
        </w:rPr>
        <w:t>tē.</w:t>
      </w:r>
    </w:p>
    <w:p w:rsidR="004E5E2A" w:rsidRPr="008F1200" w:rsidRDefault="004D189C" w:rsidP="008F1200">
      <w:pPr>
        <w:spacing w:after="120"/>
        <w:ind w:firstLine="720"/>
        <w:jc w:val="both"/>
      </w:pPr>
      <w:r>
        <w:t xml:space="preserve">TM izstrādāja grozījumus </w:t>
      </w:r>
      <w:r w:rsidRPr="004D189C">
        <w:t>Kriminālprocesa likumā, Latvijas Administratīvo pārkāpumu kodeksā un Civilprocesa likumā,</w:t>
      </w:r>
      <w:r>
        <w:t xml:space="preserve"> kas tika iekļauti valsts budžeta 2017.gadam likumprojektu paketē. Saskaņā ar grozījumiem </w:t>
      </w:r>
      <w:r w:rsidRPr="004D189C">
        <w:t>paredz</w:t>
      </w:r>
      <w:r w:rsidR="00FE0F9F">
        <w:t>ēta atteikšanā</w:t>
      </w:r>
      <w:r w:rsidRPr="004D189C">
        <w:t>s no ierakstītiem pasta sūtījumiem ar paziņojumu par sū</w:t>
      </w:r>
      <w:r>
        <w:t>tījuma saņemšanu tiesas procesā</w:t>
      </w:r>
      <w:r w:rsidRPr="004D189C">
        <w:t xml:space="preserve">, lai veicinātu elektronisko saziņu starp tiesu un noteiktu personu grupām, tajā skaitā saziņā izmantojot elektroniskā pasta starpniecību vai paziņošanu tiešsaistes sistēmā, tādējādi vienkāršojot un padarot ērtāku komunikāciju ar tiesvedībā iesaistītajām personām, </w:t>
      </w:r>
      <w:r w:rsidR="00A279C1">
        <w:t>kā arī informācijas pieejamību.</w:t>
      </w:r>
    </w:p>
    <w:p w:rsidR="002B21B1" w:rsidRPr="008F1200" w:rsidRDefault="002B21B1" w:rsidP="008F1200">
      <w:pPr>
        <w:spacing w:before="240" w:after="240"/>
        <w:jc w:val="both"/>
        <w:rPr>
          <w:i/>
        </w:rPr>
      </w:pPr>
      <w:r>
        <w:rPr>
          <w:i/>
        </w:rPr>
        <w:t>“</w:t>
      </w:r>
      <w:r w:rsidRPr="002B21B1">
        <w:rPr>
          <w:i/>
        </w:rPr>
        <w:t>6.19.</w:t>
      </w:r>
      <w:r>
        <w:rPr>
          <w:i/>
        </w:rPr>
        <w:t>apakšpunkts</w:t>
      </w:r>
      <w:r w:rsidRPr="002B21B1">
        <w:rPr>
          <w:i/>
        </w:rPr>
        <w:t xml:space="preserve"> Vides aizsardzības un reģionālās attīstības ministrijai turpmāk nodrošināt, ka budžeta apakšprogrammā 33.02.00 “Emisijas kvotu izsolīšanas instrumenta projekti” izdevumi turpmāk tiek plānoti atbilstoši faktiski apstiprināto projektu naudas plūsmu prognozēm, nepieciešamības gadījumā budžeta izpildes laikā visus papildu nepieciešamos finanšu līdzekļus pieprasot un saņemot normatīvajos aktos noteiktajā kārtībā no budžeta resora “74.Gadskārtējā valsts budžeta izpildes procesā pārdalāmais finansējums” budžeta programmas 80.00.00 “Nesadalītais finansējums Eiropas Savienības politiku instrumentu un pārējās ārvalstu finanšu palīdzības līdzfinansēto projektu</w:t>
      </w:r>
      <w:r>
        <w:rPr>
          <w:i/>
        </w:rPr>
        <w:t xml:space="preserve"> un pasākumu īstenošanai”.”</w:t>
      </w:r>
    </w:p>
    <w:p w:rsidR="002B21B1" w:rsidRPr="008F1200" w:rsidRDefault="000C7B83" w:rsidP="008F1200">
      <w:pPr>
        <w:ind w:firstLine="720"/>
        <w:jc w:val="both"/>
      </w:pPr>
      <w:r>
        <w:t>VARAM ar 2016.gada 19</w:t>
      </w:r>
      <w:r w:rsidR="002B21B1" w:rsidRPr="002B21B1">
        <w:t>.augusta vēstuli</w:t>
      </w:r>
      <w:r w:rsidR="001F1ECF" w:rsidRPr="001F1ECF">
        <w:t xml:space="preserve"> </w:t>
      </w:r>
      <w:r w:rsidR="001F1ECF" w:rsidRPr="002B21B1">
        <w:t xml:space="preserve">Nr.7.1-13/6256 </w:t>
      </w:r>
      <w:r w:rsidR="001F1ECF">
        <w:t>par maksimāli pieļaujamā valsts budžeta izdevumu kopēja apjoma 2017.,</w:t>
      </w:r>
      <w:r w:rsidR="005D2965">
        <w:t xml:space="preserve"> </w:t>
      </w:r>
      <w:r w:rsidR="001F1ECF">
        <w:t>2018., 2019.gadam precizēšanu</w:t>
      </w:r>
      <w:r w:rsidR="002B21B1" w:rsidRPr="002B21B1">
        <w:t xml:space="preserve"> izdevumus budžeta apakšprogrammā 33.02.00 “Emisijas kvotu izsolīšanas instrumenta projekti” </w:t>
      </w:r>
      <w:r w:rsidR="001F1ECF">
        <w:t>ie</w:t>
      </w:r>
      <w:r w:rsidR="002B21B1" w:rsidRPr="002B21B1">
        <w:t>plāno atbilstoši faktiski apstiprināto projektu naudas plūsmu prognozēm</w:t>
      </w:r>
      <w:r w:rsidR="001F1ECF">
        <w:t>.</w:t>
      </w:r>
    </w:p>
    <w:p w:rsidR="004E5E2A" w:rsidRPr="008F1200" w:rsidRDefault="004E5E2A" w:rsidP="008F1200">
      <w:pPr>
        <w:spacing w:before="240" w:after="240"/>
        <w:jc w:val="both"/>
        <w:rPr>
          <w:i/>
        </w:rPr>
      </w:pPr>
      <w:r>
        <w:rPr>
          <w:i/>
        </w:rPr>
        <w:t>“</w:t>
      </w:r>
      <w:r w:rsidRPr="004E5E2A">
        <w:rPr>
          <w:i/>
        </w:rPr>
        <w:t>6.20.</w:t>
      </w:r>
      <w:r>
        <w:rPr>
          <w:i/>
        </w:rPr>
        <w:t>apakšpunkts</w:t>
      </w:r>
      <w:r w:rsidRPr="004E5E2A">
        <w:rPr>
          <w:i/>
        </w:rPr>
        <w:t xml:space="preserve"> Vides aizsardzības un reģionālās attīstības ministrijai līdz 2016.gada 1.jūlijam pārskatīt plānotos izdevumus, kas piešķirti saskaņā ar Ministru kabineta 2014.gada 26.februāra rīkojumu Nr.88 “Par finansējuma piešķiršanu Vides aizsardzības un reģionālās attīstības ministrijai nekustamā īpašuma Kronvalda bulvārī 6, Rīgā, nomas maksas, aprīkojuma un mēbeļu iegādes, pārcelšanās un citu saistīto izdevumu segšanai” un atbilstoši aktuālajai situācijai saistībā ar ministrijas pārcelšanos uz telpām Kronvalda bulvārī 6, Rīgā, sagatavot un iesniegt izskatīšanai Ministru kabinetā informatīvo ziņojumu un grozījumus iepriekš minētajā rīkojumā, vienlaikus sniedzot priekšlikumus par Vides aizsardzības un reģionālās attīstības ministrijas turpmāku izvietošanu vienā ēkā (adresē). Atbilstoši šajā apakšpunktā minētajam Vides aizsardzības un reģionālās attīstības ministrijai iesniegt Finanšu ministrijā precizējumus bāzes izdevumos budžeta programmā 97.00.00 “Nozaru vadība un politikas plānošana</w:t>
      </w:r>
      <w:r>
        <w:rPr>
          <w:i/>
        </w:rPr>
        <w:t>”.</w:t>
      </w:r>
      <w:r w:rsidR="008F1200">
        <w:rPr>
          <w:i/>
        </w:rPr>
        <w:t>”</w:t>
      </w:r>
    </w:p>
    <w:p w:rsidR="000C7B83" w:rsidRDefault="000C7B83" w:rsidP="00195837">
      <w:pPr>
        <w:ind w:firstLine="720"/>
        <w:jc w:val="both"/>
      </w:pPr>
      <w:r w:rsidRPr="000C7B83">
        <w:t>VARAM ar 2016.gada 4.jūlija vēstuli Nr.18-1e/4957 iesniedza precizējumus valsts pamatbudžeta bāzes izdevumos 2017.-2019.gadam budžeta programmā 97.00.00 “Nozaru vadība un politikas plānošana”.</w:t>
      </w:r>
    </w:p>
    <w:p w:rsidR="005C41E8" w:rsidRPr="004E5E2A" w:rsidRDefault="008F1200" w:rsidP="00195837">
      <w:pPr>
        <w:ind w:firstLine="720"/>
        <w:jc w:val="both"/>
      </w:pPr>
      <w:r>
        <w:t>2017.gada 14.martā</w:t>
      </w:r>
      <w:r w:rsidR="005C41E8" w:rsidRPr="004E5E2A">
        <w:t xml:space="preserve"> spēkā stājās MK rīkojums Nr.123 “Par Ministru kabineta 201</w:t>
      </w:r>
      <w:r w:rsidR="00FD7FDB">
        <w:t>4.gada 26.februāra rīkojuma Nr.</w:t>
      </w:r>
      <w:r w:rsidR="005C41E8" w:rsidRPr="004E5E2A">
        <w:t>88 “Par finansējuma piešķiršanu Vides aizsardzības un reģionālās attīstības ministrijai nekustamā īpašuma Kronvalda bulvārī 6, Rīgā, nomas maksas, aprīkojuma un mēbeļu iegādes, pārcelšanās un citu saistīto izdevumu segšanai” atzīšanu par spēku zaudējušu”</w:t>
      </w:r>
      <w:r w:rsidR="004E5E2A">
        <w:t>.</w:t>
      </w:r>
    </w:p>
    <w:p w:rsidR="00F76034" w:rsidRDefault="004E5E2A" w:rsidP="00EA7517">
      <w:pPr>
        <w:spacing w:after="120"/>
        <w:ind w:firstLine="720"/>
        <w:jc w:val="both"/>
      </w:pPr>
      <w:r>
        <w:t xml:space="preserve">Vienlaikus </w:t>
      </w:r>
      <w:r w:rsidR="005C41E8">
        <w:t xml:space="preserve">MK 2017.gada 14.marta sēdē </w:t>
      </w:r>
      <w:r>
        <w:t xml:space="preserve">tika </w:t>
      </w:r>
      <w:r w:rsidR="005C41E8">
        <w:t>izskatīts informatīvais ziņojums “</w:t>
      </w:r>
      <w:r w:rsidR="005C41E8" w:rsidRPr="005C41E8">
        <w:t>Par Ministru kabineta 2016.gada 31.maija sēdes protokollē</w:t>
      </w:r>
      <w:r w:rsidR="005C41E8">
        <w:t>muma (prot. Nr.26 39.§) “Informatīvais ziņojums “</w:t>
      </w:r>
      <w:r w:rsidR="005C41E8" w:rsidRPr="005C41E8">
        <w:t>Par valsts budžeta izdevumu pārskatīšanas 2017., 2018. un 2019.gadam rezultātiem un priekšlikumi par šo rezul</w:t>
      </w:r>
      <w:r w:rsidR="005C41E8">
        <w:t>tātu izmantošanu likumprojekta “</w:t>
      </w:r>
      <w:r w:rsidR="005C41E8" w:rsidRPr="005C41E8">
        <w:t>Par vidēja termiņa bud</w:t>
      </w:r>
      <w:r w:rsidR="005C41E8">
        <w:t>žeta 2017., 2018. un 2019.gadam”</w:t>
      </w:r>
      <w:r w:rsidR="005C41E8" w:rsidRPr="005C41E8">
        <w:t xml:space="preserve"> un likumpro</w:t>
      </w:r>
      <w:r w:rsidR="005C41E8">
        <w:t>jekta “Par valsts budžetu 2017.gadam” izstrādes procesā””</w:t>
      </w:r>
      <w:r w:rsidR="005C41E8" w:rsidRPr="005C41E8">
        <w:t xml:space="preserve"> </w:t>
      </w:r>
      <w:r w:rsidR="005C41E8" w:rsidRPr="005C41E8">
        <w:lastRenderedPageBreak/>
        <w:t>6.20.ap</w:t>
      </w:r>
      <w:r w:rsidR="005C41E8">
        <w:t>akšpunktā dotā uzdevuma izpildi”</w:t>
      </w:r>
      <w:r w:rsidR="009D2789">
        <w:t xml:space="preserve"> un rīkojuma projekts “</w:t>
      </w:r>
      <w:r w:rsidR="005C41E8" w:rsidRPr="005C41E8">
        <w:t>Par Ministru kabineta 2014.g</w:t>
      </w:r>
      <w:r w:rsidR="005C41E8">
        <w:t>ada 26.februāra rīkojuma Nr.88 “</w:t>
      </w:r>
      <w:r w:rsidR="005C41E8" w:rsidRPr="005C41E8">
        <w:t xml:space="preserve">Par finansējuma piešķiršanu Vides aizsardzības un reģionālās attīstības ministrijai nekustamā īpašuma Kronvalda bulvārī 6, Rīgā, nomas maksas, aprīkojuma un mēbeļu iegādes, pārcelšanās un </w:t>
      </w:r>
      <w:r w:rsidR="005C41E8">
        <w:t>citu saistīto izdevumu segšanai” atzīšanu par spēku zaudējušu”</w:t>
      </w:r>
      <w:r w:rsidR="00FE0F9F" w:rsidRPr="00FE0F9F">
        <w:t xml:space="preserve"> </w:t>
      </w:r>
      <w:r w:rsidR="00FE0F9F">
        <w:t>(prot. Nr.12 41.</w:t>
      </w:r>
      <w:r w:rsidR="00FE0F9F">
        <w:rPr>
          <w:rFonts w:cs="Times New Roman"/>
        </w:rPr>
        <w:t>§)</w:t>
      </w:r>
      <w:r w:rsidR="005C41E8">
        <w:t xml:space="preserve">, ar kuru </w:t>
      </w:r>
      <w:r w:rsidR="0012384F">
        <w:t xml:space="preserve">uzdots </w:t>
      </w:r>
      <w:r>
        <w:t>FM (VAS “Valsts nekustamie īpašumi”</w:t>
      </w:r>
      <w:r w:rsidRPr="004E5E2A">
        <w:t xml:space="preserve">) līdz 2017.gada 1.augustam iesniegt </w:t>
      </w:r>
      <w:r w:rsidR="00E03DEC">
        <w:t>MK</w:t>
      </w:r>
      <w:r w:rsidRPr="004E5E2A">
        <w:t xml:space="preserve"> priekšlikumus par ēkas Kronvalda bulvārī 6, Rīgā, turpmāko izmantošanu, ņemot vērā veikto ēkas plānojuma izstrādi</w:t>
      </w:r>
      <w:r>
        <w:t>.</w:t>
      </w:r>
    </w:p>
    <w:p w:rsidR="00BA358A" w:rsidRPr="00EA7517" w:rsidRDefault="006E7059" w:rsidP="00EA7517">
      <w:pPr>
        <w:spacing w:before="240" w:after="240"/>
        <w:jc w:val="both"/>
        <w:rPr>
          <w:i/>
        </w:rPr>
      </w:pPr>
      <w:r w:rsidRPr="006E7059">
        <w:rPr>
          <w:i/>
        </w:rPr>
        <w:t>“6.26.apakšpunkts lai nodrošinātu iedzīvotājiem kvalitatīvu veselības aprūpes pieejamību visā Latvijas teritorijā, Veselības ministrijai, tai skaitā izmantojot Pasaules bankas pētījuma rezultātus, sagatavot un līdz 2016.gada 5.augustam iesniegt izskatīšanai Ministru kabinetā priekšlikumus par strukturālām reformām veselības aprūpes pakalpojumu sniedzēju struktūrā, skaitā un sniegto pakalpojumu profilā un apjomā. Jautājums par papildu valsts budžeta finansējuma piešķiršanu ir skatāms tikai pēc minēto strukturālo reformu atbalstīšanas Ministru kabinetā.”</w:t>
      </w:r>
    </w:p>
    <w:p w:rsidR="005315EB" w:rsidRPr="005315EB" w:rsidRDefault="005315EB" w:rsidP="005D2965">
      <w:pPr>
        <w:spacing w:after="120"/>
        <w:ind w:firstLine="720"/>
      </w:pPr>
      <w:r w:rsidRPr="005315EB">
        <w:t xml:space="preserve">VM ir </w:t>
      </w:r>
      <w:r>
        <w:t>sagatavojusi informatīvo ziņojumu:</w:t>
      </w:r>
    </w:p>
    <w:p w:rsidR="00462E09" w:rsidRDefault="005315EB" w:rsidP="00195837">
      <w:pPr>
        <w:pStyle w:val="ListParagraph"/>
        <w:numPr>
          <w:ilvl w:val="0"/>
          <w:numId w:val="8"/>
        </w:numPr>
        <w:spacing w:after="60"/>
        <w:ind w:left="777" w:hanging="357"/>
        <w:contextualSpacing w:val="0"/>
        <w:jc w:val="both"/>
      </w:pPr>
      <w:r>
        <w:t>“</w:t>
      </w:r>
      <w:r w:rsidRPr="005315EB">
        <w:t xml:space="preserve">Par sistēmiski svarīgo ārstniecības iestāžu </w:t>
      </w:r>
      <w:r>
        <w:t>kartējumu un attīstības reformu”, kas 2016.gada 20.decembrī izskatīts MK sēdē</w:t>
      </w:r>
      <w:r w:rsidR="009D2789">
        <w:t xml:space="preserve"> (prot. Nr.69 83</w:t>
      </w:r>
      <w:r w:rsidR="009D2789" w:rsidRPr="00F76034">
        <w:t>.§</w:t>
      </w:r>
      <w:r w:rsidR="009D2789">
        <w:t>)</w:t>
      </w:r>
      <w:r>
        <w:t>.</w:t>
      </w:r>
      <w:r w:rsidRPr="005315EB">
        <w:t xml:space="preserve"> </w:t>
      </w:r>
      <w:r>
        <w:t>I</w:t>
      </w:r>
      <w:r w:rsidR="00462E09" w:rsidRPr="005315EB">
        <w:t>nformatīvais ziņojums ietver esošās situācijas analīzi attiecībā uz demogrāfiskām tendencēm, saslimstību un veselības aprūpes sistēmu, kā arī paredz rīcības aprakstu attiecībā uz risinājumiem veselības aprūpes attīstībai, tai ska</w:t>
      </w:r>
      <w:r w:rsidR="00EA7517">
        <w:t>i</w:t>
      </w:r>
      <w:r w:rsidR="00462E09" w:rsidRPr="005315EB">
        <w:t>tā augstas intensitātes stacionāro ārstniecības iestāžu kartējumu un plānotās investīcijas</w:t>
      </w:r>
      <w:r>
        <w:t>;</w:t>
      </w:r>
    </w:p>
    <w:p w:rsidR="005315EB" w:rsidRDefault="005315EB" w:rsidP="00195837">
      <w:pPr>
        <w:pStyle w:val="ListParagraph"/>
        <w:numPr>
          <w:ilvl w:val="0"/>
          <w:numId w:val="8"/>
        </w:numPr>
        <w:spacing w:after="60"/>
        <w:ind w:left="777" w:hanging="357"/>
        <w:contextualSpacing w:val="0"/>
        <w:jc w:val="both"/>
      </w:pPr>
      <w:r>
        <w:t>“</w:t>
      </w:r>
      <w:r w:rsidRPr="005315EB">
        <w:t>Par veselības reforma</w:t>
      </w:r>
      <w:r>
        <w:t>s pasākumu īstenošanu 2017.gadā”, kas 2016.gada 20.decembrī izskatīts MK sēdē</w:t>
      </w:r>
      <w:r w:rsidR="009D2789">
        <w:t xml:space="preserve"> (prot. Nr.69 86</w:t>
      </w:r>
      <w:r w:rsidR="009D2789" w:rsidRPr="00F76034">
        <w:t>.§</w:t>
      </w:r>
      <w:r w:rsidR="009D2789">
        <w:t>)</w:t>
      </w:r>
      <w:r>
        <w:t>. Informatīvā ziņojuma ietvaros uzdots VM</w:t>
      </w:r>
      <w:r w:rsidRPr="005315EB">
        <w:t xml:space="preserve"> līdz 2017.gada 15.februārim iesniegt izskatīšanai </w:t>
      </w:r>
      <w:r>
        <w:t>MK</w:t>
      </w:r>
      <w:r w:rsidRPr="005315EB">
        <w:t xml:space="preserve"> informatīvo ziņojumu par pārējiem reformas pasākumie</w:t>
      </w:r>
      <w:r>
        <w:t>m un finansējuma (22</w:t>
      </w:r>
      <w:r w:rsidR="005D2965">
        <w:t> </w:t>
      </w:r>
      <w:r>
        <w:t>062</w:t>
      </w:r>
      <w:r w:rsidR="005D2965">
        <w:t> </w:t>
      </w:r>
      <w:r>
        <w:t>190</w:t>
      </w:r>
      <w:r w:rsidR="005D2965">
        <w:t> </w:t>
      </w:r>
      <w:r w:rsidRPr="005315EB">
        <w:rPr>
          <w:i/>
        </w:rPr>
        <w:t>euro</w:t>
      </w:r>
      <w:r w:rsidRPr="005315EB">
        <w:t>) sadalījumu 2017.gadam, norādot pasākumus, kurus plān</w:t>
      </w:r>
      <w:r w:rsidR="005F0C4E">
        <w:t xml:space="preserve">ots finansēt no </w:t>
      </w:r>
      <w:r w:rsidRPr="005315EB">
        <w:t>74.</w:t>
      </w:r>
      <w:r w:rsidR="00A451C6">
        <w:t xml:space="preserve">resora </w:t>
      </w:r>
      <w:r w:rsidR="005F0C4E">
        <w:t>08.00.00 programmā “</w:t>
      </w:r>
      <w:r w:rsidRPr="005315EB">
        <w:t xml:space="preserve">Veselības aprūpes sistēmas </w:t>
      </w:r>
      <w:r w:rsidR="005F0C4E">
        <w:t>reformas ieviešanas finansējums”</w:t>
      </w:r>
      <w:r w:rsidRPr="005315EB">
        <w:t xml:space="preserve"> rezervētā finansējuma veselīb</w:t>
      </w:r>
      <w:r w:rsidR="005F0C4E">
        <w:t>as nozares reformas īstenošanai;</w:t>
      </w:r>
    </w:p>
    <w:p w:rsidR="00256456" w:rsidRPr="00EA7517" w:rsidRDefault="001C0A5B" w:rsidP="00195837">
      <w:pPr>
        <w:pStyle w:val="ListParagraph"/>
        <w:numPr>
          <w:ilvl w:val="0"/>
          <w:numId w:val="8"/>
        </w:numPr>
        <w:spacing w:after="60"/>
        <w:ind w:left="777" w:hanging="357"/>
        <w:contextualSpacing w:val="0"/>
        <w:jc w:val="both"/>
      </w:pPr>
      <w:r>
        <w:t>“</w:t>
      </w:r>
      <w:r w:rsidR="009D2789" w:rsidRPr="009D2789">
        <w:t>Par veselības reformas pasākumu īs</w:t>
      </w:r>
      <w:r>
        <w:t>tenošanas turpināšanu 2017.gadā”</w:t>
      </w:r>
      <w:r w:rsidR="000E6367" w:rsidRPr="009D2789">
        <w:t>,</w:t>
      </w:r>
      <w:r w:rsidR="000E6367">
        <w:t xml:space="preserve"> kas 2017.gada </w:t>
      </w:r>
      <w:r>
        <w:t>14</w:t>
      </w:r>
      <w:r w:rsidR="000E6367">
        <w:t xml:space="preserve">.februarī </w:t>
      </w:r>
      <w:r>
        <w:t>iz</w:t>
      </w:r>
      <w:r w:rsidR="000E6367">
        <w:t>skatīts MK sēdē</w:t>
      </w:r>
      <w:r>
        <w:t xml:space="preserve"> (prot. Nr.7 45</w:t>
      </w:r>
      <w:r w:rsidRPr="00F76034">
        <w:t>.§</w:t>
      </w:r>
      <w:r>
        <w:t>)</w:t>
      </w:r>
      <w:r w:rsidR="000E6367">
        <w:t xml:space="preserve">. Informatīvajā ziņojumā norādīts, ka ar papildu piešķirto </w:t>
      </w:r>
      <w:r w:rsidR="000E6367" w:rsidRPr="000E6367">
        <w:t>finansējumu vidēji tiks nodrošināta rindu samazināšana sekundārās ambulatorās veselības aprūpes pakalpojumiem par 25%, un noteikt</w:t>
      </w:r>
      <w:r w:rsidR="000E6367">
        <w:t>s</w:t>
      </w:r>
      <w:r w:rsidR="000E6367" w:rsidRPr="000E6367">
        <w:t>, ka veselības reformas ietvaros rindu samazināšana sekundārās ambulatorās veselības aprūpes pakalpojumiem ir tupināma 2018. un 2019.gadā, līdz to vidējais apmērs samazināsies vidēji vismaz par 50%.</w:t>
      </w:r>
      <w:r w:rsidR="000E6367">
        <w:t xml:space="preserve"> </w:t>
      </w:r>
      <w:r w:rsidR="005F0C4E">
        <w:t>Vienlaikus uzdots VM</w:t>
      </w:r>
      <w:r w:rsidR="005F0C4E" w:rsidRPr="005F0C4E">
        <w:t xml:space="preserve"> sagatavot un līdz 2017.gada 18.martam iesniegt izskatīšanai </w:t>
      </w:r>
      <w:r w:rsidR="005F0C4E">
        <w:t>MK</w:t>
      </w:r>
      <w:r w:rsidR="005F0C4E" w:rsidRPr="005F0C4E">
        <w:t xml:space="preserve"> informatīvo ziņojumu ar analīzi un priekšlikumus par veicamajiem pasākumiem un papildu nepieciešamo finansējumu, lai nodrošinātu tālāku rindu samazināšanu sekundārās ambulatorās veselības aprūpes pakalpojumiem, nepārskatot pakalpojumu apmaksas tarifus, ieskaitot prognozes par piedāvājuma izmaiņām sakarā ar pacientu uzvedības maiņu, vairāk izvēloties valsts apmaksātos pakalpojumus.</w:t>
      </w:r>
    </w:p>
    <w:p w:rsidR="006D541B" w:rsidRPr="00EA7517" w:rsidRDefault="006D541B" w:rsidP="00EA7517">
      <w:pPr>
        <w:spacing w:before="240" w:after="240"/>
        <w:jc w:val="both"/>
        <w:rPr>
          <w:i/>
        </w:rPr>
      </w:pPr>
      <w:r w:rsidRPr="006D541B">
        <w:rPr>
          <w:i/>
        </w:rPr>
        <w:t>“6.27.apakšpunkts lai nodrošinātu stratēģisku un efektīvu investīciju pārvaldību, Veselības ministrijai sagatavot un līdz 2016.gada 15.jūlijam iesniegt izskatīšanai Ministru kabinetā konceptuālā ziņojuma projektu par valsts īpašumā esošo ārstniecības iestāžu infrastruktūras attīstības plānu un šajā plānā paredzēto investīciju atdevi uz veselības aprūpes pa</w:t>
      </w:r>
      <w:r w:rsidR="00EA7517">
        <w:rPr>
          <w:i/>
        </w:rPr>
        <w:t>kalpojumu apjomu un kvalitāti.”</w:t>
      </w:r>
    </w:p>
    <w:p w:rsidR="004A0C8E" w:rsidRDefault="006D541B" w:rsidP="00EF0E2A">
      <w:pPr>
        <w:spacing w:after="120"/>
        <w:ind w:firstLine="709"/>
        <w:jc w:val="both"/>
      </w:pPr>
      <w:r w:rsidRPr="005315EB">
        <w:lastRenderedPageBreak/>
        <w:t xml:space="preserve">VM ir </w:t>
      </w:r>
      <w:r>
        <w:t>sagatavojusi informatīvo ziņojumu “</w:t>
      </w:r>
      <w:r w:rsidRPr="005315EB">
        <w:t xml:space="preserve">Par sistēmiski svarīgo ārstniecības iestāžu </w:t>
      </w:r>
      <w:r>
        <w:t xml:space="preserve">kartējumu un attīstības reformu”, kas </w:t>
      </w:r>
      <w:r w:rsidR="001C0A5B">
        <w:t>izskatīts MK 2016.gada 20.decembra</w:t>
      </w:r>
      <w:r>
        <w:t xml:space="preserve"> sēdē</w:t>
      </w:r>
      <w:r w:rsidR="001C0A5B">
        <w:t xml:space="preserve"> (prot. Nr.69 83</w:t>
      </w:r>
      <w:r w:rsidR="001C0A5B" w:rsidRPr="00F76034">
        <w:t>.§</w:t>
      </w:r>
      <w:r w:rsidR="001C0A5B">
        <w:t>)</w:t>
      </w:r>
      <w:r w:rsidR="004A0C8E">
        <w:t>.</w:t>
      </w:r>
      <w:r w:rsidR="004A0C8E" w:rsidRPr="004A0C8E">
        <w:t xml:space="preserve"> </w:t>
      </w:r>
      <w:r w:rsidR="004A0C8E">
        <w:t>I</w:t>
      </w:r>
      <w:r w:rsidR="004A0C8E" w:rsidRPr="005315EB">
        <w:t xml:space="preserve">nformatīvais ziņojums ietver </w:t>
      </w:r>
      <w:r w:rsidR="004A0C8E" w:rsidRPr="004A0C8E">
        <w:t>ārstniecības iestāžu kartējumu, slimnīcas tiek iedalītas četros pakalpojumu sniegšanas līmeņos</w:t>
      </w:r>
      <w:r w:rsidR="004A0C8E">
        <w:t>:</w:t>
      </w:r>
    </w:p>
    <w:p w:rsidR="004A0C8E" w:rsidRPr="004A0C8E" w:rsidRDefault="004A0C8E" w:rsidP="00195837">
      <w:pPr>
        <w:pStyle w:val="ListParagraph"/>
        <w:numPr>
          <w:ilvl w:val="0"/>
          <w:numId w:val="8"/>
        </w:numPr>
        <w:spacing w:after="60"/>
        <w:ind w:left="777" w:hanging="357"/>
        <w:contextualSpacing w:val="0"/>
        <w:jc w:val="both"/>
      </w:pPr>
      <w:r>
        <w:t>I līmenis</w:t>
      </w:r>
      <w:r w:rsidRPr="004A0C8E">
        <w:t xml:space="preserve"> </w:t>
      </w:r>
      <w:r>
        <w:t xml:space="preserve">– </w:t>
      </w:r>
      <w:r w:rsidRPr="004A0C8E">
        <w:t>nodrošina plānveida pacientu uzņemšanu un hronisku pacientu aprūpi. Pacientus uz slimnīcu nosūta ar ģimenes ā</w:t>
      </w:r>
      <w:r>
        <w:t xml:space="preserve">rsta vai speciālista nosūtījumu; </w:t>
      </w:r>
    </w:p>
    <w:p w:rsidR="004A0C8E" w:rsidRPr="004A0C8E" w:rsidRDefault="004A0C8E" w:rsidP="00195837">
      <w:pPr>
        <w:pStyle w:val="ListParagraph"/>
        <w:numPr>
          <w:ilvl w:val="0"/>
          <w:numId w:val="8"/>
        </w:numPr>
        <w:spacing w:after="60"/>
        <w:ind w:left="777" w:hanging="357"/>
        <w:contextualSpacing w:val="0"/>
        <w:jc w:val="both"/>
      </w:pPr>
      <w:r>
        <w:t>II līmenis</w:t>
      </w:r>
      <w:r w:rsidRPr="004A0C8E">
        <w:t xml:space="preserve"> </w:t>
      </w:r>
      <w:r>
        <w:t>– nodrošina diennakts neatliekamo medicīnisko palīdzību</w:t>
      </w:r>
      <w:r w:rsidRPr="004A0C8E">
        <w:t>. Slimnīca nodrošina diagnostikas un ārstēšanas pakalpojumus plānveida un akūtajiem pacientiem, nepieciešamības gadījumos nodrošina pasākumus pacienta veselības stāvokļa stabilizēšanai, lai būtu iespēja pārvest pacie</w:t>
      </w:r>
      <w:r>
        <w:t>ntu uz augstāka līmeņa slimnīcu;</w:t>
      </w:r>
    </w:p>
    <w:p w:rsidR="004A0C8E" w:rsidRPr="004A0C8E" w:rsidRDefault="004A0C8E" w:rsidP="00195837">
      <w:pPr>
        <w:pStyle w:val="ListParagraph"/>
        <w:numPr>
          <w:ilvl w:val="0"/>
          <w:numId w:val="8"/>
        </w:numPr>
        <w:spacing w:after="60"/>
        <w:ind w:left="777" w:hanging="357"/>
        <w:contextualSpacing w:val="0"/>
        <w:jc w:val="both"/>
      </w:pPr>
      <w:r>
        <w:t xml:space="preserve">III līmenis – </w:t>
      </w:r>
      <w:r w:rsidRPr="004A0C8E">
        <w:t xml:space="preserve">nodrošina diennakts </w:t>
      </w:r>
      <w:r>
        <w:t>neatliekamo medicīnisko palīdzību</w:t>
      </w:r>
      <w:r w:rsidRPr="004A0C8E">
        <w:t>. Slimnīca nodrošina diagnostikas un ārstēšanas pakalpojumus plānveida un akūtajiem pacientiem, nepieciešamības gadījumos nodrošina pasākumus pacienta veselības stāvokļa stabilizēšanai, lai būtu iespēja pārvest pacientu uz augstāka līmeņa slimnīcu. Slimnīca nod</w:t>
      </w:r>
      <w:r>
        <w:t>rošina insulta vienības darbību;</w:t>
      </w:r>
      <w:r w:rsidRPr="004A0C8E">
        <w:tab/>
      </w:r>
    </w:p>
    <w:p w:rsidR="004A0C8E" w:rsidRPr="004A0C8E" w:rsidRDefault="004A0C8E" w:rsidP="00195837">
      <w:pPr>
        <w:pStyle w:val="ListParagraph"/>
        <w:numPr>
          <w:ilvl w:val="0"/>
          <w:numId w:val="8"/>
        </w:numPr>
        <w:spacing w:after="60"/>
        <w:ind w:left="777" w:hanging="357"/>
        <w:contextualSpacing w:val="0"/>
        <w:jc w:val="both"/>
      </w:pPr>
      <w:r>
        <w:t xml:space="preserve">III līmenis – </w:t>
      </w:r>
      <w:r w:rsidRPr="004A0C8E">
        <w:t xml:space="preserve">ar papildu specializāciju kardioloģijā un onkoloģijā ir ārstniecības iestāde, kura iedzīvotājiem nodrošina diennakts </w:t>
      </w:r>
      <w:r>
        <w:t>neatliekamo medicīnisko palīdzību</w:t>
      </w:r>
      <w:r w:rsidRPr="004A0C8E">
        <w:t>, diagnostikas un ārstēšanas pakalpojumus plānveida un akūtajiem pacientiem un ir papildus specializējusies kardioloģijas (tajā skaitā invazīvās kardioloģijas) un onkoloģijas jomā. Nod</w:t>
      </w:r>
      <w:r>
        <w:t>rošina insulta vienības darbību;</w:t>
      </w:r>
    </w:p>
    <w:p w:rsidR="00F26872" w:rsidRPr="00D379CF" w:rsidRDefault="004A0C8E" w:rsidP="00195837">
      <w:pPr>
        <w:pStyle w:val="ListParagraph"/>
        <w:numPr>
          <w:ilvl w:val="0"/>
          <w:numId w:val="8"/>
        </w:numPr>
        <w:spacing w:after="60"/>
        <w:ind w:left="777" w:hanging="357"/>
        <w:contextualSpacing w:val="0"/>
        <w:jc w:val="both"/>
      </w:pPr>
      <w:r>
        <w:t>IV līmenis</w:t>
      </w:r>
      <w:r w:rsidRPr="004A0C8E">
        <w:t xml:space="preserve"> </w:t>
      </w:r>
      <w:r>
        <w:t xml:space="preserve">– </w:t>
      </w:r>
      <w:r w:rsidRPr="004A0C8E">
        <w:t xml:space="preserve">diennakti nodrošina pacientiem neatliekamos, sekundāros un terciāros veselības aprūpes pakalpojumus. </w:t>
      </w:r>
    </w:p>
    <w:p w:rsidR="001B1467" w:rsidRPr="00D379CF" w:rsidRDefault="001B1467" w:rsidP="00D379CF">
      <w:pPr>
        <w:spacing w:before="240" w:after="240"/>
        <w:jc w:val="both"/>
        <w:rPr>
          <w:i/>
        </w:rPr>
      </w:pPr>
      <w:r w:rsidRPr="001B1467">
        <w:rPr>
          <w:i/>
        </w:rPr>
        <w:t>“6.30.apakšpunkts Veselības ministrijai sagatavot un līdz 2016.gada 1.jūlijam iesniegt izskatīšanai Ministru kabinetā grozījumus Ministru kabineta 2013.gada 17.decembra noteikumos Nr.1529 “Veselības aprūpes organizēšanas un finansēšanas kārtība”, paredzot, ka sākot ar 2017.gada 1.janvāri amortizācijas piemaksas daļa par tehnoloģiju līmeni datortomogrāfijas, ultrasonogrāfijas un magnētiskās rezonanses izmeklējumiem tiek note</w:t>
      </w:r>
      <w:r w:rsidR="00D379CF">
        <w:rPr>
          <w:i/>
        </w:rPr>
        <w:t>ikta vienotā (fiksētā) līmenī.”</w:t>
      </w:r>
    </w:p>
    <w:p w:rsidR="00A25490" w:rsidRPr="00D379CF" w:rsidRDefault="00234D0E" w:rsidP="00D379CF">
      <w:pPr>
        <w:ind w:firstLine="720"/>
        <w:jc w:val="both"/>
      </w:pPr>
      <w:r w:rsidRPr="00234D0E">
        <w:t xml:space="preserve">VM ir sagatavojusi grozījumus </w:t>
      </w:r>
      <w:r w:rsidR="00F120B4">
        <w:t>MK</w:t>
      </w:r>
      <w:r w:rsidR="001B1467" w:rsidRPr="00234D0E">
        <w:t xml:space="preserve"> 2013.gada </w:t>
      </w:r>
      <w:r w:rsidR="00001CC9">
        <w:t>17.decembra noteikumos Nr.1529 “</w:t>
      </w:r>
      <w:r w:rsidR="001B1467" w:rsidRPr="00234D0E">
        <w:t>Veselības aprūpes organiz</w:t>
      </w:r>
      <w:r w:rsidRPr="00234D0E">
        <w:t>ēšan</w:t>
      </w:r>
      <w:r w:rsidR="00001CC9">
        <w:t>as un finansēšanas kārtība”</w:t>
      </w:r>
      <w:r w:rsidRPr="00234D0E">
        <w:t>, kas pie</w:t>
      </w:r>
      <w:r w:rsidR="00001CC9">
        <w:t>ņemti</w:t>
      </w:r>
      <w:r w:rsidRPr="00234D0E">
        <w:t xml:space="preserve"> </w:t>
      </w:r>
      <w:r w:rsidR="00950023" w:rsidRPr="00234D0E">
        <w:t xml:space="preserve">MK </w:t>
      </w:r>
      <w:r w:rsidRPr="00234D0E">
        <w:t>2017.gada 28.marta sēdē. Ņemot vērā VM izveidotās darba grupas par vienotu radioloģisko tarifu metodikas noteikšanu izstrādātos radioloģisko pakalpojumu tarifu aprēķinu principus, grozījumi paredz, ka noteikumu 16.pielikumā tiek iekļauti precizēti manipulāciju kodi un tarifi, kā arī jaunas manipulācijas. Vienlaikus darba grupā pārskatīti radioloģijas tarifi, pārskatot manipulāciju tarifu aprēķinos iekļautās iekārtu vērtības, kā rezultātā, samazinot iekārtu amortizācijas izmaksas, tiek samazināti arī radioloģijas tarifi.</w:t>
      </w:r>
    </w:p>
    <w:p w:rsidR="00274730" w:rsidRPr="00274730" w:rsidRDefault="006460E4" w:rsidP="00D379CF">
      <w:pPr>
        <w:spacing w:before="240"/>
        <w:jc w:val="both"/>
        <w:rPr>
          <w:i/>
        </w:rPr>
      </w:pPr>
      <w:r>
        <w:rPr>
          <w:i/>
        </w:rPr>
        <w:t>“</w:t>
      </w:r>
      <w:r w:rsidR="00274730" w:rsidRPr="00274730">
        <w:rPr>
          <w:i/>
        </w:rPr>
        <w:t>6.32. lai nodrošinātu veselības aprūpes budžeta caurskatāmību, Veselības ministrijai likumprojekta “Par valsts budžetu 2017.gadam” un likumprojekta “Par vidēja termiņa budžeta ietvaru 2017., 2018. un 2019.gadam” sagatavošanas un izskatīšanas procesā iesniegt Finanšu ministrijā priekšlikumu par budžeta apakšprogrammas 33.01.00 “Ārstniecība” un tās finansējuma sadalīšanu šādās apakšprogrammās:</w:t>
      </w:r>
    </w:p>
    <w:p w:rsidR="00274730" w:rsidRPr="00274730" w:rsidRDefault="00274730" w:rsidP="00274730">
      <w:pPr>
        <w:jc w:val="both"/>
        <w:rPr>
          <w:i/>
        </w:rPr>
      </w:pPr>
      <w:r w:rsidRPr="00274730">
        <w:rPr>
          <w:i/>
        </w:rPr>
        <w:t xml:space="preserve"> 6.32.1. apakšprogramma 33.13.00 “Primārās ambulatorās veselības aprūpes nodrošināšana” (ģimenes ārstu, mājas aprūpes pakalpojumu, zobārstniecības);</w:t>
      </w:r>
    </w:p>
    <w:p w:rsidR="00274730" w:rsidRPr="00274730" w:rsidRDefault="00274730" w:rsidP="00274730">
      <w:pPr>
        <w:jc w:val="both"/>
        <w:rPr>
          <w:i/>
        </w:rPr>
      </w:pPr>
      <w:r w:rsidRPr="00274730">
        <w:rPr>
          <w:i/>
        </w:rPr>
        <w:t xml:space="preserve"> 6.32.2. apakšprogramma 33.14.00 “Laboratorisko izmeklējumu nodrošināšana ambulatorajā aprūpē”;</w:t>
      </w:r>
    </w:p>
    <w:p w:rsidR="00274730" w:rsidRPr="00274730" w:rsidRDefault="00274730" w:rsidP="00274730">
      <w:pPr>
        <w:jc w:val="both"/>
        <w:rPr>
          <w:i/>
        </w:rPr>
      </w:pPr>
      <w:r w:rsidRPr="00274730">
        <w:rPr>
          <w:i/>
        </w:rPr>
        <w:t xml:space="preserve"> 6.32.3. apakšprogramma 33.15.00 “Pārējo ambulatoro veselības aprūpes pakalpojumu nodrošināšana” (t.sk. sekundārās ambulatorās veselības aprūpes pakalpojumu – speciālistu </w:t>
      </w:r>
      <w:r w:rsidRPr="00274730">
        <w:rPr>
          <w:i/>
        </w:rPr>
        <w:lastRenderedPageBreak/>
        <w:t>konsultāciju un izmeklējumu, diagnostikas u.c. apmaksa (izņemot laboratoriskos izmeklējumus));</w:t>
      </w:r>
    </w:p>
    <w:p w:rsidR="00274730" w:rsidRPr="00274730" w:rsidRDefault="00274730" w:rsidP="00274730">
      <w:pPr>
        <w:jc w:val="both"/>
        <w:rPr>
          <w:i/>
        </w:rPr>
      </w:pPr>
      <w:r w:rsidRPr="00274730">
        <w:rPr>
          <w:i/>
        </w:rPr>
        <w:t xml:space="preserve"> 6.32.4. apakšprogramma 33.16.00 “Neatliekamās medicīniskās palīdzības nodrošināšana stacionārās ārstniecības iestādēs”;</w:t>
      </w:r>
    </w:p>
    <w:p w:rsidR="00274730" w:rsidRPr="00274730" w:rsidRDefault="00274730" w:rsidP="00274730">
      <w:pPr>
        <w:jc w:val="both"/>
        <w:rPr>
          <w:i/>
        </w:rPr>
      </w:pPr>
      <w:r w:rsidRPr="00274730">
        <w:rPr>
          <w:i/>
        </w:rPr>
        <w:t xml:space="preserve"> 6.32.5. apakšprogramma 33.17.00 “Plānveida stacionāro veselības aprūpes pakalpojumu nodrošināšana”;</w:t>
      </w:r>
    </w:p>
    <w:p w:rsidR="00274730" w:rsidRPr="00D379CF" w:rsidRDefault="00274730" w:rsidP="00D379CF">
      <w:pPr>
        <w:spacing w:after="240"/>
        <w:jc w:val="both"/>
        <w:rPr>
          <w:i/>
        </w:rPr>
      </w:pPr>
      <w:r w:rsidRPr="00274730">
        <w:rPr>
          <w:i/>
        </w:rPr>
        <w:t xml:space="preserve"> 6.32.6. apakšprogramma 33.18.00 “Starptautiskie norēķini par sniegtajiem veselības aprūpes pakalpojumiem” (Apakšprogrammas 33.01.00 “Ārstniecība” finansējums norēķiniem ar Eiropas Savienības un Eiropas ekonomiskās zonas valstīm par Latvijas iedzīvotājiem sniegtajiem pakalpojumiem un apakšprogrammas 37.03.00 “Krievijas Federācijas militāro pensionāru veselības aprūpe (no Krievijas Federāc</w:t>
      </w:r>
      <w:r w:rsidR="006460E4">
        <w:rPr>
          <w:i/>
        </w:rPr>
        <w:t>ijas līdzekļiem)” finansējums)”</w:t>
      </w:r>
    </w:p>
    <w:p w:rsidR="006B67ED" w:rsidRDefault="000B28C0" w:rsidP="00AD7446">
      <w:pPr>
        <w:spacing w:after="120"/>
        <w:ind w:firstLine="720"/>
        <w:jc w:val="both"/>
      </w:pPr>
      <w:r w:rsidRPr="000B28C0">
        <w:t xml:space="preserve">Likumā “Par valsts budžetu 2017.gadam” un likumā “Par vidēja termiņa budžeta ietvaru 2017., 2018. un 2019.gadam” budžeta apakšprogramma 33.01.00 “Ārstniecība” tika likvidēta, sadalot finansējumu 6 jaunās apakšprogrammās: </w:t>
      </w:r>
    </w:p>
    <w:p w:rsidR="000B28C0" w:rsidRPr="006B67ED" w:rsidRDefault="000B28C0" w:rsidP="008C25BB">
      <w:pPr>
        <w:pStyle w:val="ListParagraph"/>
        <w:numPr>
          <w:ilvl w:val="0"/>
          <w:numId w:val="93"/>
        </w:numPr>
        <w:spacing w:after="120"/>
        <w:jc w:val="both"/>
      </w:pPr>
      <w:r w:rsidRPr="006B67ED">
        <w:t>33.14.00 “Primārās ambulatorās veselības aprūpes nodrošināšana”;</w:t>
      </w:r>
    </w:p>
    <w:p w:rsidR="000B28C0" w:rsidRPr="006B67ED" w:rsidRDefault="000B28C0" w:rsidP="008C25BB">
      <w:pPr>
        <w:pStyle w:val="ListParagraph"/>
        <w:numPr>
          <w:ilvl w:val="0"/>
          <w:numId w:val="93"/>
        </w:numPr>
        <w:spacing w:after="120"/>
        <w:jc w:val="both"/>
      </w:pPr>
      <w:r w:rsidRPr="006B67ED">
        <w:t>33.15.00 “Laboratorisko izmeklējumu nodrošināšana ambulatorajā aprūpē”;</w:t>
      </w:r>
    </w:p>
    <w:p w:rsidR="000B28C0" w:rsidRPr="006B67ED" w:rsidRDefault="000B28C0" w:rsidP="008C25BB">
      <w:pPr>
        <w:pStyle w:val="ListParagraph"/>
        <w:numPr>
          <w:ilvl w:val="0"/>
          <w:numId w:val="93"/>
        </w:numPr>
        <w:spacing w:after="120"/>
        <w:jc w:val="both"/>
      </w:pPr>
      <w:r w:rsidRPr="006B67ED">
        <w:t>33.16.00 “Pārējo ambulatoro veselības aprūpes pakalpojumu nodrošināšana”;</w:t>
      </w:r>
    </w:p>
    <w:p w:rsidR="000B28C0" w:rsidRDefault="000B28C0" w:rsidP="008C25BB">
      <w:pPr>
        <w:pStyle w:val="ListParagraph"/>
        <w:numPr>
          <w:ilvl w:val="0"/>
          <w:numId w:val="93"/>
        </w:numPr>
        <w:spacing w:after="120"/>
        <w:jc w:val="both"/>
      </w:pPr>
      <w:r w:rsidRPr="006B67ED">
        <w:t>33.17.00 “Neatliekamās medicīniskās palīdzības nodrošināšana sta</w:t>
      </w:r>
      <w:r w:rsidR="006B67ED">
        <w:t>cionārās ārstniecības iestādēs”;</w:t>
      </w:r>
    </w:p>
    <w:p w:rsidR="006B67ED" w:rsidRDefault="006B67ED" w:rsidP="008C25BB">
      <w:pPr>
        <w:pStyle w:val="ListParagraph"/>
        <w:numPr>
          <w:ilvl w:val="0"/>
          <w:numId w:val="93"/>
        </w:numPr>
        <w:spacing w:after="120"/>
        <w:jc w:val="both"/>
      </w:pPr>
      <w:r>
        <w:t>33.18</w:t>
      </w:r>
      <w:r w:rsidRPr="006B67ED">
        <w:t>.00 “Plānveida stacionāro veselības aprūpes pakalpojumu nodrošināšana”</w:t>
      </w:r>
      <w:r>
        <w:t>;</w:t>
      </w:r>
    </w:p>
    <w:p w:rsidR="006B67ED" w:rsidRDefault="006B67ED" w:rsidP="008C25BB">
      <w:pPr>
        <w:pStyle w:val="ListParagraph"/>
        <w:numPr>
          <w:ilvl w:val="0"/>
          <w:numId w:val="93"/>
        </w:numPr>
        <w:spacing w:after="120"/>
        <w:jc w:val="both"/>
      </w:pPr>
      <w:r>
        <w:t>33.19</w:t>
      </w:r>
      <w:r w:rsidRPr="006B67ED">
        <w:t>.00 “Starptautiskie norēķini par sniegtajiem veselības aprūpes pakalpojumiem”</w:t>
      </w:r>
      <w:r>
        <w:t>.</w:t>
      </w:r>
    </w:p>
    <w:p w:rsidR="00001CC9" w:rsidRDefault="00001CC9" w:rsidP="000B28C0">
      <w:pPr>
        <w:spacing w:before="240" w:after="240"/>
        <w:jc w:val="both"/>
        <w:rPr>
          <w:i/>
        </w:rPr>
      </w:pPr>
      <w:r w:rsidRPr="00001CC9">
        <w:rPr>
          <w:i/>
        </w:rPr>
        <w:t>“9.punkts Satiksmes ministrijai sagatavot grozījumus Transportlīdzekļa ekspluatācijas nodokļa un uzņēmumu vieglo transportlīdzekļu nodokļa likumā, aizstājot pārejas noteikumu 9.punktā skaitļus un vārdus “2017.gada 1.janvārī” ar skaitļiem un vārdiem “2018.gada 1.janvārī” un iekļaut valsts budžeta 2017.gadam likumprojektu paketē.”</w:t>
      </w:r>
    </w:p>
    <w:p w:rsidR="00001CC9" w:rsidRPr="00D379CF" w:rsidRDefault="00001CC9" w:rsidP="00D379CF">
      <w:pPr>
        <w:spacing w:after="120"/>
        <w:ind w:firstLine="720"/>
        <w:jc w:val="both"/>
        <w:rPr>
          <w:i/>
        </w:rPr>
      </w:pPr>
      <w:r>
        <w:t xml:space="preserve">SM izstrādāja grozījumus </w:t>
      </w:r>
      <w:r w:rsidR="007F4D97" w:rsidRPr="007F4D97">
        <w:t>Transportlīdzekļa ekspluatācijas nodokļa un uzņēmumu vieglo transportlīdzekļu nodokļa likumā</w:t>
      </w:r>
      <w:r w:rsidRPr="004D189C">
        <w:t>,</w:t>
      </w:r>
      <w:r>
        <w:t xml:space="preserve"> kas tika iekļauti valsts budžeta 2017.gadam likumprojektu paketē.</w:t>
      </w:r>
      <w:r w:rsidR="00480AE5">
        <w:t xml:space="preserve"> Grozījumi paredz aizstāt pārejas noteikumu 9.punktā skaitļus un vārdus “2017.gada 1.janvārī” ar skaitļiem un vārdiem “2019.gada 1.</w:t>
      </w:r>
      <w:r w:rsidR="00480AE5" w:rsidRPr="00480AE5">
        <w:t>janvārī</w:t>
      </w:r>
      <w:r w:rsidR="00480AE5">
        <w:t xml:space="preserve">”. </w:t>
      </w:r>
    </w:p>
    <w:p w:rsidR="00E24874" w:rsidRPr="00D379CF" w:rsidRDefault="0076750C" w:rsidP="00D379CF">
      <w:pPr>
        <w:spacing w:before="240" w:after="240"/>
        <w:jc w:val="both"/>
        <w:rPr>
          <w:i/>
        </w:rPr>
      </w:pPr>
      <w:r>
        <w:rPr>
          <w:i/>
        </w:rPr>
        <w:t>“</w:t>
      </w:r>
      <w:r w:rsidRPr="0076750C">
        <w:rPr>
          <w:i/>
        </w:rPr>
        <w:t>10.</w:t>
      </w:r>
      <w:r>
        <w:rPr>
          <w:i/>
        </w:rPr>
        <w:t>apakšpunkts</w:t>
      </w:r>
      <w:r w:rsidRPr="0076750C">
        <w:rPr>
          <w:i/>
        </w:rPr>
        <w:t xml:space="preserve"> Satiksmes ministrijai sagatavot grozījumus Likumā par ostām, atceļot pienākumu ostu pārvaldēm ieskaitīt valsts pamatbudžetā maksājumu par valsts stratēģiskās infrastruktūras izmantošanu, un likumprojektu iekļaut valsts budžeta 2017.gadam likumprojektu paketē.</w:t>
      </w:r>
      <w:r w:rsidR="00D379CF">
        <w:rPr>
          <w:i/>
        </w:rPr>
        <w:t>”</w:t>
      </w:r>
    </w:p>
    <w:p w:rsidR="0076750C" w:rsidRPr="00D379CF" w:rsidRDefault="0076750C" w:rsidP="00D379CF">
      <w:pPr>
        <w:spacing w:after="120"/>
        <w:ind w:firstLine="720"/>
        <w:jc w:val="both"/>
        <w:rPr>
          <w:i/>
        </w:rPr>
      </w:pPr>
      <w:r>
        <w:t xml:space="preserve">SM izstrādāja grozījumus </w:t>
      </w:r>
      <w:r w:rsidRPr="0076750C">
        <w:t>Likumā par ostām</w:t>
      </w:r>
      <w:r w:rsidRPr="004D189C">
        <w:t>,</w:t>
      </w:r>
      <w:r>
        <w:t xml:space="preserve"> kas tika iekļauti valsts budžeta 2017.gadam likumprojektu paketē.</w:t>
      </w:r>
      <w:r w:rsidRPr="0076750C">
        <w:t xml:space="preserve"> </w:t>
      </w:r>
      <w:r>
        <w:t xml:space="preserve">Grozījumi </w:t>
      </w:r>
      <w:r w:rsidRPr="0076750C">
        <w:t>paredz atcelt pienākumu ostu pārvaldēm ieskaitīt valsts pamatbudžetā maksājumu par valsts stratēģiskās infrastruktūras izmantošanu</w:t>
      </w:r>
      <w:r>
        <w:t xml:space="preserve">. </w:t>
      </w:r>
    </w:p>
    <w:p w:rsidR="00695036" w:rsidRDefault="00695036" w:rsidP="00D379CF">
      <w:pPr>
        <w:spacing w:before="240" w:after="240"/>
        <w:jc w:val="both"/>
        <w:rPr>
          <w:i/>
        </w:rPr>
      </w:pPr>
      <w:r>
        <w:rPr>
          <w:i/>
        </w:rPr>
        <w:t>“</w:t>
      </w:r>
      <w:r w:rsidRPr="00695036">
        <w:rPr>
          <w:i/>
        </w:rPr>
        <w:t>12.</w:t>
      </w:r>
      <w:r>
        <w:rPr>
          <w:i/>
        </w:rPr>
        <w:t>punkts</w:t>
      </w:r>
      <w:r w:rsidRPr="00695036">
        <w:rPr>
          <w:i/>
        </w:rPr>
        <w:t xml:space="preserve"> Ministrijām un citām centrālajām valsts iestādēm pārskatīt budžeta programmām (apakšprogrammām) definētos mērķus, rezultātus un to rezultatīvos rādītājus un sniegt tādus priekšlikumus 2017.gada budžeta projekta izstrādes procesā (budžeta paskaidrojumos), lai mērķis būtu tieši saistīts ar attiecīgo politiku jomu galvenajiem izaicinājumiem, rezultāti un to rādītāji atspoguļotu mērķa sasniegšanas pakāpi un izdevumu efektivitāti, kā arī lai šī informācija kopumā nodokļu maksātājiem pilnvērtīgi raksturotu būtiskākos sabiedrības ieguvumus no publisko resursu izlietošanas. Aktualizējot mērķus, rezultātus un to rādītājus, pēc iespējas izmantot labāko starptautisko praksi.</w:t>
      </w:r>
      <w:r w:rsidR="00D379CF">
        <w:rPr>
          <w:i/>
        </w:rPr>
        <w:t>”</w:t>
      </w:r>
    </w:p>
    <w:p w:rsidR="008F2E18" w:rsidRDefault="008F2E18" w:rsidP="00195837">
      <w:pPr>
        <w:spacing w:after="60"/>
        <w:ind w:firstLine="720"/>
        <w:jc w:val="both"/>
      </w:pPr>
      <w:r>
        <w:lastRenderedPageBreak/>
        <w:t>Ar 2016.gada 2.septembri stājās spēkā grozījumi MK 2012.ga</w:t>
      </w:r>
      <w:r w:rsidR="00D379CF">
        <w:t>da 31.jūlija noteikumos Nr.523 “</w:t>
      </w:r>
      <w:r>
        <w:t>Noteikumi par budžeta pieprasījumu izstrādāšanas un iesniegšanas pamatprincipiem”</w:t>
      </w:r>
      <w:r w:rsidR="00A253A2">
        <w:t xml:space="preserve"> (turpmāk – MK noteikumi Nr.523)</w:t>
      </w:r>
      <w:r>
        <w:t xml:space="preserve">, kas pilnveidoja līdzšinējo budžeta paskaidrojumu saturu ar mērķi sniegt informāciju par valsts budžetu kā politikas realizācijas instrumentu, kā arī uzlaboja budžeta paskaidrojumu uztveramību. FM ar katru ministriju organizēja tikšanos, informējot par veiktajiem grozījumiem un paskaidrojumu lomu sabiedrības informēšanā par valsts budžetu. </w:t>
      </w:r>
    </w:p>
    <w:p w:rsidR="00695036" w:rsidRPr="001260AB" w:rsidRDefault="008F2E18" w:rsidP="00195837">
      <w:pPr>
        <w:spacing w:after="60"/>
        <w:ind w:firstLine="720"/>
        <w:jc w:val="both"/>
      </w:pPr>
      <w:r>
        <w:t>Būtiskākais jauninājums ir politikas un resursu vadības karšu ieviešana, ar kuru palīdzību tiek sniegts priekšstats par nozaru politiku rezultātu sasniegšanā ieguldītajiem resursiem (finanšu un cilvēkresursiem) un par nozares darbības rezultātā sniegto labumu sabiedrībai. Katras nozares politikas un resursu vadības kartē tiek definēts nozares mērķis, norādot ieguldījumu rādītājus, politikas un darbības rezultatīvos rādītājus, kā arī kvalitātes rādītājus.</w:t>
      </w:r>
    </w:p>
    <w:p w:rsidR="008F2E18" w:rsidRPr="00D379CF" w:rsidRDefault="008F2E18" w:rsidP="00195837">
      <w:pPr>
        <w:spacing w:after="60"/>
        <w:ind w:firstLine="720"/>
        <w:jc w:val="both"/>
      </w:pPr>
      <w:r>
        <w:t>S</w:t>
      </w:r>
      <w:r w:rsidRPr="008F2E18">
        <w:t xml:space="preserve">ekojot līdzi </w:t>
      </w:r>
      <w:r>
        <w:t xml:space="preserve">labākajai </w:t>
      </w:r>
      <w:r w:rsidRPr="008F2E18">
        <w:t>starptautiskajai praksei un veicinot sabiedrības izpratni par ieguvumiem no izlietotajiem resursiem</w:t>
      </w:r>
      <w:r w:rsidR="006D54A4">
        <w:t>,</w:t>
      </w:r>
      <w:r w:rsidRPr="008F2E18">
        <w:t xml:space="preserve"> pirmo reizi ir izstrādāts interaktīvais budžets, </w:t>
      </w:r>
      <w:r>
        <w:t xml:space="preserve">kur budžeta izdevumi ir sadalīti pa nozarēm, </w:t>
      </w:r>
      <w:r w:rsidR="006D54A4">
        <w:t>vienlaikus</w:t>
      </w:r>
      <w:r>
        <w:t xml:space="preserve"> norādot ieguvumus no nozarēs ieguldītā finansējuma.</w:t>
      </w:r>
      <w:r w:rsidR="00EC3A5E">
        <w:t xml:space="preserve"> Interaktīvais budžets ir publicēts FM mājas lapā</w:t>
      </w:r>
      <w:r w:rsidR="00EC3A5E" w:rsidRPr="00EC3A5E">
        <w:t xml:space="preserve">: </w:t>
      </w:r>
      <w:hyperlink r:id="rId10" w:history="1">
        <w:r w:rsidR="00EC3A5E" w:rsidRPr="00EC3A5E">
          <w:rPr>
            <w:rStyle w:val="Hyperlink"/>
            <w:color w:val="auto"/>
          </w:rPr>
          <w:t>http://www.fm.gov.lv/valstsbudzets/</w:t>
        </w:r>
      </w:hyperlink>
      <w:r w:rsidR="00EC3A5E">
        <w:t xml:space="preserve">. </w:t>
      </w:r>
    </w:p>
    <w:p w:rsidR="00F24C0F" w:rsidRDefault="00F24C0F" w:rsidP="00D379CF">
      <w:pPr>
        <w:spacing w:before="240" w:after="240"/>
        <w:jc w:val="both"/>
        <w:rPr>
          <w:i/>
        </w:rPr>
      </w:pPr>
      <w:r>
        <w:rPr>
          <w:i/>
        </w:rPr>
        <w:t>“</w:t>
      </w:r>
      <w:r w:rsidRPr="00F24C0F">
        <w:rPr>
          <w:i/>
        </w:rPr>
        <w:t>13.</w:t>
      </w:r>
      <w:r>
        <w:rPr>
          <w:i/>
        </w:rPr>
        <w:t>punkts</w:t>
      </w:r>
      <w:r w:rsidRPr="00F24C0F">
        <w:rPr>
          <w:i/>
        </w:rPr>
        <w:t xml:space="preserve"> Ministrijām un citām centrālajām valsts iestādēm sagatavot un līdz 2016.gada 1.jūlijam iesniegt izskatīšanai Finanšu ministrijā priekšlikumus par valsts budžeta 2017.gadam likumprojekta izstrādei nepieciešamo valsts pamatbudžetā iemaksājamo valsts nodevu un citu maksājumu no valsts institūciju sniegtajiem pakalpojumiem un veiktās darbības palielināšanu vai pārtraukšanu, tajā skaitā izvērtējot, vai valsts pamatbudžetā iemaksājamo valsts nodevu un citu maksājumu administrēšana ir efektīva un ekonomiski pamatota. Minētā uzdevuma izpildei nepieciešamos likumprojektus iekļaut valsts budžeta 2017.gadam likumprojekta pavadošo likumu paketē un vienlaikus pieņemt zināšanai, ka nepieciešamie tiesību aktu projekti ir savlaicīgi iesniedzami Tieslietu ministrijā, lai nodrošinātu to kvalitatīvu izskatīšanu un saskaņošanu. Noteikt, ka priekšlikumi turpmāko gadu valsts budžeta likumprojektu izstrādei ir iesniedzami Finanšu ministrijā līdz 2017.gada 1.martam.</w:t>
      </w:r>
      <w:r w:rsidR="00D379CF">
        <w:rPr>
          <w:i/>
        </w:rPr>
        <w:t>”</w:t>
      </w:r>
    </w:p>
    <w:p w:rsidR="00F24C0F" w:rsidRPr="00DB02C3" w:rsidRDefault="00D379CF" w:rsidP="00DB02C3">
      <w:pPr>
        <w:spacing w:after="120"/>
        <w:ind w:firstLine="720"/>
        <w:jc w:val="both"/>
      </w:pPr>
      <w:r>
        <w:t>Ministrijas</w:t>
      </w:r>
      <w:r w:rsidR="00F24C0F" w:rsidRPr="00F24C0F">
        <w:t xml:space="preserve"> </w:t>
      </w:r>
      <w:r w:rsidR="00F24C0F">
        <w:t>ir sagatavojušas</w:t>
      </w:r>
      <w:r w:rsidR="00F24C0F" w:rsidRPr="00F24C0F">
        <w:t xml:space="preserve"> un iesnie</w:t>
      </w:r>
      <w:r w:rsidR="00F24C0F">
        <w:t>gušas</w:t>
      </w:r>
      <w:r w:rsidR="00F24C0F" w:rsidRPr="00F24C0F">
        <w:t xml:space="preserve"> izskatīšanai </w:t>
      </w:r>
      <w:r w:rsidR="00F24C0F">
        <w:t>FM</w:t>
      </w:r>
      <w:r w:rsidR="00F24C0F" w:rsidRPr="00F24C0F">
        <w:t xml:space="preserve"> priekšlikumus par valsts budžeta 2017.gadam likumprojekta izstrādei nepieciešamo valsts pamatbudžetā iemaksājamo valsts nodevu un citu maksājumu no valsts institūciju sniegtajiem pakalpojumiem un veiktās darbības palielināšanu vai pārtraukšanu</w:t>
      </w:r>
      <w:r w:rsidR="00E43446">
        <w:t>.</w:t>
      </w:r>
    </w:p>
    <w:p w:rsidR="005372D0" w:rsidRPr="005372D0" w:rsidRDefault="002914C7" w:rsidP="00DB02C3">
      <w:pPr>
        <w:spacing w:before="240" w:after="240"/>
        <w:jc w:val="both"/>
        <w:rPr>
          <w:i/>
        </w:rPr>
      </w:pPr>
      <w:r>
        <w:rPr>
          <w:i/>
        </w:rPr>
        <w:t>“</w:t>
      </w:r>
      <w:r w:rsidRPr="002914C7">
        <w:rPr>
          <w:i/>
        </w:rPr>
        <w:t>16.</w:t>
      </w:r>
      <w:r>
        <w:rPr>
          <w:i/>
        </w:rPr>
        <w:t>punkts</w:t>
      </w:r>
      <w:r w:rsidRPr="002914C7">
        <w:rPr>
          <w:i/>
        </w:rPr>
        <w:t xml:space="preserve"> Ministrijām un citām centrālajām valsts iestādēm izvērtēt un līdz 2017.gada 1.martam iesniegt Ministru kabinetā informāciju par normatīvajos aktos paredzētām attiecīgās ministrijas un starpministriju funkcijām (darbībām, pasākumiem, procesiem), apzinot tās funkcijas (darbības, pasākumus, procesus), kas no valsts prioritāšu viedokļa ir daļēji vai pilnībā zaudējušas aktualitāti (tajā skaitā, ilgstoši nav sasniegušas definētos politiku mērķus un rezultātus), ir iespējams mainīt izdevumu finansēšanas avotu, ir līdzīgas vai vienveidīgas vairāk kā vienai ministrijai (tās iestādei) un/vai citai centrālajai valsts iestādei, būtu īstenojamas efektīvāk un ekonomiskāk. Finanšu ministrijai, atbilstoši izdevumu pārskatīšanas tvērumam 2017.gadā, izmantot šajā punktā minēto informāciju izdevumu pārskatīšanas procesā saskaņā ar vidēja termiņa budžeta ietvara likuma projekta un gadskārtējā valsts budžeta likuma projekta izstrādes un iesniegšanas grafikā noteiktajiem termiņiem.</w:t>
      </w:r>
      <w:r w:rsidR="00DB02C3">
        <w:rPr>
          <w:i/>
        </w:rPr>
        <w:t>”</w:t>
      </w:r>
    </w:p>
    <w:p w:rsidR="002914C7" w:rsidRPr="00DB02C3" w:rsidRDefault="002914C7" w:rsidP="00AD7446">
      <w:pPr>
        <w:spacing w:after="120"/>
        <w:ind w:firstLine="720"/>
        <w:jc w:val="both"/>
      </w:pPr>
      <w:r>
        <w:t xml:space="preserve">Informāciju </w:t>
      </w:r>
      <w:r w:rsidRPr="002914C7">
        <w:t>par normatīvajos aktos paredzētām attiecīgās ministrijas un starpministriju funkcijām</w:t>
      </w:r>
      <w:r>
        <w:t xml:space="preserve"> ir iesniegušas 12 ministrijas un 3 centrālās valsts iestādes. Iesniegtā inform</w:t>
      </w:r>
      <w:r w:rsidR="00C111DB">
        <w:t>ācija</w:t>
      </w:r>
      <w:r>
        <w:t xml:space="preserve"> ir apkopota šī </w:t>
      </w:r>
      <w:r w:rsidRPr="00BD3230">
        <w:t xml:space="preserve">ziņojuma </w:t>
      </w:r>
      <w:r w:rsidR="00C111DB" w:rsidRPr="00BD3230">
        <w:t>3.3.</w:t>
      </w:r>
      <w:r w:rsidR="00DB02C3" w:rsidRPr="00BD3230">
        <w:t>6.</w:t>
      </w:r>
      <w:r w:rsidR="00C111DB" w:rsidRPr="00BD3230">
        <w:t>nodaļā.</w:t>
      </w:r>
    </w:p>
    <w:p w:rsidR="002914C7" w:rsidRPr="00DB02C3" w:rsidRDefault="00041A55" w:rsidP="00DB02C3">
      <w:pPr>
        <w:spacing w:before="240" w:after="120"/>
        <w:jc w:val="both"/>
        <w:rPr>
          <w:i/>
        </w:rPr>
      </w:pPr>
      <w:r>
        <w:rPr>
          <w:i/>
        </w:rPr>
        <w:lastRenderedPageBreak/>
        <w:t>“</w:t>
      </w:r>
      <w:r w:rsidRPr="00041A55">
        <w:rPr>
          <w:i/>
        </w:rPr>
        <w:t>17.</w:t>
      </w:r>
      <w:r>
        <w:rPr>
          <w:i/>
        </w:rPr>
        <w:t>punkts</w:t>
      </w:r>
      <w:r w:rsidRPr="00041A55">
        <w:rPr>
          <w:i/>
        </w:rPr>
        <w:t xml:space="preserve"> Ministrijām un citām centrālajām valsts iestādēm sagatavot un līdz 2016.gada 1.jūlijam iesniegt Finanšu ministrijai apkopošanai priekšlikumus par ministriju, citu centrālo valsts iestāžu, ministriju padotībā, pakļautībā un pārraudzībā esošo iestāžu, tajā skaitā kapitālsabiedrību īpašumā un valdījumā esošu nekustamo īpašumu pārvaldības efektivizēšanas iespējām, tajā skaitā izvērtējot lietderību nekustamo īpašumu atsavināšanai vai nodošanai valsts akciju sabiedrība “Valsts nekustamie īpašumi”. Ja šī uzdevuma izpildes rezultātā ministrijas un citas centrālās valsts iestādes nekustamo īpašumu atsavina, tad atsavināšanas ieņēmumi ir daļēji novirzāmi kopējiem valsts pamatbudžeta ieņēmumiem un daļēji attiecīgās ministrijas vai citas centrālās valsts iestādes resursiem izdevumu segšanai. Finanšu ministrijai izvērtēt apkopotos priekšlikumus un iesniegt tos izskatīšanai Ministru kabinetā.</w:t>
      </w:r>
      <w:r>
        <w:rPr>
          <w:i/>
        </w:rPr>
        <w:t>”</w:t>
      </w:r>
    </w:p>
    <w:p w:rsidR="00410DE1" w:rsidRDefault="00041A55" w:rsidP="00195837">
      <w:pPr>
        <w:spacing w:after="60"/>
        <w:ind w:firstLine="720"/>
        <w:jc w:val="both"/>
      </w:pPr>
      <w:r w:rsidRPr="00041A55">
        <w:t xml:space="preserve">Ministriju iesniegtā </w:t>
      </w:r>
      <w:r>
        <w:t>informācija apkopota un pievienota informatīvajam ziņojumam “</w:t>
      </w:r>
      <w:r w:rsidRPr="00041A55">
        <w:t>Par ministriju jaunajām politikas iniciatīvām un optimizācijas pasāku</w:t>
      </w:r>
      <w:r>
        <w:t xml:space="preserve">miem 2017., 2018. un 2019.gadam”, kas izskatīts </w:t>
      </w:r>
      <w:r w:rsidR="00410DE1">
        <w:t>MK</w:t>
      </w:r>
      <w:r>
        <w:t xml:space="preserve"> 2016.gada 9.augusta sēdē (prot. Nr.39 </w:t>
      </w:r>
      <w:r w:rsidRPr="00041A55">
        <w:t>48.§</w:t>
      </w:r>
      <w:r>
        <w:t>).</w:t>
      </w:r>
    </w:p>
    <w:p w:rsidR="00041A55" w:rsidRDefault="0043288F" w:rsidP="00195837">
      <w:pPr>
        <w:spacing w:after="60"/>
        <w:ind w:firstLine="720"/>
        <w:jc w:val="both"/>
      </w:pPr>
      <w:r>
        <w:t>Informatīv</w:t>
      </w:r>
      <w:r w:rsidR="00410DE1">
        <w:t>ā ziņojum</w:t>
      </w:r>
      <w:r>
        <w:t>a</w:t>
      </w:r>
      <w:r w:rsidR="00410DE1">
        <w:t xml:space="preserve"> ietvaros uzdots FM</w:t>
      </w:r>
      <w:r w:rsidR="00410DE1" w:rsidRPr="00410DE1">
        <w:t xml:space="preserve"> izst</w:t>
      </w:r>
      <w:r w:rsidR="00410DE1">
        <w:t>rādāt un likumprojektā “Par valsts budžetu 2017.gadam”</w:t>
      </w:r>
      <w:r w:rsidR="00410DE1" w:rsidRPr="00410DE1">
        <w:t xml:space="preserve"> iekļaut normu, paredzot iespēju, ka valsts nekustamā īpašuma atsavināšanu organizē ministrija vai cita centrālā valsts iestāde, kuras valdījumā ir attiecīgais īpašums, kā arī 50% no valsts nekustamā īpašuma atsavināšanas rezultātā valsts budžetā ieskaitītajiem līdzekļiem ir piešķirami ministrijai vai citai centrālai valsts iestādei, kuras valdījumā bija attiecīgais valsts nekustamais īpašums, un izlietojami primāri kapitālieguldījumiem, neatliekamiem pasākumiem ar pozitīvu sociālekonomisku efektu un iestādes amatpersonu (darbinieku) motivēšanai par ieguldījumu iestādes kompetencē esošo Valdības deklarācijā iekļauto mērķu sasniegšanā.</w:t>
      </w:r>
      <w:r w:rsidR="00410DE1">
        <w:t xml:space="preserve"> Ņemot vērā uzdoto, likumā </w:t>
      </w:r>
      <w:r w:rsidR="00410DE1" w:rsidRPr="00410DE1">
        <w:t>“Par valsts budžetu 2017.gadam”</w:t>
      </w:r>
      <w:r w:rsidR="00410DE1">
        <w:t xml:space="preserve"> iekļauta atbilstoša norma (54.pants).</w:t>
      </w:r>
    </w:p>
    <w:p w:rsidR="00041A55" w:rsidRPr="00652092" w:rsidRDefault="00410DE1" w:rsidP="00195837">
      <w:pPr>
        <w:spacing w:after="60"/>
        <w:ind w:firstLine="720"/>
        <w:jc w:val="both"/>
      </w:pPr>
      <w:r>
        <w:t>Vienlaikus uzdots</w:t>
      </w:r>
      <w:r w:rsidRPr="00410DE1">
        <w:t xml:space="preserve"> </w:t>
      </w:r>
      <w:r>
        <w:t>FM</w:t>
      </w:r>
      <w:r w:rsidRPr="00410DE1">
        <w:t xml:space="preserve"> līdz 2017.gada 1.oktobrim izvērtēt valsts nekustamā īpašuma atsavināšanas jaunās kārtības rezultātus un iesniegt tos izskatīšanai </w:t>
      </w:r>
      <w:r>
        <w:t>MK.</w:t>
      </w:r>
    </w:p>
    <w:p w:rsidR="00F405D9" w:rsidRPr="00652092" w:rsidRDefault="00F405D9" w:rsidP="00652092">
      <w:pPr>
        <w:spacing w:before="240" w:after="240"/>
        <w:jc w:val="both"/>
        <w:rPr>
          <w:i/>
        </w:rPr>
      </w:pPr>
      <w:r w:rsidRPr="00F405D9">
        <w:rPr>
          <w:i/>
        </w:rPr>
        <w:t>“18.punkts Lai nodrošinātu papildu nepieciešamo finansējumu jauno politikas iniciatīvu finansēšanai, ministrijām un citām centrālajām valsts iestādēm primāri izvērtēt iespējas kā finansējuma avotu izmantot Eiropas Savienības politiku instrumentu un pārējās ārvalstu finanšu palīdzības resursus, jauno politikas iniciatīvu pieprasījumā iekļaujot attiecīgu izvērtējumu. Ministrijām un citām centrālajām valsts iestādēm sagatavot un līdz 2016.gada 1.jūlijam iesniegt Finanšu ministrijā apkopojumu par to rīcībā esošo informāciju attiecībā uz atbilstošiem Eiropas Savienības politiku instrumentiem un pārējās ārvalstu finanšu palīdzības resursiem, norādot attiecīgo finansējuma avotu, mērķus, nosacījumus un iespējas pieteikties uz finansējuma piešķiršanu konkrētajās nozarēs, kā arī no minētajiem instrumentiem jau īstenotos vai pl</w:t>
      </w:r>
      <w:r w:rsidR="00652092">
        <w:rPr>
          <w:i/>
        </w:rPr>
        <w:t>ānotos projektus un pasākumus.”</w:t>
      </w:r>
    </w:p>
    <w:p w:rsidR="00F405D9" w:rsidRDefault="00F405D9" w:rsidP="00195837">
      <w:pPr>
        <w:spacing w:after="60"/>
        <w:ind w:firstLine="720"/>
        <w:jc w:val="both"/>
        <w:rPr>
          <w:b/>
        </w:rPr>
      </w:pPr>
      <w:r w:rsidRPr="00041A55">
        <w:t xml:space="preserve">Ministriju iesniegtā </w:t>
      </w:r>
      <w:r>
        <w:t>informācija apkopota un pievienota informatīvajam ziņojumam “</w:t>
      </w:r>
      <w:r w:rsidRPr="00041A55">
        <w:t>Par ministriju jaunajām politikas iniciatīvām un optimizācijas pasāku</w:t>
      </w:r>
      <w:r>
        <w:t xml:space="preserve">miem 2017., 2018. un 2019.gadam”, kas izskatīts MK 2016.gada 9.augusta sēdē (prot. Nr.39 </w:t>
      </w:r>
      <w:r w:rsidRPr="00041A55">
        <w:t>48.§</w:t>
      </w:r>
      <w:r>
        <w:t>).</w:t>
      </w:r>
    </w:p>
    <w:p w:rsidR="00C53505" w:rsidRPr="00652092" w:rsidRDefault="00C53505" w:rsidP="00195837">
      <w:pPr>
        <w:spacing w:after="60"/>
        <w:ind w:firstLine="720"/>
        <w:jc w:val="both"/>
      </w:pPr>
      <w:r w:rsidRPr="00C53505">
        <w:t>Ministrijas norādīja, ka iesniegto JPI īstenošanai nav atbilstošu ES politiku instrumentu un pārējās ārvalstu finanšu palīdzības resursu, vai arī ES fondu ietvaros finanšu līdzekļus JPI īstenošanai nav iespējams piesaistīt.</w:t>
      </w:r>
      <w:r>
        <w:t xml:space="preserve"> Vienlaikus </w:t>
      </w:r>
      <w:r w:rsidRPr="00C53505">
        <w:t>viedokli par ministriju pirmo piecu JPI, kurām tiek vērtēta atbilstība attīstības</w:t>
      </w:r>
      <w:r w:rsidR="00FD0B23">
        <w:t xml:space="preserve"> plānošanas dokumentiem, un JPI</w:t>
      </w:r>
      <w:r w:rsidRPr="00C53505">
        <w:t xml:space="preserve"> administratīvās kapacitātes stiprināšanas pasākumiem iespējamo finansēšanu no Kohēzijas politikas fondiem un Eiropas Ekonomikas zonas un Norvēģijas finanšu instrumentiem</w:t>
      </w:r>
      <w:r>
        <w:t xml:space="preserve"> sniedza arī Vadošā iestāde</w:t>
      </w:r>
      <w:r w:rsidRPr="00C53505">
        <w:t>.</w:t>
      </w:r>
    </w:p>
    <w:p w:rsidR="003A0740" w:rsidRPr="00652092" w:rsidRDefault="003A0740" w:rsidP="00652092">
      <w:pPr>
        <w:spacing w:before="240" w:after="240"/>
        <w:jc w:val="both"/>
        <w:rPr>
          <w:i/>
        </w:rPr>
      </w:pPr>
      <w:r>
        <w:rPr>
          <w:i/>
        </w:rPr>
        <w:t>“</w:t>
      </w:r>
      <w:r w:rsidRPr="003A0740">
        <w:rPr>
          <w:i/>
        </w:rPr>
        <w:t>19.</w:t>
      </w:r>
      <w:r>
        <w:rPr>
          <w:i/>
        </w:rPr>
        <w:t>punkts</w:t>
      </w:r>
      <w:r w:rsidRPr="003A0740">
        <w:rPr>
          <w:i/>
        </w:rPr>
        <w:t xml:space="preserve"> Lai nodrošinātu nulles budžeta principa turpmāku piemērošanu budžeta plānošanas procesā, ministrijām un citām centrālajām valsts iestādēm turpināt darbu pie šī principa ieviešanas 2018. un 2019.gadā izdevumu pārskatīšanas procesa ietvaros.</w:t>
      </w:r>
      <w:r>
        <w:rPr>
          <w:i/>
        </w:rPr>
        <w:t>”</w:t>
      </w:r>
    </w:p>
    <w:p w:rsidR="00106D6D" w:rsidRPr="00106D6D" w:rsidRDefault="00FA1090" w:rsidP="00195837">
      <w:pPr>
        <w:tabs>
          <w:tab w:val="left" w:pos="709"/>
        </w:tabs>
        <w:spacing w:after="60"/>
        <w:ind w:firstLine="720"/>
        <w:jc w:val="both"/>
      </w:pPr>
      <w:r w:rsidRPr="00FA1090">
        <w:lastRenderedPageBreak/>
        <w:t>Lai praksē piemērotu nulles budžeta principu un konstatētu ieguvumus un trūkumus tā piemērošanai arī nākotnē, šī gada izdevumu pārskatīšanas ietvaros nulles budžeta principa ieviešana īstenota atsevišķu pilotprojektu veidā:</w:t>
      </w:r>
    </w:p>
    <w:p w:rsidR="003A0740" w:rsidRPr="00106D6D" w:rsidRDefault="00106D6D" w:rsidP="00195837">
      <w:pPr>
        <w:pStyle w:val="ListParagraph"/>
        <w:numPr>
          <w:ilvl w:val="0"/>
          <w:numId w:val="9"/>
        </w:numPr>
        <w:spacing w:after="60"/>
        <w:ind w:left="1134" w:hanging="283"/>
      </w:pPr>
      <w:r w:rsidRPr="00106D6D">
        <w:t>valsts kompensējamie</w:t>
      </w:r>
      <w:r w:rsidR="00FD0B23">
        <w:t>m</w:t>
      </w:r>
      <w:r w:rsidRPr="00106D6D">
        <w:t xml:space="preserve"> medikamenti</w:t>
      </w:r>
      <w:r w:rsidR="00FD0B23">
        <w:t>em</w:t>
      </w:r>
      <w:r w:rsidRPr="00106D6D">
        <w:t xml:space="preserve"> un materiāli</w:t>
      </w:r>
      <w:r w:rsidR="00FD0B23">
        <w:t>em;</w:t>
      </w:r>
    </w:p>
    <w:p w:rsidR="00106D6D" w:rsidRPr="00106D6D" w:rsidRDefault="00106D6D" w:rsidP="00195837">
      <w:pPr>
        <w:pStyle w:val="ListParagraph"/>
        <w:numPr>
          <w:ilvl w:val="0"/>
          <w:numId w:val="9"/>
        </w:numPr>
        <w:spacing w:after="60"/>
        <w:ind w:left="1134" w:hanging="283"/>
      </w:pPr>
      <w:r w:rsidRPr="00106D6D">
        <w:t>valsts bibliotēku pārvaldība</w:t>
      </w:r>
      <w:r w:rsidR="00FD0B23">
        <w:t>i</w:t>
      </w:r>
      <w:r w:rsidRPr="00106D6D">
        <w:t>.</w:t>
      </w:r>
    </w:p>
    <w:p w:rsidR="003A0740" w:rsidRPr="00652092" w:rsidRDefault="006A28A4" w:rsidP="00195837">
      <w:pPr>
        <w:spacing w:after="60"/>
        <w:ind w:left="360"/>
      </w:pPr>
      <w:r>
        <w:t>Analīzes</w:t>
      </w:r>
      <w:r w:rsidR="00106D6D" w:rsidRPr="00106D6D">
        <w:t xml:space="preserve"> rezultāti apkopoti šī </w:t>
      </w:r>
      <w:r w:rsidR="00106D6D" w:rsidRPr="00BD3230">
        <w:t>ziņojuma 3.2.</w:t>
      </w:r>
      <w:r w:rsidR="006B67ED" w:rsidRPr="00BD3230">
        <w:t xml:space="preserve"> no</w:t>
      </w:r>
      <w:r w:rsidR="00652092" w:rsidRPr="00BD3230">
        <w:t>daļā.</w:t>
      </w:r>
    </w:p>
    <w:p w:rsidR="00160929" w:rsidRPr="00652092" w:rsidRDefault="00160929" w:rsidP="00652092">
      <w:pPr>
        <w:spacing w:before="240" w:after="240"/>
        <w:jc w:val="both"/>
        <w:rPr>
          <w:i/>
        </w:rPr>
      </w:pPr>
      <w:r w:rsidRPr="00160929">
        <w:rPr>
          <w:i/>
        </w:rPr>
        <w:t>“20.punkts Ņemot vērā Latvijas iestāšanās procesa Ekonomiskās sadarbības un attīstības organizācijā (OECD) noslēgšanos, kā arī vispārēju nepieciešamību aktualizēt dalības un iemaksu starptautiskajās institūcijās lietderību, ministrijām un citām centrālajām valsts iestādēm sagatavot un līdz 2016.gada 1.jūlijam iesniegt Finanšu ministrijā un Ārlietu ministrijā izvērtējumu par turpmāku nepieciešamību Latvijas dalībai katrā no starptautiskajām institūcijām (vienlaikus iesniedz aktuālo sarakstu ar starptautiskajām organizācijām) ar mērķi optimizēt resursu izlietojumu starptautiskās sadarbības nod</w:t>
      </w:r>
      <w:r w:rsidR="00652092">
        <w:rPr>
          <w:i/>
        </w:rPr>
        <w:t>rošināšanai.”</w:t>
      </w:r>
    </w:p>
    <w:p w:rsidR="005978D0" w:rsidRDefault="00BB10B0" w:rsidP="00652092">
      <w:pPr>
        <w:spacing w:after="120"/>
        <w:ind w:firstLine="720"/>
        <w:jc w:val="both"/>
      </w:pPr>
      <w:r w:rsidRPr="00BB10B0">
        <w:t xml:space="preserve">Ministriju iesniegtā informācija apkopota un izmantota šī gada izdevumu pārskatīšanā, analizējot Latvijas turpmākas dalības nepieciešamību katrā no starptautiskajām organizācijām. Izvērtējums iekļauts šī </w:t>
      </w:r>
      <w:r w:rsidRPr="00BD3230">
        <w:t>ziņojuma 3.3.</w:t>
      </w:r>
      <w:r w:rsidR="00652092" w:rsidRPr="00BD3230">
        <w:t>2.</w:t>
      </w:r>
      <w:r w:rsidRPr="00BD3230">
        <w:t>sadaļā.</w:t>
      </w:r>
    </w:p>
    <w:p w:rsidR="00BB10B0" w:rsidRPr="00652092" w:rsidRDefault="005978D0" w:rsidP="00652092">
      <w:pPr>
        <w:spacing w:before="240" w:after="240"/>
        <w:jc w:val="both"/>
        <w:rPr>
          <w:i/>
        </w:rPr>
      </w:pPr>
      <w:r w:rsidRPr="009E2866">
        <w:rPr>
          <w:i/>
        </w:rPr>
        <w:t>“21.punkts Ministrijām un citām centrālajām valsts iestādēm sagatavot un līdz 2016.gada 1.jūlijam iesniegt Finanšu ministrijā un Ārlietu ministrijā informāciju par 2015.un 2016.gadā veiktajiem valsts budžeta izdevumiem komandējumiem iestāšanās procesa Ekonomiskās sadarbības un attīstības organ</w:t>
      </w:r>
      <w:r w:rsidR="00652092">
        <w:rPr>
          <w:i/>
        </w:rPr>
        <w:t>izācijā (OECD) nodrošināšanai.”</w:t>
      </w:r>
    </w:p>
    <w:p w:rsidR="001F0210" w:rsidRDefault="00FA1090" w:rsidP="00DB7201">
      <w:pPr>
        <w:spacing w:after="120"/>
        <w:ind w:firstLine="720"/>
        <w:jc w:val="both"/>
      </w:pPr>
      <w:r w:rsidRPr="00FA1090">
        <w:t>FM ir apkopojusi ministriju iesniegto informāciju par 2015.</w:t>
      </w:r>
      <w:r w:rsidR="00DB7201">
        <w:t xml:space="preserve"> </w:t>
      </w:r>
      <w:r w:rsidRPr="00FA1090">
        <w:t>un 2016.gadā veiktajiem valsts budžeta izdevumiem komandējumiem iestāšanās procesa OECD nodrošināšanai. FM un ĀM ir kopīgi pārrunājusi un izvērtējusi apkopoto informāciju.</w:t>
      </w:r>
    </w:p>
    <w:p w:rsidR="00EE7A39" w:rsidRPr="00652092" w:rsidRDefault="001F0210" w:rsidP="00652092">
      <w:pPr>
        <w:spacing w:before="240" w:after="240"/>
        <w:jc w:val="both"/>
        <w:rPr>
          <w:i/>
        </w:rPr>
      </w:pPr>
      <w:r>
        <w:rPr>
          <w:i/>
        </w:rPr>
        <w:t>“22.punkts</w:t>
      </w:r>
      <w:r w:rsidRPr="001F0210">
        <w:rPr>
          <w:i/>
        </w:rPr>
        <w:t xml:space="preserve"> Finanšu ministrijai un Pārresoru koordinācijas centram vērtēt līdz piecām augstākajām prioritātēm no ministriju un citu centrālo valsts iestāžu iesniegtā jauno politikas iniciatīvu un citu prioritāro pasākumu saraksta.</w:t>
      </w:r>
      <w:r>
        <w:rPr>
          <w:i/>
        </w:rPr>
        <w:t>”</w:t>
      </w:r>
    </w:p>
    <w:p w:rsidR="001F0210" w:rsidRPr="00652092" w:rsidRDefault="001F0210" w:rsidP="00652092">
      <w:pPr>
        <w:spacing w:after="120"/>
        <w:ind w:firstLine="720"/>
        <w:jc w:val="both"/>
      </w:pPr>
      <w:r w:rsidRPr="001F0210">
        <w:t>FM un PKC vērtēja tikai līdz piecām augstākajām prioritātēm no ministriju un citu centrālo valsts iestāžu iesniegtā jauno politikas iniciatīvu un citu prioritāro pasākumu saraksta. Vērtējuma apkopojums pievienots informatīvajam ziņojumam “Par ministriju jaunajām politikas iniciatīvām un optimizācijas pasākumiem 2017., 2018. un 2019.gadam”, kas izskatīts MK 2016.gada 9.a</w:t>
      </w:r>
      <w:r w:rsidR="00652092">
        <w:t>ugusta sēdē (prot. Nr.39 48.§).</w:t>
      </w:r>
    </w:p>
    <w:p w:rsidR="00C711FF" w:rsidRPr="00652092" w:rsidRDefault="00C711FF" w:rsidP="00652092">
      <w:pPr>
        <w:spacing w:before="240" w:after="240"/>
        <w:jc w:val="both"/>
        <w:rPr>
          <w:i/>
        </w:rPr>
      </w:pPr>
      <w:r w:rsidRPr="00C711FF">
        <w:rPr>
          <w:i/>
        </w:rPr>
        <w:t>“23.punkts Finanšu ministrijai, izstrādājot vidēja termiņa budžeta ietvara likuma projektu un gadskārtējā valsts budžeta likuma projektu, turpmāk izdevumu pozīcijai “Atlīdzība” neizdalīt atseviš</w:t>
      </w:r>
      <w:r w:rsidR="00652092">
        <w:rPr>
          <w:i/>
        </w:rPr>
        <w:t>ķi apakšpozīciju “Atalgojums”.”</w:t>
      </w:r>
    </w:p>
    <w:p w:rsidR="001416F1" w:rsidRDefault="00C26636" w:rsidP="00652092">
      <w:pPr>
        <w:spacing w:after="120"/>
        <w:ind w:firstLine="720"/>
        <w:jc w:val="both"/>
        <w:rPr>
          <w:b/>
        </w:rPr>
      </w:pPr>
      <w:r>
        <w:t>Izstrādājot likumprojektu “Par valsts budžetu 2017.gadam” un likumprojektu “</w:t>
      </w:r>
      <w:r w:rsidR="001416F1" w:rsidRPr="00C26636">
        <w:t>Par vidēja termiņa budžeta iet</w:t>
      </w:r>
      <w:r>
        <w:t>varu 2017., 2018. un 2019.gadam”</w:t>
      </w:r>
      <w:r w:rsidR="001416F1" w:rsidRPr="00C26636">
        <w:t>, izdevumu pozīcijai “Atlīdzība” netika izdalīta atsevišķi apakšpozīcija “Atalgojums”</w:t>
      </w:r>
      <w:r>
        <w:t xml:space="preserve">. </w:t>
      </w:r>
      <w:r w:rsidR="001D0B46">
        <w:t xml:space="preserve">Veikti atbilstoši grozījumi </w:t>
      </w:r>
      <w:r w:rsidR="00652092">
        <w:t>MK</w:t>
      </w:r>
      <w:r w:rsidR="001D0B46">
        <w:t xml:space="preserve"> noteikumos Nr.523.</w:t>
      </w:r>
    </w:p>
    <w:p w:rsidR="00A972F5" w:rsidRPr="00652092" w:rsidRDefault="00A972F5" w:rsidP="00652092">
      <w:pPr>
        <w:spacing w:before="240" w:after="240"/>
        <w:jc w:val="both"/>
        <w:rPr>
          <w:i/>
        </w:rPr>
      </w:pPr>
      <w:r w:rsidRPr="00A972F5">
        <w:rPr>
          <w:i/>
        </w:rPr>
        <w:t>“27.punkts Lai ieviestu nodokļu politikas pasākumus, kas koriģē 2017.-2019.gada nodokļu ieņēmumu bāzi, Finanšu ministrijai līdz 2016.gada 29.jūlijam sagatavot un iesniegt Ministru kabinetā informatīvo ziņojumu par ieņēmumus palielinošiem pasākumiem, ietverot tajā ministriju priekšlikumus, kas izvērtējami un iesniedzami Finanšu ministr</w:t>
      </w:r>
      <w:r w:rsidR="00652092">
        <w:rPr>
          <w:i/>
        </w:rPr>
        <w:t>ijā līdz 2016.gada 27.jūnijam.”</w:t>
      </w:r>
    </w:p>
    <w:p w:rsidR="006B67ED" w:rsidRPr="00105873" w:rsidRDefault="008303E3" w:rsidP="00105873">
      <w:pPr>
        <w:spacing w:after="120"/>
        <w:ind w:firstLine="720"/>
        <w:jc w:val="both"/>
      </w:pPr>
      <w:r w:rsidRPr="008303E3">
        <w:lastRenderedPageBreak/>
        <w:t>FM ir apkopojusi ministriju iesniegtos priekšlikumus un ietvērusi tos informatīvajā ziņojumā “Par iespējām palielināt ieņēmumus”</w:t>
      </w:r>
      <w:r>
        <w:t>, kas izskatīts MK 2016.gada 2.augusta sēdē (prot. Nr.38 49</w:t>
      </w:r>
      <w:r w:rsidRPr="008303E3">
        <w:t>.§)</w:t>
      </w:r>
      <w:r>
        <w:t xml:space="preserve"> un 2016.gada 9.augusta sēdē (prot. Nr.39 1</w:t>
      </w:r>
      <w:r w:rsidRPr="008303E3">
        <w:t>.§)</w:t>
      </w:r>
      <w:r>
        <w:t>.</w:t>
      </w:r>
    </w:p>
    <w:p w:rsidR="009B7403" w:rsidRDefault="009B7403" w:rsidP="00886F6B">
      <w:pPr>
        <w:spacing w:before="360" w:after="240"/>
        <w:rPr>
          <w:b/>
        </w:rPr>
      </w:pPr>
      <w:r>
        <w:rPr>
          <w:b/>
        </w:rPr>
        <w:t>Izpildītie uzdevumi</w:t>
      </w:r>
      <w:r w:rsidR="00696DB4">
        <w:rPr>
          <w:b/>
        </w:rPr>
        <w:t>, kas nesasniedz izvirzīto mērķi</w:t>
      </w:r>
    </w:p>
    <w:p w:rsidR="0099475B" w:rsidRPr="0099475B" w:rsidRDefault="0099475B" w:rsidP="0099475B">
      <w:pPr>
        <w:jc w:val="both"/>
        <w:rPr>
          <w:i/>
        </w:rPr>
      </w:pPr>
      <w:r w:rsidRPr="0099475B">
        <w:rPr>
          <w:i/>
        </w:rPr>
        <w:t>“6.10.apakšpunkts ministrijām sagatavot un iesniegt izskatīšanai Ministru kabinetā priekšlikumus par tām neraksturīgo funkciju turpmākās nodrošināšanas iespējām, piemēram, nododot tās pašvaldībām vai citai ministrijai:</w:t>
      </w:r>
    </w:p>
    <w:p w:rsidR="0099475B" w:rsidRPr="0099475B" w:rsidRDefault="0099475B" w:rsidP="0099475B">
      <w:pPr>
        <w:jc w:val="both"/>
        <w:rPr>
          <w:i/>
        </w:rPr>
      </w:pPr>
      <w:r w:rsidRPr="0099475B">
        <w:rPr>
          <w:i/>
        </w:rPr>
        <w:t>6.10.1.apakšpunkts Izglītības un zinātnes ministrijai līdz 2016.gada 1.jūlijam - par dotāciju brīvpusdienu nodrošināšanai 1., 2., 3. un 4.klases izglītojamiem;</w:t>
      </w:r>
      <w:r w:rsidR="005809ED">
        <w:rPr>
          <w:i/>
        </w:rPr>
        <w:t>”</w:t>
      </w:r>
    </w:p>
    <w:p w:rsidR="0099475B" w:rsidRPr="0099475B" w:rsidRDefault="0099475B" w:rsidP="0099475B">
      <w:pPr>
        <w:spacing w:before="240" w:after="120"/>
        <w:ind w:firstLine="720"/>
        <w:jc w:val="both"/>
      </w:pPr>
      <w:r w:rsidRPr="0099475B">
        <w:t xml:space="preserve">IZM atbilstoši tai dotajam uzdevumam ir izvērtējusi minēto funkciju un uzskata, ka tā nav saistīta ar ministrijas mērķu un rezultātu sasniegšanu, kā arī tā ir IZM neraksturīga un šīs funkcijas nodrošināšana ir nododama pašvaldībām vai citam resoram. Ievērojot, ka nav panākta vienošanās ar Latvijas Pašvaldību savienību par funkcijas “Dotāciju brīvpusdienu nodrošināšanai 1., 2., 3., un 4.klases izglītojamiem” nodošanu pašvaldībām, IZM ir sagatavojusi </w:t>
      </w:r>
      <w:r w:rsidR="00676DF0">
        <w:t>MK</w:t>
      </w:r>
      <w:r w:rsidRPr="0099475B">
        <w:t xml:space="preserve"> sēdes protokollēmuma projektu, kas paredz IZM doto uzdevumu atzīt par aktualitāti zaudējušu.</w:t>
      </w:r>
    </w:p>
    <w:p w:rsidR="009B7403" w:rsidRPr="00E2061F" w:rsidRDefault="009B7403" w:rsidP="0099475B">
      <w:pPr>
        <w:spacing w:before="240" w:after="240"/>
        <w:jc w:val="both"/>
        <w:rPr>
          <w:i/>
        </w:rPr>
      </w:pPr>
      <w:r w:rsidRPr="003C5160">
        <w:rPr>
          <w:i/>
        </w:rPr>
        <w:t>“6.12.apakšpunkts noteikt, ka valsts akciju sabiedrībai “Latvijas Pasts” nav jāmaksā dividendes no tīrās peļņas par 2015.gadu. Satiksmes ministrijai kā valsts akciju sabiedrības “Latvijas Pasts” kapitāla daļu turētājai nodrošināt, ka 2015.gadā 90% no tīrās peļņas tiek novirzīta zaudējumu segšanai par abonētas preses piegādi par 2016.gadu. Satiksmes ministrijai sagatavot un atbilstoši vidēja termiņa budžeta ietvara likuma projekta un gadskārtējā valsts budžeta likuma projekta izstrādes un iesniegšanas grafikam iesniegt izskatīšanai Ministru kabinetā likumprojektu par grozījumiem Pasta likumā, paredzot valsts budžeta kompensācijas Latvijas Pastam par zaudējumiem par abonētās preses izdevumu piegādes pakalpojumiem par 2016.gadu samazinājumu atbilstoši valstij dividendēs izmaksājamās valsts akciju sabiedrības "Latvijas Pasts" peļņas daļai par 2015.gadu, kas novirzīta šim mērķim. Šajā apakšpunktā noteiktā uzdevuma izpildei nepieciešamo likumprojektu iekļaut valsts budžeta 2017.gadam likumprojektu paketē. Vienlaikus Satiksmes ministrijai līdz 2017.gada 30. jūnijam sagatavot un iesniegt izskatīšanai Ministru kabinetā priekšlikumu par alternatīvu risinājumu, finansējuma samazinājumu vai avota maiņu attiecībā uz Pasta likumā noteikto pienākumu no valsts budžeta Latvijas Pastam segt zaudējumus par abonētās preses izdevumu piegādes pakalpojumiem, sākot ar periodu par abonētas</w:t>
      </w:r>
      <w:r w:rsidR="00E2061F">
        <w:rPr>
          <w:i/>
        </w:rPr>
        <w:t xml:space="preserve"> preses piegādi par 2017.gadu.”</w:t>
      </w:r>
    </w:p>
    <w:p w:rsidR="009B7403" w:rsidRDefault="009B7403" w:rsidP="00195837">
      <w:pPr>
        <w:ind w:firstLine="709"/>
        <w:jc w:val="both"/>
      </w:pPr>
      <w:r>
        <w:t xml:space="preserve">Atbilstoši Pasta likumam zaudējumus, kas radušies, sniedzot abonēto preses izdevumu piegādes pakalpojumus laikposmā no 2013.gada 1.janvāra līdz 2019.gada 31.decembrim, ir jāsedz no valsts budžeta. Saskaņā </w:t>
      </w:r>
      <w:r w:rsidR="00E2061F">
        <w:t xml:space="preserve">ar </w:t>
      </w:r>
      <w:r>
        <w:t xml:space="preserve">SM sagatavotajiem grozījumiem Pasta likumā, kas tika iekļauti valsts budžeta 2017.gadam likumprojektu paketē, 2016.gada zaudējumu segšanai par abonētās preses piegādes pakalpojumiem tiks novirzīta VAS “Latvijas Pasts” tīrās peļņas daļa par 2015.gadu 90 procentu apmērā, nemaksājot dividendes valsts budžetā. </w:t>
      </w:r>
    </w:p>
    <w:p w:rsidR="009B7403" w:rsidRPr="006A0388" w:rsidRDefault="009B7403" w:rsidP="006A0388">
      <w:pPr>
        <w:spacing w:after="120"/>
        <w:ind w:firstLine="709"/>
        <w:jc w:val="both"/>
      </w:pPr>
      <w:r>
        <w:t xml:space="preserve">SM ir sagatavojusi informatīvo ziņojumu “Par abonēto preses izdevumu piegādes pakalpojuma nodrošināšanu” (izsludināts Valsts sekretāru sanāksmē 2017.gada 13.aprīlī (protokols Nr.15 19.§)). Ziņojumā ir sniegti skaidrojumi, ka ieņēmumi no abonētās preses nesedz VAS “Latvijas Pasts” izdevumus par piegādātiem abonētajiem preses izdevumiem. Priekšlikumus par alternatīvu risinājumu, finansējuma samazinājumu vai avota maiņu SM nepiedāvā un secina, ka atbilstoši Pasta likumam līdz 2019.gada 31.decembrim abonēto preses izdevumu piegādes pakalpojuma radīto zaudējumu kompensāciju jānodrošina esošā tiesiskā </w:t>
      </w:r>
      <w:r>
        <w:lastRenderedPageBreak/>
        <w:t xml:space="preserve">regulējuma ietvarā, savukārt abonēto preses izdevumu piegādes pakalpojuma nodrošināšanai, sākot ar 2020.gada 1.janvāri, nepieciešamā finansējuma izvērtējumu un turpmāko rīcību jāiekļauj </w:t>
      </w:r>
      <w:r w:rsidR="005809ED">
        <w:t>KM</w:t>
      </w:r>
      <w:r>
        <w:t xml:space="preserve"> 2017.gada 2.pusgadā sagatavojamajā valsts dotāciju programmas drukāto mediju atbalsta konceptuālajā ziņojumā.    </w:t>
      </w:r>
      <w:r w:rsidR="006A0388">
        <w:t xml:space="preserve">  </w:t>
      </w:r>
    </w:p>
    <w:p w:rsidR="009B7403" w:rsidRPr="006A0388" w:rsidRDefault="009B7403" w:rsidP="006A0388">
      <w:pPr>
        <w:spacing w:before="240" w:after="240"/>
        <w:jc w:val="both"/>
        <w:rPr>
          <w:i/>
        </w:rPr>
      </w:pPr>
      <w:r>
        <w:rPr>
          <w:i/>
        </w:rPr>
        <w:t>“</w:t>
      </w:r>
      <w:r w:rsidRPr="004D3DBB">
        <w:rPr>
          <w:i/>
        </w:rPr>
        <w:t>6.14.</w:t>
      </w:r>
      <w:r>
        <w:rPr>
          <w:i/>
        </w:rPr>
        <w:t>apakšpunkts</w:t>
      </w:r>
      <w:r w:rsidRPr="004D3DBB">
        <w:rPr>
          <w:i/>
        </w:rPr>
        <w:t xml:space="preserve"> Satiksmes ministrijai sadarbībā ar Aizsardzības ministriju un Finanšu ministriju izvērtēt iespējas, sagatavot un līdz 2016.gada 1.jūlijam iesniegt izskatīšanai Ministru kabinetā informāciju par iespējamiem alternatīviem finansējuma avotiem Starptautiskās kravu loģistikas un ostu informācijas sistēmas uzturēšanai, piemēram, piesaistot komersantu līdzekļus kā maksu par sistēmas </w:t>
      </w:r>
      <w:r>
        <w:rPr>
          <w:i/>
        </w:rPr>
        <w:t>izmantošanu.”</w:t>
      </w:r>
    </w:p>
    <w:p w:rsidR="009B7403" w:rsidRPr="006A0388" w:rsidRDefault="009B7403" w:rsidP="006A0388">
      <w:pPr>
        <w:ind w:firstLine="720"/>
        <w:jc w:val="both"/>
      </w:pPr>
      <w:r w:rsidRPr="00D667B5">
        <w:t>SM ir sagatavojusi informatīvo ziņojumu “Par iespējamiem alternatīviem finansējuma avotiem Starptautiskās kravu loģistikas un ostu informācijas sistēmas uzturēšanai”, kas MK 2016.gada 8.augustā pieņemts zināšanai. Informatīvajā ziņojumā norādīts, ka pašlaik nav iespējams rast alternatīvus finansējuma avotus Starptautiskās kravu loģistikas un ostu informācijas sistēmas uzturēšanai, respektīvi, iekasēt maksu no komersantiem par Starptautiskās kravu loģistikas un ostu informācijas sistēmas izmantošanu, jo sistēmas lietotāji pārsvarā ir valsts pārvaldes iestādes, savukārt komersantu skaits, kas lieto sistēmu, ir 38,7% no kopējā lietotāju skaita.</w:t>
      </w:r>
    </w:p>
    <w:p w:rsidR="00D42E96" w:rsidRPr="006A0388" w:rsidRDefault="00D42E96" w:rsidP="005809ED">
      <w:pPr>
        <w:spacing w:before="240" w:after="240"/>
        <w:jc w:val="both"/>
        <w:rPr>
          <w:i/>
        </w:rPr>
      </w:pPr>
      <w:r w:rsidRPr="00F76034">
        <w:rPr>
          <w:i/>
        </w:rPr>
        <w:t>“6.21.apakšpunkts Vides aizsardzības un reģionālās attīstības ministrijai sadarbībā ar Kultūras ministriju līdz 2016.gada 1.jūlijam izvērtēt valsts budžeta finansējuma novirzīšanas bezmaksas interneta un datoru izmantošanai pašvaldību publiskajās bibliotēkās aktualitāti, ņemot vērā, ka pamatā pašvaldību bibliotēku finansēšana būtu nodrošināma no pašvaldību budžeta līdzekļiem, un iesniegt izskatīšanai Ministru kabinetā informatīvo</w:t>
      </w:r>
      <w:r w:rsidR="006A0388">
        <w:rPr>
          <w:i/>
        </w:rPr>
        <w:t xml:space="preserve"> ziņojumu par turpmāko rīcību.”</w:t>
      </w:r>
    </w:p>
    <w:p w:rsidR="00D42E96" w:rsidRPr="006A0388" w:rsidRDefault="00D42E96" w:rsidP="006A0388">
      <w:pPr>
        <w:spacing w:after="120"/>
        <w:ind w:firstLine="720"/>
        <w:jc w:val="both"/>
      </w:pPr>
      <w:r>
        <w:t>VARAM ir sagatavojusi informatīvo ziņojumu “</w:t>
      </w:r>
      <w:r w:rsidRPr="00F76034">
        <w:t>Valsts budžeta finansējuma novirzīšanas bezmaksas interneta un datoru izmantošanai pašvaldību publiskajās bibliotēkās</w:t>
      </w:r>
      <w:r>
        <w:t xml:space="preserve"> aktualitāte un turpmākā rīcība”, kas 2016.gada 9.augustā izskatīts MK sēdē (prot. Nr.39 </w:t>
      </w:r>
      <w:r w:rsidRPr="00F76034">
        <w:t>42.§</w:t>
      </w:r>
      <w:r>
        <w:t xml:space="preserve">). Informatīvā ziņojuma ietvaros izvērtēta </w:t>
      </w:r>
      <w:r w:rsidRPr="00F76034">
        <w:t>valsts budžeta finansējuma novirzīšanas bezmaksas interneta un datoru izmantošanai pašvaldību pub</w:t>
      </w:r>
      <w:r>
        <w:t>liskajās bibliotēkās aktualitāte un nolemts VARAM</w:t>
      </w:r>
      <w:r w:rsidRPr="00A92A87">
        <w:t xml:space="preserve"> turpināt turpmākajos gados </w:t>
      </w:r>
      <w:r>
        <w:t>MK</w:t>
      </w:r>
      <w:r w:rsidRPr="00A92A87">
        <w:t xml:space="preserve"> 2014.gada </w:t>
      </w:r>
      <w:r>
        <w:t>30.septembra noteikumos Nr.591 “</w:t>
      </w:r>
      <w:r w:rsidRPr="00A92A87">
        <w:t>Kārtība, kādā piešķir valsts budžeta līdzfinansējumu datoru, interneta un vispārpieejamo elektroniskās informācijas resursu publiskās pieejamības nodrošināšanai pašvaldību bibliotēkās” noteikto uzdevumu izpi</w:t>
      </w:r>
      <w:r>
        <w:t xml:space="preserve">ldi 2016.gada apmērā 437 485 </w:t>
      </w:r>
      <w:r w:rsidRPr="005021EE">
        <w:rPr>
          <w:i/>
        </w:rPr>
        <w:t>euro</w:t>
      </w:r>
      <w:r w:rsidRPr="00A92A87">
        <w:t xml:space="preserve"> gadā</w:t>
      </w:r>
      <w:r>
        <w:t>.</w:t>
      </w:r>
    </w:p>
    <w:p w:rsidR="00D42E96" w:rsidRPr="006A0388" w:rsidRDefault="00D42E96" w:rsidP="006A0388">
      <w:pPr>
        <w:spacing w:before="240" w:after="240"/>
        <w:jc w:val="both"/>
        <w:rPr>
          <w:i/>
        </w:rPr>
      </w:pPr>
      <w:r w:rsidRPr="009447D6">
        <w:rPr>
          <w:i/>
        </w:rPr>
        <w:t>“6.29.apakšpunkts Veselības ministrijai pārskatīt references kārtību kompensējamo zāļu sistēmā, izvērtējot iespēju alternatīvo medikamentu iekļaušanai arī B un C kompensējamo medikamentu sarakstos, nepieciešamības gadījumā sagatavojot un līdz 2016.gada 30.septembrim iesniedzot izskatīšanai Ministru kabinetā grozījumus Ministru kabineta 2006.gada 31.oktobra noteikumos Nr.899 “Ambulatorajai ārstēšanai paredzēto zāļu un medicīnisko ierīču iegādes i</w:t>
      </w:r>
      <w:r w:rsidR="006A0388">
        <w:rPr>
          <w:i/>
        </w:rPr>
        <w:t>zdevumu kompensācijas kārtība.”</w:t>
      </w:r>
    </w:p>
    <w:p w:rsidR="00040FF0" w:rsidRPr="00040FF0" w:rsidRDefault="00D42E96" w:rsidP="00195837">
      <w:pPr>
        <w:ind w:firstLine="720"/>
        <w:jc w:val="both"/>
      </w:pPr>
      <w:r w:rsidRPr="00040FF0">
        <w:t xml:space="preserve">VM ar 2016.gada 23.septembra vēstuli Nr.01-12.1/4179 </w:t>
      </w:r>
      <w:r w:rsidR="006A0388">
        <w:t>VK</w:t>
      </w:r>
      <w:r w:rsidRPr="00040FF0">
        <w:t xml:space="preserve"> informē par uzdevuma par references kārtības pārskatīšanu kompensējamo zāļu sistēmā izpildi un lūdz izbeigt uzdevuma kontroli. Pamatojoties uz VM vēstuli, ar Ministru prezidenta ar 2016.gada 3.oktobra rezolūciju Nr.12/SAN-1528 uzdevuma izpildes kontrole izbeigta</w:t>
      </w:r>
      <w:r w:rsidR="00040FF0" w:rsidRPr="00040FF0">
        <w:t>.</w:t>
      </w:r>
    </w:p>
    <w:p w:rsidR="00D42E96" w:rsidRPr="006A0388" w:rsidRDefault="00040FF0" w:rsidP="006A0388">
      <w:pPr>
        <w:spacing w:after="120"/>
        <w:ind w:firstLine="720"/>
        <w:jc w:val="both"/>
      </w:pPr>
      <w:r w:rsidRPr="00040FF0">
        <w:t xml:space="preserve">VM uzskata, ka MK 2006.gada 31.oktobra noteikumu Nr.899 “Ambulatorajai ārstēšanai paredzēto zāļu un medicīnisko ierīču iegādes izdevumu kompensācijas kārtība” nosacījumi ir pietiekami, ņemot vērā, ka pašreizējā kompensējamo zāļu saraksta uzbūve jau paredz gadījumos, kad ir pieejamas alternatīvas zāles, tās iekļaut A sarakstā, bet gadījumos, kad </w:t>
      </w:r>
      <w:r w:rsidRPr="00040FF0">
        <w:lastRenderedPageBreak/>
        <w:t>alternatīvas zāles nav pieejamas</w:t>
      </w:r>
      <w:r>
        <w:t>, tās iekļaut B vai C sarakstā</w:t>
      </w:r>
      <w:r w:rsidRPr="00040FF0">
        <w:t xml:space="preserve"> atkarībā no finansiālajiem nosacījumiem.</w:t>
      </w:r>
    </w:p>
    <w:p w:rsidR="00D42E96" w:rsidRPr="006A0388" w:rsidRDefault="00D42E96" w:rsidP="006A0388">
      <w:pPr>
        <w:spacing w:before="240" w:after="240"/>
        <w:jc w:val="both"/>
        <w:rPr>
          <w:i/>
        </w:rPr>
      </w:pPr>
      <w:r w:rsidRPr="00F26872">
        <w:rPr>
          <w:i/>
        </w:rPr>
        <w:t>“6.31.apakšpunkts Veselības ministrijai sagatavot un līdz 2016.gada 30.septembrim iesniegt izskatīšanai Ministru kabinetā priekšlikumus par vienotu risinājumu centralizētai medikamentu iepirkumu organizēšanai valsts slimnīcās, izmantojot Elektronisko iepirkumu sistēmu.”</w:t>
      </w:r>
    </w:p>
    <w:p w:rsidR="00D42E96" w:rsidRPr="00B6142F" w:rsidRDefault="00D42E96" w:rsidP="00B6142F">
      <w:pPr>
        <w:spacing w:after="120"/>
        <w:ind w:firstLine="720"/>
        <w:jc w:val="both"/>
      </w:pPr>
      <w:r w:rsidRPr="00A25490">
        <w:t xml:space="preserve">VM ir sagatavojusi informatīvo ziņojumu “Par medikamentu iepirkumu organizēšanu kapitālsabiedrībās, kurās </w:t>
      </w:r>
      <w:r w:rsidR="006A0388">
        <w:t>VM</w:t>
      </w:r>
      <w:r w:rsidRPr="00A25490">
        <w:t xml:space="preserve"> ir valsts kapitāla daļu turētāja, izmantojot Elektronisko iepirkumu sistēmu” (prot. Nr.65 32.§), kas izskatīts MK 2016.gada 29.novembra sēdē. Nolemts, ka kapitālsabiedrības, kurās VM ir valsts kapitāla daļu turētāja, turpina līdzšinējo iepirkumu veikšanas procesu līdz turpmāko lēmumu pieņemšanai un vienlaikus uzdots VM līdz 2017.gada 31.decembrim izveidot institūciju centralizētai medikamentu un medicīnas preču iepirkumu organizēšanai VM piešķirto budžeta līdzekļu ietvaros.</w:t>
      </w:r>
    </w:p>
    <w:p w:rsidR="00F842F2" w:rsidRPr="00B6142F" w:rsidRDefault="00F842F2" w:rsidP="00B6142F">
      <w:pPr>
        <w:spacing w:before="360" w:after="360"/>
        <w:rPr>
          <w:b/>
        </w:rPr>
      </w:pPr>
      <w:r>
        <w:rPr>
          <w:b/>
        </w:rPr>
        <w:t>Uzsāktie</w:t>
      </w:r>
      <w:r w:rsidRPr="002C1A04">
        <w:rPr>
          <w:b/>
        </w:rPr>
        <w:t xml:space="preserve"> uzdevumi</w:t>
      </w:r>
    </w:p>
    <w:p w:rsidR="0077326E" w:rsidRDefault="0077326E" w:rsidP="00B6142F">
      <w:pPr>
        <w:spacing w:after="240"/>
        <w:jc w:val="both"/>
        <w:rPr>
          <w:i/>
        </w:rPr>
      </w:pPr>
      <w:r w:rsidRPr="00F842F2">
        <w:rPr>
          <w:i/>
        </w:rPr>
        <w:t>“6.3.apakšpunkts</w:t>
      </w:r>
      <w:r>
        <w:rPr>
          <w:i/>
        </w:rPr>
        <w:t xml:space="preserve"> </w:t>
      </w:r>
      <w:r w:rsidRPr="00F842F2">
        <w:rPr>
          <w:i/>
        </w:rPr>
        <w:t>Ekonomikas ministrijai veikt papildu pasākumus, lai nodrošinātu plānoto ieņēmumu no valsts nodevas par reģistrācijas darbībām būvkomersantu reģistrā izpildi 2017. un 2018.gadā. Ja faktiskā izpilde 2017.gada pirmajā pusē neatbilst plānotajam, Ekonomikas ministrijai sagatavot un līdz 2017.gada 29.jūlijam iesniegt Ministru kabinetā informatīvo ziņojumu, piedāvājot fiskāli neitrālu risinājumu Būvniecības valsts kontroles biroja darbības nodrošināšanai un citu pasākumu finansēšanai</w:t>
      </w:r>
      <w:r>
        <w:rPr>
          <w:i/>
        </w:rPr>
        <w:t>.</w:t>
      </w:r>
      <w:r w:rsidR="00B6142F">
        <w:rPr>
          <w:i/>
        </w:rPr>
        <w:t>”</w:t>
      </w:r>
    </w:p>
    <w:p w:rsidR="0077326E" w:rsidRDefault="0077326E" w:rsidP="00195837">
      <w:pPr>
        <w:ind w:firstLine="720"/>
        <w:jc w:val="both"/>
      </w:pPr>
      <w:r>
        <w:t>EM ir sagatavojusi grozījumus</w:t>
      </w:r>
      <w:r w:rsidRPr="0077326E">
        <w:t xml:space="preserve"> </w:t>
      </w:r>
      <w:r w:rsidR="00F120B4">
        <w:t>MK</w:t>
      </w:r>
      <w:r w:rsidRPr="0077326E">
        <w:t xml:space="preserve"> 2014.gada</w:t>
      </w:r>
      <w:r>
        <w:t xml:space="preserve"> 25.februāra noteikumos Nr.116 “</w:t>
      </w:r>
      <w:r w:rsidRPr="0077326E">
        <w:t>Būvkom</w:t>
      </w:r>
      <w:r>
        <w:t>ersantu reģistrācijas noteikumi”, kas 2017.gada 11.maijā izsludināti Valsts sekretāru sanāksmē (VSS</w:t>
      </w:r>
      <w:r>
        <w:noBreakHyphen/>
        <w:t xml:space="preserve">504). </w:t>
      </w:r>
      <w:r w:rsidR="004F0DF2">
        <w:t xml:space="preserve">EM norāda, ka 2017.gadā </w:t>
      </w:r>
      <w:r w:rsidR="004F0DF2" w:rsidRPr="004F0DF2">
        <w:t>sākotnēji plānotie būvkomersantu nodevas apjomi netiks sasniegti</w:t>
      </w:r>
      <w:r w:rsidR="004F0DF2">
        <w:t xml:space="preserve">, līdz ar to ar grozījumiem </w:t>
      </w:r>
      <w:r w:rsidR="004F0DF2" w:rsidRPr="004F0DF2">
        <w:t>paredzēts</w:t>
      </w:r>
      <w:r w:rsidR="004F0DF2">
        <w:t xml:space="preserve"> palielināt</w:t>
      </w:r>
      <w:r w:rsidR="004F0DF2" w:rsidRPr="004F0DF2">
        <w:t xml:space="preserve"> valsts nodevu par ikgadējās informācijas iekļaušanu būvkomersantu reģistrā</w:t>
      </w:r>
      <w:r w:rsidR="004F0DF2">
        <w:t>.</w:t>
      </w:r>
    </w:p>
    <w:p w:rsidR="0077326E" w:rsidRPr="00B6142F" w:rsidRDefault="004F0DF2" w:rsidP="007F05FF">
      <w:pPr>
        <w:spacing w:after="120"/>
        <w:ind w:firstLine="720"/>
        <w:jc w:val="both"/>
      </w:pPr>
      <w:r>
        <w:t xml:space="preserve">Vienlaikus grozījumi </w:t>
      </w:r>
      <w:r w:rsidRPr="004F0DF2">
        <w:t>paredz, ka turpmāk būvkomersantu ikgadējo valsts nodevu būs jāmaksā visiem būvkomersantu reģistrā reģistrētajiem komersantiem. Savukārt tiem būvkomersantiem, kuri būs parak</w:t>
      </w:r>
      <w:r>
        <w:t>stījuši nozares darba koplīgumu</w:t>
      </w:r>
      <w:r w:rsidR="007F05FF">
        <w:t xml:space="preserve"> Darba likuma izpratnē, pēc tā </w:t>
      </w:r>
      <w:r w:rsidRPr="004F0DF2">
        <w:t>stāšanās spēkā, ikgadējā valsts nodeva būs jāmaksā 5</w:t>
      </w:r>
      <w:r w:rsidR="00B6142F">
        <w:t>0% apmērā no noteiktā.</w:t>
      </w:r>
    </w:p>
    <w:p w:rsidR="00D239E8" w:rsidRPr="00B6142F" w:rsidRDefault="00D239E8" w:rsidP="00B6142F">
      <w:pPr>
        <w:spacing w:before="240" w:after="240"/>
        <w:jc w:val="both"/>
        <w:rPr>
          <w:i/>
        </w:rPr>
      </w:pPr>
      <w:r w:rsidRPr="00D239E8">
        <w:rPr>
          <w:i/>
        </w:rPr>
        <w:t>“6.9.apakšpunkts Izglītības un zinātnes ministrijai profesionālās izglītības reformas ietvaros sagatavot un līdz 2016.gada 1.septembrim iesniegt izskatīšanai Ministru kabinetā profesionālās izglītības programmu finansēšanas modeli, tajā skaitā finansēšanas principus citu dibinātāju profes</w:t>
      </w:r>
      <w:r w:rsidR="00B6142F">
        <w:rPr>
          <w:i/>
        </w:rPr>
        <w:t>ionālajām izglītības iestādēm.”</w:t>
      </w:r>
    </w:p>
    <w:p w:rsidR="007A6240" w:rsidRPr="00B6142F" w:rsidRDefault="00AC3896" w:rsidP="00B6142F">
      <w:pPr>
        <w:spacing w:after="120"/>
        <w:ind w:firstLine="709"/>
        <w:jc w:val="both"/>
      </w:pPr>
      <w:r>
        <w:t xml:space="preserve">Uzsākts darbs pie profesionālās izglītības programmu finansēšanas modeļa izstrādes. </w:t>
      </w:r>
      <w:r w:rsidR="000D6056">
        <w:t>IZM</w:t>
      </w:r>
      <w:r w:rsidR="00114A1B">
        <w:t xml:space="preserve"> ir sagatavojusi i</w:t>
      </w:r>
      <w:r w:rsidR="00114A1B" w:rsidRPr="00114A1B">
        <w:t>n</w:t>
      </w:r>
      <w:r w:rsidR="00114A1B">
        <w:t>formatīvo ziņojumu “</w:t>
      </w:r>
      <w:r w:rsidR="00114A1B" w:rsidRPr="00114A1B">
        <w:t xml:space="preserve">Par pašvaldību profesionālās izglītības </w:t>
      </w:r>
      <w:r w:rsidR="00114A1B">
        <w:t>iestāžu finansēšanas principiem”</w:t>
      </w:r>
      <w:r w:rsidR="00505897">
        <w:t>, kas atrodas saskaņošanas procesā.</w:t>
      </w:r>
      <w:r w:rsidR="00B011D7">
        <w:t xml:space="preserve"> Informatīvajā ziņojumā </w:t>
      </w:r>
      <w:r w:rsidR="00B011D7" w:rsidRPr="00B011D7">
        <w:t>sniegti priekšlikumi principiem, kas nosaka ministrijas valsts budžeta piešķīrumu profesionālās pamatizglītības, arodizglītības un profesionālās vidējās izgl</w:t>
      </w:r>
      <w:r w:rsidR="00B011D7">
        <w:t xml:space="preserve">ītības programmu </w:t>
      </w:r>
      <w:r w:rsidR="00B011D7" w:rsidRPr="00B011D7">
        <w:t>īstenošanas finansēšanai gadījumos, kad profesionālās izglītības programmas īsteno pašvaldību izglītības iestādes.</w:t>
      </w:r>
    </w:p>
    <w:p w:rsidR="007A6240" w:rsidRPr="00B6142F" w:rsidRDefault="007A6240" w:rsidP="00B6142F">
      <w:pPr>
        <w:spacing w:before="240" w:after="240"/>
        <w:jc w:val="both"/>
        <w:rPr>
          <w:i/>
        </w:rPr>
      </w:pPr>
      <w:r w:rsidRPr="005705B9">
        <w:rPr>
          <w:i/>
        </w:rPr>
        <w:t xml:space="preserve">“6.22.apakšpunkts Kultūras ministrijai veikt nepieciešamos pasākumus, lai nodrošinātu plānoto ieņēmumu no sociāli tiesiskās izziņas sagatavošanas un izsniegšanas nodevas izpildi 2016., 2017. un 2018.gadā 498 005 EUR apmērā katru gadu, tādējādi nodrošinot finansēšanas avotu Kultūras ministrijas budžeta programmas 21.00.00 “Kultūras mantojums” izdevumiem </w:t>
      </w:r>
      <w:r w:rsidRPr="005705B9">
        <w:rPr>
          <w:i/>
        </w:rPr>
        <w:lastRenderedPageBreak/>
        <w:t>Latvijas Nacionālā arhīva darbības nodrošināšanai. Nenodrošinot sociāli tiesiskās izziņas sagatavošanas un izsniegšanas nodevas ieņēmumu izpildi plānotajā apmērā, Kultūras ministrijai sagatavot un līdz 2016.gada 29.jūlijam iesniegt izskatīšanai Ministru kabinetā priekšlikumus par atbilstošo izdevumu samazināšanu 2017. un 2018.gadam, ņemot vērā plānoto ieņēmumu faktiskās izpildes tendences.”</w:t>
      </w:r>
    </w:p>
    <w:p w:rsidR="007A6240" w:rsidRDefault="007A6240" w:rsidP="00195837">
      <w:pPr>
        <w:ind w:firstLine="720"/>
        <w:jc w:val="both"/>
      </w:pPr>
      <w:r>
        <w:t>KM sagatavoja grozījumus Arhīvu likumā, ar kuriem tika paredzēts, ka</w:t>
      </w:r>
      <w:r w:rsidR="007F05FF">
        <w:t>,</w:t>
      </w:r>
      <w:r>
        <w:t xml:space="preserve"> </w:t>
      </w:r>
      <w:r w:rsidRPr="005705B9">
        <w:t>ja sociāli tiesisko izziņu pieprasa institūcija privātpersonas tiesību nodrošināšanai, uz institūciju attiecināmi tādi paši noteikumi par valsts nodevas apmēru un maksāšanas kārtīb</w:t>
      </w:r>
      <w:r>
        <w:t>u, kādi noteikti privātpersonām</w:t>
      </w:r>
      <w:r w:rsidRPr="005705B9">
        <w:t>.</w:t>
      </w:r>
      <w:r>
        <w:t xml:space="preserve"> Sagatavotie grozījumi </w:t>
      </w:r>
      <w:r w:rsidRPr="005705B9">
        <w:t xml:space="preserve">2016.gada 29.jūlijā </w:t>
      </w:r>
      <w:r>
        <w:t>tika nosūtīti</w:t>
      </w:r>
      <w:r w:rsidRPr="005705B9">
        <w:t xml:space="preserve"> saskaņošanai </w:t>
      </w:r>
      <w:r>
        <w:t xml:space="preserve">FM un TM. TM </w:t>
      </w:r>
      <w:r w:rsidRPr="005705B9">
        <w:t xml:space="preserve">atzinumā </w:t>
      </w:r>
      <w:r>
        <w:t xml:space="preserve">norādīja, ka </w:t>
      </w:r>
      <w:r w:rsidRPr="005705B9">
        <w:t>grozījumi konceptuāli neatbilst Valsts pārvaldes iekārtas likumā un Administratīvā procesa likumā ietvertaj</w:t>
      </w:r>
      <w:r>
        <w:t>am iestāžu sadarbības principam</w:t>
      </w:r>
      <w:r w:rsidRPr="005705B9">
        <w:t xml:space="preserve">. </w:t>
      </w:r>
      <w:r>
        <w:t xml:space="preserve">Ņemot vērā TM iebildumu, grozījumi tālāk netika virzīti. </w:t>
      </w:r>
    </w:p>
    <w:p w:rsidR="007A6240" w:rsidRDefault="007A6240" w:rsidP="00195837">
      <w:pPr>
        <w:ind w:firstLine="720"/>
        <w:jc w:val="both"/>
      </w:pPr>
      <w:r>
        <w:t xml:space="preserve">Attiecībā uz </w:t>
      </w:r>
      <w:r w:rsidRPr="005705B9">
        <w:t>MK protokollēmumā</w:t>
      </w:r>
      <w:r>
        <w:t xml:space="preserve"> noteikto izdev</w:t>
      </w:r>
      <w:r w:rsidR="007F05FF">
        <w:t xml:space="preserve">umu samazinājumu KM norāda, ka </w:t>
      </w:r>
      <w:r>
        <w:t>Latvijas Nacionālajam arhīvam</w:t>
      </w:r>
      <w:r w:rsidRPr="005705B9">
        <w:t xml:space="preserve"> nebūtu iespējams turpināt </w:t>
      </w:r>
      <w:r>
        <w:t>pamatdarbības veikšanu un ka</w:t>
      </w:r>
      <w:r w:rsidRPr="005705B9">
        <w:t xml:space="preserve"> nodevas apmēru palielināt nav iespējams, savukārt darba </w:t>
      </w:r>
      <w:r>
        <w:t>apjoms un saistītie izdevumi Latvijas Nacionālajam arhīvam</w:t>
      </w:r>
      <w:r w:rsidRPr="005705B9">
        <w:t xml:space="preserve"> par izziņu sagatavošanu nemazinās.</w:t>
      </w:r>
    </w:p>
    <w:p w:rsidR="00D239E8" w:rsidRPr="00B6142F" w:rsidRDefault="007A6240" w:rsidP="00B6142F">
      <w:pPr>
        <w:spacing w:before="240" w:after="240"/>
        <w:jc w:val="both"/>
        <w:rPr>
          <w:i/>
        </w:rPr>
      </w:pPr>
      <w:r w:rsidRPr="00BA358A">
        <w:rPr>
          <w:i/>
        </w:rPr>
        <w:t>“6.23.apakšpunkts Kultūras ministrijai sagatavot un atbilstoši vidēja termiņa budžeta ietvara likuma projekta un gadskārtējā valsts budžeta likuma projekta izstrādes un iesniegšanas grafikam iesniegt izskatīšanai Ministru kabinetā priekšlikumus par valsts politikas sabiedrības integrācijas jomā finansējuma pārvaldības modeļa maiņu, virzoties uz vienotu un koordinētu valsts politikas īstenošanu sabiedrības integrācijas jomā, piemēram, minēto politikas jomu un attiecīgo finansējumu nododot vienas ministrijas atbildībā. Šajā apakšpunktā noteiktā uzdevuma izpildei nepieciešamos likumprojektus iekļaut valsts budžeta 20</w:t>
      </w:r>
      <w:r w:rsidR="00B6142F">
        <w:rPr>
          <w:i/>
        </w:rPr>
        <w:t>17.gadam likumprojektu paketē.”</w:t>
      </w:r>
    </w:p>
    <w:p w:rsidR="003B1B51" w:rsidRDefault="003B1B51" w:rsidP="00195837">
      <w:pPr>
        <w:ind w:firstLine="720"/>
        <w:jc w:val="both"/>
      </w:pPr>
      <w:r w:rsidRPr="00291A25">
        <w:t>KM s</w:t>
      </w:r>
      <w:r w:rsidR="00B6142F">
        <w:t>agatavoja konceptuālu ziņojumu “</w:t>
      </w:r>
      <w:r w:rsidRPr="00291A25">
        <w:t>Par priekšlikumiem par valsts politikas sabiedrības integrācijas jomā finansējuma pārvaldības modeļa maiņu, virzoties uz vienotu un koordinētu valsts politikas īstenošanu sabiedrības integrācijas jomā”, kurš tika iesniegts izskatīšanai 2016.gada 6.oktobra Valsts sekretāru sanāksmē</w:t>
      </w:r>
      <w:r w:rsidR="00862D9E" w:rsidRPr="00291A25">
        <w:t>, kur nolēma jautājuma izskatīšanu atlikt.</w:t>
      </w:r>
    </w:p>
    <w:p w:rsidR="003B1B51" w:rsidRPr="00590544" w:rsidRDefault="00291A25" w:rsidP="00195837">
      <w:pPr>
        <w:ind w:firstLine="720"/>
        <w:jc w:val="both"/>
      </w:pPr>
      <w:r>
        <w:t>Ar Ministru prezidenta 2017.gada 5.janvāra rezolūciju Nr.2017-REZ-99/2016-TA-1869/11743-14 uzdots KM precizēt konceptuālo ziņojumu, papildinot ar vēl vienu variantu, kas noteiktu, ka virsuzraudzība ir KM kompetencē, tādējādi attīstot un pilnveidojot esošo sistēmu un neveidojot jaunas institūcijas. Ņemot vērā KM lūgumu, uzdevuma izpildes termiņš ar Ministru prezidenta 2017.gada 28.februāra rezolūciju Nr.100/TA-1869/2343 pagarināts līdz 2017.gada 1.novembrim.</w:t>
      </w:r>
    </w:p>
    <w:p w:rsidR="008D6DCA" w:rsidRPr="00590544" w:rsidRDefault="008D6DCA" w:rsidP="00590544">
      <w:pPr>
        <w:spacing w:before="240" w:after="240"/>
        <w:jc w:val="both"/>
        <w:rPr>
          <w:i/>
        </w:rPr>
      </w:pPr>
      <w:r>
        <w:rPr>
          <w:i/>
        </w:rPr>
        <w:t>“</w:t>
      </w:r>
      <w:r w:rsidRPr="008D6DCA">
        <w:rPr>
          <w:i/>
        </w:rPr>
        <w:t>6.24.</w:t>
      </w:r>
      <w:r>
        <w:rPr>
          <w:i/>
        </w:rPr>
        <w:t>apakšpunkts</w:t>
      </w:r>
      <w:r w:rsidRPr="008D6DCA">
        <w:rPr>
          <w:i/>
        </w:rPr>
        <w:t xml:space="preserve"> Kultūras ministrijai sagatavot un līdz 2017.gada 1.martam iesniegt Ministru kabinetā priekšlikumus par sistemātisku ilgtermiņa risinājumu īpaši atzīmējamo svētku un atceres pasākumu</w:t>
      </w:r>
      <w:r>
        <w:rPr>
          <w:i/>
        </w:rPr>
        <w:t xml:space="preserve"> nodrošināšanai un finansēšanai.”</w:t>
      </w:r>
    </w:p>
    <w:p w:rsidR="00A01351" w:rsidRPr="00534F96" w:rsidRDefault="008D6DCA" w:rsidP="00195837">
      <w:pPr>
        <w:ind w:firstLine="720"/>
        <w:jc w:val="both"/>
      </w:pPr>
      <w:r w:rsidRPr="00534F96">
        <w:t>KM ir sagatavojusi informatīvo ziņojumu “Par sistemātisku ilgtermiņa risinājumu īpaši atzīmējamo svētku un atceres pasākumu nodrošināšanai un finansēšanai”, kas 2017.gada 2.martā izsludināts Valsts sekretāru sanā</w:t>
      </w:r>
      <w:r w:rsidR="000839ED" w:rsidRPr="00534F96">
        <w:t>ksmē un atrodas saskaņošanas procesā.</w:t>
      </w:r>
    </w:p>
    <w:p w:rsidR="008D6DCA" w:rsidRPr="00590544" w:rsidRDefault="008D6DCA" w:rsidP="00195837">
      <w:pPr>
        <w:ind w:firstLine="720"/>
        <w:jc w:val="both"/>
      </w:pPr>
      <w:r w:rsidRPr="00534F96">
        <w:t>Lai pārrunātu turpmāko rīcību</w:t>
      </w:r>
      <w:r w:rsidR="00A01351" w:rsidRPr="00534F96">
        <w:t xml:space="preserve"> par sistemātisku ilgtermiņa risinājumu īpaši atzīmējamo svētku un atceres pasākumu nodrošināšanai un finansēšanai</w:t>
      </w:r>
      <w:r w:rsidRPr="00534F96">
        <w:t xml:space="preserve">, </w:t>
      </w:r>
      <w:r w:rsidR="00A01351" w:rsidRPr="00534F96">
        <w:t>KM</w:t>
      </w:r>
      <w:r w:rsidRPr="00534F96">
        <w:t xml:space="preserve"> organizēja sanāksmes, kurās piedalījās </w:t>
      </w:r>
      <w:r w:rsidR="00A01351" w:rsidRPr="00534F96">
        <w:t>VPK</w:t>
      </w:r>
      <w:r w:rsidRPr="00534F96">
        <w:t xml:space="preserve">, </w:t>
      </w:r>
      <w:r w:rsidR="00A01351" w:rsidRPr="00534F96">
        <w:t>Saeimas</w:t>
      </w:r>
      <w:r w:rsidRPr="00534F96">
        <w:t xml:space="preserve">, </w:t>
      </w:r>
      <w:r w:rsidR="00A01351" w:rsidRPr="00534F96">
        <w:t>VK</w:t>
      </w:r>
      <w:r w:rsidRPr="00534F96">
        <w:t xml:space="preserve">, </w:t>
      </w:r>
      <w:r w:rsidR="00A01351" w:rsidRPr="00534F96">
        <w:t>ĀM</w:t>
      </w:r>
      <w:r w:rsidRPr="00534F96">
        <w:t xml:space="preserve">, </w:t>
      </w:r>
      <w:r w:rsidR="00A01351" w:rsidRPr="00534F96">
        <w:t>AiM</w:t>
      </w:r>
      <w:r w:rsidRPr="00534F96">
        <w:t xml:space="preserve">, </w:t>
      </w:r>
      <w:r w:rsidR="00A01351" w:rsidRPr="00534F96">
        <w:t>IZM</w:t>
      </w:r>
      <w:r w:rsidRPr="00534F96">
        <w:t xml:space="preserve"> un Rīgas domes Izglītības, kultūras un sporta departamenta pārstāvji. Atbilstoši starpinstitūciju sanāksmēs lemtajam, tika apkopota institūciju sniegtā informācija par insti</w:t>
      </w:r>
      <w:r w:rsidR="00A01351" w:rsidRPr="00534F96">
        <w:t>tūciju tradicionāli plānotajiem</w:t>
      </w:r>
      <w:r w:rsidRPr="00534F96">
        <w:t xml:space="preserve"> un sava budžeta ietvaros </w:t>
      </w:r>
      <w:r w:rsidRPr="00534F96">
        <w:lastRenderedPageBreak/>
        <w:t>īstenotajiem pasākumiem, kā arī iezīmēti īpaši pasākumi (gadadienas), kuriem nepieciešams papildu finansējums un pasākumu norises koordinēšana starpinstitucionālā līmenī.</w:t>
      </w:r>
    </w:p>
    <w:p w:rsidR="009447D6" w:rsidRPr="00590544" w:rsidRDefault="00B25B19" w:rsidP="00590544">
      <w:pPr>
        <w:spacing w:before="240" w:after="240"/>
        <w:jc w:val="both"/>
        <w:rPr>
          <w:i/>
        </w:rPr>
      </w:pPr>
      <w:r w:rsidRPr="0040489A">
        <w:rPr>
          <w:i/>
        </w:rPr>
        <w:t xml:space="preserve">“6.25.apakšpunkts Kultūras ministrijai sagatavot un līdz 2016.gada 1.septembrim iesniegt izskatīšanai Ministru kabinetā priekšlikumus, paredzot nacionālo kultūrizglītības pasūtījumu piešķirto valsts </w:t>
      </w:r>
      <w:r w:rsidR="00590544">
        <w:rPr>
          <w:i/>
        </w:rPr>
        <w:t>budžeta līdzekļu ietvaros.”</w:t>
      </w:r>
    </w:p>
    <w:p w:rsidR="00AE2055" w:rsidRPr="00590544" w:rsidRDefault="000D6056" w:rsidP="007F05FF">
      <w:pPr>
        <w:spacing w:after="120"/>
        <w:ind w:firstLine="720"/>
        <w:jc w:val="both"/>
      </w:pPr>
      <w:r w:rsidRPr="000D6056">
        <w:t xml:space="preserve">Sadarbojoties KM, </w:t>
      </w:r>
      <w:r w:rsidR="0040489A" w:rsidRPr="000D6056">
        <w:t>Latv</w:t>
      </w:r>
      <w:r w:rsidR="00590544">
        <w:t>ijas Nacionālajam</w:t>
      </w:r>
      <w:r w:rsidRPr="000D6056">
        <w:t xml:space="preserve"> kultūras centram</w:t>
      </w:r>
      <w:r w:rsidR="0040489A" w:rsidRPr="000D6056">
        <w:t xml:space="preserve"> </w:t>
      </w:r>
      <w:r w:rsidRPr="000D6056">
        <w:t>un</w:t>
      </w:r>
      <w:r w:rsidR="0040489A" w:rsidRPr="000D6056">
        <w:t xml:space="preserve"> </w:t>
      </w:r>
      <w:r w:rsidR="00AE2055" w:rsidRPr="000D6056">
        <w:t>Kultūrizglītības padomei</w:t>
      </w:r>
      <w:r w:rsidR="00C17369" w:rsidRPr="000D6056">
        <w:t>,</w:t>
      </w:r>
      <w:r w:rsidR="00AE2055" w:rsidRPr="000D6056">
        <w:t xml:space="preserve"> </w:t>
      </w:r>
      <w:r w:rsidRPr="000D6056">
        <w:t>notiek darbs</w:t>
      </w:r>
      <w:r w:rsidR="00AE2055" w:rsidRPr="000D6056">
        <w:t xml:space="preserve"> pie tehniskās specifikācijas izstrāde</w:t>
      </w:r>
      <w:r w:rsidR="00C17369" w:rsidRPr="000D6056">
        <w:t>s</w:t>
      </w:r>
      <w:r w:rsidR="00AE2055" w:rsidRPr="000D6056">
        <w:t xml:space="preserve"> pētījuma</w:t>
      </w:r>
      <w:r w:rsidR="00C17369" w:rsidRPr="000D6056">
        <w:t>m, pamatojoties, uz kura</w:t>
      </w:r>
      <w:r w:rsidR="00AE2055" w:rsidRPr="000D6056">
        <w:t xml:space="preserve"> rezultātiem, </w:t>
      </w:r>
      <w:r w:rsidR="00C17369" w:rsidRPr="000D6056">
        <w:t xml:space="preserve">tiks </w:t>
      </w:r>
      <w:r w:rsidR="00AE2055" w:rsidRPr="000D6056">
        <w:t>noteikt</w:t>
      </w:r>
      <w:r w:rsidR="00C17369" w:rsidRPr="000D6056">
        <w:t>as</w:t>
      </w:r>
      <w:r w:rsidR="00AE2055" w:rsidRPr="000D6056">
        <w:t xml:space="preserve"> prioritātes kultūrizglītībā, plānojot valsts budžeta dotāciju kultūrizglītības iestādēm un</w:t>
      </w:r>
      <w:r w:rsidR="00590544">
        <w:t xml:space="preserve"> nepieciešamās budžeta vietas. </w:t>
      </w:r>
    </w:p>
    <w:p w:rsidR="009447D6" w:rsidRPr="00590544" w:rsidRDefault="009447D6" w:rsidP="00590544">
      <w:pPr>
        <w:spacing w:before="240" w:after="240"/>
        <w:jc w:val="both"/>
        <w:rPr>
          <w:i/>
        </w:rPr>
      </w:pPr>
      <w:r w:rsidRPr="0049340C">
        <w:rPr>
          <w:i/>
        </w:rPr>
        <w:t>“6.28.apakšpunkts lai nodrošinātu pilnvērtīgu Veselības ministrijas atbildību un valsts budžeta finansējuma sadalījumu atbilstoši tā izlietojuma mērķim, Veselības ministrijai pārskatīt funkciju sadalījumu starp Veselības ministriju un Nacionālo veselības dienestu, nodrošinot valsts budžeta finansējuma, rezultatīvo rādītāju plānošanas un politikas plānošanas funkcijas, kā arī normatīvo aktu izstrādes un uzraudzības funkcijas īstenošanu Veselības ministrijā, nepieciešamības gadījumā sagatavojot un līdz 2016.gada 5.augustam iesniedzot izskatīšanai Ministru kabinetā priekšlikumus par grozījumiem attiecīgajos normatīvajos aktos.”</w:t>
      </w:r>
    </w:p>
    <w:p w:rsidR="00234D0E" w:rsidRPr="00234D0E" w:rsidRDefault="00234D0E" w:rsidP="007F05FF">
      <w:pPr>
        <w:spacing w:after="360"/>
        <w:ind w:firstLine="720"/>
        <w:jc w:val="both"/>
      </w:pPr>
      <w:r w:rsidRPr="00234D0E">
        <w:t xml:space="preserve">VM </w:t>
      </w:r>
      <w:r>
        <w:t>ir sagatavojusi konceptuālo ziņojumu “Par veselības aprūpes sistēmas reformu”</w:t>
      </w:r>
      <w:r w:rsidR="0049340C">
        <w:t xml:space="preserve">, kas </w:t>
      </w:r>
      <w:r w:rsidR="00DF4176">
        <w:t>tika atbalstīts MK 2017.gada 25.jūlija sēdē (prot. Nr.37., 34.</w:t>
      </w:r>
      <w:r w:rsidR="00DF4176">
        <w:rPr>
          <w:rFonts w:cs="Times New Roman"/>
        </w:rPr>
        <w:t>§</w:t>
      </w:r>
      <w:r w:rsidR="00DF4176">
        <w:t>)</w:t>
      </w:r>
      <w:r w:rsidR="0049340C">
        <w:t xml:space="preserve">. </w:t>
      </w:r>
      <w:r w:rsidR="00343E79">
        <w:t xml:space="preserve">Konceptuālajā </w:t>
      </w:r>
      <w:r w:rsidR="0049340C">
        <w:t xml:space="preserve">ziņojumā iekļauta VM </w:t>
      </w:r>
      <w:r w:rsidR="0049340C" w:rsidRPr="0049340C">
        <w:t>padotības ie</w:t>
      </w:r>
      <w:r w:rsidR="0049340C">
        <w:t>stāžu reorganizācijas stratēģija, tai skaitā arī par NVD.</w:t>
      </w:r>
    </w:p>
    <w:p w:rsidR="007153A4" w:rsidRPr="00590544" w:rsidRDefault="00A0011D" w:rsidP="00590544">
      <w:pPr>
        <w:spacing w:after="240"/>
        <w:jc w:val="both"/>
        <w:rPr>
          <w:i/>
        </w:rPr>
      </w:pPr>
      <w:r w:rsidRPr="0049340C">
        <w:rPr>
          <w:i/>
        </w:rPr>
        <w:t>“6.33.apakšpunkts Valsts kancelejai sagatavot un līdz 2016.gada 1.jūlijam iesniegt izskatīšanai Ministru kabinetā priekšlikumus par amatu saskaņošanas kārtības optimizēšanu, samazinot ministriju un citu centrālo valsts iestāžu administratīvo slogu un ar to saistītās izmaksas, vienlaikus veicinot ministriju un citu centrālo valsts iestāžu atbildību par normatīvo aktu piemēroš</w:t>
      </w:r>
      <w:r w:rsidR="00590544">
        <w:rPr>
          <w:i/>
        </w:rPr>
        <w:t>anu amatu klasifikācijas jomā.”</w:t>
      </w:r>
    </w:p>
    <w:p w:rsidR="00A0011D" w:rsidRDefault="00F120B4" w:rsidP="00590544">
      <w:pPr>
        <w:spacing w:after="120"/>
        <w:ind w:firstLine="720"/>
        <w:jc w:val="both"/>
        <w:rPr>
          <w:b/>
        </w:rPr>
      </w:pPr>
      <w:r>
        <w:t>MK</w:t>
      </w:r>
      <w:r w:rsidR="007153A4">
        <w:t xml:space="preserve"> 2016.gada 26.</w:t>
      </w:r>
      <w:r w:rsidR="007153A4" w:rsidRPr="007153A4">
        <w:t xml:space="preserve">jūlija sēdē tika pagarināts </w:t>
      </w:r>
      <w:r w:rsidR="000D6056">
        <w:t>uzdevuma izpildes</w:t>
      </w:r>
      <w:r w:rsidR="007153A4">
        <w:t xml:space="preserve"> </w:t>
      </w:r>
      <w:r w:rsidR="000D6056" w:rsidRPr="007153A4">
        <w:t>termiņš</w:t>
      </w:r>
      <w:r w:rsidR="000D6056">
        <w:t xml:space="preserve"> </w:t>
      </w:r>
      <w:r w:rsidR="007153A4">
        <w:t>līdz 2016.gada 31.</w:t>
      </w:r>
      <w:r w:rsidR="007153A4" w:rsidRPr="007153A4">
        <w:t xml:space="preserve">decembrim, savukārt </w:t>
      </w:r>
      <w:r>
        <w:t>MK</w:t>
      </w:r>
      <w:r w:rsidR="007153A4" w:rsidRPr="007153A4">
        <w:t xml:space="preserve"> 2017.gada 21.marta sēdē līdz 2017.gada 31.decembrim, pamatojot, ka jautājums par priekšlikumiem amatu saskaņošanas kārtības optimizēšanai būtu </w:t>
      </w:r>
      <w:r w:rsidR="007153A4" w:rsidRPr="004862B6">
        <w:t>skatāms kopsakarā</w:t>
      </w:r>
      <w:r w:rsidR="007153A4" w:rsidRPr="007153A4">
        <w:t xml:space="preserve"> ar atlīdzības noteikšanas sistēmas p</w:t>
      </w:r>
      <w:r w:rsidR="00AC4BA2">
        <w:t>ilnveidošanu</w:t>
      </w:r>
      <w:r w:rsidR="007153A4" w:rsidRPr="007153A4">
        <w:t>.</w:t>
      </w:r>
      <w:r w:rsidR="00211CD9">
        <w:t xml:space="preserve"> </w:t>
      </w:r>
      <w:r w:rsidR="0045649C">
        <w:t>Jautājuma</w:t>
      </w:r>
      <w:r w:rsidR="000D6056">
        <w:t>m</w:t>
      </w:r>
      <w:r w:rsidR="0045649C">
        <w:t xml:space="preserve"> par a</w:t>
      </w:r>
      <w:r w:rsidR="0045649C" w:rsidRPr="0045649C">
        <w:t>tlīdzības n</w:t>
      </w:r>
      <w:r w:rsidR="0045649C">
        <w:t>oteikšanas sistēmas p</w:t>
      </w:r>
      <w:r w:rsidR="00AC4BA2">
        <w:t>ilnveidošanu</w:t>
      </w:r>
      <w:r w:rsidR="0045649C">
        <w:t xml:space="preserve"> ar Ministru prezidenta 2017.gada 13.aprīļa rīkojumu Nr.107 “</w:t>
      </w:r>
      <w:r w:rsidR="0045649C" w:rsidRPr="0045649C">
        <w:t>Par darba grupu valsts un pašvaldību institūciju amatpersonu un darbinieku atl</w:t>
      </w:r>
      <w:r w:rsidR="0045649C">
        <w:t>īdzības sistēmas pilnveidošanai” izveidota darba grupa.</w:t>
      </w:r>
    </w:p>
    <w:p w:rsidR="00002315" w:rsidRPr="00590544" w:rsidRDefault="00002315" w:rsidP="00590544">
      <w:pPr>
        <w:spacing w:before="240" w:after="240"/>
        <w:jc w:val="both"/>
        <w:rPr>
          <w:i/>
        </w:rPr>
      </w:pPr>
      <w:r w:rsidRPr="00002315">
        <w:rPr>
          <w:i/>
        </w:rPr>
        <w:t>“6.34.apakšpunkts Izglītības un zinātnes ministrijai sagatavot un atbilstoši vidēja termiņa budžeta ietvara likuma projekta un gadskārtējā valsts budžeta likuma projekta izstrādes un iesniegšanas grafikam iesniegt izskatīšanai Ministru kabinetā priekšlikumus Izglītības likuma 53.panta otrajā daļā noteiktajam pedagogu darba samaksas palielinājuma grafikam, sākotnēji paredzot atbilstošu reformu</w:t>
      </w:r>
      <w:r w:rsidR="00590544">
        <w:rPr>
          <w:i/>
        </w:rPr>
        <w:t xml:space="preserve"> īstenošanu izglītības nozarē.”</w:t>
      </w:r>
    </w:p>
    <w:p w:rsidR="000D46FE" w:rsidRPr="00590544" w:rsidRDefault="000D46FE" w:rsidP="00590544">
      <w:pPr>
        <w:spacing w:after="120"/>
        <w:ind w:firstLine="720"/>
        <w:jc w:val="both"/>
      </w:pPr>
      <w:r w:rsidRPr="00002315">
        <w:t xml:space="preserve">IZM ir sagatavojusi </w:t>
      </w:r>
      <w:r w:rsidR="00F120B4">
        <w:t>MK</w:t>
      </w:r>
      <w:r w:rsidRPr="00002315">
        <w:t xml:space="preserve"> rīkojuma projektu “Par pedagogu darba samaksas pieauguma grafiku laika periodam no 2018.gada 1.septembra līdz 2022.gada 31.decembrim”</w:t>
      </w:r>
      <w:r w:rsidR="00002315" w:rsidRPr="00002315">
        <w:t>, kas šobrīd atrodas saskaņošanas procesā.</w:t>
      </w:r>
    </w:p>
    <w:p w:rsidR="00200007" w:rsidRPr="00590544" w:rsidRDefault="00200007" w:rsidP="00590544">
      <w:pPr>
        <w:spacing w:before="240" w:after="240"/>
        <w:jc w:val="both"/>
        <w:rPr>
          <w:i/>
        </w:rPr>
      </w:pPr>
      <w:r w:rsidRPr="000E0B01">
        <w:rPr>
          <w:i/>
        </w:rPr>
        <w:t>“24.punkts Ekonomikas ministrijai ar 2017.gadu un turpmāk ik gadu, līdz kārtējā gada 1. jūlijam savā tīmekļa vietnē publicēt pieņēmumus par degvielas (naftas), gāzes un elektrības cenu prognozēm vai atsauci uz starptautisko institūciju prognozēm, ko ministrijas un citas centrālās valsts iestādes var izmantot budžeta pieprasījumu sagatavošanai vidējam termiņam.”</w:t>
      </w:r>
    </w:p>
    <w:p w:rsidR="00EB43E0" w:rsidRDefault="00EB43E0" w:rsidP="00EB43E0">
      <w:pPr>
        <w:spacing w:before="360" w:after="360"/>
        <w:ind w:firstLine="720"/>
        <w:jc w:val="both"/>
      </w:pPr>
      <w:r w:rsidRPr="00EB43E0">
        <w:lastRenderedPageBreak/>
        <w:t xml:space="preserve">EM </w:t>
      </w:r>
      <w:r w:rsidR="00751A05">
        <w:t>ir sagatavojusi un savā tīmekļa vietnē publicējusi</w:t>
      </w:r>
      <w:r w:rsidRPr="00EB43E0">
        <w:t xml:space="preserve"> </w:t>
      </w:r>
      <w:r w:rsidR="00751A05">
        <w:t>(</w:t>
      </w:r>
      <w:hyperlink r:id="rId11" w:history="1">
        <w:r w:rsidR="00751A05" w:rsidRPr="009D491A">
          <w:rPr>
            <w:rStyle w:val="Hyperlink"/>
          </w:rPr>
          <w:t>https://www.em.gov.lv/lv/nozares_politika/energijas_tirgus_un_infrastruktura/statistika_un_petijumi/</w:t>
        </w:r>
      </w:hyperlink>
      <w:r w:rsidR="00751A05">
        <w:t xml:space="preserve">) informāciju </w:t>
      </w:r>
      <w:r w:rsidRPr="00EB43E0">
        <w:t xml:space="preserve">par degvielas (naftas), gāzes un elektrības cenu </w:t>
      </w:r>
      <w:r w:rsidR="00751A05" w:rsidRPr="00EB43E0">
        <w:t>progno</w:t>
      </w:r>
      <w:r w:rsidR="00751A05">
        <w:t xml:space="preserve">zēm 2018.gadam, </w:t>
      </w:r>
      <w:r w:rsidR="00751A05" w:rsidRPr="007242C8">
        <w:t xml:space="preserve">kas balstītas uz starptautisko organizāciju </w:t>
      </w:r>
      <w:r w:rsidR="00751A05">
        <w:t xml:space="preserve">publicētajiem datiem, un </w:t>
      </w:r>
      <w:r w:rsidR="00751A05" w:rsidRPr="006F213E">
        <w:t>ko ministrijas un cita</w:t>
      </w:r>
      <w:r w:rsidR="00751A05">
        <w:t xml:space="preserve">s centrālās valsts iestādes var </w:t>
      </w:r>
      <w:r w:rsidRPr="00EB43E0">
        <w:t>izmantot budžeta pieprasījumu sagatavošanai vidējam termiņam.</w:t>
      </w:r>
    </w:p>
    <w:p w:rsidR="00F842F2" w:rsidRPr="00590544" w:rsidRDefault="00F842F2" w:rsidP="00590544">
      <w:pPr>
        <w:spacing w:before="360" w:after="360"/>
        <w:rPr>
          <w:b/>
        </w:rPr>
      </w:pPr>
      <w:r>
        <w:rPr>
          <w:b/>
        </w:rPr>
        <w:t>Neuzsāktie</w:t>
      </w:r>
      <w:r w:rsidRPr="002C1A04">
        <w:rPr>
          <w:b/>
        </w:rPr>
        <w:t xml:space="preserve"> uzdevumi</w:t>
      </w:r>
    </w:p>
    <w:p w:rsidR="0053351D" w:rsidRPr="0053351D" w:rsidRDefault="0053351D" w:rsidP="0053351D">
      <w:pPr>
        <w:jc w:val="both"/>
        <w:rPr>
          <w:i/>
        </w:rPr>
      </w:pPr>
      <w:r>
        <w:rPr>
          <w:i/>
        </w:rPr>
        <w:t>“</w:t>
      </w:r>
      <w:r w:rsidRPr="0053351D">
        <w:rPr>
          <w:i/>
        </w:rPr>
        <w:t>6.10.</w:t>
      </w:r>
      <w:r>
        <w:rPr>
          <w:i/>
        </w:rPr>
        <w:t>apakšpunkts</w:t>
      </w:r>
      <w:r w:rsidRPr="0053351D">
        <w:rPr>
          <w:i/>
        </w:rPr>
        <w:t xml:space="preserve"> ministrijām sagatavot un iesniegt izskatīšanai Ministru kabinetā priekšlikumus par tām neraksturīgo funkciju turpmākās nodrošināšanas iespējām, piemēram, nododot tās pašvaldībām vai citai ministrijai:</w:t>
      </w:r>
    </w:p>
    <w:p w:rsidR="00CB152B" w:rsidRDefault="0053351D" w:rsidP="00590544">
      <w:pPr>
        <w:jc w:val="both"/>
        <w:rPr>
          <w:i/>
        </w:rPr>
      </w:pPr>
      <w:r w:rsidRPr="0053351D">
        <w:rPr>
          <w:i/>
        </w:rPr>
        <w:t>6.10.2.</w:t>
      </w:r>
      <w:r>
        <w:rPr>
          <w:i/>
        </w:rPr>
        <w:t>apkašpunkts</w:t>
      </w:r>
      <w:r w:rsidRPr="0053351D">
        <w:rPr>
          <w:i/>
        </w:rPr>
        <w:t xml:space="preserve"> Izglītības un zinātnes ministrijai sadarbībā ar Labklājības ministriju līdz 2018.gada 1.jūlijam - par finansējumu asistenta pakalpojuma nodrošināšanai personai ar invaliditāti pārvietošanas atbalstam un pašaprūpes</w:t>
      </w:r>
      <w:r>
        <w:rPr>
          <w:i/>
        </w:rPr>
        <w:t xml:space="preserve"> veikšanai.”</w:t>
      </w:r>
    </w:p>
    <w:p w:rsidR="00FC40F9" w:rsidRPr="00827589" w:rsidRDefault="00FC40F9" w:rsidP="00FC40F9">
      <w:pPr>
        <w:spacing w:before="240"/>
        <w:ind w:firstLine="720"/>
        <w:jc w:val="both"/>
      </w:pPr>
      <w:r w:rsidRPr="00FC40F9">
        <w:t>IZM atbilstoši tai dotajam uzdevumam ir izvērtējusi minēto funkciju un uzskata, ka IZM neraksturīgā funkcija “asistenta pakalpojuma nodrošināšana personai ar invaliditāti pārvietošanas atbalstam un pašaprūpes veikšanai” nododama pašvaldībām.</w:t>
      </w:r>
    </w:p>
    <w:p w:rsidR="00FC40F9" w:rsidRPr="00FC40F9" w:rsidRDefault="00FC40F9" w:rsidP="0053351D">
      <w:pPr>
        <w:jc w:val="both"/>
      </w:pPr>
    </w:p>
    <w:p w:rsidR="00CB152B" w:rsidRDefault="00CB152B" w:rsidP="00590544">
      <w:pPr>
        <w:spacing w:after="240"/>
        <w:jc w:val="both"/>
        <w:rPr>
          <w:b/>
        </w:rPr>
      </w:pPr>
      <w:r w:rsidRPr="00CB152B">
        <w:rPr>
          <w:b/>
        </w:rPr>
        <w:t>Pārējie uzdevumi</w:t>
      </w:r>
      <w:r w:rsidR="009B34AB">
        <w:rPr>
          <w:rStyle w:val="FootnoteReference"/>
          <w:b/>
        </w:rPr>
        <w:footnoteReference w:id="3"/>
      </w:r>
    </w:p>
    <w:p w:rsidR="00B10E77" w:rsidRDefault="00CB152B" w:rsidP="00590544">
      <w:pPr>
        <w:jc w:val="both"/>
        <w:rPr>
          <w:i/>
        </w:rPr>
      </w:pPr>
      <w:r>
        <w:rPr>
          <w:i/>
        </w:rPr>
        <w:t>“</w:t>
      </w:r>
      <w:r w:rsidRPr="00CB152B">
        <w:rPr>
          <w:i/>
        </w:rPr>
        <w:t>8.</w:t>
      </w:r>
      <w:r>
        <w:rPr>
          <w:i/>
        </w:rPr>
        <w:t>punkts</w:t>
      </w:r>
      <w:r w:rsidRPr="00CB152B">
        <w:rPr>
          <w:i/>
        </w:rPr>
        <w:t xml:space="preserve"> Lai uzlabotu publisko resursu izlietošanas efektivitāti un ekonomiskumu, ministrijām īstenot informatīvā ziņojuma 9.nodaļā ietvertos turpmāk veicamos pasākumus.</w:t>
      </w:r>
      <w:r>
        <w:rPr>
          <w:i/>
        </w:rPr>
        <w:t>”</w:t>
      </w:r>
    </w:p>
    <w:p w:rsidR="00B10E77" w:rsidRDefault="00B10E77" w:rsidP="00590544">
      <w:pPr>
        <w:spacing w:after="240"/>
        <w:jc w:val="both"/>
        <w:rPr>
          <w:i/>
        </w:rPr>
      </w:pPr>
      <w:r>
        <w:rPr>
          <w:i/>
        </w:rPr>
        <w:t>“</w:t>
      </w:r>
      <w:r w:rsidRPr="00B10E77">
        <w:rPr>
          <w:i/>
        </w:rPr>
        <w:t>14.</w:t>
      </w:r>
      <w:r>
        <w:rPr>
          <w:i/>
        </w:rPr>
        <w:t>punkts</w:t>
      </w:r>
      <w:r w:rsidRPr="00B10E77">
        <w:rPr>
          <w:i/>
        </w:rPr>
        <w:t xml:space="preserve"> Ministrijām un citām centrālajām valsts iestādēm pārskatīt līdzšinējo budžeta plānošanas un izpildes praksi, samazinot apropriāciju regulāro izmaiņu veikšanu gadskārtējā valsts budžeta izpildes laikā (jo īpaši saimnieciskā gada pirmajā ceturksnī), un savlaicīgi sagatavot iespējami precīzus priekšlikumus gadskārtējam valsts budžeta likuma projektam.</w:t>
      </w:r>
      <w:r w:rsidR="00590544">
        <w:rPr>
          <w:i/>
        </w:rPr>
        <w:t>”</w:t>
      </w:r>
    </w:p>
    <w:p w:rsidR="001F0210" w:rsidRDefault="00B10E77" w:rsidP="00590544">
      <w:pPr>
        <w:spacing w:after="240"/>
        <w:jc w:val="both"/>
        <w:rPr>
          <w:i/>
        </w:rPr>
      </w:pPr>
      <w:r>
        <w:rPr>
          <w:i/>
        </w:rPr>
        <w:t>“</w:t>
      </w:r>
      <w:r w:rsidRPr="00B10E77">
        <w:rPr>
          <w:i/>
        </w:rPr>
        <w:t>15.</w:t>
      </w:r>
      <w:r>
        <w:rPr>
          <w:i/>
        </w:rPr>
        <w:t>punkts</w:t>
      </w:r>
      <w:r w:rsidRPr="00B10E77">
        <w:rPr>
          <w:i/>
        </w:rPr>
        <w:t xml:space="preserve"> Ministrijām un citām centrālajām valsts iestādēm pārskatīt līdzšinējo budžeta plānošanas un izpildes praksi attiecībā uz ieņēmumiem par sniegtajiem maksas pakalpojumiem un citiem pašu ieņēmumiem, kā arī šiem ieņēmumiem atbilstošajiem izdevumiem, turpmāk pēc iespējas izmantojot šos ieņēmumus kārtējā gada atbilstošo izdevumu finansēšanai, kā arī uzlabojot plānošanas precizitāti. Finanšu ministrijai šo problēmjautājumu ņemt vērā, izstrādājot priekšlikumus izdevumu pārskatīšanas tvērumam 2017.gadā.</w:t>
      </w:r>
      <w:r>
        <w:rPr>
          <w:i/>
        </w:rPr>
        <w:t>”</w:t>
      </w:r>
    </w:p>
    <w:p w:rsidR="001F0210" w:rsidRPr="001F0210" w:rsidRDefault="001F0210" w:rsidP="00590544">
      <w:pPr>
        <w:spacing w:after="240"/>
        <w:jc w:val="both"/>
        <w:rPr>
          <w:i/>
        </w:rPr>
      </w:pPr>
      <w:r>
        <w:rPr>
          <w:i/>
        </w:rPr>
        <w:t>“25.punkts</w:t>
      </w:r>
      <w:r w:rsidRPr="001F0210">
        <w:rPr>
          <w:i/>
        </w:rPr>
        <w:t xml:space="preserve"> Lai nodrošinātu efektīvāku iestādes darbību un rastu iespēju valsts pārvaldē iesaistīt un noturēt augsti kvalificētus darbiniekus, noteikt, ka veikto strukturālo reformu ietvaros ieekonomētā atlīdzība ir izmantojama iestādes darbinieku motivācijai.</w:t>
      </w:r>
      <w:r w:rsidR="00590544">
        <w:rPr>
          <w:i/>
        </w:rPr>
        <w:t>”</w:t>
      </w:r>
    </w:p>
    <w:p w:rsidR="00616BDB" w:rsidRPr="00CB152B" w:rsidRDefault="001F0210" w:rsidP="001F0210">
      <w:pPr>
        <w:jc w:val="both"/>
        <w:rPr>
          <w:i/>
        </w:rPr>
      </w:pPr>
      <w:r>
        <w:rPr>
          <w:i/>
        </w:rPr>
        <w:t>“26.punkts</w:t>
      </w:r>
      <w:r w:rsidRPr="001F0210">
        <w:rPr>
          <w:i/>
        </w:rPr>
        <w:t xml:space="preserve"> Ministriju un citu centrālo valsts iestāžu vadītājiem piemērot informatīvā ziņojuma 8.pielikumā pievienotās Valsts pārvaldes iestādes administratīvo un tēla veidošanas pasākumu nodrošināšanas izdevumu vadlīnijas.</w:t>
      </w:r>
      <w:r>
        <w:rPr>
          <w:i/>
        </w:rPr>
        <w:t>”</w:t>
      </w:r>
      <w:r w:rsidR="00616BDB" w:rsidRPr="00CB152B">
        <w:rPr>
          <w:i/>
        </w:rPr>
        <w:br w:type="page"/>
      </w:r>
    </w:p>
    <w:p w:rsidR="00616BDB" w:rsidRDefault="00616BDB" w:rsidP="00B127E1">
      <w:pPr>
        <w:pStyle w:val="Heading1"/>
        <w:numPr>
          <w:ilvl w:val="0"/>
          <w:numId w:val="1"/>
        </w:numPr>
        <w:jc w:val="center"/>
        <w:rPr>
          <w:rFonts w:ascii="Times New Roman" w:hAnsi="Times New Roman" w:cs="Times New Roman"/>
          <w:color w:val="auto"/>
          <w:sz w:val="28"/>
          <w:szCs w:val="28"/>
        </w:rPr>
      </w:pPr>
      <w:bookmarkStart w:id="2" w:name="_Toc487036786"/>
      <w:r w:rsidRPr="00616BDB">
        <w:rPr>
          <w:rFonts w:ascii="Times New Roman" w:hAnsi="Times New Roman" w:cs="Times New Roman"/>
          <w:color w:val="auto"/>
          <w:sz w:val="28"/>
          <w:szCs w:val="28"/>
        </w:rPr>
        <w:lastRenderedPageBreak/>
        <w:t>IZMAIŅAS VALSTS BUDŽETA POLITIKĀ</w:t>
      </w:r>
      <w:bookmarkEnd w:id="2"/>
    </w:p>
    <w:p w:rsidR="00616BDB" w:rsidRPr="00616BDB" w:rsidRDefault="00616BDB" w:rsidP="00616BDB"/>
    <w:p w:rsidR="00616BDB" w:rsidRDefault="00616BDB" w:rsidP="00616BDB">
      <w:pPr>
        <w:pStyle w:val="Heading2"/>
        <w:jc w:val="center"/>
        <w:rPr>
          <w:rFonts w:ascii="Times New Roman" w:hAnsi="Times New Roman" w:cs="Times New Roman"/>
          <w:color w:val="auto"/>
          <w:sz w:val="28"/>
          <w:szCs w:val="28"/>
        </w:rPr>
      </w:pPr>
      <w:bookmarkStart w:id="3" w:name="_Toc487036787"/>
      <w:r>
        <w:rPr>
          <w:rFonts w:ascii="Times New Roman" w:hAnsi="Times New Roman" w:cs="Times New Roman"/>
          <w:color w:val="auto"/>
          <w:sz w:val="28"/>
          <w:szCs w:val="28"/>
        </w:rPr>
        <w:t>2.1. </w:t>
      </w:r>
      <w:r w:rsidRPr="00616BDB">
        <w:rPr>
          <w:rFonts w:ascii="Times New Roman" w:hAnsi="Times New Roman" w:cs="Times New Roman"/>
          <w:color w:val="auto"/>
          <w:sz w:val="28"/>
          <w:szCs w:val="28"/>
        </w:rPr>
        <w:t>Valsts budžeta līdzekļu pieprasījumi prioritārajiem pasākumiem</w:t>
      </w:r>
      <w:bookmarkEnd w:id="3"/>
    </w:p>
    <w:p w:rsidR="00616BDB" w:rsidRDefault="00616BDB" w:rsidP="00616BDB"/>
    <w:p w:rsidR="00D031E3" w:rsidRDefault="0025482A" w:rsidP="00195837">
      <w:pPr>
        <w:ind w:firstLine="720"/>
        <w:jc w:val="both"/>
      </w:pPr>
      <w:r>
        <w:t>FM veica padziļinātu</w:t>
      </w:r>
      <w:r w:rsidR="00D031E3">
        <w:t xml:space="preserve"> analīzi par </w:t>
      </w:r>
      <w:r>
        <w:t>JPI</w:t>
      </w:r>
      <w:r w:rsidR="00D031E3">
        <w:t xml:space="preserve">, administratīvās kapacitātes stiprināšanas pasākumu, citu prioritāro, neatliekamo pasākumu iesniegšanas un izskatīšanas procesu, pamatojoties uz līdzšinējo valsts budžeta attīstības daļas veidošanas praksi. Tika secināts, ka līdz šim piemērotais minēto pasākumu iedalījums nosacītās kategorijās ne vienmēr raksturoja pasākuma būtību, daļai pasākumu to izskatīšanas kārtība nav atrunāta normatīvajos aktos, kā arī </w:t>
      </w:r>
      <w:r>
        <w:t>FM</w:t>
      </w:r>
      <w:r w:rsidR="00D031E3">
        <w:t xml:space="preserve"> iepriekšējos gados vērtēja un ranžēja </w:t>
      </w:r>
      <w:r>
        <w:t>JPI</w:t>
      </w:r>
      <w:r w:rsidR="00D031E3">
        <w:t xml:space="preserve"> sarakstus pēc punktiem, pārbaudīja aprēķinus pasākumiem, no kuriem lielākā daļa netika atbalstīti, un kas līdz desmitkārt pārsniedza saprātīgas valsts budžeta finansiālās iespējas. Papildus tam jāmin, ka pastāvēja tendence nozaru ministrijām saskatīt “fiskālo telpu” kā vienīgo resursu avotu prioritāro pasākumu finansēšanai, kas ir būtiski ikdienas funkciju nodrošināšanai. </w:t>
      </w:r>
    </w:p>
    <w:p w:rsidR="00D031E3" w:rsidRDefault="00D031E3" w:rsidP="00195837">
      <w:pPr>
        <w:ind w:firstLine="720"/>
        <w:jc w:val="both"/>
      </w:pPr>
      <w:r>
        <w:t xml:space="preserve">Veiktā izvērtējuma rezultātā FM saskatīja nepieciešamību mainīt </w:t>
      </w:r>
      <w:r w:rsidR="006446B9">
        <w:t xml:space="preserve">līdzšinējo </w:t>
      </w:r>
      <w:r>
        <w:t xml:space="preserve">kārtību, ieviešot vienotu pieeju – prioritārie pasākumi, – kā arī nodrošinot, lai prioritāro pasākumu iesniegšanas un izvērtēšanas process būtu vienkāršāks, efektīvāks, akcentētu prioritāro pasākumu ietekmi uz ekonomisko izaugsmi un tautsaimniecību. Papildus tam, jaunā pieeja iespēju robežās sekmēs ministriju iekšējo resursu pārorientēšanu valsts attīstībai, kā arī ļaus koncentrēties uz tādas informācijas sagatavošanu, kas ir atbilstoša finansējamā prioritārā pasākuma virzības (izskatīšanas) stadijai. </w:t>
      </w:r>
    </w:p>
    <w:p w:rsidR="00D031E3" w:rsidRDefault="00D031E3" w:rsidP="00D031E3">
      <w:pPr>
        <w:spacing w:after="120"/>
        <w:ind w:firstLine="720"/>
        <w:jc w:val="both"/>
      </w:pPr>
      <w:r>
        <w:t xml:space="preserve">MK 2017.gada 3.maijā apstiprināja </w:t>
      </w:r>
      <w:r w:rsidR="0025482A">
        <w:t>FM sagatavotos noteikumus “</w:t>
      </w:r>
      <w:r>
        <w:t>Grozījumi Ministru kabineta 2012.gada</w:t>
      </w:r>
      <w:r w:rsidR="0025482A">
        <w:t xml:space="preserve"> 11.decembra noteikumos Nr.867 “</w:t>
      </w:r>
      <w:r>
        <w:t>Kārtība, kādā nosakāms maksimāli pieļaujamais valsts budžeta izdevumu kopapjoms un maksimāli pieļaujamais valsts budžeta izdevumu kopējais apjoms katrai ministrijai un citām centrālajām valsts iestādēm vidējam termiņam””</w:t>
      </w:r>
      <w:r w:rsidR="00A926D7">
        <w:t xml:space="preserve"> (turpmāk – MK noteikumi Nr.867)</w:t>
      </w:r>
      <w:r>
        <w:t xml:space="preserve">, kas paredz visiem prioritārajiem pasākumiem piemērot vienotu izskatīšanas procedūru. Šis noteikumu projekts tika izstrādāts ciešā sadarbībā ar nozaru ministrijām un tā saskaņošanas process bija veiksmīgs un uz sadarbību vērsts, kura ietvaros ministrijas operatīvi sniedza viedokļus un konstruktīvus ierosinājumus.  </w:t>
      </w:r>
    </w:p>
    <w:p w:rsidR="00D031E3" w:rsidRDefault="00D031E3" w:rsidP="0025482A">
      <w:pPr>
        <w:spacing w:after="360"/>
        <w:ind w:firstLine="720"/>
        <w:jc w:val="both"/>
      </w:pPr>
      <w:r>
        <w:t>Jaunais prioritāro pasākumu process 5 svarīgā</w:t>
      </w:r>
      <w:r w:rsidR="0025482A">
        <w:t xml:space="preserve">kajos soļos atspoguļots shēmā: </w:t>
      </w:r>
    </w:p>
    <w:p w:rsidR="00D031E3" w:rsidRDefault="00D031E3" w:rsidP="00D031E3">
      <w:pPr>
        <w:ind w:left="-284"/>
        <w:jc w:val="both"/>
        <w:rPr>
          <w:highlight w:val="yellow"/>
        </w:rPr>
      </w:pPr>
      <w:r>
        <w:rPr>
          <w:noProof/>
          <w:lang w:eastAsia="lv-LV"/>
        </w:rPr>
        <w:drawing>
          <wp:inline distT="0" distB="0" distL="0" distR="0" wp14:anchorId="2211D9CF" wp14:editId="21DDA3DB">
            <wp:extent cx="5958023" cy="3021178"/>
            <wp:effectExtent l="0" t="0" r="0" b="825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 t="1" r="-1479" b="9987"/>
                    <a:stretch/>
                  </pic:blipFill>
                  <pic:spPr bwMode="auto">
                    <a:xfrm>
                      <a:off x="0" y="0"/>
                      <a:ext cx="6026805" cy="3056056"/>
                    </a:xfrm>
                    <a:prstGeom prst="rect">
                      <a:avLst/>
                    </a:prstGeom>
                    <a:noFill/>
                    <a:ln>
                      <a:noFill/>
                    </a:ln>
                    <a:extLst>
                      <a:ext uri="{53640926-AAD7-44D8-BBD7-CCE9431645EC}">
                        <a14:shadowObscured xmlns:a14="http://schemas.microsoft.com/office/drawing/2010/main"/>
                      </a:ext>
                    </a:extLst>
                  </pic:spPr>
                </pic:pic>
              </a:graphicData>
            </a:graphic>
          </wp:inline>
        </w:drawing>
      </w:r>
    </w:p>
    <w:p w:rsidR="00D031E3" w:rsidRPr="009F6A34" w:rsidRDefault="00D031E3" w:rsidP="009F6A34">
      <w:pPr>
        <w:spacing w:before="120"/>
        <w:jc w:val="center"/>
        <w:rPr>
          <w:rFonts w:cs="Times New Roman"/>
          <w:b/>
          <w:sz w:val="22"/>
        </w:rPr>
      </w:pPr>
      <w:r>
        <w:rPr>
          <w:rFonts w:cs="Times New Roman"/>
          <w:i/>
          <w:sz w:val="22"/>
        </w:rPr>
        <w:t>2.1.</w:t>
      </w:r>
      <w:r w:rsidRPr="00457B39">
        <w:rPr>
          <w:rFonts w:cs="Times New Roman"/>
          <w:i/>
          <w:sz w:val="22"/>
        </w:rPr>
        <w:t>att.</w:t>
      </w:r>
      <w:r w:rsidRPr="00457B39">
        <w:rPr>
          <w:rFonts w:cs="Times New Roman"/>
          <w:sz w:val="22"/>
        </w:rPr>
        <w:t xml:space="preserve"> </w:t>
      </w:r>
      <w:r>
        <w:rPr>
          <w:rFonts w:cs="Times New Roman"/>
          <w:b/>
          <w:sz w:val="22"/>
        </w:rPr>
        <w:t>Jaunais prioritāro pasākumu process</w:t>
      </w:r>
    </w:p>
    <w:p w:rsidR="00D031E3" w:rsidRPr="00D031E3" w:rsidRDefault="00D031E3" w:rsidP="00D031E3">
      <w:pPr>
        <w:spacing w:before="120"/>
        <w:ind w:left="130" w:right="153" w:firstLine="12"/>
        <w:jc w:val="both"/>
        <w:rPr>
          <w:rFonts w:eastAsia="Times New Roman" w:cs="Times New Roman"/>
          <w:b/>
          <w:szCs w:val="24"/>
          <w:lang w:eastAsia="lv-LV"/>
        </w:rPr>
      </w:pPr>
      <w:r w:rsidRPr="00D031E3">
        <w:rPr>
          <w:rFonts w:eastAsia="Times New Roman" w:cs="Times New Roman"/>
          <w:b/>
          <w:szCs w:val="24"/>
          <w:lang w:eastAsia="lv-LV"/>
        </w:rPr>
        <w:lastRenderedPageBreak/>
        <w:t>Jauna procesa ieviešanas rezultātā sagaidāmi dažādi ieguvumi:</w:t>
      </w:r>
    </w:p>
    <w:p w:rsidR="00D031E3" w:rsidRPr="00F76CE9" w:rsidRDefault="00D031E3" w:rsidP="00195837">
      <w:pPr>
        <w:spacing w:before="60"/>
        <w:ind w:left="130" w:right="153" w:firstLine="425"/>
        <w:jc w:val="both"/>
        <w:rPr>
          <w:rFonts w:eastAsia="Times New Roman" w:cs="Times New Roman"/>
          <w:szCs w:val="24"/>
          <w:lang w:eastAsia="lv-LV"/>
        </w:rPr>
      </w:pPr>
      <w:r w:rsidRPr="00F76CE9">
        <w:rPr>
          <w:rFonts w:eastAsia="Times New Roman" w:cs="Times New Roman"/>
          <w:szCs w:val="24"/>
          <w:lang w:eastAsia="lv-LV"/>
        </w:rPr>
        <w:t>•</w:t>
      </w:r>
      <w:r w:rsidRPr="00F76CE9">
        <w:rPr>
          <w:rFonts w:eastAsia="Times New Roman" w:cs="Times New Roman"/>
          <w:szCs w:val="24"/>
          <w:lang w:eastAsia="lv-LV"/>
        </w:rPr>
        <w:tab/>
        <w:t>tiks veicināta pieeja pārskatīt ministriju veicamās aktivitātes un iekšēji rast līdzfinansējumu jauniem prioritārajiem pasākumiem;</w:t>
      </w:r>
    </w:p>
    <w:p w:rsidR="00D031E3" w:rsidRPr="00F76CE9" w:rsidRDefault="00D031E3" w:rsidP="00195837">
      <w:pPr>
        <w:spacing w:before="60"/>
        <w:ind w:left="130" w:right="153" w:firstLine="425"/>
        <w:jc w:val="both"/>
        <w:rPr>
          <w:rFonts w:eastAsia="Times New Roman" w:cs="Times New Roman"/>
          <w:szCs w:val="24"/>
          <w:lang w:eastAsia="lv-LV"/>
        </w:rPr>
      </w:pPr>
      <w:r w:rsidRPr="00F76CE9">
        <w:rPr>
          <w:rFonts w:eastAsia="Times New Roman" w:cs="Times New Roman"/>
          <w:szCs w:val="24"/>
          <w:lang w:eastAsia="lv-LV"/>
        </w:rPr>
        <w:t>•</w:t>
      </w:r>
      <w:r w:rsidRPr="00F76CE9">
        <w:rPr>
          <w:rFonts w:eastAsia="Times New Roman" w:cs="Times New Roman"/>
          <w:szCs w:val="24"/>
          <w:lang w:eastAsia="lv-LV"/>
        </w:rPr>
        <w:tab/>
        <w:t>tiks akcentēta prioritāro pasākumu ietekme uz ekonomisko izaugsmi un tautsaimniecību, kas ir aktuāli pašreizējam ekonomikas attīstības tempam un to izaugsmi veicinošo pasākumu īstenošanai;</w:t>
      </w:r>
    </w:p>
    <w:p w:rsidR="00D031E3" w:rsidRPr="00F76CE9" w:rsidRDefault="00D031E3" w:rsidP="00195837">
      <w:pPr>
        <w:spacing w:before="60"/>
        <w:ind w:left="130" w:right="153" w:firstLine="425"/>
        <w:jc w:val="both"/>
        <w:rPr>
          <w:rFonts w:eastAsia="Times New Roman" w:cs="Times New Roman"/>
          <w:szCs w:val="24"/>
          <w:lang w:eastAsia="lv-LV"/>
        </w:rPr>
      </w:pPr>
      <w:r w:rsidRPr="00F76CE9">
        <w:rPr>
          <w:rFonts w:eastAsia="Times New Roman" w:cs="Times New Roman"/>
          <w:szCs w:val="24"/>
          <w:lang w:eastAsia="lv-LV"/>
        </w:rPr>
        <w:t>•</w:t>
      </w:r>
      <w:r w:rsidRPr="00F76CE9">
        <w:rPr>
          <w:rFonts w:eastAsia="Times New Roman" w:cs="Times New Roman"/>
          <w:szCs w:val="24"/>
          <w:lang w:eastAsia="lv-LV"/>
        </w:rPr>
        <w:tab/>
        <w:t xml:space="preserve">visiem prioritārajiem pasākumiem tiks piemērota vienota izskatīšanas procedūra, nodrošinot procesa </w:t>
      </w:r>
      <w:r w:rsidR="00F7340A" w:rsidRPr="00F76CE9">
        <w:rPr>
          <w:rFonts w:eastAsia="Times New Roman" w:cs="Times New Roman"/>
          <w:szCs w:val="24"/>
          <w:lang w:eastAsia="lv-LV"/>
        </w:rPr>
        <w:t>caurskatāmību</w:t>
      </w:r>
      <w:r>
        <w:rPr>
          <w:rFonts w:eastAsia="Times New Roman" w:cs="Times New Roman"/>
          <w:szCs w:val="24"/>
          <w:lang w:eastAsia="lv-LV"/>
        </w:rPr>
        <w:t xml:space="preserve"> un aktuālās informācijas pieejamību par prioritārā pasākuma saturu līdz pat budžeta likumprojekta apstiprināšanai Saeimā</w:t>
      </w:r>
      <w:r w:rsidRPr="00F76CE9">
        <w:rPr>
          <w:rFonts w:eastAsia="Times New Roman" w:cs="Times New Roman"/>
          <w:szCs w:val="24"/>
          <w:lang w:eastAsia="lv-LV"/>
        </w:rPr>
        <w:t>;</w:t>
      </w:r>
    </w:p>
    <w:p w:rsidR="00D031E3" w:rsidRDefault="00D031E3" w:rsidP="00195837">
      <w:pPr>
        <w:spacing w:before="60"/>
        <w:ind w:left="130" w:right="153" w:firstLine="425"/>
        <w:jc w:val="both"/>
        <w:rPr>
          <w:rFonts w:eastAsia="Times New Roman" w:cs="Times New Roman"/>
          <w:szCs w:val="24"/>
          <w:lang w:eastAsia="lv-LV"/>
        </w:rPr>
      </w:pPr>
      <w:r w:rsidRPr="00F76CE9">
        <w:rPr>
          <w:rFonts w:eastAsia="Times New Roman" w:cs="Times New Roman"/>
          <w:szCs w:val="24"/>
          <w:lang w:eastAsia="lv-LV"/>
        </w:rPr>
        <w:t>•</w:t>
      </w:r>
      <w:r w:rsidRPr="00F76CE9">
        <w:rPr>
          <w:rFonts w:eastAsia="Times New Roman" w:cs="Times New Roman"/>
          <w:szCs w:val="24"/>
          <w:lang w:eastAsia="lv-LV"/>
        </w:rPr>
        <w:tab/>
        <w:t>samazināsies administratīvais slogs apjomīgas dokumentācijas vērtēšanā un ranžēšanā, un tā vietā lielāka uzmanība tiks pievērsta prioritāro pasākumu būtības analīzei.</w:t>
      </w:r>
    </w:p>
    <w:p w:rsidR="00D031E3" w:rsidRPr="009C0EDB" w:rsidRDefault="00D031E3" w:rsidP="00195837">
      <w:pPr>
        <w:spacing w:before="120"/>
        <w:ind w:left="130" w:right="153" w:firstLine="578"/>
        <w:jc w:val="both"/>
        <w:rPr>
          <w:rFonts w:eastAsia="Times New Roman" w:cs="Times New Roman"/>
          <w:szCs w:val="24"/>
          <w:lang w:eastAsia="lv-LV"/>
        </w:rPr>
      </w:pPr>
      <w:r>
        <w:t>Ministrijas līdz šā gada 1.jūnijam jau iesniedza FM prioritāro pasākumu</w:t>
      </w:r>
      <w:r w:rsidR="008F379F">
        <w:t xml:space="preserve"> pieteikumus, kas sagatavoti</w:t>
      </w:r>
      <w:r>
        <w:t xml:space="preserve"> pēc jaunās kārtības.</w:t>
      </w:r>
    </w:p>
    <w:p w:rsidR="00D031E3" w:rsidRDefault="00D031E3" w:rsidP="00195837">
      <w:pPr>
        <w:ind w:left="130" w:right="153" w:firstLine="578"/>
        <w:jc w:val="both"/>
        <w:rPr>
          <w:rFonts w:eastAsia="Times New Roman" w:cs="Times New Roman"/>
          <w:szCs w:val="24"/>
          <w:lang w:eastAsia="lv-LV"/>
        </w:rPr>
      </w:pPr>
      <w:r>
        <w:rPr>
          <w:rFonts w:eastAsia="Times New Roman" w:cs="Times New Roman"/>
          <w:szCs w:val="24"/>
          <w:lang w:eastAsia="lv-LV"/>
        </w:rPr>
        <w:t>Atbilstoši atbalstītajam normatīvajam regulējumam MK</w:t>
      </w:r>
      <w:r w:rsidRPr="004F0DCF">
        <w:rPr>
          <w:rFonts w:eastAsia="Times New Roman" w:cs="Times New Roman"/>
          <w:szCs w:val="24"/>
          <w:lang w:eastAsia="lv-LV"/>
        </w:rPr>
        <w:t xml:space="preserve"> katru gadu pie Latvijas Stabilitātes programmas izskatīšanas var</w:t>
      </w:r>
      <w:r>
        <w:rPr>
          <w:rFonts w:eastAsia="Times New Roman" w:cs="Times New Roman"/>
          <w:szCs w:val="24"/>
          <w:lang w:eastAsia="lv-LV"/>
        </w:rPr>
        <w:t>ēs</w:t>
      </w:r>
      <w:r w:rsidRPr="004F0DCF">
        <w:rPr>
          <w:rFonts w:eastAsia="Times New Roman" w:cs="Times New Roman"/>
          <w:szCs w:val="24"/>
          <w:lang w:eastAsia="lv-LV"/>
        </w:rPr>
        <w:t xml:space="preserve"> noteikt īpašus nosacījumus attiecībā uz iesniedzamajiem prioritārajiem </w:t>
      </w:r>
      <w:r>
        <w:rPr>
          <w:rFonts w:eastAsia="Times New Roman" w:cs="Times New Roman"/>
          <w:szCs w:val="24"/>
          <w:lang w:eastAsia="lv-LV"/>
        </w:rPr>
        <w:t>p</w:t>
      </w:r>
      <w:r w:rsidRPr="004F0DCF">
        <w:rPr>
          <w:rFonts w:eastAsia="Times New Roman" w:cs="Times New Roman"/>
          <w:szCs w:val="24"/>
          <w:lang w:eastAsia="lv-LV"/>
        </w:rPr>
        <w:t>asākumiem, atkarībā no konkrētā gada aktuāl</w:t>
      </w:r>
      <w:r w:rsidR="008F379F">
        <w:rPr>
          <w:rFonts w:eastAsia="Times New Roman" w:cs="Times New Roman"/>
          <w:szCs w:val="24"/>
          <w:lang w:eastAsia="lv-LV"/>
        </w:rPr>
        <w:t>ajām</w:t>
      </w:r>
      <w:r w:rsidRPr="004F0DCF">
        <w:rPr>
          <w:rFonts w:eastAsia="Times New Roman" w:cs="Times New Roman"/>
          <w:szCs w:val="24"/>
          <w:lang w:eastAsia="lv-LV"/>
        </w:rPr>
        <w:t xml:space="preserve"> sfērām</w:t>
      </w:r>
      <w:r>
        <w:rPr>
          <w:rFonts w:eastAsia="Times New Roman" w:cs="Times New Roman"/>
          <w:szCs w:val="24"/>
          <w:lang w:eastAsia="lv-LV"/>
        </w:rPr>
        <w:t>.</w:t>
      </w:r>
      <w:r w:rsidRPr="00F76CE9">
        <w:rPr>
          <w:rFonts w:eastAsia="Times New Roman" w:cs="Times New Roman"/>
          <w:szCs w:val="24"/>
          <w:lang w:eastAsia="lv-LV"/>
        </w:rPr>
        <w:t xml:space="preserve"> </w:t>
      </w:r>
      <w:r w:rsidRPr="00995006">
        <w:rPr>
          <w:rFonts w:eastAsia="Times New Roman" w:cs="Times New Roman"/>
          <w:szCs w:val="24"/>
          <w:lang w:eastAsia="lv-LV"/>
        </w:rPr>
        <w:t>Finanšu ministrs, ņemot vērā valsts budžeta f</w:t>
      </w:r>
      <w:r>
        <w:rPr>
          <w:rFonts w:eastAsia="Times New Roman" w:cs="Times New Roman"/>
          <w:szCs w:val="24"/>
          <w:lang w:eastAsia="lv-LV"/>
        </w:rPr>
        <w:t>inansiālās iespējas, nodrošinās</w:t>
      </w:r>
      <w:r w:rsidRPr="00995006">
        <w:rPr>
          <w:rFonts w:eastAsia="Times New Roman" w:cs="Times New Roman"/>
          <w:szCs w:val="24"/>
          <w:lang w:eastAsia="lv-LV"/>
        </w:rPr>
        <w:t xml:space="preserve"> prioritāro pasākumu izvērtēšanu un sagatavo</w:t>
      </w:r>
      <w:r>
        <w:rPr>
          <w:rFonts w:eastAsia="Times New Roman" w:cs="Times New Roman"/>
          <w:szCs w:val="24"/>
          <w:lang w:eastAsia="lv-LV"/>
        </w:rPr>
        <w:t>s</w:t>
      </w:r>
      <w:r w:rsidRPr="00995006">
        <w:rPr>
          <w:rFonts w:eastAsia="Times New Roman" w:cs="Times New Roman"/>
          <w:szCs w:val="24"/>
          <w:lang w:eastAsia="lv-LV"/>
        </w:rPr>
        <w:t xml:space="preserve"> priekšlikumus </w:t>
      </w:r>
      <w:r>
        <w:rPr>
          <w:rFonts w:eastAsia="Times New Roman" w:cs="Times New Roman"/>
          <w:szCs w:val="24"/>
          <w:lang w:eastAsia="lv-LV"/>
        </w:rPr>
        <w:t>MK</w:t>
      </w:r>
      <w:r w:rsidRPr="00995006">
        <w:rPr>
          <w:rFonts w:eastAsia="Times New Roman" w:cs="Times New Roman"/>
          <w:szCs w:val="24"/>
          <w:lang w:eastAsia="lv-LV"/>
        </w:rPr>
        <w:t xml:space="preserve"> par atbalstāmajiem prioritārajiem pasākumiem.</w:t>
      </w:r>
      <w:r>
        <w:rPr>
          <w:rFonts w:eastAsia="Times New Roman" w:cs="Times New Roman"/>
          <w:szCs w:val="24"/>
          <w:lang w:eastAsia="lv-LV"/>
        </w:rPr>
        <w:t xml:space="preserve"> PKC</w:t>
      </w:r>
      <w:r w:rsidRPr="00484427">
        <w:rPr>
          <w:rFonts w:eastAsia="Times New Roman" w:cs="Times New Roman"/>
          <w:szCs w:val="24"/>
          <w:lang w:eastAsia="lv-LV"/>
        </w:rPr>
        <w:t xml:space="preserve"> izvērtēs ministriju prioritāro pasākumu atbilstību </w:t>
      </w:r>
      <w:r>
        <w:rPr>
          <w:rFonts w:eastAsia="Times New Roman" w:cs="Times New Roman"/>
          <w:szCs w:val="24"/>
          <w:lang w:eastAsia="lv-LV"/>
        </w:rPr>
        <w:t>NAP</w:t>
      </w:r>
      <w:r w:rsidRPr="00484427">
        <w:rPr>
          <w:rFonts w:eastAsia="Times New Roman" w:cs="Times New Roman"/>
          <w:szCs w:val="24"/>
          <w:lang w:eastAsia="lv-LV"/>
        </w:rPr>
        <w:t>, citiem politikas plānošanas dokumentiem un Valdības rīcības plānam.</w:t>
      </w:r>
      <w:r>
        <w:rPr>
          <w:rFonts w:eastAsia="Times New Roman" w:cs="Times New Roman"/>
          <w:szCs w:val="24"/>
          <w:lang w:eastAsia="lv-LV"/>
        </w:rPr>
        <w:t xml:space="preserve"> Prioritāro pasākumu izvērtēšanā</w:t>
      </w:r>
      <w:r w:rsidRPr="00995006">
        <w:rPr>
          <w:rFonts w:eastAsia="Times New Roman" w:cs="Times New Roman"/>
          <w:szCs w:val="24"/>
          <w:lang w:eastAsia="lv-LV"/>
        </w:rPr>
        <w:t xml:space="preserve"> </w:t>
      </w:r>
      <w:r>
        <w:rPr>
          <w:rFonts w:eastAsia="Times New Roman" w:cs="Times New Roman"/>
          <w:szCs w:val="24"/>
          <w:lang w:eastAsia="lv-LV"/>
        </w:rPr>
        <w:t>tiks ņemtas vērā</w:t>
      </w:r>
      <w:r w:rsidRPr="00995006">
        <w:rPr>
          <w:rFonts w:eastAsia="Times New Roman" w:cs="Times New Roman"/>
          <w:szCs w:val="24"/>
          <w:lang w:eastAsia="lv-LV"/>
        </w:rPr>
        <w:t xml:space="preserve"> īstenojamās strukturālās reformas, prioritāro pasākumu ietekm</w:t>
      </w:r>
      <w:r>
        <w:rPr>
          <w:rFonts w:eastAsia="Times New Roman" w:cs="Times New Roman"/>
          <w:szCs w:val="24"/>
          <w:lang w:eastAsia="lv-LV"/>
        </w:rPr>
        <w:t>e uz tautsaimniecību</w:t>
      </w:r>
      <w:r w:rsidRPr="00995006">
        <w:rPr>
          <w:rFonts w:eastAsia="Times New Roman" w:cs="Times New Roman"/>
          <w:szCs w:val="24"/>
          <w:lang w:eastAsia="lv-LV"/>
        </w:rPr>
        <w:t xml:space="preserve"> </w:t>
      </w:r>
      <w:r>
        <w:rPr>
          <w:rFonts w:eastAsia="Times New Roman" w:cs="Times New Roman"/>
          <w:szCs w:val="24"/>
          <w:lang w:eastAsia="lv-LV"/>
        </w:rPr>
        <w:t>(</w:t>
      </w:r>
      <w:r w:rsidRPr="00995006">
        <w:rPr>
          <w:rFonts w:eastAsia="Times New Roman" w:cs="Times New Roman"/>
          <w:szCs w:val="24"/>
          <w:lang w:eastAsia="lv-LV"/>
        </w:rPr>
        <w:t>tai skaitā nacionālo drošību</w:t>
      </w:r>
      <w:r>
        <w:rPr>
          <w:rFonts w:eastAsia="Times New Roman" w:cs="Times New Roman"/>
          <w:szCs w:val="24"/>
          <w:lang w:eastAsia="lv-LV"/>
        </w:rPr>
        <w:t>)</w:t>
      </w:r>
      <w:r w:rsidRPr="00995006">
        <w:rPr>
          <w:rFonts w:eastAsia="Times New Roman" w:cs="Times New Roman"/>
          <w:szCs w:val="24"/>
          <w:lang w:eastAsia="lv-LV"/>
        </w:rPr>
        <w:t xml:space="preserve"> un ekonomisko izaugsmi, atbilstību vidēja termiņa budžeta ietvara likumā noteiktajiem budžeta mērķiem un prioritārajiem attīstības virzieniem, kā arī no ministriju budžetiem novirzāmo finansējumu prioritāro pasākumu īstenošanai.</w:t>
      </w:r>
    </w:p>
    <w:p w:rsidR="00C679AD" w:rsidRPr="00195837" w:rsidRDefault="00D031E3" w:rsidP="00195837">
      <w:pPr>
        <w:ind w:left="130" w:right="153" w:firstLine="578"/>
        <w:jc w:val="both"/>
        <w:rPr>
          <w:rFonts w:eastAsia="Times New Roman" w:cs="Times New Roman"/>
          <w:szCs w:val="24"/>
          <w:lang w:eastAsia="lv-LV"/>
        </w:rPr>
      </w:pPr>
      <w:r>
        <w:rPr>
          <w:rFonts w:eastAsia="Times New Roman" w:cs="Times New Roman"/>
          <w:szCs w:val="24"/>
          <w:lang w:eastAsia="lv-LV"/>
        </w:rPr>
        <w:t>FM virzīs grozījumus</w:t>
      </w:r>
      <w:r w:rsidRPr="00E6772F">
        <w:rPr>
          <w:rFonts w:eastAsia="Times New Roman" w:cs="Times New Roman"/>
          <w:szCs w:val="24"/>
          <w:lang w:eastAsia="lv-LV"/>
        </w:rPr>
        <w:t xml:space="preserve"> </w:t>
      </w:r>
      <w:r w:rsidR="00C61DC7">
        <w:rPr>
          <w:rFonts w:eastAsia="Times New Roman" w:cs="Times New Roman"/>
          <w:szCs w:val="24"/>
          <w:lang w:eastAsia="lv-LV"/>
        </w:rPr>
        <w:t>LBFV</w:t>
      </w:r>
      <w:r w:rsidRPr="00E6772F">
        <w:rPr>
          <w:rFonts w:eastAsia="Times New Roman" w:cs="Times New Roman"/>
          <w:szCs w:val="24"/>
          <w:lang w:eastAsia="lv-LV"/>
        </w:rPr>
        <w:t xml:space="preserve"> </w:t>
      </w:r>
      <w:r>
        <w:rPr>
          <w:rFonts w:eastAsia="Times New Roman" w:cs="Times New Roman"/>
          <w:szCs w:val="24"/>
          <w:lang w:eastAsia="lv-LV"/>
        </w:rPr>
        <w:t>l</w:t>
      </w:r>
      <w:r w:rsidRPr="00E6772F">
        <w:rPr>
          <w:rFonts w:eastAsia="Times New Roman" w:cs="Times New Roman"/>
          <w:szCs w:val="24"/>
          <w:lang w:eastAsia="lv-LV"/>
        </w:rPr>
        <w:t>ikumprojekta “Par valsts budžetu 2018.gadam</w:t>
      </w:r>
      <w:r>
        <w:rPr>
          <w:rFonts w:eastAsia="Times New Roman" w:cs="Times New Roman"/>
          <w:szCs w:val="24"/>
          <w:lang w:eastAsia="lv-LV"/>
        </w:rPr>
        <w:t>” pavadošo likumprojektu paketē, lai arī tur aizstā</w:t>
      </w:r>
      <w:r w:rsidRPr="00E6772F">
        <w:rPr>
          <w:rFonts w:eastAsia="Times New Roman" w:cs="Times New Roman"/>
          <w:szCs w:val="24"/>
          <w:lang w:eastAsia="lv-LV"/>
        </w:rPr>
        <w:t>t</w:t>
      </w:r>
      <w:r>
        <w:rPr>
          <w:rFonts w:eastAsia="Times New Roman" w:cs="Times New Roman"/>
          <w:szCs w:val="24"/>
          <w:lang w:eastAsia="lv-LV"/>
        </w:rPr>
        <w:t>u</w:t>
      </w:r>
      <w:r w:rsidRPr="00E6772F">
        <w:rPr>
          <w:rFonts w:eastAsia="Times New Roman" w:cs="Times New Roman"/>
          <w:szCs w:val="24"/>
          <w:lang w:eastAsia="lv-LV"/>
        </w:rPr>
        <w:t xml:space="preserve"> </w:t>
      </w:r>
      <w:r w:rsidR="008F379F">
        <w:rPr>
          <w:rFonts w:eastAsia="Times New Roman" w:cs="Times New Roman"/>
          <w:szCs w:val="24"/>
          <w:lang w:eastAsia="lv-LV"/>
        </w:rPr>
        <w:t>JPI</w:t>
      </w:r>
      <w:r w:rsidRPr="00E6772F">
        <w:rPr>
          <w:rFonts w:eastAsia="Times New Roman" w:cs="Times New Roman"/>
          <w:szCs w:val="24"/>
          <w:lang w:eastAsia="lv-LV"/>
        </w:rPr>
        <w:t xml:space="preserve"> ar prioritār</w:t>
      </w:r>
      <w:r>
        <w:rPr>
          <w:rFonts w:eastAsia="Times New Roman" w:cs="Times New Roman"/>
          <w:szCs w:val="24"/>
          <w:lang w:eastAsia="lv-LV"/>
        </w:rPr>
        <w:t>aj</w:t>
      </w:r>
      <w:r w:rsidRPr="00E6772F">
        <w:rPr>
          <w:rFonts w:eastAsia="Times New Roman" w:cs="Times New Roman"/>
          <w:szCs w:val="24"/>
          <w:lang w:eastAsia="lv-LV"/>
        </w:rPr>
        <w:t>iem pasākumiem</w:t>
      </w:r>
      <w:r>
        <w:rPr>
          <w:rFonts w:eastAsia="Times New Roman" w:cs="Times New Roman"/>
          <w:szCs w:val="24"/>
          <w:lang w:eastAsia="lv-LV"/>
        </w:rPr>
        <w:t>.</w:t>
      </w:r>
    </w:p>
    <w:p w:rsidR="00616BDB" w:rsidRDefault="00616BDB" w:rsidP="00FB15EF">
      <w:pPr>
        <w:pStyle w:val="Heading2"/>
        <w:spacing w:before="240" w:after="120"/>
        <w:jc w:val="center"/>
        <w:rPr>
          <w:rFonts w:ascii="Times New Roman" w:hAnsi="Times New Roman" w:cs="Times New Roman"/>
          <w:color w:val="auto"/>
          <w:sz w:val="28"/>
          <w:szCs w:val="28"/>
        </w:rPr>
      </w:pPr>
      <w:bookmarkStart w:id="4" w:name="_Toc487036788"/>
      <w:r w:rsidRPr="00616BDB">
        <w:rPr>
          <w:rFonts w:ascii="Times New Roman" w:hAnsi="Times New Roman" w:cs="Times New Roman"/>
          <w:color w:val="auto"/>
          <w:sz w:val="28"/>
          <w:szCs w:val="28"/>
        </w:rPr>
        <w:t>2.2.</w:t>
      </w:r>
      <w:r w:rsidR="00466A08">
        <w:rPr>
          <w:rFonts w:ascii="Times New Roman" w:hAnsi="Times New Roman" w:cs="Times New Roman"/>
          <w:color w:val="auto"/>
          <w:sz w:val="28"/>
          <w:szCs w:val="28"/>
        </w:rPr>
        <w:t> </w:t>
      </w:r>
      <w:r w:rsidRPr="00616BDB">
        <w:rPr>
          <w:rFonts w:ascii="Times New Roman" w:hAnsi="Times New Roman" w:cs="Times New Roman"/>
          <w:color w:val="auto"/>
          <w:sz w:val="28"/>
          <w:szCs w:val="28"/>
        </w:rPr>
        <w:t>Vispārēj</w:t>
      </w:r>
      <w:r>
        <w:rPr>
          <w:rFonts w:ascii="Times New Roman" w:hAnsi="Times New Roman" w:cs="Times New Roman"/>
          <w:color w:val="auto"/>
          <w:sz w:val="28"/>
          <w:szCs w:val="28"/>
        </w:rPr>
        <w:t>a</w:t>
      </w:r>
      <w:r w:rsidRPr="00616BDB">
        <w:rPr>
          <w:rFonts w:ascii="Times New Roman" w:hAnsi="Times New Roman" w:cs="Times New Roman"/>
          <w:color w:val="auto"/>
          <w:sz w:val="28"/>
          <w:szCs w:val="28"/>
        </w:rPr>
        <w:t xml:space="preserve"> procesu </w:t>
      </w:r>
      <w:r w:rsidR="00DE6CD5">
        <w:rPr>
          <w:rFonts w:ascii="Times New Roman" w:hAnsi="Times New Roman" w:cs="Times New Roman"/>
          <w:color w:val="auto"/>
          <w:sz w:val="28"/>
          <w:szCs w:val="28"/>
        </w:rPr>
        <w:t>efektivizēšana</w:t>
      </w:r>
      <w:r w:rsidRPr="00616BDB">
        <w:rPr>
          <w:rFonts w:ascii="Times New Roman" w:hAnsi="Times New Roman" w:cs="Times New Roman"/>
          <w:color w:val="auto"/>
          <w:sz w:val="28"/>
          <w:szCs w:val="28"/>
        </w:rPr>
        <w:t xml:space="preserve"> un pilnveidošana</w:t>
      </w:r>
      <w:bookmarkEnd w:id="4"/>
    </w:p>
    <w:p w:rsidR="00C62BAA" w:rsidRDefault="00C62BAA" w:rsidP="00195837">
      <w:pPr>
        <w:spacing w:after="120"/>
        <w:ind w:firstLine="720"/>
        <w:jc w:val="both"/>
        <w:rPr>
          <w:szCs w:val="24"/>
        </w:rPr>
      </w:pPr>
      <w:r>
        <w:rPr>
          <w:szCs w:val="24"/>
        </w:rPr>
        <w:t xml:space="preserve">Valsts budžeta un pašvaldību budžetu izstrādāšanas, apstiprināšanas un izpildes kārtību un atbildību budžeta procesā nosaka LBFV. Budžets ir līdzeklis valsts politikas realizācijai ar finansiālām metodēm un ir valdības finansiālās darbības un vadības pamatā. Atbilstoši LBFV finanšu vadība ietver visus budžeta izstrādāšanas un izpildes procesa nodrošināšanai nepieciešamos administratīvos pasākumus, ieskaitot kontroles un atbildības pasākumus. MK nodrošina valsts budžeta izstrādāšanu un izpildi izdodot rīkojumus, instrukcijas un ieteikumus. </w:t>
      </w:r>
    </w:p>
    <w:p w:rsidR="00C62BAA" w:rsidRDefault="00C62BAA" w:rsidP="00C62BAA">
      <w:pPr>
        <w:jc w:val="center"/>
        <w:rPr>
          <w:szCs w:val="24"/>
        </w:rPr>
      </w:pPr>
      <w:r>
        <w:rPr>
          <w:noProof/>
          <w:lang w:eastAsia="lv-LV"/>
        </w:rPr>
        <w:drawing>
          <wp:inline distT="0" distB="0" distL="0" distR="0" wp14:anchorId="4BF76DC9" wp14:editId="6E3BA62A">
            <wp:extent cx="5033010" cy="2304288"/>
            <wp:effectExtent l="0" t="0" r="15240" b="127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62BAA" w:rsidRDefault="00A253A2" w:rsidP="00C62BAA">
      <w:pPr>
        <w:spacing w:before="120" w:after="120"/>
        <w:jc w:val="center"/>
        <w:rPr>
          <w:b/>
          <w:sz w:val="22"/>
        </w:rPr>
      </w:pPr>
      <w:r w:rsidRPr="0063709B">
        <w:rPr>
          <w:i/>
          <w:sz w:val="22"/>
        </w:rPr>
        <w:t>2.2</w:t>
      </w:r>
      <w:r w:rsidR="00C62BAA" w:rsidRPr="0063709B">
        <w:rPr>
          <w:i/>
          <w:sz w:val="22"/>
        </w:rPr>
        <w:t>.att.</w:t>
      </w:r>
      <w:r w:rsidR="00C62BAA">
        <w:rPr>
          <w:sz w:val="22"/>
        </w:rPr>
        <w:t xml:space="preserve"> </w:t>
      </w:r>
      <w:r w:rsidR="00C62BAA">
        <w:rPr>
          <w:b/>
          <w:sz w:val="22"/>
        </w:rPr>
        <w:t>Uz LBFV pamata izdotie normatīvie akti, %</w:t>
      </w:r>
    </w:p>
    <w:p w:rsidR="00195837" w:rsidRDefault="00195837" w:rsidP="00195837">
      <w:pPr>
        <w:ind w:firstLine="720"/>
        <w:jc w:val="both"/>
        <w:rPr>
          <w:szCs w:val="24"/>
        </w:rPr>
      </w:pPr>
      <w:r>
        <w:rPr>
          <w:szCs w:val="24"/>
        </w:rPr>
        <w:lastRenderedPageBreak/>
        <w:t xml:space="preserve">Izdevumu pārskatīšanas ietvaros, kā arī pamatojoties uz MK rīkojuma Nr.141 2.1.3.apakšpunktā noteikto, tika analizēti uz LBFV pamata izdotie normatīvie akti. </w:t>
      </w:r>
    </w:p>
    <w:p w:rsidR="00195837" w:rsidRDefault="00195837" w:rsidP="00195837">
      <w:pPr>
        <w:ind w:firstLine="720"/>
        <w:jc w:val="both"/>
        <w:rPr>
          <w:szCs w:val="24"/>
        </w:rPr>
      </w:pPr>
      <w:r>
        <w:rPr>
          <w:szCs w:val="24"/>
        </w:rPr>
        <w:t xml:space="preserve">Apskatot uz LBFV izdotos normatīvos aktus var secināt, ka kopumā uz LBFV pamata izdoti 172 normatīvie akti. Lielākā daļa – 109 normatīvie akti jeb 64% ir apstiprināti maksas pakalpojumu cenrāži, 28 jeb 16% regulē dažādu pārskatu sagatavošanu un valsts budžeta uzskaites kārtību, 19 jeb 11% no normatīvajiem aktiem apstiprina BNI budžetus un 16 jeb 9% regulē dažādas valsts budžeta </w:t>
      </w:r>
      <w:r w:rsidRPr="0063709B">
        <w:rPr>
          <w:szCs w:val="24"/>
        </w:rPr>
        <w:t>procedūras (skat. attēlu Nr.2.2.).</w:t>
      </w:r>
      <w:r>
        <w:rPr>
          <w:szCs w:val="24"/>
        </w:rPr>
        <w:t xml:space="preserve"> </w:t>
      </w:r>
    </w:p>
    <w:p w:rsidR="00C62BAA" w:rsidRDefault="00C62BAA" w:rsidP="00195837">
      <w:pPr>
        <w:spacing w:before="120"/>
        <w:ind w:firstLine="720"/>
        <w:jc w:val="both"/>
        <w:rPr>
          <w:szCs w:val="24"/>
        </w:rPr>
      </w:pPr>
      <w:r>
        <w:rPr>
          <w:szCs w:val="24"/>
        </w:rPr>
        <w:t>Valsts budžeta procedūras regulējošie normatīvie akti tika iedalīti šādās trīs grupās:</w:t>
      </w:r>
    </w:p>
    <w:p w:rsidR="00C62BAA" w:rsidRDefault="00C62BAA" w:rsidP="008C25BB">
      <w:pPr>
        <w:pStyle w:val="ListParagraph"/>
        <w:numPr>
          <w:ilvl w:val="0"/>
          <w:numId w:val="16"/>
        </w:numPr>
        <w:spacing w:before="120" w:afterLines="60" w:after="144"/>
        <w:ind w:left="284" w:hanging="284"/>
        <w:contextualSpacing w:val="0"/>
        <w:jc w:val="both"/>
        <w:rPr>
          <w:i/>
          <w:szCs w:val="24"/>
        </w:rPr>
      </w:pPr>
      <w:r>
        <w:rPr>
          <w:i/>
          <w:szCs w:val="24"/>
        </w:rPr>
        <w:t>Valsts budžeta plānošana</w:t>
      </w:r>
    </w:p>
    <w:p w:rsidR="00C62BAA" w:rsidRDefault="00A253A2" w:rsidP="00195837">
      <w:pPr>
        <w:pStyle w:val="ListParagraph"/>
        <w:numPr>
          <w:ilvl w:val="0"/>
          <w:numId w:val="17"/>
        </w:numPr>
        <w:spacing w:before="60"/>
        <w:contextualSpacing w:val="0"/>
        <w:jc w:val="both"/>
        <w:rPr>
          <w:i/>
          <w:szCs w:val="24"/>
        </w:rPr>
      </w:pPr>
      <w:r>
        <w:rPr>
          <w:szCs w:val="24"/>
        </w:rPr>
        <w:t>MK noteikumi Nr.523</w:t>
      </w:r>
      <w:r w:rsidR="00C62BAA">
        <w:rPr>
          <w:szCs w:val="24"/>
        </w:rPr>
        <w:t>;</w:t>
      </w:r>
    </w:p>
    <w:p w:rsidR="00C62BAA" w:rsidRDefault="00A926D7" w:rsidP="00195837">
      <w:pPr>
        <w:pStyle w:val="ListParagraph"/>
        <w:numPr>
          <w:ilvl w:val="0"/>
          <w:numId w:val="17"/>
        </w:numPr>
        <w:spacing w:before="60"/>
        <w:contextualSpacing w:val="0"/>
        <w:jc w:val="both"/>
        <w:rPr>
          <w:i/>
          <w:szCs w:val="24"/>
        </w:rPr>
      </w:pPr>
      <w:r>
        <w:rPr>
          <w:szCs w:val="24"/>
        </w:rPr>
        <w:t>MK noteikumi Nr.867</w:t>
      </w:r>
      <w:r w:rsidR="00C62BAA">
        <w:rPr>
          <w:szCs w:val="24"/>
        </w:rPr>
        <w:t>;</w:t>
      </w:r>
    </w:p>
    <w:p w:rsidR="00C62BAA" w:rsidRDefault="0063709B" w:rsidP="00195837">
      <w:pPr>
        <w:pStyle w:val="ListParagraph"/>
        <w:numPr>
          <w:ilvl w:val="0"/>
          <w:numId w:val="17"/>
        </w:numPr>
        <w:spacing w:before="60"/>
        <w:contextualSpacing w:val="0"/>
        <w:jc w:val="both"/>
        <w:rPr>
          <w:i/>
          <w:szCs w:val="24"/>
        </w:rPr>
      </w:pPr>
      <w:r>
        <w:rPr>
          <w:szCs w:val="24"/>
        </w:rPr>
        <w:t xml:space="preserve">MK </w:t>
      </w:r>
      <w:r w:rsidR="00C62BAA">
        <w:rPr>
          <w:szCs w:val="24"/>
        </w:rPr>
        <w:t>2009.gada 1.septembra noteikumi Nr.979 “Rezultātu un rezultatīvo rādītāju sistēmas darbības kārtība”;</w:t>
      </w:r>
    </w:p>
    <w:p w:rsidR="00C62BAA" w:rsidRPr="006779C1" w:rsidRDefault="006779C1" w:rsidP="00195837">
      <w:pPr>
        <w:pStyle w:val="ListParagraph"/>
        <w:numPr>
          <w:ilvl w:val="0"/>
          <w:numId w:val="17"/>
        </w:numPr>
        <w:spacing w:before="60"/>
        <w:contextualSpacing w:val="0"/>
        <w:jc w:val="both"/>
        <w:rPr>
          <w:szCs w:val="24"/>
        </w:rPr>
      </w:pPr>
      <w:r w:rsidRPr="006779C1">
        <w:rPr>
          <w:szCs w:val="24"/>
        </w:rPr>
        <w:t xml:space="preserve">MK </w:t>
      </w:r>
      <w:r w:rsidR="00C62BAA" w:rsidRPr="006779C1">
        <w:rPr>
          <w:szCs w:val="24"/>
        </w:rPr>
        <w:t>2009.gada 17.novembra instrukcija Nr.16 “Ministriju un citu centrālo valsts iestāžu rezultātu un to rezultatīvo rādītāju izstrādes un novērtēšanas metodika”;</w:t>
      </w:r>
    </w:p>
    <w:p w:rsidR="00C62BAA" w:rsidRPr="00D7297D" w:rsidRDefault="00A54A13" w:rsidP="00195837">
      <w:pPr>
        <w:pStyle w:val="ListParagraph"/>
        <w:numPr>
          <w:ilvl w:val="0"/>
          <w:numId w:val="17"/>
        </w:numPr>
        <w:spacing w:before="60"/>
        <w:contextualSpacing w:val="0"/>
        <w:jc w:val="both"/>
        <w:rPr>
          <w:szCs w:val="24"/>
        </w:rPr>
      </w:pPr>
      <w:r>
        <w:rPr>
          <w:szCs w:val="24"/>
        </w:rPr>
        <w:t xml:space="preserve">MK </w:t>
      </w:r>
      <w:r w:rsidR="00C62BAA" w:rsidRPr="00D7297D">
        <w:rPr>
          <w:szCs w:val="24"/>
        </w:rPr>
        <w:t>2009.gada 20.janvāra instrukcija Nr.2 “Kārtība, kādā valsts budžeta iestādes sagatavo un apstiprina valsts budžeta programmu, apakšprogrammu un pasākumu tāmes kārtējam gadam”</w:t>
      </w:r>
      <w:r w:rsidR="00C62BAA">
        <w:rPr>
          <w:szCs w:val="24"/>
        </w:rPr>
        <w:t>;</w:t>
      </w:r>
    </w:p>
    <w:p w:rsidR="00C62BAA" w:rsidRDefault="00A54A13" w:rsidP="00195837">
      <w:pPr>
        <w:pStyle w:val="ListParagraph"/>
        <w:numPr>
          <w:ilvl w:val="0"/>
          <w:numId w:val="17"/>
        </w:numPr>
        <w:spacing w:before="60"/>
        <w:contextualSpacing w:val="0"/>
        <w:jc w:val="both"/>
        <w:rPr>
          <w:i/>
          <w:szCs w:val="24"/>
        </w:rPr>
      </w:pPr>
      <w:r>
        <w:rPr>
          <w:szCs w:val="24"/>
        </w:rPr>
        <w:t xml:space="preserve">MK </w:t>
      </w:r>
      <w:r w:rsidR="00C62BAA">
        <w:rPr>
          <w:szCs w:val="24"/>
        </w:rPr>
        <w:t>2012.gada 2.oktobra instrukcija Nr.12 “Dienesta vieglo automobiļu iegādes un nomas kārtība”;</w:t>
      </w:r>
    </w:p>
    <w:p w:rsidR="00C62BAA" w:rsidRDefault="00A54A13" w:rsidP="00195837">
      <w:pPr>
        <w:pStyle w:val="ListParagraph"/>
        <w:numPr>
          <w:ilvl w:val="0"/>
          <w:numId w:val="17"/>
        </w:numPr>
        <w:spacing w:before="60"/>
        <w:contextualSpacing w:val="0"/>
        <w:jc w:val="both"/>
        <w:rPr>
          <w:i/>
          <w:szCs w:val="24"/>
        </w:rPr>
      </w:pPr>
      <w:r>
        <w:rPr>
          <w:szCs w:val="24"/>
        </w:rPr>
        <w:t xml:space="preserve">MK </w:t>
      </w:r>
      <w:r w:rsidR="00C62BAA">
        <w:rPr>
          <w:szCs w:val="24"/>
        </w:rPr>
        <w:t>2015.gada 30.jūnija noteikumi Nr.363 “Kārtība, kādā ministrijas un citas centrālās valsts iestādes iekļauj gadskārtējā valsts budžeta likumprojektā valsts aizdevumu pieprasījumus, un valsts aizdevumu izsniegšanas un apkalpošanas kārtība”;</w:t>
      </w:r>
    </w:p>
    <w:p w:rsidR="00C62BAA" w:rsidRDefault="00A54A13" w:rsidP="00195837">
      <w:pPr>
        <w:pStyle w:val="ListParagraph"/>
        <w:numPr>
          <w:ilvl w:val="0"/>
          <w:numId w:val="17"/>
        </w:numPr>
        <w:spacing w:before="60"/>
        <w:contextualSpacing w:val="0"/>
        <w:jc w:val="both"/>
        <w:rPr>
          <w:i/>
          <w:szCs w:val="24"/>
        </w:rPr>
      </w:pPr>
      <w:r>
        <w:rPr>
          <w:szCs w:val="24"/>
        </w:rPr>
        <w:t xml:space="preserve">MK </w:t>
      </w:r>
      <w:r w:rsidR="00C62BAA">
        <w:rPr>
          <w:szCs w:val="24"/>
        </w:rPr>
        <w:t>2014.gada 8.jūlija noteikumi Nr.391 “Kārtība, kādā gadskārtējā valsts budžeta likumprojektā iekļauj pieprasījumus valsts vārdā sniedzamajiem galvojumiem, un galvojumu sniegšanas un uzraudzības kārtība”;</w:t>
      </w:r>
    </w:p>
    <w:p w:rsidR="00C62BAA" w:rsidRDefault="00A54A13" w:rsidP="00195837">
      <w:pPr>
        <w:pStyle w:val="ListParagraph"/>
        <w:numPr>
          <w:ilvl w:val="0"/>
          <w:numId w:val="17"/>
        </w:numPr>
        <w:spacing w:before="60"/>
        <w:ind w:left="714" w:hanging="357"/>
        <w:contextualSpacing w:val="0"/>
        <w:jc w:val="both"/>
        <w:rPr>
          <w:i/>
          <w:szCs w:val="24"/>
        </w:rPr>
      </w:pPr>
      <w:r>
        <w:rPr>
          <w:szCs w:val="24"/>
        </w:rPr>
        <w:t xml:space="preserve">MK </w:t>
      </w:r>
      <w:r w:rsidR="00C62BAA">
        <w:rPr>
          <w:szCs w:val="24"/>
        </w:rPr>
        <w:t>2014.gada 17.jūnija noteikumi Nr.317 “Kārtība, kādā tiešās pārvaldes iestādes slēdz un publisko līdzdarbības līgumus, kā arī piešķir valsts budžeta finansējumu privātpersonām valsts pārvaldes uzdevumu veikšanai un uzrauga piešķirtā finansējuma izlietojumu”;</w:t>
      </w:r>
    </w:p>
    <w:p w:rsidR="00C62BAA" w:rsidRDefault="00A54A13" w:rsidP="00195837">
      <w:pPr>
        <w:pStyle w:val="ListParagraph"/>
        <w:numPr>
          <w:ilvl w:val="0"/>
          <w:numId w:val="17"/>
        </w:numPr>
        <w:spacing w:before="60"/>
        <w:ind w:left="714" w:hanging="357"/>
        <w:contextualSpacing w:val="0"/>
        <w:jc w:val="both"/>
        <w:rPr>
          <w:i/>
          <w:szCs w:val="24"/>
        </w:rPr>
      </w:pPr>
      <w:r>
        <w:rPr>
          <w:szCs w:val="24"/>
        </w:rPr>
        <w:t xml:space="preserve">MK </w:t>
      </w:r>
      <w:r w:rsidR="00C62BAA">
        <w:rPr>
          <w:szCs w:val="24"/>
        </w:rPr>
        <w:t>2011.gada 3.maija noteikumi Nr.333 “Kārtība, kādā plānojami un uzskaitāmi ieņēmumi no maksas pakalpojumiem un ar šo pakalpojumu sniegšanu saistītie izdevumi, kā arī maksas pakalpojumu izcenojumu apstiprināšanas kārtība”.</w:t>
      </w:r>
    </w:p>
    <w:p w:rsidR="00C62BAA" w:rsidRDefault="00C62BAA" w:rsidP="008C25BB">
      <w:pPr>
        <w:pStyle w:val="ListParagraph"/>
        <w:numPr>
          <w:ilvl w:val="0"/>
          <w:numId w:val="16"/>
        </w:numPr>
        <w:spacing w:before="240" w:afterLines="60" w:after="144"/>
        <w:ind w:left="284" w:hanging="284"/>
        <w:contextualSpacing w:val="0"/>
        <w:jc w:val="both"/>
        <w:rPr>
          <w:i/>
          <w:szCs w:val="24"/>
        </w:rPr>
      </w:pPr>
      <w:r>
        <w:rPr>
          <w:i/>
          <w:szCs w:val="24"/>
        </w:rPr>
        <w:t>Valsts budžeta elastība</w:t>
      </w:r>
    </w:p>
    <w:p w:rsidR="00C62BAA" w:rsidRDefault="00A54A13" w:rsidP="00195837">
      <w:pPr>
        <w:pStyle w:val="ListParagraph"/>
        <w:numPr>
          <w:ilvl w:val="0"/>
          <w:numId w:val="18"/>
        </w:numPr>
        <w:spacing w:before="60"/>
        <w:contextualSpacing w:val="0"/>
        <w:jc w:val="both"/>
        <w:rPr>
          <w:i/>
          <w:szCs w:val="24"/>
        </w:rPr>
      </w:pPr>
      <w:r>
        <w:rPr>
          <w:szCs w:val="24"/>
        </w:rPr>
        <w:t xml:space="preserve">MK </w:t>
      </w:r>
      <w:r w:rsidR="00C62BAA">
        <w:rPr>
          <w:szCs w:val="24"/>
        </w:rPr>
        <w:t>2010.gada 28.decembra noteikumi Nr.1220 “Asignējumu piešķiršanas un izpildes kārtība” (turpmāk – MK noteikumi Nr.1220);</w:t>
      </w:r>
    </w:p>
    <w:p w:rsidR="00C62BAA" w:rsidRDefault="00A54A13" w:rsidP="00195837">
      <w:pPr>
        <w:pStyle w:val="ListParagraph"/>
        <w:numPr>
          <w:ilvl w:val="0"/>
          <w:numId w:val="18"/>
        </w:numPr>
        <w:spacing w:before="60"/>
        <w:contextualSpacing w:val="0"/>
        <w:jc w:val="both"/>
        <w:rPr>
          <w:szCs w:val="24"/>
        </w:rPr>
      </w:pPr>
      <w:r>
        <w:rPr>
          <w:szCs w:val="24"/>
        </w:rPr>
        <w:t xml:space="preserve">MK </w:t>
      </w:r>
      <w:r w:rsidR="00C62BAA">
        <w:rPr>
          <w:szCs w:val="24"/>
        </w:rPr>
        <w:t>2010.gada 18.maija noteikumi Nr.464 “Noteikumi par 74.resora “Gadskārtējā valsts budžeta izpildes procesā pārdalāmais finansējums” 80.00.00 programmā plānoto līdzekļu pārdales kārtību Eiropas Savienības politiku instrumentu un pārējās ārvalstu finanšu palīdzības līdzfinansēto projektu un pasākumu īstenošanai” (turpmāk – MK noteikumi Nr.464);</w:t>
      </w:r>
    </w:p>
    <w:p w:rsidR="00C62BAA" w:rsidRDefault="00A54A13" w:rsidP="00195837">
      <w:pPr>
        <w:pStyle w:val="ListParagraph"/>
        <w:numPr>
          <w:ilvl w:val="0"/>
          <w:numId w:val="18"/>
        </w:numPr>
        <w:spacing w:before="60"/>
        <w:contextualSpacing w:val="0"/>
        <w:jc w:val="both"/>
        <w:rPr>
          <w:szCs w:val="24"/>
        </w:rPr>
      </w:pPr>
      <w:r>
        <w:rPr>
          <w:szCs w:val="24"/>
        </w:rPr>
        <w:t xml:space="preserve">MK </w:t>
      </w:r>
      <w:r w:rsidR="00C62BAA">
        <w:rPr>
          <w:szCs w:val="24"/>
        </w:rPr>
        <w:t>2010.gada 16.marta noteikumi Nr.256 “Noteikumi par kārtību, kādā ministrijām un citām centrālajām valsts iestādēm tiek veikta apropriācijas pārdale starp programmām, apakšprogrammām un izdevumu ekonomiskās klasifikācijas kodiem” (turpmāk – MK noteikumi Nr.256);</w:t>
      </w:r>
    </w:p>
    <w:p w:rsidR="00C62BAA" w:rsidRDefault="00A54A13" w:rsidP="00195837">
      <w:pPr>
        <w:pStyle w:val="ListParagraph"/>
        <w:numPr>
          <w:ilvl w:val="0"/>
          <w:numId w:val="18"/>
        </w:numPr>
        <w:spacing w:before="60"/>
        <w:contextualSpacing w:val="0"/>
        <w:jc w:val="both"/>
        <w:rPr>
          <w:szCs w:val="24"/>
        </w:rPr>
      </w:pPr>
      <w:r>
        <w:rPr>
          <w:szCs w:val="24"/>
        </w:rPr>
        <w:lastRenderedPageBreak/>
        <w:t xml:space="preserve">MK </w:t>
      </w:r>
      <w:r w:rsidR="00C62BAA">
        <w:rPr>
          <w:szCs w:val="24"/>
        </w:rPr>
        <w:t>2009.gada 22.decembris noteikumi Nr.1644 “Kārtība, kādā pieprasa un izlieto budžeta programmas “Līdzekļi neparedzētiem gadījumiem” līdzekļus” (turpmāk – MK noteikumi Nr.1644);</w:t>
      </w:r>
    </w:p>
    <w:p w:rsidR="00C62BAA" w:rsidRDefault="00A54A13" w:rsidP="00195837">
      <w:pPr>
        <w:pStyle w:val="ListParagraph"/>
        <w:numPr>
          <w:ilvl w:val="0"/>
          <w:numId w:val="18"/>
        </w:numPr>
        <w:spacing w:before="60"/>
        <w:contextualSpacing w:val="0"/>
        <w:jc w:val="both"/>
        <w:rPr>
          <w:szCs w:val="24"/>
        </w:rPr>
      </w:pPr>
      <w:r>
        <w:rPr>
          <w:szCs w:val="24"/>
        </w:rPr>
        <w:t xml:space="preserve">MK </w:t>
      </w:r>
      <w:r w:rsidR="00C62BAA">
        <w:rPr>
          <w:szCs w:val="24"/>
        </w:rPr>
        <w:t>2007.gada 28.augusta noteikumi Nr.594 “Noteikumi par valsts budžeta apropriācijas rezerves izmantošanu” (turpmāk – MK noteikumi Nr.594).</w:t>
      </w:r>
    </w:p>
    <w:p w:rsidR="00C62BAA" w:rsidRDefault="00C62BAA" w:rsidP="00195837">
      <w:pPr>
        <w:pStyle w:val="ListParagraph"/>
        <w:numPr>
          <w:ilvl w:val="0"/>
          <w:numId w:val="16"/>
        </w:numPr>
        <w:spacing w:before="60"/>
        <w:ind w:left="1077" w:hanging="357"/>
        <w:contextualSpacing w:val="0"/>
        <w:jc w:val="both"/>
        <w:rPr>
          <w:szCs w:val="24"/>
        </w:rPr>
      </w:pPr>
      <w:r>
        <w:rPr>
          <w:i/>
          <w:szCs w:val="24"/>
        </w:rPr>
        <w:t>Valsts budžeta izpilde</w:t>
      </w:r>
    </w:p>
    <w:p w:rsidR="00C679AD" w:rsidRPr="00C679AD" w:rsidRDefault="00A54A13" w:rsidP="00195837">
      <w:pPr>
        <w:pStyle w:val="ListParagraph"/>
        <w:numPr>
          <w:ilvl w:val="0"/>
          <w:numId w:val="19"/>
        </w:numPr>
        <w:spacing w:before="60"/>
        <w:ind w:left="714" w:hanging="357"/>
        <w:contextualSpacing w:val="0"/>
        <w:jc w:val="both"/>
        <w:rPr>
          <w:szCs w:val="24"/>
        </w:rPr>
      </w:pPr>
      <w:r>
        <w:rPr>
          <w:szCs w:val="24"/>
        </w:rPr>
        <w:t xml:space="preserve">MK </w:t>
      </w:r>
      <w:r w:rsidR="00C62BAA">
        <w:rPr>
          <w:szCs w:val="24"/>
        </w:rPr>
        <w:t>2011.gada 23.augusta instrukcija Nr.8 “Instrukcija par valsts budžeta izpildes analīzi” (turpmāk – MK instrukcija Nr.8).</w:t>
      </w:r>
    </w:p>
    <w:p w:rsidR="008B7346" w:rsidRPr="004B6C22" w:rsidRDefault="001A6FC6" w:rsidP="00195837">
      <w:pPr>
        <w:pStyle w:val="Heading3"/>
        <w:spacing w:before="240" w:after="240"/>
        <w:jc w:val="center"/>
        <w:rPr>
          <w:rFonts w:ascii="Times New Roman" w:hAnsi="Times New Roman" w:cs="Times New Roman"/>
          <w:color w:val="auto"/>
          <w:sz w:val="28"/>
          <w:szCs w:val="28"/>
        </w:rPr>
      </w:pPr>
      <w:bookmarkStart w:id="5" w:name="_Toc487036789"/>
      <w:r w:rsidRPr="00C90316">
        <w:rPr>
          <w:rFonts w:ascii="Times New Roman" w:hAnsi="Times New Roman" w:cs="Times New Roman"/>
          <w:color w:val="auto"/>
          <w:sz w:val="28"/>
          <w:szCs w:val="28"/>
        </w:rPr>
        <w:t xml:space="preserve">2.2.1. </w:t>
      </w:r>
      <w:r w:rsidR="00B6657F" w:rsidRPr="00C90316">
        <w:rPr>
          <w:rFonts w:ascii="Times New Roman" w:hAnsi="Times New Roman" w:cs="Times New Roman"/>
          <w:color w:val="auto"/>
          <w:sz w:val="28"/>
          <w:szCs w:val="28"/>
        </w:rPr>
        <w:t xml:space="preserve">Budžeta plānošanas un izpildes procesa </w:t>
      </w:r>
      <w:r w:rsidR="008B7346" w:rsidRPr="00C90316">
        <w:rPr>
          <w:rFonts w:ascii="Times New Roman" w:hAnsi="Times New Roman" w:cs="Times New Roman"/>
          <w:color w:val="auto"/>
          <w:sz w:val="28"/>
          <w:szCs w:val="28"/>
        </w:rPr>
        <w:t>pārskatīšana</w:t>
      </w:r>
      <w:bookmarkEnd w:id="5"/>
    </w:p>
    <w:p w:rsidR="00C62BAA" w:rsidRDefault="00C62BAA" w:rsidP="00195837">
      <w:pPr>
        <w:ind w:firstLine="720"/>
        <w:jc w:val="both"/>
        <w:rPr>
          <w:szCs w:val="24"/>
        </w:rPr>
      </w:pPr>
      <w:r>
        <w:rPr>
          <w:szCs w:val="24"/>
        </w:rPr>
        <w:t>Priekšlikumus par vispārējo procesu efektivizēšanu un pilnveidošanu sagatavošanā FM iesaistīja visas nozaru ministrijas. FM 2017.gada 20.martā visām nozaru ministrijām nosūtīja vēstuli (Nr.2-7-03/2440) ar lūgumu sniegt viedokli, lai noskaidrotu pilnveidošanas iespējas normatīvajos aktos attiecībā uz ministrijām noteiktajiem pienākumiem (valsts budžeta plānošana, valsts budžeta pieprasījuma iesniegšana, apropriāciju izmaiņas, atskaitīšanās par valsts budžeta izpildi).</w:t>
      </w:r>
    </w:p>
    <w:p w:rsidR="00C62BAA" w:rsidRDefault="00C62BAA" w:rsidP="00195837">
      <w:pPr>
        <w:ind w:firstLine="720"/>
        <w:jc w:val="both"/>
        <w:rPr>
          <w:szCs w:val="24"/>
        </w:rPr>
      </w:pPr>
      <w:r>
        <w:rPr>
          <w:szCs w:val="24"/>
        </w:rPr>
        <w:t>Pēc pievienotā saraksta vēstule tika nosūtīta visām ministrijām un neatkarīgajām institūcijām</w:t>
      </w:r>
      <w:r>
        <w:rPr>
          <w:rStyle w:val="FootnoteReference"/>
          <w:szCs w:val="24"/>
        </w:rPr>
        <w:footnoteReference w:id="4"/>
      </w:r>
      <w:r>
        <w:rPr>
          <w:szCs w:val="24"/>
        </w:rPr>
        <w:t xml:space="preserve"> (kopumā 28 institūcijām). FM saņēma viedokli ar priekšlikumiem no 21 ministrijas (VPK, VK, TB, AiM, ĀM, EM, FM, IeM, IZM, ZM, SM, LM, TM, VARAM, KM, VKo, PKC, AT, VM, ST, CVK).      </w:t>
      </w:r>
    </w:p>
    <w:p w:rsidR="00C62BAA" w:rsidRDefault="00C62BAA" w:rsidP="00195837">
      <w:pPr>
        <w:ind w:firstLine="720"/>
        <w:jc w:val="both"/>
        <w:rPr>
          <w:szCs w:val="24"/>
        </w:rPr>
      </w:pPr>
      <w:r>
        <w:rPr>
          <w:szCs w:val="24"/>
        </w:rPr>
        <w:t xml:space="preserve">Visi ministriju iesūtītie priekšlikumi apkopoti un pievienoti informatīvajam ziņojumam </w:t>
      </w:r>
      <w:r w:rsidRPr="00EB2A2C">
        <w:rPr>
          <w:szCs w:val="24"/>
        </w:rPr>
        <w:t xml:space="preserve">pielikumā (skat. </w:t>
      </w:r>
      <w:r w:rsidR="00517B32">
        <w:rPr>
          <w:szCs w:val="24"/>
        </w:rPr>
        <w:t>5</w:t>
      </w:r>
      <w:r w:rsidRPr="00EB2A2C">
        <w:rPr>
          <w:szCs w:val="24"/>
        </w:rPr>
        <w:t>.pielikumu)</w:t>
      </w:r>
    </w:p>
    <w:p w:rsidR="00C62BAA" w:rsidRDefault="00C62BAA" w:rsidP="00C679AD">
      <w:pPr>
        <w:spacing w:after="120"/>
        <w:ind w:firstLine="720"/>
        <w:jc w:val="both"/>
        <w:rPr>
          <w:szCs w:val="24"/>
        </w:rPr>
      </w:pPr>
      <w:r>
        <w:rPr>
          <w:szCs w:val="24"/>
        </w:rPr>
        <w:t>Kopumā ministrijas iesūtīja 109 priekšlikumus (t.sk. VK un PKC iesniegušas 2 identiskus priekšlikumus). Lielākais priekšlikumu skaits procesu efektivizēšanai un pilnveidošanai iesniegts par MK noteikumiem Nr.523 (30 priekšlikumi) un MK ins</w:t>
      </w:r>
      <w:r w:rsidR="00E920F7">
        <w:rPr>
          <w:szCs w:val="24"/>
        </w:rPr>
        <w:t>trukciju Nr.8 (16 priekšlikumi) (skat</w:t>
      </w:r>
      <w:r w:rsidR="001638D9">
        <w:rPr>
          <w:szCs w:val="24"/>
        </w:rPr>
        <w:t>.</w:t>
      </w:r>
      <w:r w:rsidR="00E920F7">
        <w:rPr>
          <w:szCs w:val="24"/>
        </w:rPr>
        <w:t xml:space="preserve"> attēlu Nr.2.3.).</w:t>
      </w:r>
    </w:p>
    <w:p w:rsidR="00C62BAA" w:rsidRDefault="00C62BAA" w:rsidP="00C62BAA">
      <w:pPr>
        <w:jc w:val="center"/>
        <w:rPr>
          <w:szCs w:val="24"/>
        </w:rPr>
      </w:pPr>
      <w:r>
        <w:rPr>
          <w:noProof/>
          <w:lang w:eastAsia="lv-LV"/>
        </w:rPr>
        <w:drawing>
          <wp:inline distT="0" distB="0" distL="0" distR="0" wp14:anchorId="4F4B6E5F" wp14:editId="1BD60D67">
            <wp:extent cx="5954395" cy="3130905"/>
            <wp:effectExtent l="0" t="0" r="8255" b="12700"/>
            <wp:docPr id="83"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62BAA" w:rsidRPr="004B6C22" w:rsidRDefault="004B6C22" w:rsidP="00195837">
      <w:pPr>
        <w:spacing w:before="120" w:after="120"/>
        <w:jc w:val="center"/>
        <w:rPr>
          <w:caps/>
          <w:sz w:val="22"/>
        </w:rPr>
      </w:pPr>
      <w:r w:rsidRPr="00EB2A2C">
        <w:rPr>
          <w:i/>
          <w:sz w:val="22"/>
        </w:rPr>
        <w:t>2.3</w:t>
      </w:r>
      <w:r w:rsidR="00C62BAA" w:rsidRPr="00EB2A2C">
        <w:rPr>
          <w:i/>
          <w:caps/>
          <w:sz w:val="22"/>
        </w:rPr>
        <w:t>.</w:t>
      </w:r>
      <w:r w:rsidR="00C62BAA" w:rsidRPr="00EB2A2C">
        <w:rPr>
          <w:i/>
          <w:sz w:val="22"/>
        </w:rPr>
        <w:t>att.</w:t>
      </w:r>
      <w:r w:rsidR="00C62BAA">
        <w:rPr>
          <w:i/>
          <w:sz w:val="22"/>
        </w:rPr>
        <w:t xml:space="preserve"> </w:t>
      </w:r>
      <w:r w:rsidR="00C62BAA">
        <w:rPr>
          <w:b/>
          <w:sz w:val="22"/>
        </w:rPr>
        <w:t>Ministriju iesniegtie priekšlikumi</w:t>
      </w:r>
      <w:r w:rsidR="00BD3230">
        <w:rPr>
          <w:rStyle w:val="FootnoteReference"/>
          <w:b/>
          <w:sz w:val="22"/>
        </w:rPr>
        <w:footnoteReference w:id="5"/>
      </w:r>
    </w:p>
    <w:p w:rsidR="00C62BAA" w:rsidRDefault="00C62BAA" w:rsidP="00C62BAA">
      <w:pPr>
        <w:spacing w:before="120"/>
        <w:ind w:firstLine="720"/>
        <w:jc w:val="both"/>
        <w:rPr>
          <w:szCs w:val="24"/>
        </w:rPr>
      </w:pPr>
      <w:r>
        <w:rPr>
          <w:szCs w:val="24"/>
        </w:rPr>
        <w:lastRenderedPageBreak/>
        <w:t>Līdz ar to tālāk informatīvajā ziņojumā tiks analizēti priekšlikumi MK noteikumu Nr.523 un MK instrukcijas Nr.8 efektivizēšanai un pilnveidošanai.</w:t>
      </w:r>
    </w:p>
    <w:p w:rsidR="00C62BAA" w:rsidRDefault="00C62BAA" w:rsidP="00C62BAA">
      <w:pPr>
        <w:spacing w:before="120" w:after="120"/>
        <w:ind w:firstLine="720"/>
        <w:jc w:val="both"/>
        <w:rPr>
          <w:szCs w:val="24"/>
        </w:rPr>
      </w:pPr>
      <w:r>
        <w:rPr>
          <w:szCs w:val="24"/>
        </w:rPr>
        <w:t>Vērtējot iespējamos risinājumus MK noteikumu Nr.523 efektivizēšanai, tika analizēti arī MK rīkojumi par vidēja termiņa budžeta ietvara un gadskārtējā valsts budžeta likuma sagatavošanas grafikiem:</w:t>
      </w:r>
    </w:p>
    <w:p w:rsidR="00C62BAA" w:rsidRDefault="00C62BAA" w:rsidP="008C25BB">
      <w:pPr>
        <w:pStyle w:val="ListParagraph"/>
        <w:numPr>
          <w:ilvl w:val="0"/>
          <w:numId w:val="19"/>
        </w:numPr>
        <w:spacing w:after="120"/>
        <w:contextualSpacing w:val="0"/>
        <w:jc w:val="both"/>
        <w:rPr>
          <w:szCs w:val="24"/>
        </w:rPr>
      </w:pPr>
      <w:r>
        <w:rPr>
          <w:szCs w:val="24"/>
        </w:rPr>
        <w:t>2015.gada 16.marta rīkojums Nr.124 “Par likumprojekta “Par vidēja termiņa budžeta ietvaru 2016., 2017. un 2018.gadam” un likumprojekta “Par valsts budžetu 2016.gadam” sagatavošanas grafiku”;</w:t>
      </w:r>
    </w:p>
    <w:p w:rsidR="00C62BAA" w:rsidRDefault="00C62BAA" w:rsidP="008C25BB">
      <w:pPr>
        <w:pStyle w:val="ListParagraph"/>
        <w:numPr>
          <w:ilvl w:val="0"/>
          <w:numId w:val="19"/>
        </w:numPr>
        <w:spacing w:after="120"/>
        <w:contextualSpacing w:val="0"/>
        <w:jc w:val="both"/>
        <w:rPr>
          <w:szCs w:val="24"/>
        </w:rPr>
      </w:pPr>
      <w:r>
        <w:rPr>
          <w:szCs w:val="24"/>
        </w:rPr>
        <w:t>2016.gada 29.februāra rīkojums Nr.145 “Par likumprojekta “Par vidēja termiņa budžeta ietvaru 2017., 2018. un 2019. gadam” un likumprojekta “Par valsts budžetu 2017. gadam” sagatavošanas grafiku”;</w:t>
      </w:r>
    </w:p>
    <w:p w:rsidR="00C62BAA" w:rsidRDefault="0075367B" w:rsidP="008C25BB">
      <w:pPr>
        <w:pStyle w:val="ListParagraph"/>
        <w:numPr>
          <w:ilvl w:val="0"/>
          <w:numId w:val="19"/>
        </w:numPr>
        <w:spacing w:after="120"/>
        <w:contextualSpacing w:val="0"/>
        <w:jc w:val="both"/>
        <w:rPr>
          <w:szCs w:val="24"/>
        </w:rPr>
      </w:pPr>
      <w:r>
        <w:rPr>
          <w:szCs w:val="24"/>
        </w:rPr>
        <w:t>MK</w:t>
      </w:r>
      <w:r w:rsidR="00C62BAA" w:rsidRPr="00F13FF8">
        <w:rPr>
          <w:szCs w:val="24"/>
        </w:rPr>
        <w:t xml:space="preserve"> </w:t>
      </w:r>
      <w:r w:rsidR="00C62BAA">
        <w:rPr>
          <w:szCs w:val="24"/>
        </w:rPr>
        <w:t>rīkojums Nr.141.</w:t>
      </w:r>
    </w:p>
    <w:p w:rsidR="00C62BAA" w:rsidRDefault="00C62BAA" w:rsidP="00C62BAA">
      <w:pPr>
        <w:jc w:val="both"/>
        <w:rPr>
          <w:szCs w:val="24"/>
        </w:rPr>
      </w:pPr>
      <w:r>
        <w:rPr>
          <w:szCs w:val="24"/>
        </w:rPr>
        <w:t>un secināts, ka ministrijām valsts budžeta pieprasījuma sagatavošanai un iesniegšanai FM 2015.gadā tika paredzētas 6 darba diena</w:t>
      </w:r>
      <w:r w:rsidR="0075367B">
        <w:rPr>
          <w:szCs w:val="24"/>
        </w:rPr>
        <w:t>s</w:t>
      </w:r>
      <w:r>
        <w:rPr>
          <w:szCs w:val="24"/>
        </w:rPr>
        <w:t>, savukārt 2016.</w:t>
      </w:r>
      <w:r w:rsidR="00AB31AE">
        <w:rPr>
          <w:szCs w:val="24"/>
        </w:rPr>
        <w:t>gadā 15 darba dienas</w:t>
      </w:r>
      <w:r>
        <w:rPr>
          <w:szCs w:val="24"/>
        </w:rPr>
        <w:t xml:space="preserve"> un 2017.gadā 1</w:t>
      </w:r>
      <w:r w:rsidR="00AB31AE">
        <w:rPr>
          <w:szCs w:val="24"/>
        </w:rPr>
        <w:t>1</w:t>
      </w:r>
      <w:r>
        <w:rPr>
          <w:szCs w:val="24"/>
        </w:rPr>
        <w:t xml:space="preserve"> darba diena</w:t>
      </w:r>
      <w:r w:rsidR="0075367B">
        <w:rPr>
          <w:szCs w:val="24"/>
        </w:rPr>
        <w:t>s.</w:t>
      </w:r>
    </w:p>
    <w:p w:rsidR="00C62BAA" w:rsidRDefault="00C62BAA" w:rsidP="00C62BAA">
      <w:pPr>
        <w:spacing w:before="120" w:after="120"/>
        <w:ind w:firstLine="720"/>
        <w:jc w:val="both"/>
        <w:rPr>
          <w:szCs w:val="24"/>
        </w:rPr>
      </w:pPr>
      <w:r>
        <w:rPr>
          <w:szCs w:val="24"/>
        </w:rPr>
        <w:t xml:space="preserve">Tāpat tika analizēti ministriju pieprasījumi sagatavojot 2017.gada valsts budžeta pieprasījumu un secināts, ka viena resora pieprasījums veido no 13 lp. (CZK un VPK) līdz 298 lp. (VARAM). Savukārt kopā visu </w:t>
      </w:r>
      <w:r w:rsidR="0075367B">
        <w:rPr>
          <w:szCs w:val="24"/>
        </w:rPr>
        <w:t>M</w:t>
      </w:r>
      <w:r>
        <w:rPr>
          <w:szCs w:val="24"/>
        </w:rPr>
        <w:t>inistriju budžeta pieprasījumi</w:t>
      </w:r>
      <w:r w:rsidR="0075367B">
        <w:rPr>
          <w:szCs w:val="24"/>
        </w:rPr>
        <w:t>,</w:t>
      </w:r>
      <w:r>
        <w:rPr>
          <w:szCs w:val="24"/>
        </w:rPr>
        <w:t xml:space="preserve"> sagatavojot 2017.gada valsts budžeta pieprasījumu</w:t>
      </w:r>
      <w:r w:rsidR="0075367B">
        <w:rPr>
          <w:szCs w:val="24"/>
        </w:rPr>
        <w:t>,</w:t>
      </w:r>
      <w:r>
        <w:rPr>
          <w:szCs w:val="24"/>
        </w:rPr>
        <w:t xml:space="preserve"> veidoja 2 274 lp. </w:t>
      </w:r>
    </w:p>
    <w:p w:rsidR="00C62BAA" w:rsidRDefault="00C62BAA" w:rsidP="00AE351B">
      <w:pPr>
        <w:spacing w:before="120" w:after="120"/>
        <w:ind w:firstLine="720"/>
        <w:jc w:val="both"/>
        <w:rPr>
          <w:szCs w:val="24"/>
        </w:rPr>
      </w:pPr>
      <w:r w:rsidRPr="0075367B">
        <w:rPr>
          <w:szCs w:val="24"/>
        </w:rPr>
        <w:t>Attēlā Nr.</w:t>
      </w:r>
      <w:r w:rsidR="004B6C22" w:rsidRPr="0075367B">
        <w:rPr>
          <w:szCs w:val="24"/>
        </w:rPr>
        <w:t>2.4.</w:t>
      </w:r>
      <w:r w:rsidRPr="0075367B">
        <w:rPr>
          <w:szCs w:val="24"/>
        </w:rPr>
        <w:t xml:space="preserve"> parādīts</w:t>
      </w:r>
      <w:r>
        <w:rPr>
          <w:szCs w:val="24"/>
        </w:rPr>
        <w:t xml:space="preserve"> ministriju budžeta pieprasījumu iesniegšanai paredzētais laiks</w:t>
      </w:r>
      <w:r w:rsidR="005B5FF4">
        <w:rPr>
          <w:szCs w:val="24"/>
        </w:rPr>
        <w:t>,</w:t>
      </w:r>
      <w:r>
        <w:rPr>
          <w:szCs w:val="24"/>
        </w:rPr>
        <w:t xml:space="preserve"> sagatavojot vidēja termiņa budžeta ietvara likuma projektu 2016.-2018.gadam, 2017.-2</w:t>
      </w:r>
      <w:r w:rsidR="00AE351B">
        <w:rPr>
          <w:szCs w:val="24"/>
        </w:rPr>
        <w:t xml:space="preserve">019.gadam un 2018.-2020.gadam. </w:t>
      </w:r>
    </w:p>
    <w:p w:rsidR="00C62BAA" w:rsidRDefault="004566AC" w:rsidP="00C62BAA">
      <w:pPr>
        <w:spacing w:before="120"/>
        <w:jc w:val="center"/>
        <w:rPr>
          <w:szCs w:val="24"/>
        </w:rPr>
      </w:pPr>
      <w:r>
        <w:rPr>
          <w:noProof/>
          <w:lang w:eastAsia="lv-LV"/>
        </w:rPr>
        <w:drawing>
          <wp:inline distT="0" distB="0" distL="0" distR="0" wp14:anchorId="0AB78E7C" wp14:editId="19F2BDA9">
            <wp:extent cx="5696570" cy="2728570"/>
            <wp:effectExtent l="19050" t="19050" r="19050" b="1524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677" t="20097" r="10566" b="21531"/>
                    <a:stretch/>
                  </pic:blipFill>
                  <pic:spPr bwMode="auto">
                    <a:xfrm>
                      <a:off x="0" y="0"/>
                      <a:ext cx="5735695" cy="2747310"/>
                    </a:xfrm>
                    <a:prstGeom prst="rect">
                      <a:avLst/>
                    </a:prstGeom>
                    <a:ln>
                      <a:solidFill>
                        <a:schemeClr val="bg1">
                          <a:lumMod val="75000"/>
                        </a:schemeClr>
                      </a:solidFill>
                    </a:ln>
                    <a:extLst>
                      <a:ext uri="{53640926-AAD7-44D8-BBD7-CCE9431645EC}">
                        <a14:shadowObscured xmlns:a14="http://schemas.microsoft.com/office/drawing/2010/main"/>
                      </a:ext>
                    </a:extLst>
                  </pic:spPr>
                </pic:pic>
              </a:graphicData>
            </a:graphic>
          </wp:inline>
        </w:drawing>
      </w:r>
    </w:p>
    <w:p w:rsidR="00C62BAA" w:rsidRDefault="004B6C22" w:rsidP="00C62BAA">
      <w:pPr>
        <w:spacing w:before="120" w:after="240"/>
        <w:jc w:val="center"/>
        <w:rPr>
          <w:b/>
          <w:sz w:val="22"/>
        </w:rPr>
      </w:pPr>
      <w:r w:rsidRPr="0075367B">
        <w:rPr>
          <w:i/>
          <w:sz w:val="22"/>
        </w:rPr>
        <w:t>2.4.</w:t>
      </w:r>
      <w:r w:rsidR="00C62BAA" w:rsidRPr="0075367B">
        <w:rPr>
          <w:i/>
          <w:sz w:val="22"/>
        </w:rPr>
        <w:t>att.</w:t>
      </w:r>
      <w:r w:rsidR="00C62BAA">
        <w:rPr>
          <w:i/>
          <w:sz w:val="22"/>
        </w:rPr>
        <w:t xml:space="preserve"> </w:t>
      </w:r>
      <w:r w:rsidR="00C62BAA">
        <w:rPr>
          <w:b/>
          <w:sz w:val="22"/>
        </w:rPr>
        <w:t>Ministriju budžeta pieprasījumu iesniegšanas cikls 2016.-2018.gadā, 2017.-2019.gadā, 2018.-2020.gadā</w:t>
      </w:r>
    </w:p>
    <w:p w:rsidR="00C62BAA" w:rsidRDefault="00C62BAA" w:rsidP="00C62BAA">
      <w:pPr>
        <w:spacing w:before="120"/>
        <w:ind w:firstLine="720"/>
        <w:jc w:val="both"/>
        <w:rPr>
          <w:szCs w:val="24"/>
        </w:rPr>
      </w:pPr>
      <w:r>
        <w:rPr>
          <w:szCs w:val="24"/>
        </w:rPr>
        <w:t>Jāatzīmē, ka 2015.gadā tika veikti grozījumi LBFV 21.panta pirmajā daļā attiecībā uz gadskārtējā valsts budžeta likuma projektu (budžeta likumprojektu paketes) iesniegšanu Saeimai un pagarināts iesniegšanas termiņš no attiecīgā gada 1.oktobra uz attiecīgā gada 15.oktobri.</w:t>
      </w:r>
    </w:p>
    <w:p w:rsidR="00C62BAA" w:rsidRDefault="00C62BAA" w:rsidP="00C62BAA">
      <w:pPr>
        <w:spacing w:before="120"/>
        <w:ind w:firstLine="720"/>
        <w:jc w:val="both"/>
        <w:rPr>
          <w:szCs w:val="24"/>
        </w:rPr>
      </w:pPr>
      <w:r>
        <w:rPr>
          <w:szCs w:val="24"/>
        </w:rPr>
        <w:t xml:space="preserve">Analizējot ministriju iesniegtos priekšlikumus, budžeta pieprasījumu iesniegšanas ciklu un ministriju budžeta pieprasījumu apjomu secināts, ka budžeta pieprasījuma sagatavošanai </w:t>
      </w:r>
      <w:r>
        <w:rPr>
          <w:szCs w:val="24"/>
        </w:rPr>
        <w:lastRenderedPageBreak/>
        <w:t>nozaru ministrijām paredzēts īss termiņš, līdz ar to nepieciešams pārskatīt MK noteikumos Nr.523 noteiktās veidlapas un veidlapu saturu, iesniedzot valsts budžeta pieprasījumu.</w:t>
      </w:r>
    </w:p>
    <w:p w:rsidR="00C62BAA" w:rsidRDefault="00C62BAA" w:rsidP="00C62BAA">
      <w:pPr>
        <w:spacing w:before="120"/>
        <w:ind w:firstLine="720"/>
        <w:jc w:val="both"/>
        <w:rPr>
          <w:szCs w:val="24"/>
        </w:rPr>
      </w:pPr>
      <w:r>
        <w:rPr>
          <w:szCs w:val="24"/>
        </w:rPr>
        <w:t>MK noteikumi Nr.523 regulē valsts budžeta plānošanu un nosaka pamatprincipus saskaņā ar kuriem ministrijas un citas centrālās valsts iestādes izstrādā un iesniedz FM budžeta pieprasījumus. LBFV 19.panta otrā daļa paredz, ka gadskārtējā valsts budžeta likuma projekta izstrādāšanu nodrošina finanšu ministrs, pamatojoties uz ministriju un citu centrālo valsts iestāžu saskaņā ar vidēja termiņa budžeta ietvara likuma projekta un gadskārtējā valsts budžeta likuma projekta izstrādes un iesniegšanas grafiku sagatavotajiem valsts budžeta pieprasījumiem.</w:t>
      </w:r>
    </w:p>
    <w:p w:rsidR="00C62BAA" w:rsidRDefault="00C62BAA" w:rsidP="00C62BAA">
      <w:pPr>
        <w:spacing w:before="120"/>
        <w:ind w:firstLine="720"/>
        <w:jc w:val="both"/>
        <w:rPr>
          <w:szCs w:val="24"/>
        </w:rPr>
      </w:pPr>
      <w:r>
        <w:rPr>
          <w:szCs w:val="24"/>
        </w:rPr>
        <w:t>Ministrijas budžeta pieprasījumus un paskaidrojumus sagatavo pamatojoties uz MK noteikumu Nr.523 pielikumos noteiktajām veidlapām.</w:t>
      </w:r>
    </w:p>
    <w:p w:rsidR="00C62BAA" w:rsidRDefault="00C62BAA" w:rsidP="00C62BAA">
      <w:pPr>
        <w:spacing w:before="120"/>
        <w:ind w:firstLine="720"/>
        <w:jc w:val="right"/>
        <w:rPr>
          <w:szCs w:val="24"/>
        </w:rPr>
      </w:pPr>
      <w:r w:rsidRPr="002F7289">
        <w:rPr>
          <w:szCs w:val="24"/>
        </w:rPr>
        <w:t>Tabula Nr.</w:t>
      </w:r>
      <w:r w:rsidR="00813C7C" w:rsidRPr="002F7289">
        <w:rPr>
          <w:szCs w:val="24"/>
        </w:rPr>
        <w:t>2.1</w:t>
      </w:r>
      <w:r w:rsidR="008B457B">
        <w:rPr>
          <w:szCs w:val="24"/>
        </w:rPr>
        <w:t>.</w:t>
      </w:r>
    </w:p>
    <w:p w:rsidR="00C62BAA" w:rsidRPr="004458DE" w:rsidRDefault="00C62BAA" w:rsidP="00C62BAA">
      <w:pPr>
        <w:spacing w:before="120" w:after="120"/>
        <w:ind w:firstLine="720"/>
        <w:jc w:val="center"/>
        <w:rPr>
          <w:b/>
          <w:szCs w:val="24"/>
        </w:rPr>
      </w:pPr>
      <w:r w:rsidRPr="004458DE">
        <w:rPr>
          <w:b/>
          <w:szCs w:val="24"/>
        </w:rPr>
        <w:t>Valsts budžeta pieprasījuma veidlapas</w:t>
      </w:r>
    </w:p>
    <w:tbl>
      <w:tblPr>
        <w:tblStyle w:val="TableGrid"/>
        <w:tblW w:w="5000" w:type="pct"/>
        <w:tblLook w:val="04A0" w:firstRow="1" w:lastRow="0" w:firstColumn="1" w:lastColumn="0" w:noHBand="0" w:noVBand="1"/>
      </w:tblPr>
      <w:tblGrid>
        <w:gridCol w:w="901"/>
        <w:gridCol w:w="1801"/>
        <w:gridCol w:w="6359"/>
      </w:tblGrid>
      <w:tr w:rsidR="00C62BAA" w:rsidRPr="00DE6CD5" w:rsidTr="001E4FAF">
        <w:trPr>
          <w:tblHeader/>
        </w:trPr>
        <w:tc>
          <w:tcPr>
            <w:tcW w:w="49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62BAA" w:rsidRPr="00DE6CD5" w:rsidRDefault="00C62BAA" w:rsidP="00B311B1">
            <w:pPr>
              <w:jc w:val="center"/>
              <w:rPr>
                <w:b/>
                <w:sz w:val="22"/>
              </w:rPr>
            </w:pPr>
            <w:r w:rsidRPr="00DE6CD5">
              <w:rPr>
                <w:b/>
                <w:sz w:val="22"/>
              </w:rPr>
              <w:t>Nr.p.k.</w:t>
            </w:r>
          </w:p>
        </w:tc>
        <w:tc>
          <w:tcPr>
            <w:tcW w:w="99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62BAA" w:rsidRPr="00DE6CD5" w:rsidRDefault="00C62BAA" w:rsidP="00B311B1">
            <w:pPr>
              <w:jc w:val="center"/>
              <w:rPr>
                <w:b/>
                <w:sz w:val="22"/>
              </w:rPr>
            </w:pPr>
            <w:r w:rsidRPr="00DE6CD5">
              <w:rPr>
                <w:b/>
                <w:sz w:val="22"/>
              </w:rPr>
              <w:t>Veidlapas Nr.</w:t>
            </w:r>
          </w:p>
        </w:tc>
        <w:tc>
          <w:tcPr>
            <w:tcW w:w="3509"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C62BAA" w:rsidRPr="00DE6CD5" w:rsidRDefault="00C62BAA" w:rsidP="00B311B1">
            <w:pPr>
              <w:jc w:val="center"/>
              <w:rPr>
                <w:b/>
                <w:sz w:val="22"/>
              </w:rPr>
            </w:pPr>
            <w:r w:rsidRPr="00DE6CD5">
              <w:rPr>
                <w:b/>
                <w:sz w:val="22"/>
              </w:rPr>
              <w:t>Veidlapas nosaukums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sz w:val="22"/>
              </w:rPr>
            </w:pPr>
            <w:r w:rsidRPr="00DE6CD5">
              <w:rPr>
                <w:b/>
                <w:sz w:val="22"/>
              </w:rPr>
              <w:t>1(pb)</w:t>
            </w:r>
            <w:r w:rsidRPr="00DE6CD5">
              <w:rPr>
                <w:sz w:val="22"/>
              </w:rPr>
              <w:t xml:space="preserve"> (1.pielikums)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pamatbudžeta ieņēmumu un izdevumu atšifrējums pa programmām un apakšprogrammām vidējam termiņam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1(sb)</w:t>
            </w:r>
          </w:p>
          <w:p w:rsidR="00C62BAA" w:rsidRPr="00DE6CD5" w:rsidRDefault="00C62BAA" w:rsidP="00B311B1">
            <w:pPr>
              <w:jc w:val="center"/>
              <w:rPr>
                <w:sz w:val="22"/>
              </w:rPr>
            </w:pPr>
            <w:r w:rsidRPr="00DE6CD5">
              <w:rPr>
                <w:sz w:val="22"/>
              </w:rPr>
              <w:t>(2.pielikums)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speciālā budžeta ieņēmumu un izdevumu atšifrējums pa programmām un apakšprogrammām vidējam termiņam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2(1)pb</w:t>
            </w:r>
          </w:p>
          <w:p w:rsidR="00C62BAA" w:rsidRPr="00DE6CD5" w:rsidRDefault="00C62BAA" w:rsidP="00B311B1">
            <w:pPr>
              <w:jc w:val="center"/>
              <w:rPr>
                <w:sz w:val="22"/>
              </w:rPr>
            </w:pPr>
            <w:r w:rsidRPr="00DE6CD5">
              <w:rPr>
                <w:sz w:val="22"/>
              </w:rPr>
              <w:t>(3.pielikums)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pamatbudžeta programmu (apakšprogrammu) ieņēmumu un izdevumu pieprasījums vidējam termiņam. Programmu (apakšprogrammu) saraksts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4.</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2(2)pb</w:t>
            </w:r>
          </w:p>
          <w:p w:rsidR="00C62BAA" w:rsidRPr="00DE6CD5" w:rsidRDefault="00C62BAA" w:rsidP="00B311B1">
            <w:pPr>
              <w:jc w:val="center"/>
              <w:rPr>
                <w:sz w:val="22"/>
              </w:rPr>
            </w:pPr>
            <w:r w:rsidRPr="00DE6CD5">
              <w:rPr>
                <w:sz w:val="22"/>
              </w:rPr>
              <w:t>(4.pielikums)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Finansiālo rādītāju kopsavilkums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5.</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2(3)pb</w:t>
            </w:r>
          </w:p>
          <w:p w:rsidR="00C62BAA" w:rsidRPr="00DE6CD5" w:rsidRDefault="00C62BAA" w:rsidP="00B311B1">
            <w:pPr>
              <w:jc w:val="center"/>
              <w:rPr>
                <w:sz w:val="22"/>
              </w:rPr>
            </w:pPr>
            <w:r w:rsidRPr="00DE6CD5">
              <w:rPr>
                <w:sz w:val="22"/>
              </w:rPr>
              <w:t>(5.pielikums)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Izdevumi</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6.</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2(4)pb</w:t>
            </w:r>
          </w:p>
          <w:p w:rsidR="00C62BAA" w:rsidRPr="00DE6CD5" w:rsidRDefault="00C62BAA" w:rsidP="00B311B1">
            <w:pPr>
              <w:jc w:val="center"/>
              <w:rPr>
                <w:sz w:val="22"/>
              </w:rPr>
            </w:pPr>
            <w:r w:rsidRPr="00DE6CD5">
              <w:rPr>
                <w:sz w:val="22"/>
              </w:rPr>
              <w:t>(6.pielikums)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Aizņēmumi un aizdevumi</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7.</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2(1)sb</w:t>
            </w:r>
          </w:p>
          <w:p w:rsidR="00C62BAA" w:rsidRPr="00DE6CD5" w:rsidRDefault="00C62BAA" w:rsidP="00B311B1">
            <w:pPr>
              <w:jc w:val="center"/>
              <w:rPr>
                <w:sz w:val="22"/>
              </w:rPr>
            </w:pPr>
            <w:r w:rsidRPr="00DE6CD5">
              <w:rPr>
                <w:sz w:val="22"/>
              </w:rPr>
              <w:t>(7.pielikums)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speciālā budžeta programmu (apakšprogrammu) ieņēmumu un izdevumu pieprasījums vidējam termiņam. Programmu (apakšprogrammu) saraksts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8.</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2(2)sb</w:t>
            </w:r>
          </w:p>
          <w:p w:rsidR="00C62BAA" w:rsidRPr="00DE6CD5" w:rsidRDefault="00C62BAA" w:rsidP="00B311B1">
            <w:pPr>
              <w:jc w:val="center"/>
              <w:rPr>
                <w:sz w:val="22"/>
              </w:rPr>
            </w:pPr>
            <w:r w:rsidRPr="00DE6CD5">
              <w:rPr>
                <w:sz w:val="22"/>
              </w:rPr>
              <w:t>(8.pielikums)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Finansiālo rādītāju kopsavilkums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9.</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2(3)sb</w:t>
            </w:r>
          </w:p>
          <w:p w:rsidR="00C62BAA" w:rsidRPr="00DE6CD5" w:rsidRDefault="00C62BAA" w:rsidP="00B311B1">
            <w:pPr>
              <w:jc w:val="center"/>
              <w:rPr>
                <w:sz w:val="22"/>
              </w:rPr>
            </w:pPr>
            <w:r w:rsidRPr="00DE6CD5">
              <w:rPr>
                <w:sz w:val="22"/>
              </w:rPr>
              <w:t>(9.pielikums)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Izdevumi</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10.</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2(4)sb</w:t>
            </w:r>
          </w:p>
          <w:p w:rsidR="00C62BAA" w:rsidRPr="00DE6CD5" w:rsidRDefault="00C62BAA" w:rsidP="00B311B1">
            <w:pPr>
              <w:jc w:val="center"/>
              <w:rPr>
                <w:sz w:val="22"/>
              </w:rPr>
            </w:pPr>
            <w:r w:rsidRPr="00DE6CD5">
              <w:rPr>
                <w:sz w:val="22"/>
              </w:rPr>
              <w:t>(10.pielikums)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Aizņēmumi un aizdevumi</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11.</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3(pb)</w:t>
            </w:r>
          </w:p>
          <w:p w:rsidR="00C62BAA" w:rsidRPr="00DE6CD5" w:rsidRDefault="00C62BAA" w:rsidP="00B311B1">
            <w:pPr>
              <w:jc w:val="center"/>
              <w:rPr>
                <w:sz w:val="22"/>
              </w:rPr>
            </w:pPr>
            <w:r w:rsidRPr="00DE6CD5">
              <w:rPr>
                <w:sz w:val="22"/>
              </w:rPr>
              <w:t>(11.pielikums)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pamatbudžeta izdevumu pieprasījuma vidējam termiņam kopsavilkums sadalījumā pa programmām un apakšprogrammām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12.</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3(sb)</w:t>
            </w:r>
          </w:p>
          <w:p w:rsidR="00C62BAA" w:rsidRPr="00DE6CD5" w:rsidRDefault="00C62BAA" w:rsidP="00B311B1">
            <w:pPr>
              <w:jc w:val="center"/>
              <w:rPr>
                <w:sz w:val="22"/>
              </w:rPr>
            </w:pPr>
            <w:r w:rsidRPr="00DE6CD5">
              <w:rPr>
                <w:sz w:val="22"/>
              </w:rPr>
              <w:t>(12.pielikums)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speciālā budžeta izdevumu pieprasījuma vidējam termiņam kopsavilkums sadalījumā pa programmām un apakšprogrammām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13.</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4(pb)</w:t>
            </w:r>
          </w:p>
          <w:p w:rsidR="00C62BAA" w:rsidRPr="00DE6CD5" w:rsidRDefault="00C62BAA" w:rsidP="00B311B1">
            <w:pPr>
              <w:jc w:val="center"/>
              <w:rPr>
                <w:sz w:val="22"/>
              </w:rPr>
            </w:pPr>
            <w:r w:rsidRPr="00DE6CD5">
              <w:rPr>
                <w:sz w:val="22"/>
              </w:rPr>
              <w:t>(13.pielikums)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Valsts pamatbudžeta ilgtermiņa saistības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14.</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4(sb)</w:t>
            </w:r>
          </w:p>
          <w:p w:rsidR="00C62BAA" w:rsidRPr="00DE6CD5" w:rsidRDefault="00C62BAA" w:rsidP="00B311B1">
            <w:pPr>
              <w:jc w:val="center"/>
              <w:rPr>
                <w:sz w:val="22"/>
              </w:rPr>
            </w:pPr>
            <w:r w:rsidRPr="00DE6CD5">
              <w:rPr>
                <w:sz w:val="22"/>
              </w:rPr>
              <w:t>(14.pielikums)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Valsts speciālā budžeta ilgtermiņa saistības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15.</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5</w:t>
            </w:r>
          </w:p>
          <w:p w:rsidR="00C62BAA" w:rsidRPr="00DE6CD5" w:rsidRDefault="00C62BAA" w:rsidP="00B311B1">
            <w:pPr>
              <w:jc w:val="center"/>
              <w:rPr>
                <w:sz w:val="22"/>
              </w:rPr>
            </w:pPr>
            <w:r w:rsidRPr="00DE6CD5">
              <w:rPr>
                <w:sz w:val="22"/>
              </w:rPr>
              <w:t>(15.pielikums)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Valdības galvojumu saraksts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16.</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6</w:t>
            </w:r>
          </w:p>
          <w:p w:rsidR="00C62BAA" w:rsidRPr="00DE6CD5" w:rsidRDefault="00C62BAA" w:rsidP="00B311B1">
            <w:pPr>
              <w:jc w:val="center"/>
              <w:rPr>
                <w:sz w:val="22"/>
              </w:rPr>
            </w:pPr>
            <w:r w:rsidRPr="00DE6CD5">
              <w:rPr>
                <w:sz w:val="22"/>
              </w:rPr>
              <w:t>(16.pielikums)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Pamatbudžetā iemaksājamās valsts nodevas un citi maksājumi no valsts institūciju sniegtajiem pakalpojumiem un veiktās darbības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17.</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7(pb)</w:t>
            </w:r>
          </w:p>
          <w:p w:rsidR="00C62BAA" w:rsidRPr="00DE6CD5" w:rsidRDefault="00C62BAA" w:rsidP="00B311B1">
            <w:pPr>
              <w:jc w:val="center"/>
              <w:rPr>
                <w:sz w:val="22"/>
              </w:rPr>
            </w:pPr>
            <w:r w:rsidRPr="00DE6CD5">
              <w:rPr>
                <w:sz w:val="22"/>
              </w:rPr>
              <w:t>(17.pielikums)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Paskaidrojums par ministrijas (citas centrālās valsts iestādes) valsts pamatbudžeta līdzekļu pieprasījumu vidējam termiņam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18.</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7(LM)</w:t>
            </w:r>
          </w:p>
          <w:p w:rsidR="00C62BAA" w:rsidRPr="00DE6CD5" w:rsidRDefault="00C62BAA" w:rsidP="00B311B1">
            <w:pPr>
              <w:jc w:val="center"/>
              <w:rPr>
                <w:sz w:val="22"/>
              </w:rPr>
            </w:pPr>
            <w:r w:rsidRPr="00DE6CD5">
              <w:rPr>
                <w:sz w:val="22"/>
              </w:rPr>
              <w:t>(18.pielikums)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Paskaidrojums par Labklājības ministrijas valsts pamatbudžeta un valsts speciālā budžeta līdzekļu pieprasījumu vidējam termiņam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lastRenderedPageBreak/>
              <w:t>19.</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8</w:t>
            </w:r>
          </w:p>
          <w:p w:rsidR="00C62BAA" w:rsidRPr="00DE6CD5" w:rsidRDefault="00C62BAA" w:rsidP="00B311B1">
            <w:pPr>
              <w:jc w:val="center"/>
              <w:rPr>
                <w:sz w:val="22"/>
              </w:rPr>
            </w:pPr>
            <w:r w:rsidRPr="00DE6CD5">
              <w:rPr>
                <w:sz w:val="22"/>
              </w:rPr>
              <w:t>(19.pielikums)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Jauno politikas iniciatīvu un citu prioritāro pasākumu saraksts vidējam termiņam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20.</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9</w:t>
            </w:r>
          </w:p>
          <w:p w:rsidR="00C62BAA" w:rsidRPr="00DE6CD5" w:rsidRDefault="00C62BAA" w:rsidP="00B311B1">
            <w:pPr>
              <w:jc w:val="center"/>
              <w:rPr>
                <w:sz w:val="22"/>
              </w:rPr>
            </w:pPr>
            <w:r w:rsidRPr="00DE6CD5">
              <w:rPr>
                <w:sz w:val="22"/>
              </w:rPr>
              <w:t>(20.pielikums)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Optimizācijas pasākumu un reformu saraksts vidējam termiņam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21.</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9</w:t>
            </w:r>
            <w:r w:rsidRPr="00DE6CD5">
              <w:rPr>
                <w:b/>
                <w:sz w:val="22"/>
                <w:vertAlign w:val="superscript"/>
              </w:rPr>
              <w:t>1</w:t>
            </w:r>
          </w:p>
          <w:p w:rsidR="00C62BAA" w:rsidRPr="00DE6CD5" w:rsidRDefault="00C62BAA" w:rsidP="00B311B1">
            <w:pPr>
              <w:jc w:val="center"/>
              <w:rPr>
                <w:sz w:val="22"/>
              </w:rPr>
            </w:pPr>
            <w:r w:rsidRPr="00DE6CD5">
              <w:rPr>
                <w:sz w:val="22"/>
              </w:rPr>
              <w:t>(20.</w:t>
            </w:r>
            <w:r w:rsidRPr="00DE6CD5">
              <w:rPr>
                <w:sz w:val="22"/>
                <w:vertAlign w:val="superscript"/>
              </w:rPr>
              <w:t>1</w:t>
            </w:r>
            <w:r w:rsidRPr="00DE6CD5">
              <w:rPr>
                <w:sz w:val="22"/>
              </w:rPr>
              <w:t xml:space="preserve"> 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Reformas no n+1 līdz n+3 gadam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22.</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10(pb)</w:t>
            </w:r>
          </w:p>
          <w:p w:rsidR="00C62BAA" w:rsidRPr="00DE6CD5" w:rsidRDefault="00C62BAA" w:rsidP="00B311B1">
            <w:pPr>
              <w:jc w:val="center"/>
              <w:rPr>
                <w:sz w:val="22"/>
              </w:rPr>
            </w:pPr>
            <w:r w:rsidRPr="00DE6CD5">
              <w:rPr>
                <w:sz w:val="22"/>
              </w:rPr>
              <w:t>(21.pielikums)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sociālo pabalstu, izdienas pensiju un piemaksu pie vecuma un invaliditātes pensijām izdevumu aprēķins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23.</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10(sb)</w:t>
            </w:r>
          </w:p>
          <w:p w:rsidR="00C62BAA" w:rsidRPr="00DE6CD5" w:rsidRDefault="00C62BAA" w:rsidP="00B311B1">
            <w:pPr>
              <w:jc w:val="center"/>
              <w:rPr>
                <w:sz w:val="22"/>
              </w:rPr>
            </w:pPr>
            <w:r w:rsidRPr="00DE6CD5">
              <w:rPr>
                <w:sz w:val="22"/>
              </w:rPr>
              <w:t>(22.pielikums)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pensiju, sociālās apdrošināšanas pabalstu un valsts budžeta maksājumu izdevumu aprēķins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24.</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11</w:t>
            </w:r>
          </w:p>
          <w:p w:rsidR="00C62BAA" w:rsidRPr="00DE6CD5" w:rsidRDefault="00C62BAA" w:rsidP="00B311B1">
            <w:pPr>
              <w:jc w:val="center"/>
              <w:rPr>
                <w:sz w:val="22"/>
              </w:rPr>
            </w:pPr>
            <w:r w:rsidRPr="00DE6CD5">
              <w:rPr>
                <w:sz w:val="22"/>
              </w:rPr>
              <w:t>(23.pielikums)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Mērķdotācijas pašvaldībām – pašvaldību pamata un vispārējās vidējās izglītības iestāžu, pašvaldību speciālās izglītības iestāžu un pašvaldību profesionālās izglītības iestāžu pedagogu darba samaksai un valsts sociālās apdrošināšanas obligātajām iemaksām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25.</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12</w:t>
            </w:r>
          </w:p>
          <w:p w:rsidR="00C62BAA" w:rsidRPr="00DE6CD5" w:rsidRDefault="00C62BAA" w:rsidP="00B311B1">
            <w:pPr>
              <w:jc w:val="center"/>
              <w:rPr>
                <w:sz w:val="22"/>
              </w:rPr>
            </w:pPr>
            <w:r w:rsidRPr="00DE6CD5">
              <w:rPr>
                <w:sz w:val="22"/>
              </w:rPr>
              <w:t>(24.pielikums)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Mērķdotācijas pašvaldībām – interešu izglītības programmu un sporta skolu pedagogu daļējai darba samaksai un valsts sociālās apdrošināšanas obligātajām iemaksām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26.</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13</w:t>
            </w:r>
          </w:p>
          <w:p w:rsidR="00C62BAA" w:rsidRPr="00DE6CD5" w:rsidRDefault="00C62BAA" w:rsidP="00B311B1">
            <w:pPr>
              <w:jc w:val="center"/>
              <w:rPr>
                <w:sz w:val="22"/>
              </w:rPr>
            </w:pPr>
            <w:r w:rsidRPr="00DE6CD5">
              <w:rPr>
                <w:sz w:val="22"/>
              </w:rPr>
              <w:t>(25.pielikums)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Mērķdotācijas pašvaldībām – pašvaldību speciālajām pirmsskolas izglītības iestādēm, internātskolām, Izglītības iestāžu reģistrā reģistrētajiem attīstības un rehabilitācijas centriem un speciālajām internātskolām bērniem ar fiziskās un garīgās attīstības traucējumiem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27.</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14</w:t>
            </w:r>
          </w:p>
          <w:p w:rsidR="00C62BAA" w:rsidRPr="00DE6CD5" w:rsidRDefault="00C62BAA" w:rsidP="00B311B1">
            <w:pPr>
              <w:jc w:val="center"/>
              <w:rPr>
                <w:sz w:val="22"/>
              </w:rPr>
            </w:pPr>
            <w:r w:rsidRPr="00DE6CD5">
              <w:rPr>
                <w:sz w:val="22"/>
              </w:rPr>
              <w:t>(26.pielikums)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Mērķdotācijas pašvaldībām – pašvaldību izglītības iestādēs bērnu no piecu gadu vecuma izglītošanā nodarbināto pedagogu darba samaksai un valsts sociālās apdrošināšanas obligātajām iemaksām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28.</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15</w:t>
            </w:r>
          </w:p>
          <w:p w:rsidR="00C62BAA" w:rsidRPr="00DE6CD5" w:rsidRDefault="00C62BAA" w:rsidP="00B311B1">
            <w:pPr>
              <w:jc w:val="center"/>
              <w:rPr>
                <w:sz w:val="22"/>
              </w:rPr>
            </w:pPr>
            <w:r w:rsidRPr="00DE6CD5">
              <w:rPr>
                <w:sz w:val="22"/>
              </w:rPr>
              <w:t>(27.pielikums)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Mērķdotācijas pašvaldībām – pašvaldību pirmsskolas izglītības iestādēs nodarbināto pedagogu darba samaksas paaugstināšanai un valsts sociālās apdrošināšanas obligātajām iemaksām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29.</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16</w:t>
            </w:r>
          </w:p>
          <w:p w:rsidR="00C62BAA" w:rsidRPr="00DE6CD5" w:rsidRDefault="00C62BAA" w:rsidP="00B311B1">
            <w:pPr>
              <w:jc w:val="center"/>
              <w:rPr>
                <w:sz w:val="22"/>
              </w:rPr>
            </w:pPr>
            <w:r w:rsidRPr="00DE6CD5">
              <w:rPr>
                <w:sz w:val="22"/>
              </w:rPr>
              <w:t>(28.pielikums)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Mērķdotācijas pašvaldību tautas mākslas kolektīvu vadītāju darba samaksai un valsts sociālās apdrošināšanas obligātajām iemaksām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30.</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17</w:t>
            </w:r>
          </w:p>
          <w:p w:rsidR="00C62BAA" w:rsidRPr="00DE6CD5" w:rsidRDefault="00C62BAA" w:rsidP="00B311B1">
            <w:pPr>
              <w:jc w:val="center"/>
              <w:rPr>
                <w:sz w:val="22"/>
              </w:rPr>
            </w:pPr>
            <w:r w:rsidRPr="00DE6CD5">
              <w:rPr>
                <w:sz w:val="22"/>
              </w:rPr>
              <w:t>(29.pielikums)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Mērķdotācijas investīcijām pašvaldībām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31.</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18</w:t>
            </w:r>
          </w:p>
          <w:p w:rsidR="00C62BAA" w:rsidRPr="00DE6CD5" w:rsidRDefault="00C62BAA" w:rsidP="00B311B1">
            <w:pPr>
              <w:jc w:val="center"/>
              <w:rPr>
                <w:sz w:val="22"/>
              </w:rPr>
            </w:pPr>
            <w:r w:rsidRPr="00DE6CD5">
              <w:rPr>
                <w:sz w:val="22"/>
              </w:rPr>
              <w:t>(30.pielikums)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Iesniegums Vienotās valsts budžeta plānošanas un izpildes informācijas sistēmas plānošanas bloka lietošanas tiesību piešķiršanai, maiņai vai anulēšanai</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32.</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19(pb)</w:t>
            </w:r>
          </w:p>
          <w:p w:rsidR="00C62BAA" w:rsidRPr="00DE6CD5" w:rsidRDefault="00C62BAA" w:rsidP="00B311B1">
            <w:pPr>
              <w:jc w:val="center"/>
              <w:rPr>
                <w:sz w:val="22"/>
              </w:rPr>
            </w:pPr>
            <w:r w:rsidRPr="00DE6CD5">
              <w:rPr>
                <w:sz w:val="22"/>
              </w:rPr>
              <w:t>(31.pielikums)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Valsts pamatbudžeta kopsavilkums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33.</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19(sb)</w:t>
            </w:r>
          </w:p>
          <w:p w:rsidR="00C62BAA" w:rsidRPr="00DE6CD5" w:rsidRDefault="00C62BAA" w:rsidP="00B311B1">
            <w:pPr>
              <w:jc w:val="center"/>
              <w:rPr>
                <w:sz w:val="22"/>
              </w:rPr>
            </w:pPr>
            <w:r w:rsidRPr="00DE6CD5">
              <w:rPr>
                <w:sz w:val="22"/>
              </w:rPr>
              <w:t>(32.pielikums)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Valsts speciālā budžeta kopsavilkums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34.</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20</w:t>
            </w:r>
          </w:p>
          <w:p w:rsidR="00C62BAA" w:rsidRPr="00DE6CD5" w:rsidRDefault="00C62BAA" w:rsidP="00B311B1">
            <w:pPr>
              <w:jc w:val="center"/>
              <w:rPr>
                <w:sz w:val="22"/>
              </w:rPr>
            </w:pPr>
            <w:r w:rsidRPr="00DE6CD5">
              <w:rPr>
                <w:sz w:val="22"/>
              </w:rPr>
              <w:t>(33.pielikums)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Valsts budžeta programmu (apakšprogrammu) atlīdzības pieprasījums n+1 gadam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35.</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21</w:t>
            </w:r>
          </w:p>
          <w:p w:rsidR="00C62BAA" w:rsidRPr="00DE6CD5" w:rsidRDefault="00C62BAA" w:rsidP="00B311B1">
            <w:pPr>
              <w:jc w:val="center"/>
              <w:rPr>
                <w:sz w:val="22"/>
              </w:rPr>
            </w:pPr>
            <w:r w:rsidRPr="00DE6CD5">
              <w:rPr>
                <w:sz w:val="22"/>
              </w:rPr>
              <w:t>(34.pielikums)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rPr>
                <w:sz w:val="22"/>
              </w:rPr>
            </w:pPr>
            <w:r w:rsidRPr="00DE6CD5">
              <w:rPr>
                <w:sz w:val="22"/>
              </w:rPr>
              <w:t>Plānoto starpministriju transfertu n+1, n+2, n+3 gadā saskaņojums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36.</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22</w:t>
            </w:r>
          </w:p>
          <w:p w:rsidR="00C62BAA" w:rsidRPr="00DE6CD5" w:rsidRDefault="00C62BAA" w:rsidP="00B311B1">
            <w:pPr>
              <w:jc w:val="center"/>
              <w:rPr>
                <w:sz w:val="22"/>
              </w:rPr>
            </w:pPr>
            <w:r w:rsidRPr="00DE6CD5">
              <w:rPr>
                <w:sz w:val="22"/>
              </w:rPr>
              <w:t>(35.pielikums)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Ministriju, no valsts budžeta daļēji finansēto atvasināto publisko personu un budžeta nefinansēto iestāžu plānoto savstarpējo transfertu n+1, n+2, n+3 gadā saskaņojums</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37.</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23(pb)</w:t>
            </w:r>
          </w:p>
          <w:p w:rsidR="00C62BAA" w:rsidRPr="00DE6CD5" w:rsidRDefault="00C62BAA" w:rsidP="00B311B1">
            <w:pPr>
              <w:jc w:val="center"/>
              <w:rPr>
                <w:sz w:val="22"/>
              </w:rPr>
            </w:pPr>
            <w:r w:rsidRPr="00DE6CD5">
              <w:rPr>
                <w:sz w:val="22"/>
              </w:rPr>
              <w:t>(36.pielikums)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Paskaidrojums par ministrijas (citas centrālās valsts iestādes) priekšlikumiem grozījumiem likumā par valsts budžetu kārtējam gadam valsts pamatbudžetā</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38.</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23(sb)</w:t>
            </w:r>
          </w:p>
          <w:p w:rsidR="00C62BAA" w:rsidRPr="00DE6CD5" w:rsidRDefault="00C62BAA" w:rsidP="00B311B1">
            <w:pPr>
              <w:jc w:val="center"/>
              <w:rPr>
                <w:sz w:val="22"/>
              </w:rPr>
            </w:pPr>
            <w:r w:rsidRPr="00DE6CD5">
              <w:rPr>
                <w:sz w:val="22"/>
              </w:rPr>
              <w:t>(37.pielikums)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Paskaidrojums par ministrijas (citas centrālās valsts iestādes) priekšlikumiem grozījumiem likumā par valsts budžetu kārtējam gadam valsts speciālajā budžetā</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39.</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24</w:t>
            </w:r>
          </w:p>
          <w:p w:rsidR="00C62BAA" w:rsidRPr="00DE6CD5" w:rsidRDefault="00C62BAA" w:rsidP="00B311B1">
            <w:pPr>
              <w:jc w:val="center"/>
              <w:rPr>
                <w:sz w:val="22"/>
              </w:rPr>
            </w:pPr>
            <w:r w:rsidRPr="00DE6CD5">
              <w:rPr>
                <w:sz w:val="22"/>
              </w:rPr>
              <w:t>(38.pielikums)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Paskaidrojums par ministrijas (citas centrālās valsts iestādes) darbības rezultātu un to rezultatīvo rādītāju izmaiņām</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lastRenderedPageBreak/>
              <w:t>40.</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25</w:t>
            </w:r>
          </w:p>
          <w:p w:rsidR="00C62BAA" w:rsidRPr="00DE6CD5" w:rsidRDefault="00C62BAA" w:rsidP="00B311B1">
            <w:pPr>
              <w:jc w:val="center"/>
              <w:rPr>
                <w:sz w:val="22"/>
              </w:rPr>
            </w:pPr>
            <w:r w:rsidRPr="00DE6CD5">
              <w:rPr>
                <w:sz w:val="22"/>
              </w:rPr>
              <w:t>(39.pielikums)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Priekšlikumi valsts budžeta likumprojekta teksta izskatīšanai Saeimā otrajā lasījumā</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41.</w:t>
            </w:r>
          </w:p>
        </w:tc>
        <w:tc>
          <w:tcPr>
            <w:tcW w:w="994"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center"/>
              <w:rPr>
                <w:b/>
                <w:sz w:val="22"/>
              </w:rPr>
            </w:pPr>
            <w:r w:rsidRPr="00DE6CD5">
              <w:rPr>
                <w:b/>
                <w:sz w:val="22"/>
              </w:rPr>
              <w:t>26</w:t>
            </w:r>
          </w:p>
          <w:p w:rsidR="00C62BAA" w:rsidRPr="00DE6CD5" w:rsidRDefault="00C62BAA" w:rsidP="00B311B1">
            <w:pPr>
              <w:jc w:val="center"/>
              <w:rPr>
                <w:sz w:val="22"/>
              </w:rPr>
            </w:pPr>
            <w:r w:rsidRPr="00DE6CD5">
              <w:rPr>
                <w:sz w:val="22"/>
              </w:rPr>
              <w:t>(40.pielikums)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Priekšlikumi valsts budžeta likumprojekta pielikumu izskatīšanai Saeimā otrajā lasījumā</w:t>
            </w:r>
          </w:p>
        </w:tc>
      </w:tr>
      <w:tr w:rsidR="00C62BAA" w:rsidRPr="00DE6CD5" w:rsidTr="001E4FAF">
        <w:tc>
          <w:tcPr>
            <w:tcW w:w="497"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sz w:val="22"/>
              </w:rPr>
            </w:pPr>
            <w:r w:rsidRPr="00DE6CD5">
              <w:rPr>
                <w:sz w:val="22"/>
              </w:rPr>
              <w:t>42.</w:t>
            </w:r>
          </w:p>
        </w:tc>
        <w:tc>
          <w:tcPr>
            <w:tcW w:w="994" w:type="pct"/>
            <w:tcBorders>
              <w:top w:val="single" w:sz="4" w:space="0" w:color="auto"/>
              <w:left w:val="single" w:sz="4" w:space="0" w:color="auto"/>
              <w:bottom w:val="single" w:sz="4" w:space="0" w:color="auto"/>
              <w:right w:val="single" w:sz="4" w:space="0" w:color="auto"/>
            </w:tcBorders>
            <w:vAlign w:val="center"/>
            <w:hideMark/>
          </w:tcPr>
          <w:p w:rsidR="00C62BAA" w:rsidRPr="00DE6CD5" w:rsidRDefault="00C62BAA" w:rsidP="00B311B1">
            <w:pPr>
              <w:jc w:val="center"/>
              <w:rPr>
                <w:b/>
                <w:sz w:val="22"/>
              </w:rPr>
            </w:pPr>
            <w:r w:rsidRPr="00DE6CD5">
              <w:rPr>
                <w:b/>
                <w:sz w:val="22"/>
              </w:rPr>
              <w:t>27</w:t>
            </w:r>
          </w:p>
          <w:p w:rsidR="00C62BAA" w:rsidRPr="00DE6CD5" w:rsidRDefault="00C62BAA" w:rsidP="00B311B1">
            <w:pPr>
              <w:jc w:val="center"/>
              <w:rPr>
                <w:sz w:val="22"/>
              </w:rPr>
            </w:pPr>
            <w:r w:rsidRPr="00DE6CD5">
              <w:rPr>
                <w:sz w:val="22"/>
              </w:rPr>
              <w:t>(38.</w:t>
            </w:r>
            <w:r w:rsidRPr="00DE6CD5">
              <w:rPr>
                <w:sz w:val="22"/>
                <w:vertAlign w:val="superscript"/>
              </w:rPr>
              <w:t>1</w:t>
            </w:r>
            <w:r w:rsidRPr="00DE6CD5">
              <w:rPr>
                <w:sz w:val="22"/>
              </w:rPr>
              <w:t xml:space="preserve"> pielikums)</w:t>
            </w:r>
          </w:p>
        </w:tc>
        <w:tc>
          <w:tcPr>
            <w:tcW w:w="3509" w:type="pct"/>
            <w:tcBorders>
              <w:top w:val="single" w:sz="4" w:space="0" w:color="auto"/>
              <w:left w:val="single" w:sz="4" w:space="0" w:color="auto"/>
              <w:bottom w:val="single" w:sz="4" w:space="0" w:color="auto"/>
              <w:right w:val="single" w:sz="4" w:space="0" w:color="auto"/>
            </w:tcBorders>
            <w:hideMark/>
          </w:tcPr>
          <w:p w:rsidR="00C62BAA" w:rsidRPr="00DE6CD5" w:rsidRDefault="00C62BAA" w:rsidP="00B311B1">
            <w:pPr>
              <w:jc w:val="both"/>
              <w:rPr>
                <w:sz w:val="22"/>
              </w:rPr>
            </w:pPr>
            <w:r w:rsidRPr="00DE6CD5">
              <w:rPr>
                <w:sz w:val="22"/>
              </w:rPr>
              <w:t>Ministrijas (citas centrālās valsts iestādes) padotībā esošo valsts budžeta daļēji finansēto atvasināto publisko personu un budžeta nefinansēto iestāžu saraksts</w:t>
            </w:r>
          </w:p>
        </w:tc>
      </w:tr>
    </w:tbl>
    <w:p w:rsidR="00C62BAA" w:rsidRDefault="00C62BAA" w:rsidP="00C62BAA">
      <w:pPr>
        <w:spacing w:before="240"/>
        <w:ind w:firstLine="720"/>
        <w:jc w:val="both"/>
        <w:rPr>
          <w:szCs w:val="24"/>
        </w:rPr>
      </w:pPr>
      <w:r>
        <w:rPr>
          <w:szCs w:val="24"/>
        </w:rPr>
        <w:t xml:space="preserve">Kā redzams </w:t>
      </w:r>
      <w:r w:rsidR="00566D48" w:rsidRPr="002F7289">
        <w:rPr>
          <w:szCs w:val="24"/>
        </w:rPr>
        <w:t>t</w:t>
      </w:r>
      <w:r w:rsidRPr="002F7289">
        <w:rPr>
          <w:szCs w:val="24"/>
        </w:rPr>
        <w:t>abulā Nr.</w:t>
      </w:r>
      <w:r w:rsidR="00566D48" w:rsidRPr="002F7289">
        <w:rPr>
          <w:szCs w:val="24"/>
        </w:rPr>
        <w:t>2</w:t>
      </w:r>
      <w:r w:rsidR="00566D48">
        <w:rPr>
          <w:szCs w:val="24"/>
        </w:rPr>
        <w:t>.1</w:t>
      </w:r>
      <w:r w:rsidR="008B457B">
        <w:rPr>
          <w:szCs w:val="24"/>
        </w:rPr>
        <w:t>.</w:t>
      </w:r>
      <w:r w:rsidR="00BF445B">
        <w:rPr>
          <w:szCs w:val="24"/>
        </w:rPr>
        <w:t>,</w:t>
      </w:r>
      <w:r>
        <w:rPr>
          <w:szCs w:val="24"/>
        </w:rPr>
        <w:t xml:space="preserve"> MK noteikumu Nr.523 pielikumi kopumā satur 42 veidlapas. Jāņem vērā, ka no 42 veidlapām 2 veidlapas ministrijas aizpilda sagatavojot priekšlikumus grozījumiem likumā par valsts budžetu kārtējam gadam, līdz ar to ministrijām uz kārtējā gada budžeta pieprasījumu kopumā ir jāaizpilda 40 veidlapas.</w:t>
      </w:r>
    </w:p>
    <w:p w:rsidR="00C62BAA" w:rsidRDefault="00C62BAA" w:rsidP="00C62BAA">
      <w:pPr>
        <w:spacing w:before="120" w:after="120"/>
        <w:ind w:firstLine="720"/>
        <w:jc w:val="both"/>
        <w:rPr>
          <w:szCs w:val="24"/>
        </w:rPr>
      </w:pPr>
      <w:r>
        <w:rPr>
          <w:szCs w:val="24"/>
        </w:rPr>
        <w:t>Pārskatot MK noteikumos Nr.523 iekļautās veidlapas, kā arī iepazīstoties ar nozaru ministriju iesūtītajiem priekšlikumiem, FM galvenie secinājumi ir:</w:t>
      </w:r>
    </w:p>
    <w:p w:rsidR="00C62BAA" w:rsidRDefault="00C62BAA" w:rsidP="008C25BB">
      <w:pPr>
        <w:pStyle w:val="ListParagraph"/>
        <w:numPr>
          <w:ilvl w:val="0"/>
          <w:numId w:val="20"/>
        </w:numPr>
        <w:spacing w:after="120"/>
        <w:ind w:left="1077" w:hanging="357"/>
        <w:contextualSpacing w:val="0"/>
        <w:jc w:val="both"/>
        <w:rPr>
          <w:szCs w:val="24"/>
        </w:rPr>
      </w:pPr>
      <w:r>
        <w:rPr>
          <w:i/>
          <w:szCs w:val="24"/>
        </w:rPr>
        <w:t>iesniedzamo veidlapu skaits</w:t>
      </w:r>
      <w:r>
        <w:rPr>
          <w:szCs w:val="24"/>
        </w:rPr>
        <w:t xml:space="preserve"> – jāpārskata iesniedzamo veidlapu skaits un jāvienkāršo to iesniegšanas procedūra, tādējādi atvieglojot apjomīgas informācijas sagatavošanas un iesniegšanas procesu;</w:t>
      </w:r>
    </w:p>
    <w:p w:rsidR="00C62BAA" w:rsidRDefault="00C62BAA" w:rsidP="008C25BB">
      <w:pPr>
        <w:pStyle w:val="ListParagraph"/>
        <w:numPr>
          <w:ilvl w:val="0"/>
          <w:numId w:val="20"/>
        </w:numPr>
        <w:spacing w:after="120"/>
        <w:contextualSpacing w:val="0"/>
        <w:jc w:val="both"/>
        <w:rPr>
          <w:szCs w:val="24"/>
        </w:rPr>
      </w:pPr>
      <w:r>
        <w:rPr>
          <w:i/>
          <w:szCs w:val="24"/>
        </w:rPr>
        <w:t>iesniedzamo veidlapu saturs</w:t>
      </w:r>
      <w:r>
        <w:rPr>
          <w:szCs w:val="24"/>
        </w:rPr>
        <w:t xml:space="preserve"> – jāpārskata veidlapās iesniedzamās informācijas saturs pilnveidojot informācijas apmaiņu starp ministrijām, maksimāli izmantojot FM rīcībā esošo informāciju.</w:t>
      </w:r>
    </w:p>
    <w:p w:rsidR="00C62BAA" w:rsidRDefault="00C62BAA" w:rsidP="000E592B">
      <w:pPr>
        <w:spacing w:before="120" w:after="120"/>
        <w:ind w:firstLine="720"/>
        <w:jc w:val="both"/>
        <w:rPr>
          <w:szCs w:val="24"/>
        </w:rPr>
      </w:pPr>
      <w:r>
        <w:rPr>
          <w:szCs w:val="24"/>
        </w:rPr>
        <w:t>Izpētot ministriju sniegtos priekšlikumu par MK noteikumiem Nr.523, FM tos sadalīja 5 grupās:</w:t>
      </w:r>
    </w:p>
    <w:p w:rsidR="00C62BAA" w:rsidRDefault="00C62BAA" w:rsidP="008C25BB">
      <w:pPr>
        <w:pStyle w:val="ListParagraph"/>
        <w:numPr>
          <w:ilvl w:val="0"/>
          <w:numId w:val="21"/>
        </w:numPr>
        <w:spacing w:after="120"/>
        <w:contextualSpacing w:val="0"/>
        <w:jc w:val="both"/>
        <w:rPr>
          <w:i/>
          <w:szCs w:val="24"/>
        </w:rPr>
      </w:pPr>
      <w:r>
        <w:rPr>
          <w:i/>
          <w:szCs w:val="24"/>
        </w:rPr>
        <w:t xml:space="preserve">Priekšlikumi, kuri attiecināmi uz budžeta pieprasījuma detalizācijas pakāpi </w:t>
      </w:r>
      <w:r>
        <w:rPr>
          <w:szCs w:val="24"/>
        </w:rPr>
        <w:t>(VM, IZM, FM (resors), AiM, EM, LM, TM, KM, VK, PKC norādījušas uz nepieciešamību izvērtēt budžeta pieprasījumos norādāmo izdevumu segšanai paredzēto resursu (veidlapa 2(2)pb) un izdevumu (veidlapa 2(3)pb) detalizācijas pakāpi atbilstoši ekonomiskajām kategorijām kodu zemākajā detalizācijas pakāpē (četras zīmes) n gadam un n+2 un n+3 gadam);</w:t>
      </w:r>
    </w:p>
    <w:p w:rsidR="00C62BAA" w:rsidRDefault="00C62BAA" w:rsidP="008C25BB">
      <w:pPr>
        <w:pStyle w:val="ListParagraph"/>
        <w:numPr>
          <w:ilvl w:val="0"/>
          <w:numId w:val="21"/>
        </w:numPr>
        <w:spacing w:after="120"/>
        <w:contextualSpacing w:val="0"/>
        <w:jc w:val="both"/>
        <w:rPr>
          <w:i/>
          <w:szCs w:val="24"/>
        </w:rPr>
      </w:pPr>
      <w:r>
        <w:rPr>
          <w:i/>
          <w:szCs w:val="24"/>
        </w:rPr>
        <w:t xml:space="preserve">Priekšlikumi, kuri saistīti ar atteikšanos no atsevišķām veidlapām </w:t>
      </w:r>
      <w:r>
        <w:rPr>
          <w:szCs w:val="24"/>
        </w:rPr>
        <w:t>(VM, IZM, FM (resors), LM norādījušas uz nepieciešamību atteikties, vai precizēt saturu šādās veidlapās – Nr.2(4)pb, Nr.4(pb), Nr.6, Nr.8, Nr.9, Nr.20. Kā pamatojums tiek minēts gan nelietderīgi tērētais administratīvais resurss, gan veidlapas pielietošanas iespējas);</w:t>
      </w:r>
    </w:p>
    <w:p w:rsidR="00C62BAA" w:rsidRDefault="00C62BAA" w:rsidP="008C25BB">
      <w:pPr>
        <w:pStyle w:val="ListParagraph"/>
        <w:numPr>
          <w:ilvl w:val="0"/>
          <w:numId w:val="21"/>
        </w:numPr>
        <w:spacing w:after="120"/>
        <w:contextualSpacing w:val="0"/>
        <w:jc w:val="both"/>
        <w:rPr>
          <w:i/>
          <w:szCs w:val="24"/>
        </w:rPr>
      </w:pPr>
      <w:r>
        <w:rPr>
          <w:i/>
          <w:szCs w:val="24"/>
        </w:rPr>
        <w:t>Priekšlikumi par Vienotajā</w:t>
      </w:r>
      <w:r w:rsidRPr="005663C8">
        <w:rPr>
          <w:i/>
          <w:szCs w:val="24"/>
        </w:rPr>
        <w:t xml:space="preserve"> valsts budžeta plānošanas un izpildes informācijas sistēmā </w:t>
      </w:r>
      <w:r>
        <w:rPr>
          <w:i/>
          <w:szCs w:val="24"/>
        </w:rPr>
        <w:t xml:space="preserve">(turpmāk – SAP) apstiprināto veidlapu atkārtotu iesniegšanu FM </w:t>
      </w:r>
      <w:r>
        <w:rPr>
          <w:szCs w:val="24"/>
        </w:rPr>
        <w:t>(VKo, VARAM, TM, IeM norādījušas, ka budžeta pieprasījuma veidlapas jāaizpilda un jāiesniedz gan SAP, gan jānosūta FM pašrocīgi vai elektroniski parakstītas. Ministrijas uzskata, ka nepieciešams izvērtēt, cik nepieciešama ir veidlapu iesniegšana papīrā);</w:t>
      </w:r>
    </w:p>
    <w:p w:rsidR="00C62BAA" w:rsidRDefault="00C62BAA" w:rsidP="008C25BB">
      <w:pPr>
        <w:pStyle w:val="ListParagraph"/>
        <w:numPr>
          <w:ilvl w:val="0"/>
          <w:numId w:val="21"/>
        </w:numPr>
        <w:spacing w:after="120"/>
        <w:contextualSpacing w:val="0"/>
        <w:jc w:val="both"/>
        <w:rPr>
          <w:i/>
          <w:szCs w:val="24"/>
        </w:rPr>
      </w:pPr>
      <w:r>
        <w:rPr>
          <w:i/>
          <w:szCs w:val="24"/>
        </w:rPr>
        <w:t xml:space="preserve">Priekšlikumi par veidlapu saturu </w:t>
      </w:r>
      <w:r>
        <w:rPr>
          <w:szCs w:val="24"/>
        </w:rPr>
        <w:t>(VARAM, FM (resors), SM norādījušas uz nepieciešamību precizēt veidlapu saturu, lai atvieglotu veidlapu aizpildīšanu un lietošanu (ministrijas kā precizējamas minējušas veidlapu Nr.1(pb), 2(2)pb, 2(3)pb, 4(pb), 26);</w:t>
      </w:r>
    </w:p>
    <w:p w:rsidR="00C62BAA" w:rsidRPr="00FF7269" w:rsidRDefault="00C62BAA" w:rsidP="008C25BB">
      <w:pPr>
        <w:pStyle w:val="ListParagraph"/>
        <w:numPr>
          <w:ilvl w:val="0"/>
          <w:numId w:val="21"/>
        </w:numPr>
        <w:spacing w:after="120"/>
        <w:ind w:left="714" w:hanging="357"/>
        <w:contextualSpacing w:val="0"/>
        <w:jc w:val="both"/>
        <w:rPr>
          <w:i/>
          <w:szCs w:val="24"/>
        </w:rPr>
      </w:pPr>
      <w:r>
        <w:rPr>
          <w:i/>
          <w:szCs w:val="24"/>
        </w:rPr>
        <w:t xml:space="preserve">Priekšlikumi par spēkā esošo noteikumu normu precizēšanu </w:t>
      </w:r>
      <w:r>
        <w:rPr>
          <w:szCs w:val="24"/>
        </w:rPr>
        <w:t xml:space="preserve">(VARAM, AiM, LM, VK ierosina papildināt, vai precizēt spēkā esošo noteikumu normas par budžeta pieprasījumu izstrādāšanas pamatprincipiem, kā arī izsaka priekšlikumu par konkrētā gada valsts budžetā norādāmajām izdevumu pozīcijām, t.i., VK piedāvā apvienot izdevumu pozīciju kapitālie izdevumi (5000 EKK) un izdevumu pozīciju preces un pakalpojumi (2000 EKK). </w:t>
      </w:r>
    </w:p>
    <w:p w:rsidR="00FF7269" w:rsidRPr="00FF7269" w:rsidRDefault="00FF7269" w:rsidP="000E592B">
      <w:pPr>
        <w:spacing w:before="120" w:after="120"/>
        <w:ind w:firstLine="720"/>
        <w:jc w:val="both"/>
        <w:rPr>
          <w:szCs w:val="24"/>
        </w:rPr>
      </w:pPr>
      <w:r w:rsidRPr="000E592B">
        <w:rPr>
          <w:szCs w:val="24"/>
        </w:rPr>
        <w:lastRenderedPageBreak/>
        <w:t>Attēlā Nr.2.5. parādīts</w:t>
      </w:r>
      <w:r>
        <w:rPr>
          <w:szCs w:val="24"/>
        </w:rPr>
        <w:t xml:space="preserve"> iepriekš minēto ministriju priekšlikumu procentuāls sadalījums, t.i., ministriju priekšlikumi no kopējā priekšlikumu skaita par MK noteikumiem Nr.523, kuri attiecināmi uz budžeta pieprasījumu detalizācijas pakāpi veido 34%, priekšlikumi par atteikšanos no atsevišķām MK noteikumos Nr.523 iekļautajām veidlapām, vai šo veidlapu satura uzlabošana veido 27%, priekšlikumi par veidlapu iesniegšanu FM papīra formā 13%, priekšlikumi, kuri attiecināmi uz veidlapu satura precizēšanu 13%, kā arī 13% ir priekšlikumi, kuri attiecināmi uz spēkā esošo noteikumu normu precizēšanu.</w:t>
      </w:r>
    </w:p>
    <w:p w:rsidR="00C62BAA" w:rsidRDefault="00C62BAA" w:rsidP="00C62BAA">
      <w:pPr>
        <w:tabs>
          <w:tab w:val="left" w:pos="740"/>
        </w:tabs>
        <w:jc w:val="center"/>
        <w:rPr>
          <w:szCs w:val="24"/>
        </w:rPr>
      </w:pPr>
      <w:r>
        <w:rPr>
          <w:noProof/>
          <w:sz w:val="28"/>
          <w:szCs w:val="28"/>
          <w:lang w:eastAsia="lv-LV"/>
        </w:rPr>
        <w:drawing>
          <wp:inline distT="0" distB="0" distL="0" distR="0" wp14:anchorId="2F5C2C46" wp14:editId="7E1B4135">
            <wp:extent cx="5526157" cy="2496710"/>
            <wp:effectExtent l="0" t="0" r="17780" b="18415"/>
            <wp:docPr id="4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62BAA" w:rsidRPr="00FF7269" w:rsidRDefault="00FF7269" w:rsidP="00820682">
      <w:pPr>
        <w:tabs>
          <w:tab w:val="left" w:pos="740"/>
        </w:tabs>
        <w:spacing w:before="120" w:after="240"/>
        <w:jc w:val="center"/>
        <w:rPr>
          <w:b/>
          <w:sz w:val="22"/>
        </w:rPr>
      </w:pPr>
      <w:r w:rsidRPr="000E592B">
        <w:rPr>
          <w:i/>
          <w:sz w:val="22"/>
        </w:rPr>
        <w:t>2.5</w:t>
      </w:r>
      <w:r w:rsidR="00C62BAA" w:rsidRPr="000E592B">
        <w:rPr>
          <w:i/>
          <w:sz w:val="22"/>
        </w:rPr>
        <w:t>.att.</w:t>
      </w:r>
      <w:r w:rsidR="00C62BAA">
        <w:rPr>
          <w:sz w:val="22"/>
        </w:rPr>
        <w:t xml:space="preserve"> </w:t>
      </w:r>
      <w:r w:rsidR="00C62BAA">
        <w:rPr>
          <w:b/>
          <w:sz w:val="22"/>
        </w:rPr>
        <w:t>Ministriju priekš</w:t>
      </w:r>
      <w:r>
        <w:rPr>
          <w:b/>
          <w:sz w:val="22"/>
        </w:rPr>
        <w:t>likumi MK noteikumiem Nr.523, %</w:t>
      </w:r>
    </w:p>
    <w:p w:rsidR="00C62BAA" w:rsidRDefault="00C62BAA" w:rsidP="00FF7269">
      <w:pPr>
        <w:spacing w:before="120" w:after="120"/>
        <w:jc w:val="both"/>
        <w:rPr>
          <w:szCs w:val="24"/>
        </w:rPr>
      </w:pPr>
      <w:r>
        <w:rPr>
          <w:szCs w:val="24"/>
        </w:rPr>
        <w:t>Veicot MK noteikumu Nr.523 izvērtēšanu ir izdarīti vairāki secinājumi turpmākai rīcībai:</w:t>
      </w:r>
    </w:p>
    <w:p w:rsidR="004720D3" w:rsidRDefault="004720D3" w:rsidP="004720D3">
      <w:pPr>
        <w:pStyle w:val="ListParagraph"/>
        <w:numPr>
          <w:ilvl w:val="0"/>
          <w:numId w:val="22"/>
        </w:numPr>
        <w:tabs>
          <w:tab w:val="left" w:pos="740"/>
        </w:tabs>
        <w:spacing w:after="120"/>
        <w:contextualSpacing w:val="0"/>
        <w:jc w:val="both"/>
        <w:rPr>
          <w:szCs w:val="24"/>
        </w:rPr>
      </w:pPr>
      <w:r w:rsidRPr="00396775">
        <w:rPr>
          <w:szCs w:val="24"/>
        </w:rPr>
        <w:t>MK noteikumu Nr.523</w:t>
      </w:r>
      <w:r>
        <w:rPr>
          <w:szCs w:val="24"/>
        </w:rPr>
        <w:t xml:space="preserve"> (redakcijā, kas bija spēkā līdz 2017.gada 13.jūlijam) </w:t>
      </w:r>
      <w:r w:rsidRPr="00396775">
        <w:rPr>
          <w:szCs w:val="24"/>
        </w:rPr>
        <w:t xml:space="preserve"> 51.punkts paredz</w:t>
      </w:r>
      <w:r>
        <w:rPr>
          <w:szCs w:val="24"/>
        </w:rPr>
        <w:t>ēja</w:t>
      </w:r>
      <w:r w:rsidRPr="00396775">
        <w:rPr>
          <w:szCs w:val="24"/>
        </w:rPr>
        <w:t xml:space="preserve">, ka </w:t>
      </w:r>
      <w:r w:rsidRPr="00396775">
        <w:rPr>
          <w:i/>
          <w:szCs w:val="24"/>
        </w:rPr>
        <w:t>aizpildītās veidlapas paraksta ministrijas vadītājs vai tā pilnvarota amatpersona un veidlapas var</w:t>
      </w:r>
      <w:r>
        <w:rPr>
          <w:i/>
          <w:szCs w:val="24"/>
        </w:rPr>
        <w:t>ēja</w:t>
      </w:r>
      <w:r w:rsidRPr="00396775">
        <w:rPr>
          <w:i/>
          <w:szCs w:val="24"/>
        </w:rPr>
        <w:t xml:space="preserve"> iesniegt FM parakstītas ar drošu elektronisko parakstu vai pašrocīgi parakstītas</w:t>
      </w:r>
      <w:r w:rsidRPr="00396775">
        <w:rPr>
          <w:szCs w:val="24"/>
        </w:rPr>
        <w:t>. Vienlaikus MK noteikumu Nr.523 112.punkts no</w:t>
      </w:r>
      <w:r>
        <w:rPr>
          <w:szCs w:val="24"/>
        </w:rPr>
        <w:t>teica</w:t>
      </w:r>
      <w:r w:rsidRPr="00396775">
        <w:rPr>
          <w:szCs w:val="24"/>
        </w:rPr>
        <w:t>, kuras veidlapas ministrija sagatavo</w:t>
      </w:r>
      <w:r>
        <w:rPr>
          <w:szCs w:val="24"/>
        </w:rPr>
        <w:t>ja</w:t>
      </w:r>
      <w:r w:rsidRPr="00396775">
        <w:rPr>
          <w:szCs w:val="24"/>
        </w:rPr>
        <w:t xml:space="preserve"> SAP sistēmas portālā un iesniedz</w:t>
      </w:r>
      <w:r>
        <w:rPr>
          <w:szCs w:val="24"/>
        </w:rPr>
        <w:t>a</w:t>
      </w:r>
      <w:r w:rsidRPr="00396775">
        <w:rPr>
          <w:szCs w:val="24"/>
        </w:rPr>
        <w:t xml:space="preserve"> FM (SAP sistēmas portālā aizpildāmās veidlapas – Nr.1(pb), 1(sb), 2(1)pb, 2(1)sb, 2(2)pb, 2(2)sb, 2(3)pb, 2(3)sb, 2(4)pb, 2(4)sb, 3(pb), 3(sb), 4(pb), 4(sb), Nr.11, Nr.12, Nr.13, Nr.14, Nr.15, Nr.16). </w:t>
      </w:r>
      <w:r w:rsidRPr="00396775">
        <w:rPr>
          <w:szCs w:val="24"/>
          <w:u w:val="single"/>
        </w:rPr>
        <w:t>Ministrijas turpmāk FM neiesniegs parakstītas veidlapas</w:t>
      </w:r>
      <w:r w:rsidRPr="00396775">
        <w:rPr>
          <w:szCs w:val="24"/>
        </w:rPr>
        <w:t>, kuras tiek sagatavotas SAP sistēmas portālā, bet iesnie</w:t>
      </w:r>
      <w:r>
        <w:rPr>
          <w:szCs w:val="24"/>
        </w:rPr>
        <w:t>gs</w:t>
      </w:r>
      <w:r w:rsidRPr="00396775">
        <w:rPr>
          <w:szCs w:val="24"/>
        </w:rPr>
        <w:t xml:space="preserve"> F</w:t>
      </w:r>
      <w:r>
        <w:rPr>
          <w:szCs w:val="24"/>
        </w:rPr>
        <w:t>M</w:t>
      </w:r>
      <w:r w:rsidRPr="00396775">
        <w:rPr>
          <w:szCs w:val="24"/>
        </w:rPr>
        <w:t xml:space="preserve"> tikai apliecinājuma vēstuli, kurā norādīts SAP sistēmas portālā aizpildīto veidlapu saraksts, kā arī aizpildīšanas datums un laiks.</w:t>
      </w:r>
      <w:r>
        <w:rPr>
          <w:szCs w:val="24"/>
        </w:rPr>
        <w:t xml:space="preserve">  </w:t>
      </w:r>
    </w:p>
    <w:p w:rsidR="004720D3" w:rsidRPr="00396775" w:rsidRDefault="004720D3" w:rsidP="004720D3">
      <w:pPr>
        <w:pStyle w:val="ListParagraph"/>
        <w:numPr>
          <w:ilvl w:val="0"/>
          <w:numId w:val="22"/>
        </w:numPr>
        <w:tabs>
          <w:tab w:val="left" w:pos="740"/>
        </w:tabs>
        <w:spacing w:after="120"/>
        <w:contextualSpacing w:val="0"/>
        <w:jc w:val="both"/>
        <w:rPr>
          <w:szCs w:val="24"/>
        </w:rPr>
      </w:pPr>
      <w:r w:rsidRPr="00396775">
        <w:rPr>
          <w:szCs w:val="24"/>
        </w:rPr>
        <w:t xml:space="preserve">Pilnveidojot SAP sistēmas funkcionalitāti, vienkāršota veidlapu 4(pb) un 4(sb) aizpildīšana. </w:t>
      </w:r>
      <w:r>
        <w:rPr>
          <w:szCs w:val="24"/>
        </w:rPr>
        <w:t>Iepriekšējos gadus</w:t>
      </w:r>
      <w:r w:rsidRPr="00396775">
        <w:rPr>
          <w:szCs w:val="24"/>
        </w:rPr>
        <w:t xml:space="preserve"> SAP sistēmā veidlapas 4(pb) un 4(sb) dati tik</w:t>
      </w:r>
      <w:r>
        <w:rPr>
          <w:szCs w:val="24"/>
        </w:rPr>
        <w:t>a</w:t>
      </w:r>
      <w:r w:rsidRPr="00396775">
        <w:rPr>
          <w:szCs w:val="24"/>
        </w:rPr>
        <w:t xml:space="preserve"> ievadīti divos dažādos griezumos: atbilstoši vidēja termiņa budžeta ietvara likuma griezumam (D200 versijā) un ilgtermiņa saistībām garākā periodā (t.sk., kuras turpinās pēc n+3 gada (turpmākajiem 12 gadiem) (D400 versijā). Turpmāk paredzēts, ka visa informācija par ilgtermiņa saistībām tiek vadīta vienā ievades formā, papildinot formu ar vēl vienu kolonnu “n+4 gadu”. Papildus tiek atcelta prasība informāciju par ilgtermiņa saistībām ievadīt līdz n+14 gadam.</w:t>
      </w:r>
    </w:p>
    <w:p w:rsidR="004720D3" w:rsidRDefault="004720D3" w:rsidP="004720D3">
      <w:pPr>
        <w:pStyle w:val="ListParagraph"/>
        <w:numPr>
          <w:ilvl w:val="0"/>
          <w:numId w:val="22"/>
        </w:numPr>
        <w:tabs>
          <w:tab w:val="left" w:pos="740"/>
        </w:tabs>
        <w:spacing w:before="240" w:after="120"/>
        <w:contextualSpacing w:val="0"/>
        <w:jc w:val="both"/>
        <w:rPr>
          <w:szCs w:val="24"/>
        </w:rPr>
      </w:pPr>
      <w:r>
        <w:rPr>
          <w:szCs w:val="24"/>
        </w:rPr>
        <w:t>Turpmāk veidlapas Nr.1(pb), 1(sb), 2(1)pb, 2(1)sb, 3(pb), 3(sb), 19(pb), 19(sb) netiks iesniegtas FM, bet SAP sistēmas portālā tiks saglabāta iespēja veidlapas ģenerēt gan ministrijām, gan FM.</w:t>
      </w:r>
    </w:p>
    <w:p w:rsidR="004720D3" w:rsidRDefault="004720D3" w:rsidP="004720D3">
      <w:pPr>
        <w:pStyle w:val="ListParagraph"/>
        <w:numPr>
          <w:ilvl w:val="0"/>
          <w:numId w:val="22"/>
        </w:numPr>
        <w:tabs>
          <w:tab w:val="left" w:pos="740"/>
        </w:tabs>
        <w:spacing w:after="120"/>
        <w:contextualSpacing w:val="0"/>
        <w:jc w:val="both"/>
        <w:rPr>
          <w:szCs w:val="24"/>
        </w:rPr>
      </w:pPr>
      <w:r>
        <w:rPr>
          <w:szCs w:val="24"/>
        </w:rPr>
        <w:t>Turpmāk netiks pildītas un iesniegtas veidlapas Nr.5, 8, 9, 9.</w:t>
      </w:r>
      <w:r>
        <w:rPr>
          <w:szCs w:val="24"/>
          <w:vertAlign w:val="superscript"/>
        </w:rPr>
        <w:t>1</w:t>
      </w:r>
      <w:r>
        <w:rPr>
          <w:szCs w:val="24"/>
        </w:rPr>
        <w:t xml:space="preserve">, 15, 20, 22, 23(pb), 23(sb), 24 ņemot vērā, ka veidlapās saturošā informācija ir neaktuāla un </w:t>
      </w:r>
      <w:r w:rsidRPr="00DE6CD5">
        <w:rPr>
          <w:szCs w:val="24"/>
        </w:rPr>
        <w:t>dublējoša.</w:t>
      </w:r>
    </w:p>
    <w:p w:rsidR="004720D3" w:rsidRDefault="004720D3" w:rsidP="004720D3">
      <w:pPr>
        <w:pStyle w:val="ListParagraph"/>
        <w:numPr>
          <w:ilvl w:val="0"/>
          <w:numId w:val="22"/>
        </w:numPr>
        <w:tabs>
          <w:tab w:val="left" w:pos="740"/>
        </w:tabs>
        <w:spacing w:after="120"/>
        <w:contextualSpacing w:val="0"/>
        <w:jc w:val="both"/>
        <w:rPr>
          <w:szCs w:val="24"/>
        </w:rPr>
      </w:pPr>
      <w:r>
        <w:rPr>
          <w:szCs w:val="24"/>
        </w:rPr>
        <w:lastRenderedPageBreak/>
        <w:t>Veidlapās Nr.7(pb), 7(LM) un 27 veikta satura pilnveidošana. V</w:t>
      </w:r>
      <w:r w:rsidRPr="00886B36">
        <w:rPr>
          <w:szCs w:val="24"/>
        </w:rPr>
        <w:t>eidlapās Nr.7(pb) un 7(LM)</w:t>
      </w:r>
      <w:r>
        <w:rPr>
          <w:szCs w:val="24"/>
        </w:rPr>
        <w:t>,</w:t>
      </w:r>
      <w:r w:rsidRPr="00886B36">
        <w:rPr>
          <w:szCs w:val="24"/>
        </w:rPr>
        <w:t xml:space="preserve"> </w:t>
      </w:r>
      <w:r>
        <w:rPr>
          <w:szCs w:val="24"/>
        </w:rPr>
        <w:t>atbilstoši veiktajiem grozījumiem MK noteikumos Nr.867, precizēta terminoloģija – vārdus “jaunā politikas iniciatīva” aizstājot ar vārdiem “prioritārais pasākums”. Veidlapā Nr.27 ministrijas norāda padotībā esošo valsts budžeta daļēji finansēto atvasināto publisko personu un budžeta nefinansēto iestāžu sarakstu, savukārt MK 2013.gada 10.decembra noteikumi Nr.1456 “Noteikumi par institucionālo sektoru klasifikāciju” paredz, ka CSP savā tīmekļa vietnē publicē un noteiktos termiņos aktualizē sektorā S130000 “Vispārējā valdība” iekļauto institucionālo vienību sarakstu. Ņemot vērā, ka i</w:t>
      </w:r>
      <w:r w:rsidRPr="00C53393">
        <w:rPr>
          <w:szCs w:val="24"/>
        </w:rPr>
        <w:t>epriekšējos gad</w:t>
      </w:r>
      <w:r>
        <w:rPr>
          <w:szCs w:val="24"/>
        </w:rPr>
        <w:t>o</w:t>
      </w:r>
      <w:r w:rsidRPr="00C53393">
        <w:rPr>
          <w:szCs w:val="24"/>
        </w:rPr>
        <w:t xml:space="preserve">s </w:t>
      </w:r>
      <w:r>
        <w:rPr>
          <w:szCs w:val="24"/>
        </w:rPr>
        <w:t>iesniedzot veidlapu Nr.27 FM, tika konstatētas neatbilstības ar CSP norādīto informāciju un, lai nodrošinātu veidlapā sniegtās informācijas sasaisti ar CSP publicēto informāciju, FM precizēja veidlapas saturu un sniedzamo informāciju.</w:t>
      </w:r>
    </w:p>
    <w:p w:rsidR="004720D3" w:rsidRDefault="004720D3" w:rsidP="004720D3">
      <w:pPr>
        <w:pStyle w:val="ListParagraph"/>
        <w:numPr>
          <w:ilvl w:val="0"/>
          <w:numId w:val="22"/>
        </w:numPr>
        <w:tabs>
          <w:tab w:val="left" w:pos="740"/>
        </w:tabs>
        <w:spacing w:after="120"/>
        <w:contextualSpacing w:val="0"/>
        <w:jc w:val="both"/>
        <w:rPr>
          <w:szCs w:val="24"/>
        </w:rPr>
      </w:pPr>
      <w:r>
        <w:rPr>
          <w:szCs w:val="24"/>
        </w:rPr>
        <w:t>Iesniedzot veidlapas Nr.10(pb) un 10(sb) turpmāk LM nenorādīs n-1 gada izpildi.</w:t>
      </w:r>
    </w:p>
    <w:p w:rsidR="004720D3" w:rsidRDefault="004720D3" w:rsidP="004720D3">
      <w:pPr>
        <w:pStyle w:val="ListParagraph"/>
        <w:numPr>
          <w:ilvl w:val="0"/>
          <w:numId w:val="22"/>
        </w:numPr>
        <w:tabs>
          <w:tab w:val="left" w:pos="740"/>
        </w:tabs>
        <w:spacing w:after="120"/>
        <w:contextualSpacing w:val="0"/>
        <w:jc w:val="both"/>
        <w:rPr>
          <w:szCs w:val="24"/>
        </w:rPr>
      </w:pPr>
      <w:r>
        <w:rPr>
          <w:szCs w:val="24"/>
        </w:rPr>
        <w:t xml:space="preserve">Papildus, lai atvieglotu ministrijām budžeta pieprasījumu sagatavošanu SAP sistēmas portālā, FM, pilnveidojot SAP sistēmas funkcionalitāti, ir apvienojusi veidlapas 2(2)pb, 2(3)pb un 2(4)pb vienā veidlapā </w:t>
      </w:r>
      <w:r>
        <w:rPr>
          <w:i/>
          <w:szCs w:val="24"/>
        </w:rPr>
        <w:t>2(pb) “Valsts pamatbudžeta programmu (apakšprogrammu) ieņēmumu un izdevumu pieprasījums vidējam termiņam”</w:t>
      </w:r>
      <w:r>
        <w:rPr>
          <w:szCs w:val="24"/>
        </w:rPr>
        <w:t xml:space="preserve">. Kā arī 2(2)sb, 2(3)sb un 2(4)sb veidlapas apvienotas vienā veidlapā </w:t>
      </w:r>
      <w:r>
        <w:rPr>
          <w:i/>
          <w:szCs w:val="24"/>
        </w:rPr>
        <w:t>2(sb)</w:t>
      </w:r>
      <w:r>
        <w:rPr>
          <w:szCs w:val="24"/>
        </w:rPr>
        <w:t xml:space="preserve"> </w:t>
      </w:r>
      <w:r w:rsidRPr="00F713EF">
        <w:rPr>
          <w:i/>
          <w:szCs w:val="24"/>
        </w:rPr>
        <w:t>“</w:t>
      </w:r>
      <w:r>
        <w:rPr>
          <w:i/>
          <w:szCs w:val="24"/>
        </w:rPr>
        <w:t>Valsts speciālā budžeta programmu (apakšprogrammu) ieņēmumu un izdevumu pieprasījums vidējam termiņam”</w:t>
      </w:r>
      <w:r>
        <w:rPr>
          <w:szCs w:val="24"/>
        </w:rPr>
        <w:t xml:space="preserve">. </w:t>
      </w:r>
    </w:p>
    <w:p w:rsidR="004720D3" w:rsidRDefault="004720D3" w:rsidP="004720D3">
      <w:pPr>
        <w:tabs>
          <w:tab w:val="left" w:pos="740"/>
        </w:tabs>
        <w:spacing w:before="120"/>
        <w:ind w:firstLine="720"/>
        <w:jc w:val="both"/>
        <w:rPr>
          <w:szCs w:val="24"/>
        </w:rPr>
      </w:pPr>
      <w:r>
        <w:rPr>
          <w:szCs w:val="24"/>
        </w:rPr>
        <w:t xml:space="preserve">Pilnveidojot MK noteikumos Nr.523 paredzēto kārtību valsts budžeta pieprasījuma izstrādāšanai un iesniegšanai, FM atrisina lielāko daļu no ministriju izteiktajiem ierosinājumiem attiecībā uz MK noteikumiem Nr.523. </w:t>
      </w:r>
    </w:p>
    <w:p w:rsidR="004720D3" w:rsidRPr="00C213D7" w:rsidRDefault="004720D3" w:rsidP="004720D3">
      <w:pPr>
        <w:spacing w:before="120" w:after="120"/>
        <w:ind w:firstLine="720"/>
        <w:jc w:val="both"/>
        <w:rPr>
          <w:szCs w:val="24"/>
        </w:rPr>
      </w:pPr>
      <w:r w:rsidRPr="00C213D7">
        <w:rPr>
          <w:szCs w:val="24"/>
        </w:rPr>
        <w:t>Samazinot iesniedzamo budžeta pieprasījumu veidlapu skaitu un vienkāršojot to iesniegšanas procedūru, tiks mazināts administratīvais slogs ministrijām, kā rezultātā būs iespēja pārvirzīt esošos resursus analītiskajam darbam.</w:t>
      </w:r>
    </w:p>
    <w:p w:rsidR="004720D3" w:rsidRDefault="004720D3" w:rsidP="004720D3">
      <w:pPr>
        <w:spacing w:before="120" w:after="120"/>
        <w:ind w:firstLine="720"/>
        <w:jc w:val="both"/>
        <w:rPr>
          <w:szCs w:val="24"/>
        </w:rPr>
      </w:pPr>
      <w:r w:rsidRPr="00C213D7">
        <w:rPr>
          <w:szCs w:val="24"/>
        </w:rPr>
        <w:t>FM pamatojoties uz provizoriskajām aplēsēm un ekspertu novērtējumu, veica iespējamā ietaupījuma aprēķinu katrā ministrijā (skat. tabulu Nr.2.2</w:t>
      </w:r>
      <w:r>
        <w:rPr>
          <w:szCs w:val="24"/>
        </w:rPr>
        <w:t>.</w:t>
      </w:r>
      <w:r w:rsidRPr="00C213D7">
        <w:rPr>
          <w:szCs w:val="24"/>
        </w:rPr>
        <w:t>).</w:t>
      </w:r>
    </w:p>
    <w:p w:rsidR="0089629D" w:rsidRPr="00FF0325" w:rsidRDefault="0089629D" w:rsidP="0089629D">
      <w:pPr>
        <w:spacing w:before="120" w:after="120"/>
        <w:jc w:val="right"/>
        <w:rPr>
          <w:szCs w:val="24"/>
        </w:rPr>
      </w:pPr>
      <w:r w:rsidRPr="00FF0325">
        <w:rPr>
          <w:szCs w:val="24"/>
        </w:rPr>
        <w:t>Tabula Nr.2</w:t>
      </w:r>
      <w:r w:rsidR="00566D48" w:rsidRPr="00FF0325">
        <w:rPr>
          <w:szCs w:val="24"/>
        </w:rPr>
        <w:t>.2</w:t>
      </w:r>
      <w:r w:rsidR="008B457B">
        <w:rPr>
          <w:szCs w:val="24"/>
        </w:rPr>
        <w:t>.</w:t>
      </w:r>
    </w:p>
    <w:p w:rsidR="0066623A" w:rsidRPr="004458DE" w:rsidRDefault="009579BE" w:rsidP="009579BE">
      <w:pPr>
        <w:spacing w:before="120" w:after="120"/>
        <w:jc w:val="center"/>
        <w:rPr>
          <w:b/>
          <w:szCs w:val="24"/>
        </w:rPr>
      </w:pPr>
      <w:r w:rsidRPr="004458DE">
        <w:rPr>
          <w:b/>
          <w:szCs w:val="24"/>
        </w:rPr>
        <w:t xml:space="preserve">Provizorisks aprēķins ietaupījumam veicot grozījumus MK noteikumos Nr.523 – </w:t>
      </w:r>
      <w:r w:rsidR="00821367">
        <w:rPr>
          <w:b/>
          <w:szCs w:val="24"/>
        </w:rPr>
        <w:t>novērtējums</w:t>
      </w:r>
      <w:r w:rsidRPr="004458DE">
        <w:rPr>
          <w:b/>
          <w:szCs w:val="24"/>
        </w:rPr>
        <w:t xml:space="preserve"> -10%</w:t>
      </w:r>
    </w:p>
    <w:tbl>
      <w:tblPr>
        <w:tblStyle w:val="TableGrid"/>
        <w:tblW w:w="5000" w:type="pct"/>
        <w:tblLook w:val="04A0" w:firstRow="1" w:lastRow="0" w:firstColumn="1" w:lastColumn="0" w:noHBand="0" w:noVBand="1"/>
      </w:tblPr>
      <w:tblGrid>
        <w:gridCol w:w="959"/>
        <w:gridCol w:w="3298"/>
        <w:gridCol w:w="4804"/>
      </w:tblGrid>
      <w:tr w:rsidR="00B70352" w:rsidRPr="00B70352" w:rsidTr="001E4FAF">
        <w:trPr>
          <w:tblHeader/>
        </w:trPr>
        <w:tc>
          <w:tcPr>
            <w:tcW w:w="529" w:type="pct"/>
            <w:shd w:val="clear" w:color="auto" w:fill="C5E0B3" w:themeFill="accent6" w:themeFillTint="66"/>
            <w:vAlign w:val="center"/>
          </w:tcPr>
          <w:p w:rsidR="00B70352" w:rsidRPr="00B70352" w:rsidRDefault="00B70352" w:rsidP="00B70352">
            <w:pPr>
              <w:jc w:val="center"/>
              <w:rPr>
                <w:b/>
                <w:sz w:val="22"/>
              </w:rPr>
            </w:pPr>
            <w:r w:rsidRPr="00B70352">
              <w:rPr>
                <w:b/>
                <w:sz w:val="22"/>
              </w:rPr>
              <w:t>Nr.p.k.</w:t>
            </w:r>
          </w:p>
        </w:tc>
        <w:tc>
          <w:tcPr>
            <w:tcW w:w="1820" w:type="pct"/>
            <w:shd w:val="clear" w:color="auto" w:fill="C5E0B3" w:themeFill="accent6" w:themeFillTint="66"/>
            <w:vAlign w:val="center"/>
          </w:tcPr>
          <w:p w:rsidR="00B70352" w:rsidRPr="00B70352" w:rsidRDefault="00B70352" w:rsidP="00B70352">
            <w:pPr>
              <w:jc w:val="center"/>
              <w:rPr>
                <w:b/>
                <w:sz w:val="22"/>
              </w:rPr>
            </w:pPr>
            <w:r w:rsidRPr="00B70352">
              <w:rPr>
                <w:b/>
                <w:sz w:val="22"/>
              </w:rPr>
              <w:t>Ministrija</w:t>
            </w:r>
          </w:p>
        </w:tc>
        <w:tc>
          <w:tcPr>
            <w:tcW w:w="2651" w:type="pct"/>
            <w:shd w:val="clear" w:color="auto" w:fill="C5E0B3" w:themeFill="accent6" w:themeFillTint="66"/>
            <w:vAlign w:val="center"/>
          </w:tcPr>
          <w:p w:rsidR="00B70352" w:rsidRPr="00B70352" w:rsidRDefault="00B70352" w:rsidP="004A4503">
            <w:pPr>
              <w:jc w:val="center"/>
              <w:rPr>
                <w:b/>
                <w:sz w:val="22"/>
              </w:rPr>
            </w:pPr>
            <w:r w:rsidRPr="00B70352">
              <w:rPr>
                <w:b/>
                <w:sz w:val="22"/>
              </w:rPr>
              <w:t xml:space="preserve">Kopā ietaupījums </w:t>
            </w:r>
            <w:r w:rsidRPr="00B70352">
              <w:rPr>
                <w:b/>
                <w:i/>
                <w:sz w:val="22"/>
              </w:rPr>
              <w:t>euro</w:t>
            </w:r>
            <w:r w:rsidRPr="00B70352">
              <w:rPr>
                <w:b/>
                <w:sz w:val="22"/>
              </w:rPr>
              <w:t xml:space="preserve">, veicot grozījumus MK noteikumos Nr.523 (9,58 </w:t>
            </w:r>
            <w:r w:rsidR="004A4503" w:rsidRPr="004A4503">
              <w:rPr>
                <w:b/>
                <w:i/>
                <w:sz w:val="22"/>
              </w:rPr>
              <w:t>euro</w:t>
            </w:r>
            <w:r w:rsidRPr="00B70352">
              <w:rPr>
                <w:b/>
                <w:sz w:val="22"/>
              </w:rPr>
              <w:t xml:space="preserve"> par C/H)</w:t>
            </w:r>
          </w:p>
        </w:tc>
      </w:tr>
      <w:tr w:rsidR="004573B3" w:rsidRPr="00B70352" w:rsidTr="001E4FAF">
        <w:tc>
          <w:tcPr>
            <w:tcW w:w="529" w:type="pct"/>
          </w:tcPr>
          <w:p w:rsidR="004573B3" w:rsidRPr="00B70352" w:rsidRDefault="004573B3" w:rsidP="004573B3">
            <w:pPr>
              <w:rPr>
                <w:sz w:val="22"/>
              </w:rPr>
            </w:pPr>
            <w:r>
              <w:rPr>
                <w:sz w:val="22"/>
              </w:rPr>
              <w:t>1.</w:t>
            </w:r>
          </w:p>
        </w:tc>
        <w:tc>
          <w:tcPr>
            <w:tcW w:w="1820" w:type="pct"/>
          </w:tcPr>
          <w:p w:rsidR="004573B3" w:rsidRPr="004573B3" w:rsidRDefault="00F30CB1" w:rsidP="004573B3">
            <w:pPr>
              <w:rPr>
                <w:sz w:val="22"/>
              </w:rPr>
            </w:pPr>
            <w:r>
              <w:rPr>
                <w:sz w:val="22"/>
              </w:rPr>
              <w:t>Ai</w:t>
            </w:r>
            <w:r w:rsidR="004573B3" w:rsidRPr="004573B3">
              <w:rPr>
                <w:sz w:val="22"/>
              </w:rPr>
              <w:t>M</w:t>
            </w:r>
          </w:p>
        </w:tc>
        <w:tc>
          <w:tcPr>
            <w:tcW w:w="2651" w:type="pct"/>
          </w:tcPr>
          <w:p w:rsidR="004573B3" w:rsidRPr="004573B3" w:rsidRDefault="004573B3" w:rsidP="004573B3">
            <w:pPr>
              <w:jc w:val="right"/>
              <w:rPr>
                <w:sz w:val="22"/>
              </w:rPr>
            </w:pPr>
            <w:r w:rsidRPr="004573B3">
              <w:rPr>
                <w:sz w:val="22"/>
              </w:rPr>
              <w:t>2</w:t>
            </w:r>
            <w:r>
              <w:rPr>
                <w:sz w:val="22"/>
              </w:rPr>
              <w:t xml:space="preserve"> </w:t>
            </w:r>
            <w:r w:rsidRPr="004573B3">
              <w:rPr>
                <w:sz w:val="22"/>
              </w:rPr>
              <w:t>436</w:t>
            </w:r>
          </w:p>
        </w:tc>
      </w:tr>
      <w:tr w:rsidR="004573B3" w:rsidRPr="00B70352" w:rsidTr="001E4FAF">
        <w:tc>
          <w:tcPr>
            <w:tcW w:w="529" w:type="pct"/>
          </w:tcPr>
          <w:p w:rsidR="004573B3" w:rsidRPr="00B70352" w:rsidRDefault="004573B3" w:rsidP="004573B3">
            <w:pPr>
              <w:rPr>
                <w:sz w:val="22"/>
              </w:rPr>
            </w:pPr>
            <w:r>
              <w:rPr>
                <w:sz w:val="22"/>
              </w:rPr>
              <w:t>2.</w:t>
            </w:r>
          </w:p>
        </w:tc>
        <w:tc>
          <w:tcPr>
            <w:tcW w:w="1820" w:type="pct"/>
          </w:tcPr>
          <w:p w:rsidR="004573B3" w:rsidRPr="004573B3" w:rsidRDefault="004573B3" w:rsidP="004573B3">
            <w:pPr>
              <w:rPr>
                <w:sz w:val="22"/>
              </w:rPr>
            </w:pPr>
            <w:r w:rsidRPr="004573B3">
              <w:rPr>
                <w:sz w:val="22"/>
              </w:rPr>
              <w:t>ĀM</w:t>
            </w:r>
          </w:p>
        </w:tc>
        <w:tc>
          <w:tcPr>
            <w:tcW w:w="2651" w:type="pct"/>
          </w:tcPr>
          <w:p w:rsidR="004573B3" w:rsidRPr="004573B3" w:rsidRDefault="004573B3" w:rsidP="004573B3">
            <w:pPr>
              <w:jc w:val="right"/>
              <w:rPr>
                <w:sz w:val="22"/>
              </w:rPr>
            </w:pPr>
            <w:r w:rsidRPr="004573B3">
              <w:rPr>
                <w:sz w:val="22"/>
              </w:rPr>
              <w:t>348</w:t>
            </w:r>
          </w:p>
        </w:tc>
      </w:tr>
      <w:tr w:rsidR="004573B3" w:rsidRPr="00B70352" w:rsidTr="001E4FAF">
        <w:tc>
          <w:tcPr>
            <w:tcW w:w="529" w:type="pct"/>
          </w:tcPr>
          <w:p w:rsidR="004573B3" w:rsidRPr="00B70352" w:rsidRDefault="004573B3" w:rsidP="004573B3">
            <w:pPr>
              <w:rPr>
                <w:sz w:val="22"/>
              </w:rPr>
            </w:pPr>
            <w:r>
              <w:rPr>
                <w:sz w:val="22"/>
              </w:rPr>
              <w:t>3.</w:t>
            </w:r>
          </w:p>
        </w:tc>
        <w:tc>
          <w:tcPr>
            <w:tcW w:w="1820" w:type="pct"/>
          </w:tcPr>
          <w:p w:rsidR="004573B3" w:rsidRPr="004573B3" w:rsidRDefault="004573B3" w:rsidP="004573B3">
            <w:pPr>
              <w:rPr>
                <w:sz w:val="22"/>
              </w:rPr>
            </w:pPr>
            <w:r w:rsidRPr="004573B3">
              <w:rPr>
                <w:sz w:val="22"/>
              </w:rPr>
              <w:t>EM</w:t>
            </w:r>
          </w:p>
        </w:tc>
        <w:tc>
          <w:tcPr>
            <w:tcW w:w="2651" w:type="pct"/>
          </w:tcPr>
          <w:p w:rsidR="004573B3" w:rsidRPr="004573B3" w:rsidRDefault="004573B3" w:rsidP="004573B3">
            <w:pPr>
              <w:jc w:val="right"/>
              <w:rPr>
                <w:sz w:val="22"/>
              </w:rPr>
            </w:pPr>
            <w:r w:rsidRPr="004573B3">
              <w:rPr>
                <w:sz w:val="22"/>
              </w:rPr>
              <w:t>1</w:t>
            </w:r>
            <w:r>
              <w:rPr>
                <w:sz w:val="22"/>
              </w:rPr>
              <w:t xml:space="preserve"> </w:t>
            </w:r>
            <w:r w:rsidRPr="004573B3">
              <w:rPr>
                <w:sz w:val="22"/>
              </w:rPr>
              <w:t>044</w:t>
            </w:r>
          </w:p>
        </w:tc>
      </w:tr>
      <w:tr w:rsidR="004573B3" w:rsidRPr="00B70352" w:rsidTr="001E4FAF">
        <w:tc>
          <w:tcPr>
            <w:tcW w:w="529" w:type="pct"/>
          </w:tcPr>
          <w:p w:rsidR="004573B3" w:rsidRPr="00B70352" w:rsidRDefault="004573B3" w:rsidP="004573B3">
            <w:pPr>
              <w:rPr>
                <w:sz w:val="22"/>
              </w:rPr>
            </w:pPr>
            <w:r>
              <w:rPr>
                <w:sz w:val="22"/>
              </w:rPr>
              <w:t>4.</w:t>
            </w:r>
          </w:p>
        </w:tc>
        <w:tc>
          <w:tcPr>
            <w:tcW w:w="1820" w:type="pct"/>
          </w:tcPr>
          <w:p w:rsidR="004573B3" w:rsidRPr="004573B3" w:rsidRDefault="004573B3" w:rsidP="004573B3">
            <w:pPr>
              <w:rPr>
                <w:sz w:val="22"/>
              </w:rPr>
            </w:pPr>
            <w:r w:rsidRPr="004573B3">
              <w:rPr>
                <w:sz w:val="22"/>
              </w:rPr>
              <w:t>FM</w:t>
            </w:r>
          </w:p>
        </w:tc>
        <w:tc>
          <w:tcPr>
            <w:tcW w:w="2651" w:type="pct"/>
          </w:tcPr>
          <w:p w:rsidR="004573B3" w:rsidRPr="004573B3" w:rsidRDefault="004573B3" w:rsidP="004573B3">
            <w:pPr>
              <w:jc w:val="right"/>
              <w:rPr>
                <w:sz w:val="22"/>
              </w:rPr>
            </w:pPr>
            <w:r w:rsidRPr="004573B3">
              <w:rPr>
                <w:sz w:val="22"/>
              </w:rPr>
              <w:t>1</w:t>
            </w:r>
            <w:r>
              <w:rPr>
                <w:sz w:val="22"/>
              </w:rPr>
              <w:t xml:space="preserve"> </w:t>
            </w:r>
            <w:r w:rsidRPr="004573B3">
              <w:rPr>
                <w:sz w:val="22"/>
              </w:rPr>
              <w:t>044</w:t>
            </w:r>
          </w:p>
        </w:tc>
      </w:tr>
      <w:tr w:rsidR="004573B3" w:rsidRPr="00B70352" w:rsidTr="001E4FAF">
        <w:tc>
          <w:tcPr>
            <w:tcW w:w="529" w:type="pct"/>
          </w:tcPr>
          <w:p w:rsidR="004573B3" w:rsidRPr="00B70352" w:rsidRDefault="004573B3" w:rsidP="004573B3">
            <w:pPr>
              <w:rPr>
                <w:sz w:val="22"/>
              </w:rPr>
            </w:pPr>
            <w:r>
              <w:rPr>
                <w:sz w:val="22"/>
              </w:rPr>
              <w:t>5.</w:t>
            </w:r>
          </w:p>
        </w:tc>
        <w:tc>
          <w:tcPr>
            <w:tcW w:w="1820" w:type="pct"/>
          </w:tcPr>
          <w:p w:rsidR="004573B3" w:rsidRPr="004573B3" w:rsidRDefault="004573B3" w:rsidP="004573B3">
            <w:pPr>
              <w:rPr>
                <w:sz w:val="22"/>
              </w:rPr>
            </w:pPr>
            <w:r w:rsidRPr="004573B3">
              <w:rPr>
                <w:sz w:val="22"/>
              </w:rPr>
              <w:t>IeM</w:t>
            </w:r>
          </w:p>
        </w:tc>
        <w:tc>
          <w:tcPr>
            <w:tcW w:w="2651" w:type="pct"/>
          </w:tcPr>
          <w:p w:rsidR="004573B3" w:rsidRPr="004573B3" w:rsidRDefault="004573B3" w:rsidP="004573B3">
            <w:pPr>
              <w:jc w:val="right"/>
              <w:rPr>
                <w:sz w:val="22"/>
              </w:rPr>
            </w:pPr>
            <w:r w:rsidRPr="004573B3">
              <w:rPr>
                <w:sz w:val="22"/>
              </w:rPr>
              <w:t>2</w:t>
            </w:r>
            <w:r>
              <w:rPr>
                <w:sz w:val="22"/>
              </w:rPr>
              <w:t xml:space="preserve"> </w:t>
            </w:r>
            <w:r w:rsidRPr="004573B3">
              <w:rPr>
                <w:sz w:val="22"/>
              </w:rPr>
              <w:t>679</w:t>
            </w:r>
          </w:p>
        </w:tc>
      </w:tr>
      <w:tr w:rsidR="004573B3" w:rsidRPr="00B70352" w:rsidTr="001E4FAF">
        <w:tc>
          <w:tcPr>
            <w:tcW w:w="529" w:type="pct"/>
          </w:tcPr>
          <w:p w:rsidR="004573B3" w:rsidRPr="00B70352" w:rsidRDefault="004573B3" w:rsidP="004573B3">
            <w:pPr>
              <w:rPr>
                <w:sz w:val="22"/>
              </w:rPr>
            </w:pPr>
            <w:r>
              <w:rPr>
                <w:sz w:val="22"/>
              </w:rPr>
              <w:t>6.</w:t>
            </w:r>
          </w:p>
        </w:tc>
        <w:tc>
          <w:tcPr>
            <w:tcW w:w="1820" w:type="pct"/>
          </w:tcPr>
          <w:p w:rsidR="004573B3" w:rsidRPr="004573B3" w:rsidRDefault="004573B3" w:rsidP="00354614">
            <w:pPr>
              <w:rPr>
                <w:sz w:val="22"/>
              </w:rPr>
            </w:pPr>
            <w:r w:rsidRPr="004573B3">
              <w:rPr>
                <w:sz w:val="22"/>
              </w:rPr>
              <w:t>I</w:t>
            </w:r>
            <w:r w:rsidR="00354614">
              <w:rPr>
                <w:sz w:val="22"/>
              </w:rPr>
              <w:t>Z</w:t>
            </w:r>
            <w:r w:rsidRPr="004573B3">
              <w:rPr>
                <w:sz w:val="22"/>
              </w:rPr>
              <w:t>M</w:t>
            </w:r>
          </w:p>
        </w:tc>
        <w:tc>
          <w:tcPr>
            <w:tcW w:w="2651" w:type="pct"/>
          </w:tcPr>
          <w:p w:rsidR="004573B3" w:rsidRPr="004573B3" w:rsidRDefault="004573B3" w:rsidP="004573B3">
            <w:pPr>
              <w:jc w:val="right"/>
              <w:rPr>
                <w:sz w:val="22"/>
              </w:rPr>
            </w:pPr>
            <w:r w:rsidRPr="004573B3">
              <w:rPr>
                <w:sz w:val="22"/>
              </w:rPr>
              <w:t>8</w:t>
            </w:r>
            <w:r>
              <w:rPr>
                <w:sz w:val="22"/>
              </w:rPr>
              <w:t xml:space="preserve"> </w:t>
            </w:r>
            <w:r w:rsidRPr="004573B3">
              <w:rPr>
                <w:sz w:val="22"/>
              </w:rPr>
              <w:t>142</w:t>
            </w:r>
          </w:p>
        </w:tc>
      </w:tr>
      <w:tr w:rsidR="004573B3" w:rsidRPr="00B70352" w:rsidTr="001E4FAF">
        <w:tc>
          <w:tcPr>
            <w:tcW w:w="529" w:type="pct"/>
          </w:tcPr>
          <w:p w:rsidR="004573B3" w:rsidRPr="00B70352" w:rsidRDefault="004573B3" w:rsidP="004573B3">
            <w:pPr>
              <w:rPr>
                <w:sz w:val="22"/>
              </w:rPr>
            </w:pPr>
            <w:r>
              <w:rPr>
                <w:sz w:val="22"/>
              </w:rPr>
              <w:t>7.</w:t>
            </w:r>
          </w:p>
        </w:tc>
        <w:tc>
          <w:tcPr>
            <w:tcW w:w="1820" w:type="pct"/>
          </w:tcPr>
          <w:p w:rsidR="004573B3" w:rsidRPr="004573B3" w:rsidRDefault="004573B3" w:rsidP="004573B3">
            <w:pPr>
              <w:rPr>
                <w:sz w:val="22"/>
              </w:rPr>
            </w:pPr>
            <w:r w:rsidRPr="004573B3">
              <w:rPr>
                <w:sz w:val="22"/>
              </w:rPr>
              <w:t>KM</w:t>
            </w:r>
          </w:p>
        </w:tc>
        <w:tc>
          <w:tcPr>
            <w:tcW w:w="2651" w:type="pct"/>
          </w:tcPr>
          <w:p w:rsidR="004573B3" w:rsidRPr="004573B3" w:rsidRDefault="004573B3" w:rsidP="004573B3">
            <w:pPr>
              <w:jc w:val="right"/>
              <w:rPr>
                <w:sz w:val="22"/>
              </w:rPr>
            </w:pPr>
            <w:r w:rsidRPr="004573B3">
              <w:rPr>
                <w:sz w:val="22"/>
              </w:rPr>
              <w:t>5</w:t>
            </w:r>
            <w:r>
              <w:rPr>
                <w:sz w:val="22"/>
              </w:rPr>
              <w:t xml:space="preserve"> </w:t>
            </w:r>
            <w:r w:rsidRPr="004573B3">
              <w:rPr>
                <w:sz w:val="22"/>
              </w:rPr>
              <w:t>550</w:t>
            </w:r>
          </w:p>
        </w:tc>
      </w:tr>
      <w:tr w:rsidR="004573B3" w:rsidRPr="00B70352" w:rsidTr="001E4FAF">
        <w:tc>
          <w:tcPr>
            <w:tcW w:w="529" w:type="pct"/>
          </w:tcPr>
          <w:p w:rsidR="004573B3" w:rsidRPr="00B70352" w:rsidRDefault="004573B3" w:rsidP="004573B3">
            <w:pPr>
              <w:rPr>
                <w:sz w:val="22"/>
              </w:rPr>
            </w:pPr>
            <w:r>
              <w:rPr>
                <w:sz w:val="22"/>
              </w:rPr>
              <w:t>8.</w:t>
            </w:r>
          </w:p>
        </w:tc>
        <w:tc>
          <w:tcPr>
            <w:tcW w:w="1820" w:type="pct"/>
          </w:tcPr>
          <w:p w:rsidR="004573B3" w:rsidRPr="004573B3" w:rsidRDefault="004573B3" w:rsidP="004573B3">
            <w:pPr>
              <w:rPr>
                <w:sz w:val="22"/>
              </w:rPr>
            </w:pPr>
            <w:r w:rsidRPr="004573B3">
              <w:rPr>
                <w:sz w:val="22"/>
              </w:rPr>
              <w:t>LM</w:t>
            </w:r>
          </w:p>
        </w:tc>
        <w:tc>
          <w:tcPr>
            <w:tcW w:w="2651" w:type="pct"/>
          </w:tcPr>
          <w:p w:rsidR="004573B3" w:rsidRPr="004573B3" w:rsidRDefault="004573B3" w:rsidP="004573B3">
            <w:pPr>
              <w:jc w:val="right"/>
              <w:rPr>
                <w:sz w:val="22"/>
              </w:rPr>
            </w:pPr>
            <w:r w:rsidRPr="004573B3">
              <w:rPr>
                <w:sz w:val="22"/>
              </w:rPr>
              <w:t>3</w:t>
            </w:r>
            <w:r>
              <w:rPr>
                <w:sz w:val="22"/>
              </w:rPr>
              <w:t xml:space="preserve"> </w:t>
            </w:r>
            <w:r w:rsidRPr="004573B3">
              <w:rPr>
                <w:sz w:val="22"/>
              </w:rPr>
              <w:t>392</w:t>
            </w:r>
          </w:p>
        </w:tc>
      </w:tr>
      <w:tr w:rsidR="004573B3" w:rsidRPr="00B70352" w:rsidTr="001E4FAF">
        <w:tc>
          <w:tcPr>
            <w:tcW w:w="529" w:type="pct"/>
          </w:tcPr>
          <w:p w:rsidR="004573B3" w:rsidRPr="00B70352" w:rsidRDefault="004573B3" w:rsidP="004573B3">
            <w:pPr>
              <w:rPr>
                <w:sz w:val="22"/>
              </w:rPr>
            </w:pPr>
            <w:r>
              <w:rPr>
                <w:sz w:val="22"/>
              </w:rPr>
              <w:t>9.</w:t>
            </w:r>
          </w:p>
        </w:tc>
        <w:tc>
          <w:tcPr>
            <w:tcW w:w="1820" w:type="pct"/>
          </w:tcPr>
          <w:p w:rsidR="004573B3" w:rsidRPr="004573B3" w:rsidRDefault="004573B3" w:rsidP="004573B3">
            <w:pPr>
              <w:rPr>
                <w:sz w:val="22"/>
              </w:rPr>
            </w:pPr>
            <w:r w:rsidRPr="004573B3">
              <w:rPr>
                <w:sz w:val="22"/>
              </w:rPr>
              <w:t>SM</w:t>
            </w:r>
          </w:p>
        </w:tc>
        <w:tc>
          <w:tcPr>
            <w:tcW w:w="2651" w:type="pct"/>
          </w:tcPr>
          <w:p w:rsidR="004573B3" w:rsidRPr="004573B3" w:rsidRDefault="004573B3" w:rsidP="004573B3">
            <w:pPr>
              <w:jc w:val="right"/>
              <w:rPr>
                <w:sz w:val="22"/>
              </w:rPr>
            </w:pPr>
            <w:r w:rsidRPr="004573B3">
              <w:rPr>
                <w:sz w:val="22"/>
              </w:rPr>
              <w:t>191</w:t>
            </w:r>
          </w:p>
        </w:tc>
      </w:tr>
      <w:tr w:rsidR="004573B3" w:rsidRPr="00B70352" w:rsidTr="001E4FAF">
        <w:tc>
          <w:tcPr>
            <w:tcW w:w="529" w:type="pct"/>
          </w:tcPr>
          <w:p w:rsidR="004573B3" w:rsidRPr="00B70352" w:rsidRDefault="004573B3" w:rsidP="004573B3">
            <w:pPr>
              <w:rPr>
                <w:sz w:val="22"/>
              </w:rPr>
            </w:pPr>
            <w:r>
              <w:rPr>
                <w:sz w:val="22"/>
              </w:rPr>
              <w:t>10.</w:t>
            </w:r>
          </w:p>
        </w:tc>
        <w:tc>
          <w:tcPr>
            <w:tcW w:w="1820" w:type="pct"/>
          </w:tcPr>
          <w:p w:rsidR="004573B3" w:rsidRPr="004573B3" w:rsidRDefault="004573B3" w:rsidP="004573B3">
            <w:pPr>
              <w:rPr>
                <w:sz w:val="22"/>
              </w:rPr>
            </w:pPr>
            <w:r w:rsidRPr="004573B3">
              <w:rPr>
                <w:sz w:val="22"/>
              </w:rPr>
              <w:t>TM</w:t>
            </w:r>
          </w:p>
        </w:tc>
        <w:tc>
          <w:tcPr>
            <w:tcW w:w="2651" w:type="pct"/>
          </w:tcPr>
          <w:p w:rsidR="004573B3" w:rsidRPr="004573B3" w:rsidRDefault="004573B3" w:rsidP="004573B3">
            <w:pPr>
              <w:jc w:val="right"/>
              <w:rPr>
                <w:sz w:val="22"/>
              </w:rPr>
            </w:pPr>
            <w:r w:rsidRPr="004573B3">
              <w:rPr>
                <w:sz w:val="22"/>
              </w:rPr>
              <w:t>2</w:t>
            </w:r>
            <w:r>
              <w:rPr>
                <w:sz w:val="22"/>
              </w:rPr>
              <w:t xml:space="preserve"> </w:t>
            </w:r>
            <w:r w:rsidRPr="004573B3">
              <w:rPr>
                <w:sz w:val="22"/>
              </w:rPr>
              <w:t>262</w:t>
            </w:r>
          </w:p>
        </w:tc>
      </w:tr>
      <w:tr w:rsidR="004573B3" w:rsidRPr="00B70352" w:rsidTr="001E4FAF">
        <w:tc>
          <w:tcPr>
            <w:tcW w:w="529" w:type="pct"/>
          </w:tcPr>
          <w:p w:rsidR="004573B3" w:rsidRPr="00B70352" w:rsidRDefault="004573B3" w:rsidP="004573B3">
            <w:pPr>
              <w:rPr>
                <w:sz w:val="22"/>
              </w:rPr>
            </w:pPr>
            <w:r>
              <w:rPr>
                <w:sz w:val="22"/>
              </w:rPr>
              <w:t>11.</w:t>
            </w:r>
          </w:p>
        </w:tc>
        <w:tc>
          <w:tcPr>
            <w:tcW w:w="1820" w:type="pct"/>
          </w:tcPr>
          <w:p w:rsidR="004573B3" w:rsidRPr="004573B3" w:rsidRDefault="004573B3" w:rsidP="004573B3">
            <w:pPr>
              <w:rPr>
                <w:sz w:val="22"/>
              </w:rPr>
            </w:pPr>
            <w:r w:rsidRPr="004573B3">
              <w:rPr>
                <w:sz w:val="22"/>
              </w:rPr>
              <w:t>VARAM</w:t>
            </w:r>
          </w:p>
        </w:tc>
        <w:tc>
          <w:tcPr>
            <w:tcW w:w="2651" w:type="pct"/>
          </w:tcPr>
          <w:p w:rsidR="004573B3" w:rsidRPr="004573B3" w:rsidRDefault="004573B3" w:rsidP="004573B3">
            <w:pPr>
              <w:jc w:val="right"/>
              <w:rPr>
                <w:sz w:val="22"/>
              </w:rPr>
            </w:pPr>
            <w:r w:rsidRPr="004573B3">
              <w:rPr>
                <w:sz w:val="22"/>
              </w:rPr>
              <w:t>1</w:t>
            </w:r>
            <w:r>
              <w:rPr>
                <w:sz w:val="22"/>
              </w:rPr>
              <w:t xml:space="preserve"> </w:t>
            </w:r>
            <w:r w:rsidRPr="004573B3">
              <w:rPr>
                <w:sz w:val="22"/>
              </w:rPr>
              <w:t>218</w:t>
            </w:r>
          </w:p>
        </w:tc>
      </w:tr>
      <w:tr w:rsidR="004573B3" w:rsidRPr="00B70352" w:rsidTr="001E4FAF">
        <w:tc>
          <w:tcPr>
            <w:tcW w:w="529" w:type="pct"/>
          </w:tcPr>
          <w:p w:rsidR="004573B3" w:rsidRPr="00B70352" w:rsidRDefault="004573B3" w:rsidP="004573B3">
            <w:pPr>
              <w:rPr>
                <w:sz w:val="22"/>
              </w:rPr>
            </w:pPr>
            <w:r>
              <w:rPr>
                <w:sz w:val="22"/>
              </w:rPr>
              <w:t>12.</w:t>
            </w:r>
          </w:p>
        </w:tc>
        <w:tc>
          <w:tcPr>
            <w:tcW w:w="1820" w:type="pct"/>
          </w:tcPr>
          <w:p w:rsidR="004573B3" w:rsidRPr="004573B3" w:rsidRDefault="004573B3" w:rsidP="004573B3">
            <w:pPr>
              <w:rPr>
                <w:sz w:val="22"/>
              </w:rPr>
            </w:pPr>
            <w:r w:rsidRPr="004573B3">
              <w:rPr>
                <w:sz w:val="22"/>
              </w:rPr>
              <w:t>VM</w:t>
            </w:r>
          </w:p>
        </w:tc>
        <w:tc>
          <w:tcPr>
            <w:tcW w:w="2651" w:type="pct"/>
          </w:tcPr>
          <w:p w:rsidR="004573B3" w:rsidRPr="004573B3" w:rsidRDefault="004573B3" w:rsidP="004573B3">
            <w:pPr>
              <w:jc w:val="right"/>
              <w:rPr>
                <w:sz w:val="22"/>
              </w:rPr>
            </w:pPr>
            <w:r w:rsidRPr="004573B3">
              <w:rPr>
                <w:sz w:val="22"/>
              </w:rPr>
              <w:t>1</w:t>
            </w:r>
            <w:r>
              <w:rPr>
                <w:sz w:val="22"/>
              </w:rPr>
              <w:t xml:space="preserve"> </w:t>
            </w:r>
            <w:r w:rsidRPr="004573B3">
              <w:rPr>
                <w:sz w:val="22"/>
              </w:rPr>
              <w:t>722</w:t>
            </w:r>
          </w:p>
        </w:tc>
      </w:tr>
      <w:tr w:rsidR="004573B3" w:rsidRPr="00B70352" w:rsidTr="001E4FAF">
        <w:tc>
          <w:tcPr>
            <w:tcW w:w="529" w:type="pct"/>
          </w:tcPr>
          <w:p w:rsidR="004573B3" w:rsidRPr="00B70352" w:rsidRDefault="004573B3" w:rsidP="004573B3">
            <w:pPr>
              <w:rPr>
                <w:sz w:val="22"/>
              </w:rPr>
            </w:pPr>
            <w:r>
              <w:rPr>
                <w:sz w:val="22"/>
              </w:rPr>
              <w:t>13.</w:t>
            </w:r>
          </w:p>
        </w:tc>
        <w:tc>
          <w:tcPr>
            <w:tcW w:w="1820" w:type="pct"/>
          </w:tcPr>
          <w:p w:rsidR="004573B3" w:rsidRPr="004573B3" w:rsidRDefault="004573B3" w:rsidP="004573B3">
            <w:pPr>
              <w:rPr>
                <w:sz w:val="22"/>
              </w:rPr>
            </w:pPr>
            <w:r w:rsidRPr="004573B3">
              <w:rPr>
                <w:sz w:val="22"/>
              </w:rPr>
              <w:t>ZM</w:t>
            </w:r>
          </w:p>
        </w:tc>
        <w:tc>
          <w:tcPr>
            <w:tcW w:w="2651" w:type="pct"/>
          </w:tcPr>
          <w:p w:rsidR="004573B3" w:rsidRPr="004573B3" w:rsidRDefault="004573B3" w:rsidP="004573B3">
            <w:pPr>
              <w:jc w:val="right"/>
              <w:rPr>
                <w:sz w:val="22"/>
              </w:rPr>
            </w:pPr>
            <w:r w:rsidRPr="004573B3">
              <w:rPr>
                <w:sz w:val="22"/>
              </w:rPr>
              <w:t>1</w:t>
            </w:r>
            <w:r>
              <w:rPr>
                <w:sz w:val="22"/>
              </w:rPr>
              <w:t xml:space="preserve"> </w:t>
            </w:r>
            <w:r w:rsidRPr="004573B3">
              <w:rPr>
                <w:sz w:val="22"/>
              </w:rPr>
              <w:t>218</w:t>
            </w:r>
          </w:p>
        </w:tc>
      </w:tr>
      <w:tr w:rsidR="004573B3" w:rsidRPr="00B70352" w:rsidTr="001E4FAF">
        <w:tc>
          <w:tcPr>
            <w:tcW w:w="529" w:type="pct"/>
          </w:tcPr>
          <w:p w:rsidR="004573B3" w:rsidRPr="00B70352" w:rsidRDefault="004573B3" w:rsidP="004573B3">
            <w:pPr>
              <w:rPr>
                <w:sz w:val="22"/>
              </w:rPr>
            </w:pPr>
            <w:r>
              <w:rPr>
                <w:sz w:val="22"/>
              </w:rPr>
              <w:t>14.</w:t>
            </w:r>
          </w:p>
        </w:tc>
        <w:tc>
          <w:tcPr>
            <w:tcW w:w="1820" w:type="pct"/>
          </w:tcPr>
          <w:p w:rsidR="004573B3" w:rsidRPr="004573B3" w:rsidRDefault="00BF445B" w:rsidP="004573B3">
            <w:pPr>
              <w:rPr>
                <w:sz w:val="22"/>
              </w:rPr>
            </w:pPr>
            <w:r>
              <w:rPr>
                <w:sz w:val="22"/>
              </w:rPr>
              <w:t>VPK</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15.</w:t>
            </w:r>
          </w:p>
        </w:tc>
        <w:tc>
          <w:tcPr>
            <w:tcW w:w="1820" w:type="pct"/>
          </w:tcPr>
          <w:p w:rsidR="004573B3" w:rsidRPr="004573B3" w:rsidRDefault="004573B3" w:rsidP="004573B3">
            <w:pPr>
              <w:rPr>
                <w:sz w:val="22"/>
              </w:rPr>
            </w:pPr>
            <w:r w:rsidRPr="004573B3">
              <w:rPr>
                <w:sz w:val="22"/>
              </w:rPr>
              <w:t>Saeima</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16.</w:t>
            </w:r>
          </w:p>
        </w:tc>
        <w:tc>
          <w:tcPr>
            <w:tcW w:w="1820" w:type="pct"/>
          </w:tcPr>
          <w:p w:rsidR="004573B3" w:rsidRPr="004573B3" w:rsidRDefault="00354614" w:rsidP="004573B3">
            <w:pPr>
              <w:rPr>
                <w:sz w:val="22"/>
              </w:rPr>
            </w:pPr>
            <w:r>
              <w:rPr>
                <w:sz w:val="22"/>
              </w:rPr>
              <w:t>MK</w:t>
            </w:r>
          </w:p>
        </w:tc>
        <w:tc>
          <w:tcPr>
            <w:tcW w:w="2651" w:type="pct"/>
          </w:tcPr>
          <w:p w:rsidR="004573B3" w:rsidRPr="004573B3" w:rsidRDefault="004573B3" w:rsidP="004573B3">
            <w:pPr>
              <w:jc w:val="right"/>
              <w:rPr>
                <w:sz w:val="22"/>
              </w:rPr>
            </w:pPr>
            <w:r w:rsidRPr="004573B3">
              <w:rPr>
                <w:sz w:val="22"/>
              </w:rPr>
              <w:t>348</w:t>
            </w:r>
          </w:p>
        </w:tc>
      </w:tr>
      <w:tr w:rsidR="004573B3" w:rsidRPr="00B70352" w:rsidTr="001E4FAF">
        <w:tc>
          <w:tcPr>
            <w:tcW w:w="529" w:type="pct"/>
          </w:tcPr>
          <w:p w:rsidR="004573B3" w:rsidRPr="00B70352" w:rsidRDefault="004573B3" w:rsidP="004573B3">
            <w:pPr>
              <w:rPr>
                <w:sz w:val="22"/>
              </w:rPr>
            </w:pPr>
            <w:r>
              <w:rPr>
                <w:sz w:val="22"/>
              </w:rPr>
              <w:lastRenderedPageBreak/>
              <w:t>17.</w:t>
            </w:r>
          </w:p>
        </w:tc>
        <w:tc>
          <w:tcPr>
            <w:tcW w:w="1820" w:type="pct"/>
          </w:tcPr>
          <w:p w:rsidR="004573B3" w:rsidRPr="004573B3" w:rsidRDefault="004573B3" w:rsidP="004573B3">
            <w:pPr>
              <w:rPr>
                <w:sz w:val="22"/>
              </w:rPr>
            </w:pPr>
            <w:r w:rsidRPr="004573B3">
              <w:rPr>
                <w:sz w:val="22"/>
              </w:rPr>
              <w:t>PKC</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18.</w:t>
            </w:r>
          </w:p>
        </w:tc>
        <w:tc>
          <w:tcPr>
            <w:tcW w:w="1820" w:type="pct"/>
          </w:tcPr>
          <w:p w:rsidR="004573B3" w:rsidRPr="004573B3" w:rsidRDefault="004573B3" w:rsidP="004573B3">
            <w:pPr>
              <w:rPr>
                <w:sz w:val="22"/>
              </w:rPr>
            </w:pPr>
            <w:r w:rsidRPr="004573B3">
              <w:rPr>
                <w:sz w:val="22"/>
              </w:rPr>
              <w:t>VKo</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19.</w:t>
            </w:r>
          </w:p>
        </w:tc>
        <w:tc>
          <w:tcPr>
            <w:tcW w:w="1820" w:type="pct"/>
          </w:tcPr>
          <w:p w:rsidR="004573B3" w:rsidRPr="004573B3" w:rsidRDefault="00354614" w:rsidP="004573B3">
            <w:pPr>
              <w:rPr>
                <w:sz w:val="22"/>
              </w:rPr>
            </w:pPr>
            <w:r>
              <w:rPr>
                <w:sz w:val="22"/>
              </w:rPr>
              <w:t>P</w:t>
            </w:r>
            <w:r w:rsidR="004573B3" w:rsidRPr="004573B3">
              <w:rPr>
                <w:sz w:val="22"/>
              </w:rPr>
              <w:t>rokuratūra</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20.</w:t>
            </w:r>
          </w:p>
        </w:tc>
        <w:tc>
          <w:tcPr>
            <w:tcW w:w="1820" w:type="pct"/>
          </w:tcPr>
          <w:p w:rsidR="004573B3" w:rsidRPr="004573B3" w:rsidRDefault="004573B3" w:rsidP="004573B3">
            <w:pPr>
              <w:rPr>
                <w:sz w:val="22"/>
              </w:rPr>
            </w:pPr>
            <w:r w:rsidRPr="004573B3">
              <w:rPr>
                <w:sz w:val="22"/>
              </w:rPr>
              <w:t>TB</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21.</w:t>
            </w:r>
          </w:p>
        </w:tc>
        <w:tc>
          <w:tcPr>
            <w:tcW w:w="1820" w:type="pct"/>
          </w:tcPr>
          <w:p w:rsidR="004573B3" w:rsidRPr="004573B3" w:rsidRDefault="004573B3" w:rsidP="004573B3">
            <w:pPr>
              <w:rPr>
                <w:sz w:val="22"/>
              </w:rPr>
            </w:pPr>
            <w:r w:rsidRPr="004573B3">
              <w:rPr>
                <w:sz w:val="22"/>
              </w:rPr>
              <w:t>AT</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22.</w:t>
            </w:r>
          </w:p>
        </w:tc>
        <w:tc>
          <w:tcPr>
            <w:tcW w:w="1820" w:type="pct"/>
          </w:tcPr>
          <w:p w:rsidR="004573B3" w:rsidRPr="004573B3" w:rsidRDefault="004573B3" w:rsidP="004573B3">
            <w:pPr>
              <w:rPr>
                <w:sz w:val="22"/>
              </w:rPr>
            </w:pPr>
            <w:r w:rsidRPr="004573B3">
              <w:rPr>
                <w:sz w:val="22"/>
              </w:rPr>
              <w:t>ST</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23.</w:t>
            </w:r>
          </w:p>
        </w:tc>
        <w:tc>
          <w:tcPr>
            <w:tcW w:w="1820" w:type="pct"/>
          </w:tcPr>
          <w:p w:rsidR="004573B3" w:rsidRPr="004573B3" w:rsidRDefault="004573B3" w:rsidP="004573B3">
            <w:pPr>
              <w:rPr>
                <w:sz w:val="22"/>
              </w:rPr>
            </w:pPr>
            <w:r w:rsidRPr="004573B3">
              <w:rPr>
                <w:sz w:val="22"/>
              </w:rPr>
              <w:t>KNAB</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24.</w:t>
            </w:r>
          </w:p>
        </w:tc>
        <w:tc>
          <w:tcPr>
            <w:tcW w:w="1820" w:type="pct"/>
          </w:tcPr>
          <w:p w:rsidR="004573B3" w:rsidRPr="004573B3" w:rsidRDefault="004573B3" w:rsidP="004573B3">
            <w:pPr>
              <w:rPr>
                <w:sz w:val="22"/>
              </w:rPr>
            </w:pPr>
            <w:r w:rsidRPr="004573B3">
              <w:rPr>
                <w:sz w:val="22"/>
              </w:rPr>
              <w:t>SPRK</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Pr="00B70352" w:rsidRDefault="004573B3" w:rsidP="004573B3">
            <w:pPr>
              <w:rPr>
                <w:sz w:val="22"/>
              </w:rPr>
            </w:pPr>
            <w:r>
              <w:rPr>
                <w:sz w:val="22"/>
              </w:rPr>
              <w:t>25.</w:t>
            </w:r>
          </w:p>
        </w:tc>
        <w:tc>
          <w:tcPr>
            <w:tcW w:w="1820" w:type="pct"/>
          </w:tcPr>
          <w:p w:rsidR="004573B3" w:rsidRPr="004573B3" w:rsidRDefault="004573B3" w:rsidP="004573B3">
            <w:pPr>
              <w:rPr>
                <w:sz w:val="22"/>
              </w:rPr>
            </w:pPr>
            <w:r w:rsidRPr="004573B3">
              <w:rPr>
                <w:sz w:val="22"/>
              </w:rPr>
              <w:t>SIF</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Default="004573B3" w:rsidP="004573B3">
            <w:pPr>
              <w:rPr>
                <w:sz w:val="22"/>
              </w:rPr>
            </w:pPr>
            <w:r>
              <w:rPr>
                <w:sz w:val="22"/>
              </w:rPr>
              <w:t>26.</w:t>
            </w:r>
          </w:p>
        </w:tc>
        <w:tc>
          <w:tcPr>
            <w:tcW w:w="1820" w:type="pct"/>
          </w:tcPr>
          <w:p w:rsidR="004573B3" w:rsidRPr="004573B3" w:rsidRDefault="004573B3" w:rsidP="004573B3">
            <w:pPr>
              <w:rPr>
                <w:sz w:val="22"/>
              </w:rPr>
            </w:pPr>
            <w:r w:rsidRPr="004573B3">
              <w:rPr>
                <w:sz w:val="22"/>
              </w:rPr>
              <w:t>CVK</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Default="004573B3" w:rsidP="004573B3">
            <w:pPr>
              <w:rPr>
                <w:sz w:val="22"/>
              </w:rPr>
            </w:pPr>
            <w:r>
              <w:rPr>
                <w:sz w:val="22"/>
              </w:rPr>
              <w:t>27.</w:t>
            </w:r>
          </w:p>
        </w:tc>
        <w:tc>
          <w:tcPr>
            <w:tcW w:w="1820" w:type="pct"/>
          </w:tcPr>
          <w:p w:rsidR="004573B3" w:rsidRPr="004573B3" w:rsidRDefault="004573B3" w:rsidP="004573B3">
            <w:pPr>
              <w:rPr>
                <w:sz w:val="22"/>
              </w:rPr>
            </w:pPr>
            <w:r w:rsidRPr="004573B3">
              <w:rPr>
                <w:sz w:val="22"/>
              </w:rPr>
              <w:t>CZK</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529" w:type="pct"/>
          </w:tcPr>
          <w:p w:rsidR="004573B3" w:rsidRDefault="004573B3" w:rsidP="004573B3">
            <w:pPr>
              <w:rPr>
                <w:sz w:val="22"/>
              </w:rPr>
            </w:pPr>
            <w:r>
              <w:rPr>
                <w:sz w:val="22"/>
              </w:rPr>
              <w:t>28.</w:t>
            </w:r>
          </w:p>
        </w:tc>
        <w:tc>
          <w:tcPr>
            <w:tcW w:w="1820" w:type="pct"/>
          </w:tcPr>
          <w:p w:rsidR="004573B3" w:rsidRPr="004573B3" w:rsidRDefault="00354614" w:rsidP="004573B3">
            <w:pPr>
              <w:rPr>
                <w:sz w:val="22"/>
              </w:rPr>
            </w:pPr>
            <w:r>
              <w:rPr>
                <w:sz w:val="22"/>
              </w:rPr>
              <w:t>RTV</w:t>
            </w:r>
          </w:p>
        </w:tc>
        <w:tc>
          <w:tcPr>
            <w:tcW w:w="2651" w:type="pct"/>
          </w:tcPr>
          <w:p w:rsidR="004573B3" w:rsidRPr="004573B3" w:rsidRDefault="004573B3" w:rsidP="004573B3">
            <w:pPr>
              <w:jc w:val="right"/>
              <w:rPr>
                <w:sz w:val="22"/>
              </w:rPr>
            </w:pPr>
            <w:r w:rsidRPr="004573B3">
              <w:rPr>
                <w:sz w:val="22"/>
              </w:rPr>
              <w:t>174</w:t>
            </w:r>
          </w:p>
        </w:tc>
      </w:tr>
      <w:tr w:rsidR="004573B3" w:rsidRPr="00B70352" w:rsidTr="001E4FAF">
        <w:tc>
          <w:tcPr>
            <w:tcW w:w="2349" w:type="pct"/>
            <w:gridSpan w:val="2"/>
          </w:tcPr>
          <w:p w:rsidR="004573B3" w:rsidRPr="004573B3" w:rsidRDefault="00F30CB1" w:rsidP="00F30CB1">
            <w:pPr>
              <w:jc w:val="right"/>
              <w:rPr>
                <w:b/>
                <w:sz w:val="22"/>
              </w:rPr>
            </w:pPr>
            <w:r>
              <w:rPr>
                <w:b/>
                <w:sz w:val="22"/>
              </w:rPr>
              <w:t>KOPĀ</w:t>
            </w:r>
            <w:r w:rsidR="004573B3" w:rsidRPr="004573B3">
              <w:rPr>
                <w:b/>
                <w:sz w:val="22"/>
              </w:rPr>
              <w:t>:</w:t>
            </w:r>
          </w:p>
        </w:tc>
        <w:tc>
          <w:tcPr>
            <w:tcW w:w="2651" w:type="pct"/>
          </w:tcPr>
          <w:p w:rsidR="004573B3" w:rsidRPr="004573B3" w:rsidRDefault="00F159D0" w:rsidP="00354614">
            <w:pPr>
              <w:jc w:val="right"/>
              <w:rPr>
                <w:b/>
                <w:sz w:val="22"/>
              </w:rPr>
            </w:pPr>
            <w:r>
              <w:rPr>
                <w:b/>
                <w:sz w:val="22"/>
              </w:rPr>
              <w:t>3</w:t>
            </w:r>
            <w:r w:rsidR="004573B3">
              <w:rPr>
                <w:b/>
                <w:sz w:val="22"/>
              </w:rPr>
              <w:t>4</w:t>
            </w:r>
            <w:r>
              <w:rPr>
                <w:b/>
                <w:sz w:val="22"/>
              </w:rPr>
              <w:t xml:space="preserve"> </w:t>
            </w:r>
            <w:r w:rsidR="004573B3">
              <w:rPr>
                <w:b/>
                <w:sz w:val="22"/>
              </w:rPr>
              <w:t>0</w:t>
            </w:r>
            <w:r w:rsidR="00354614">
              <w:rPr>
                <w:b/>
                <w:sz w:val="22"/>
              </w:rPr>
              <w:t>30</w:t>
            </w:r>
          </w:p>
        </w:tc>
      </w:tr>
    </w:tbl>
    <w:p w:rsidR="00CC2EE0" w:rsidRDefault="00D72B05" w:rsidP="00B7327A">
      <w:pPr>
        <w:spacing w:before="240" w:after="120"/>
        <w:ind w:firstLine="720"/>
        <w:jc w:val="both"/>
        <w:rPr>
          <w:szCs w:val="24"/>
        </w:rPr>
      </w:pPr>
      <w:r w:rsidRPr="00942CBD">
        <w:rPr>
          <w:szCs w:val="24"/>
        </w:rPr>
        <w:t xml:space="preserve">Kopējais ietaupījums </w:t>
      </w:r>
      <w:r w:rsidRPr="00942CBD">
        <w:rPr>
          <w:i/>
          <w:szCs w:val="24"/>
        </w:rPr>
        <w:t>euro</w:t>
      </w:r>
      <w:r w:rsidRPr="00942CBD">
        <w:rPr>
          <w:szCs w:val="24"/>
        </w:rPr>
        <w:t xml:space="preserve"> izteiksmē aprēķināts par pamatu ņemot ministrijas padotībā esošās budžeta iestādes</w:t>
      </w:r>
      <w:r w:rsidRPr="00942CBD">
        <w:rPr>
          <w:rStyle w:val="FootnoteReference"/>
          <w:szCs w:val="24"/>
        </w:rPr>
        <w:footnoteReference w:id="6"/>
      </w:r>
      <w:r w:rsidR="002C5806" w:rsidRPr="00942CBD">
        <w:rPr>
          <w:szCs w:val="24"/>
        </w:rPr>
        <w:t>, citas iestādes, kapitālsabiedrības reizinot ar FM resora referenci (provizoriskais aprēķins, ka budžeta pieprasījuma sagatavošanai tiek patērētas 908 cilvēkstundas), piemērots apjoma koeficients attiecībā pret FM resoru. Tāpat aprēķinātas FM Budžeta departamenta ieguldītās cilvēkstundas budžeta pieprasījumu izvērtēšanā un kopsavilkuma sagatavošanā (kā pieņēmums 20% no resora).</w:t>
      </w:r>
      <w:r w:rsidR="00B074F0" w:rsidRPr="00942CBD">
        <w:rPr>
          <w:szCs w:val="24"/>
        </w:rPr>
        <w:t xml:space="preserve"> Kopējās izmaksas aprēķinātas pamatojoties uz </w:t>
      </w:r>
      <w:r w:rsidR="009038F5" w:rsidRPr="00942CBD">
        <w:rPr>
          <w:szCs w:val="24"/>
        </w:rPr>
        <w:t>CSP</w:t>
      </w:r>
      <w:r w:rsidR="00B074F0" w:rsidRPr="00942CBD">
        <w:rPr>
          <w:szCs w:val="24"/>
        </w:rPr>
        <w:t xml:space="preserve"> datiem par vienas stundas darbaspēka izmaksām valsts pārvaldē 2016.gada 4.ceturksnī</w:t>
      </w:r>
      <w:r w:rsidR="00651FB5" w:rsidRPr="00942CBD">
        <w:rPr>
          <w:rStyle w:val="FootnoteReference"/>
          <w:szCs w:val="24"/>
        </w:rPr>
        <w:footnoteReference w:id="7"/>
      </w:r>
      <w:r w:rsidR="00B074F0" w:rsidRPr="00942CBD">
        <w:rPr>
          <w:szCs w:val="24"/>
        </w:rPr>
        <w:t xml:space="preserve"> (9,58 </w:t>
      </w:r>
      <w:r w:rsidR="00B074F0" w:rsidRPr="00942CBD">
        <w:rPr>
          <w:i/>
          <w:szCs w:val="24"/>
        </w:rPr>
        <w:t>euro</w:t>
      </w:r>
      <w:r w:rsidR="00B074F0" w:rsidRPr="00942CBD">
        <w:rPr>
          <w:szCs w:val="24"/>
        </w:rPr>
        <w:t xml:space="preserve"> par vienu cilvēkstundu).</w:t>
      </w:r>
      <w:r w:rsidR="002C5806" w:rsidRPr="00942CBD">
        <w:rPr>
          <w:szCs w:val="24"/>
        </w:rPr>
        <w:t xml:space="preserve"> </w:t>
      </w:r>
      <w:r w:rsidR="00B7327A" w:rsidRPr="00942CBD">
        <w:rPr>
          <w:szCs w:val="24"/>
        </w:rPr>
        <w:t xml:space="preserve">Kopējais ietaupījums </w:t>
      </w:r>
      <w:r w:rsidR="00B7327A" w:rsidRPr="00942CBD">
        <w:rPr>
          <w:i/>
          <w:szCs w:val="24"/>
        </w:rPr>
        <w:t>euro</w:t>
      </w:r>
      <w:r w:rsidR="00B7327A" w:rsidRPr="00942CBD">
        <w:rPr>
          <w:szCs w:val="24"/>
        </w:rPr>
        <w:t xml:space="preserve"> izteiksmē, veicot grozījumus MK noteikumos Nr.523, veidojas kā kopsumma no ietaupījuma resoru griezumā un FM Budžeta departamentam paredzamā ietaupījuma.</w:t>
      </w:r>
      <w:r w:rsidR="00B7327A">
        <w:rPr>
          <w:szCs w:val="24"/>
        </w:rPr>
        <w:t xml:space="preserve"> </w:t>
      </w:r>
    </w:p>
    <w:p w:rsidR="00C62BAA" w:rsidRDefault="00C62BAA" w:rsidP="001E4FAF">
      <w:pPr>
        <w:spacing w:before="120" w:after="120"/>
        <w:ind w:firstLine="720"/>
        <w:jc w:val="both"/>
        <w:rPr>
          <w:szCs w:val="24"/>
        </w:rPr>
      </w:pPr>
      <w:r>
        <w:rPr>
          <w:szCs w:val="24"/>
        </w:rPr>
        <w:t>Izpētot ministriju sniegtos priekšlikumu par MK instrukciju Nr.8, FM tos sadalīja 3 grupās:</w:t>
      </w:r>
    </w:p>
    <w:p w:rsidR="00C62BAA" w:rsidRDefault="00C62BAA" w:rsidP="008C25BB">
      <w:pPr>
        <w:pStyle w:val="ListParagraph"/>
        <w:numPr>
          <w:ilvl w:val="0"/>
          <w:numId w:val="23"/>
        </w:numPr>
        <w:spacing w:after="120"/>
        <w:contextualSpacing w:val="0"/>
        <w:jc w:val="both"/>
        <w:rPr>
          <w:szCs w:val="24"/>
        </w:rPr>
      </w:pPr>
      <w:r>
        <w:rPr>
          <w:i/>
          <w:szCs w:val="24"/>
        </w:rPr>
        <w:t>Priekšlikumi par informācijas a</w:t>
      </w:r>
      <w:r w:rsidR="009038F5">
        <w:rPr>
          <w:i/>
          <w:szCs w:val="24"/>
        </w:rPr>
        <w:t>tkārtotu pārvadīšanu no Valsts kases</w:t>
      </w:r>
      <w:r>
        <w:rPr>
          <w:i/>
          <w:szCs w:val="24"/>
        </w:rPr>
        <w:t xml:space="preserve"> pārskatiem</w:t>
      </w:r>
      <w:r>
        <w:rPr>
          <w:szCs w:val="24"/>
        </w:rPr>
        <w:t xml:space="preserve"> (VKo, CVK, VARAM, VM, IZM, FM (resors), EM, LM, TB, KM norādījušas, ka manuāls informācijas ievadīšanas process nepieciešams, lai sagatavotu instrukcijā prasītās veidlapas, </w:t>
      </w:r>
      <w:r w:rsidR="009038F5">
        <w:rPr>
          <w:szCs w:val="24"/>
        </w:rPr>
        <w:t>jo informācija tiek iegūta no Valsts kases</w:t>
      </w:r>
      <w:r>
        <w:rPr>
          <w:szCs w:val="24"/>
        </w:rPr>
        <w:t xml:space="preserve"> oficiālajiem pārskatiem, kuri ir publiski pieejami visiem V</w:t>
      </w:r>
      <w:r w:rsidR="009038F5">
        <w:rPr>
          <w:szCs w:val="24"/>
        </w:rPr>
        <w:t>alsts kases</w:t>
      </w:r>
      <w:r>
        <w:rPr>
          <w:szCs w:val="24"/>
        </w:rPr>
        <w:t xml:space="preserve"> mājaslapā). </w:t>
      </w:r>
    </w:p>
    <w:p w:rsidR="00C62BAA" w:rsidRDefault="00C62BAA" w:rsidP="008C25BB">
      <w:pPr>
        <w:pStyle w:val="ListParagraph"/>
        <w:numPr>
          <w:ilvl w:val="0"/>
          <w:numId w:val="23"/>
        </w:numPr>
        <w:spacing w:after="120"/>
        <w:contextualSpacing w:val="0"/>
        <w:jc w:val="both"/>
        <w:rPr>
          <w:szCs w:val="24"/>
        </w:rPr>
      </w:pPr>
      <w:r>
        <w:rPr>
          <w:i/>
          <w:szCs w:val="24"/>
        </w:rPr>
        <w:t xml:space="preserve">Priekšlikumi, kuros secināts, ka instrukcijā sniedzamā informācija daļēji dublējas ar informāciju, kas sniedzama saskaņā ar MK 2010.gada 5.maija noteikumiem Nr.413 “Noteikumi par gada publiskajiem pārskatiem” un MK 2013.gada 15.oktobra noteikumiem Nr.1115 “Gada pārskata sagatavošanas kārtība” </w:t>
      </w:r>
      <w:r>
        <w:rPr>
          <w:szCs w:val="24"/>
        </w:rPr>
        <w:t>(LM, VK, PKC, IeM norādījušas uz minēto informāciju daļēju dublēšanos starp MK instrukciju Nr.8 un minētajiem MK noteikumiem).</w:t>
      </w:r>
    </w:p>
    <w:p w:rsidR="00C62BAA" w:rsidRPr="007D38CF" w:rsidRDefault="00C62BAA" w:rsidP="008C25BB">
      <w:pPr>
        <w:pStyle w:val="ListParagraph"/>
        <w:numPr>
          <w:ilvl w:val="0"/>
          <w:numId w:val="23"/>
        </w:numPr>
        <w:spacing w:after="120"/>
        <w:ind w:left="714" w:hanging="357"/>
        <w:contextualSpacing w:val="0"/>
        <w:jc w:val="both"/>
        <w:rPr>
          <w:szCs w:val="24"/>
        </w:rPr>
      </w:pPr>
      <w:r>
        <w:rPr>
          <w:i/>
          <w:szCs w:val="24"/>
        </w:rPr>
        <w:t xml:space="preserve">Priekšlikumi par veidlapu saturu un izpildes analīzes iesniegšanas regularitāti </w:t>
      </w:r>
      <w:r>
        <w:rPr>
          <w:szCs w:val="24"/>
        </w:rPr>
        <w:t>(KM norādīju</w:t>
      </w:r>
      <w:r w:rsidR="001E4FAF">
        <w:rPr>
          <w:szCs w:val="24"/>
        </w:rPr>
        <w:t>si</w:t>
      </w:r>
      <w:r>
        <w:rPr>
          <w:szCs w:val="24"/>
        </w:rPr>
        <w:t xml:space="preserve"> uz nepieciešamību izvērtēt MK instrukcijas Nr.8 8.pielikumu “Darbības rezultāta rezultatīvā rādītāja novirzes rašanās iemesli un citi skaidrojumi par tā izpildi”, t.i., izvērtēt tabulas izkārtojumu. Tāpat TM norādījusi uz nepieciešamību pārskatīt instrukcijā noteikto, ka ministrijas FM informāciju par valsts budžeta izpildes analīzi par trim, sešiem, deviņiem un divpadsmit mēnešiem, tā vietā nosakot, ka ministrijas </w:t>
      </w:r>
      <w:r>
        <w:rPr>
          <w:szCs w:val="24"/>
        </w:rPr>
        <w:lastRenderedPageBreak/>
        <w:t>iesniedz FM informāciju par valsts budžeta izpildes analīzi par sešiem un divpadsmit mēnešiem).</w:t>
      </w:r>
    </w:p>
    <w:p w:rsidR="007D38CF" w:rsidRDefault="007D38CF" w:rsidP="007D38CF">
      <w:pPr>
        <w:spacing w:before="240"/>
        <w:ind w:firstLine="720"/>
        <w:jc w:val="both"/>
        <w:rPr>
          <w:szCs w:val="24"/>
        </w:rPr>
      </w:pPr>
      <w:r>
        <w:rPr>
          <w:szCs w:val="24"/>
        </w:rPr>
        <w:t>Ministrijas kopumā iesniegušas 16 priekšli</w:t>
      </w:r>
      <w:r w:rsidR="00A24721">
        <w:rPr>
          <w:szCs w:val="24"/>
        </w:rPr>
        <w:t>kumus par MK instrukciju Nr.8. A</w:t>
      </w:r>
      <w:r>
        <w:rPr>
          <w:szCs w:val="24"/>
        </w:rPr>
        <w:t xml:space="preserve">ttēls </w:t>
      </w:r>
      <w:r w:rsidRPr="001E4FAF">
        <w:rPr>
          <w:szCs w:val="24"/>
        </w:rPr>
        <w:t>Nr.2.6. parāda</w:t>
      </w:r>
      <w:r>
        <w:rPr>
          <w:szCs w:val="24"/>
        </w:rPr>
        <w:t>, ka ministrijas priekšlikumus par atkārtotu informācijas manuālu pārvadīšanu no V</w:t>
      </w:r>
      <w:r w:rsidR="005438C7">
        <w:rPr>
          <w:szCs w:val="24"/>
        </w:rPr>
        <w:t xml:space="preserve">alsts kases </w:t>
      </w:r>
      <w:r>
        <w:rPr>
          <w:szCs w:val="24"/>
        </w:rPr>
        <w:t xml:space="preserve">pārskatiem minējušas 62% gadījumu no kopējā ministriju priekšlikumu skaita par MK instrukciju Nr.8, tāpat 25% gadījumu ministrijas minējušas informācijas dublēšanos ar gada pārskatos sniedzamo informāciju, kā arī 13% ministrijas norādījušas uz nepieciešamību precizēt veidlapu saturu un veidlapu iesniegšanas regularitāti. </w:t>
      </w:r>
    </w:p>
    <w:p w:rsidR="007D38CF" w:rsidRPr="007D38CF" w:rsidRDefault="007D38CF" w:rsidP="007D38CF"/>
    <w:p w:rsidR="00C62BAA" w:rsidRDefault="00C62BAA" w:rsidP="00C62BAA">
      <w:pPr>
        <w:jc w:val="center"/>
        <w:rPr>
          <w:szCs w:val="24"/>
        </w:rPr>
      </w:pPr>
      <w:r>
        <w:rPr>
          <w:noProof/>
          <w:lang w:eastAsia="lv-LV"/>
        </w:rPr>
        <w:drawing>
          <wp:inline distT="0" distB="0" distL="0" distR="0" wp14:anchorId="76A18EE7" wp14:editId="2EF42F7A">
            <wp:extent cx="4245996" cy="2504661"/>
            <wp:effectExtent l="0" t="0" r="2540" b="10160"/>
            <wp:docPr id="91" name="Chart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62BAA" w:rsidRDefault="007D38CF" w:rsidP="00BF445B">
      <w:pPr>
        <w:tabs>
          <w:tab w:val="left" w:pos="740"/>
        </w:tabs>
        <w:spacing w:before="120" w:after="240"/>
        <w:jc w:val="center"/>
        <w:rPr>
          <w:b/>
          <w:sz w:val="22"/>
        </w:rPr>
      </w:pPr>
      <w:r w:rsidRPr="001E4FAF">
        <w:rPr>
          <w:i/>
          <w:sz w:val="22"/>
        </w:rPr>
        <w:t>2.6.</w:t>
      </w:r>
      <w:r w:rsidR="00C62BAA" w:rsidRPr="001E4FAF">
        <w:rPr>
          <w:i/>
          <w:sz w:val="22"/>
        </w:rPr>
        <w:t>att.</w:t>
      </w:r>
      <w:r w:rsidR="00C62BAA" w:rsidRPr="001E4FAF">
        <w:rPr>
          <w:sz w:val="22"/>
        </w:rPr>
        <w:t xml:space="preserve"> </w:t>
      </w:r>
      <w:r w:rsidR="00C62BAA" w:rsidRPr="001E4FAF">
        <w:rPr>
          <w:b/>
          <w:sz w:val="22"/>
        </w:rPr>
        <w:t>Ministriju</w:t>
      </w:r>
      <w:r w:rsidR="00C62BAA">
        <w:rPr>
          <w:b/>
          <w:sz w:val="22"/>
        </w:rPr>
        <w:t xml:space="preserve"> priekšlikumi MK instrukcijai Nr.8, %</w:t>
      </w:r>
    </w:p>
    <w:p w:rsidR="00C62BAA" w:rsidRDefault="00C62BAA" w:rsidP="0026093C">
      <w:pPr>
        <w:spacing w:before="120" w:after="120"/>
        <w:ind w:firstLine="720"/>
        <w:jc w:val="both"/>
        <w:rPr>
          <w:szCs w:val="24"/>
        </w:rPr>
      </w:pPr>
      <w:r>
        <w:rPr>
          <w:szCs w:val="24"/>
        </w:rPr>
        <w:t>Veicot MK instrukcijas Nr.8 izvērtēšanu</w:t>
      </w:r>
      <w:r w:rsidR="0026093C">
        <w:rPr>
          <w:szCs w:val="24"/>
        </w:rPr>
        <w:t>,</w:t>
      </w:r>
      <w:r>
        <w:rPr>
          <w:szCs w:val="24"/>
        </w:rPr>
        <w:t xml:space="preserve"> ir izdarīti vairāki secinājumi turpmākai rīcībai:</w:t>
      </w:r>
    </w:p>
    <w:p w:rsidR="00C62BAA" w:rsidRDefault="00C62BAA" w:rsidP="008C25BB">
      <w:pPr>
        <w:pStyle w:val="ListParagraph"/>
        <w:numPr>
          <w:ilvl w:val="0"/>
          <w:numId w:val="24"/>
        </w:numPr>
        <w:spacing w:after="120"/>
        <w:contextualSpacing w:val="0"/>
        <w:jc w:val="both"/>
        <w:rPr>
          <w:szCs w:val="24"/>
        </w:rPr>
      </w:pPr>
      <w:r>
        <w:rPr>
          <w:szCs w:val="24"/>
        </w:rPr>
        <w:t>MK instrukcijai pievienotais 1.pielikums “Valsts pamatbudžeta izpildes analīze 20__.gada __ mēnešos”, 2.pielikums “Valsts speciālā budžeta izpildes analīze 20___.gada ________ mēnešos”, 3.pielikums “Ministrijas pamatbudžeta ieņēmumu un izdevumu izpilde 20___.gada ______ mēnešos” un 4.pielikums “Speciālā budžeta ieņēmumu un izdevumu izpilde 20__.gada _</w:t>
      </w:r>
      <w:r w:rsidR="005438C7">
        <w:rPr>
          <w:szCs w:val="24"/>
        </w:rPr>
        <w:t>___ mēnešos” ir analoģiski ar Valsts kases</w:t>
      </w:r>
      <w:r>
        <w:rPr>
          <w:szCs w:val="24"/>
        </w:rPr>
        <w:t xml:space="preserve"> mājas lapā ievietotajiem ceturkšņa operatīvajiem pārskatiem “Valsts budžeta izpilde (saimnieciskais gads, pārskata periods)”, “Valsts speciālā budžeta izpilde (saimnieciskais gads, pārskata periods)”, “Ministrijas pamatbudžeta ieņēmumu un izdevumu izpilde saimnieciskā gada pārskata periodā” un “Speciālā budžeta ieņēmumu un izdevumu izpilde saimnieciskā gada pārskata periodā”, kurus ministrijas arī izmanto datu pārlikšanai iepriekšminētajos pielikumos. Tādēļ būtu lietderīgi atteikties no vairākkārtīgas informācijas pārvadīšanas un turpmāk FM neiesniegt informāci</w:t>
      </w:r>
      <w:r w:rsidR="005438C7">
        <w:rPr>
          <w:szCs w:val="24"/>
        </w:rPr>
        <w:t>ju, kura ir publiski pieejama Valsts kases</w:t>
      </w:r>
      <w:r>
        <w:rPr>
          <w:szCs w:val="24"/>
        </w:rPr>
        <w:t xml:space="preserve"> mājaslapā.</w:t>
      </w:r>
    </w:p>
    <w:p w:rsidR="00C62BAA" w:rsidRDefault="00C62BAA" w:rsidP="008C25BB">
      <w:pPr>
        <w:pStyle w:val="ListParagraph"/>
        <w:numPr>
          <w:ilvl w:val="0"/>
          <w:numId w:val="24"/>
        </w:numPr>
        <w:spacing w:after="120"/>
        <w:contextualSpacing w:val="0"/>
        <w:jc w:val="both"/>
        <w:rPr>
          <w:szCs w:val="24"/>
        </w:rPr>
      </w:pPr>
      <w:r>
        <w:rPr>
          <w:szCs w:val="24"/>
        </w:rPr>
        <w:t>FM izskatīs</w:t>
      </w:r>
      <w:r w:rsidR="004B312C">
        <w:rPr>
          <w:szCs w:val="24"/>
        </w:rPr>
        <w:t xml:space="preserve"> iespējas saturiski precizēt</w:t>
      </w:r>
      <w:r>
        <w:rPr>
          <w:szCs w:val="24"/>
        </w:rPr>
        <w:t xml:space="preserve"> MK instrukcijas Nr.8 5.pielikumu “Paskaidrojums par valsts pamatbudžeta (speciālā budžeta) izpildi 20___.gada ___ mēnešos” un 8.pielikumu “Darbības rezultātu un to rezultatīvo rādītāju izpilde 20__.gadā”.</w:t>
      </w:r>
    </w:p>
    <w:p w:rsidR="00C62BAA" w:rsidRDefault="00C62BAA" w:rsidP="008C25BB">
      <w:pPr>
        <w:pStyle w:val="ListParagraph"/>
        <w:numPr>
          <w:ilvl w:val="0"/>
          <w:numId w:val="24"/>
        </w:numPr>
        <w:spacing w:after="120"/>
        <w:contextualSpacing w:val="0"/>
        <w:jc w:val="both"/>
        <w:rPr>
          <w:szCs w:val="24"/>
        </w:rPr>
      </w:pPr>
      <w:r>
        <w:rPr>
          <w:szCs w:val="24"/>
        </w:rPr>
        <w:t>FM izvērtēs informācijas par valsts budžeta izpildes analīzi optimālo iesniegšanas biežumu.</w:t>
      </w:r>
    </w:p>
    <w:p w:rsidR="00BF445B" w:rsidRPr="003C6BF4" w:rsidRDefault="00C62BAA" w:rsidP="00195837">
      <w:pPr>
        <w:tabs>
          <w:tab w:val="left" w:pos="740"/>
        </w:tabs>
        <w:spacing w:before="120" w:after="120"/>
        <w:ind w:firstLine="720"/>
        <w:jc w:val="both"/>
        <w:rPr>
          <w:szCs w:val="24"/>
        </w:rPr>
      </w:pPr>
      <w:r>
        <w:rPr>
          <w:szCs w:val="24"/>
        </w:rPr>
        <w:lastRenderedPageBreak/>
        <w:t>Ņemot vērā izteiktos secinājumus turpmākai rīcībai, kā arī lai atrisinātu lielāko daļu no ministriju izteiktajiem ierosinājumiem attiecībā uz MK instrukciju Nr.8, FM veiks analīzi par nepieciešamajām iz</w:t>
      </w:r>
      <w:r w:rsidR="003C6BF4">
        <w:rPr>
          <w:szCs w:val="24"/>
        </w:rPr>
        <w:t xml:space="preserve">maiņām normatīvajā regulējumā. </w:t>
      </w:r>
    </w:p>
    <w:p w:rsidR="00B127E1" w:rsidRPr="003C6BF4" w:rsidRDefault="00186B53" w:rsidP="007B777F">
      <w:pPr>
        <w:pStyle w:val="Heading3"/>
        <w:spacing w:before="240" w:after="360"/>
        <w:jc w:val="center"/>
        <w:rPr>
          <w:sz w:val="28"/>
          <w:szCs w:val="28"/>
        </w:rPr>
      </w:pPr>
      <w:bookmarkStart w:id="6" w:name="_Toc487036790"/>
      <w:r w:rsidRPr="00C90316">
        <w:rPr>
          <w:rFonts w:ascii="Times New Roman" w:hAnsi="Times New Roman" w:cs="Times New Roman"/>
          <w:color w:val="auto"/>
          <w:sz w:val="28"/>
          <w:szCs w:val="28"/>
        </w:rPr>
        <w:t>2.2.2</w:t>
      </w:r>
      <w:r w:rsidR="001A6FC6" w:rsidRPr="00C90316">
        <w:rPr>
          <w:rFonts w:ascii="Times New Roman" w:hAnsi="Times New Roman" w:cs="Times New Roman"/>
          <w:color w:val="auto"/>
          <w:sz w:val="28"/>
          <w:szCs w:val="28"/>
        </w:rPr>
        <w:t>. Apropriāc</w:t>
      </w:r>
      <w:r w:rsidRPr="00C90316">
        <w:rPr>
          <w:rFonts w:ascii="Times New Roman" w:hAnsi="Times New Roman" w:cs="Times New Roman"/>
          <w:color w:val="auto"/>
          <w:sz w:val="28"/>
          <w:szCs w:val="28"/>
        </w:rPr>
        <w:t>iju izmaiņu procesu efektivizēšana</w:t>
      </w:r>
      <w:bookmarkEnd w:id="6"/>
    </w:p>
    <w:p w:rsidR="00B127E1" w:rsidRPr="00E53533" w:rsidRDefault="00B127E1" w:rsidP="00E53533">
      <w:pPr>
        <w:ind w:firstLine="567"/>
        <w:jc w:val="both"/>
        <w:rPr>
          <w:rFonts w:cs="Times New Roman"/>
          <w:szCs w:val="24"/>
        </w:rPr>
      </w:pPr>
      <w:r>
        <w:t xml:space="preserve">Apstiprinot gadskārtējo valsts budžetu, Saeima gadskārtējā valsts budžetā apstiprina izdevumu apropriācijas budžeta programmām un apakšprogrammām. Budžeta izpildes laikā var rasties objektīvi pamatotas atšķirības starp plānoto un faktisko situāciju. Lai elastīgi uz to reaģētu, LBFV un gadskārtējā valsts budžeta likumā ir paredzēta iespēja veikt apropriāciju izmaiņas, neveicot grozījumus gadskārtējā valsts budžeta likumā. </w:t>
      </w:r>
    </w:p>
    <w:p w:rsidR="00B127E1" w:rsidRDefault="00B127E1" w:rsidP="00E53533">
      <w:pPr>
        <w:spacing w:before="120" w:after="120"/>
        <w:ind w:firstLine="720"/>
        <w:jc w:val="both"/>
      </w:pPr>
      <w:r>
        <w:t>Budžeta elastība var tikt nodrošināta dažādos līmeņos, iesaistot lēmuma pieņemšanā dažādas instances (finanšu ministrs, MK, Saeimas Budžeta un finanšu (nodokļu) komisija, Saeima) atkarībā no veicamo izmaiņu apmēriem un nozīmīguma. Tādējādi tiek nodrošināta iespēja budžeta izpildītājiem analizēt konkrēto situāciju un pārdalīt budžeta resursus tādā veidā, lai atbilstoši situācijai maksimāli efektīvi sasniegtu uzstādītos mērķus, vienlaikus nodrošinot iesaistīto institūciju kontroli pār situāciju un lēmumu pieņemšanu.</w:t>
      </w:r>
    </w:p>
    <w:p w:rsidR="00B127E1" w:rsidRDefault="00B127E1" w:rsidP="00E53533">
      <w:pPr>
        <w:spacing w:after="120"/>
        <w:ind w:firstLine="720"/>
        <w:jc w:val="both"/>
        <w:rPr>
          <w:rFonts w:cs="Times New Roman"/>
        </w:rPr>
      </w:pPr>
      <w:r w:rsidRPr="001C353C">
        <w:rPr>
          <w:rFonts w:cs="Times New Roman"/>
        </w:rPr>
        <w:t>LBFV 9., 9.¹ un 12.pantā ir dots pilnvarojums finanšu ministram, atsevišķos gadījumos piesaistot MK, Saeimas Budžeta un finanšu (nodokļu) komisiju vai Saeimu, veikt apropriāciju izmaiņas dažādās situācijās, savuk</w:t>
      </w:r>
      <w:r>
        <w:rPr>
          <w:rFonts w:cs="Times New Roman"/>
        </w:rPr>
        <w:t>ārt gadskārtējais valsts budžeta</w:t>
      </w:r>
      <w:r w:rsidRPr="001C353C">
        <w:rPr>
          <w:rFonts w:cs="Times New Roman"/>
        </w:rPr>
        <w:t xml:space="preserve"> likums satur papildu nosacījumus, ko finanšu ministram jāievēro, lemjot par apropriāciju izmaiņām.</w:t>
      </w:r>
    </w:p>
    <w:p w:rsidR="00B127E1" w:rsidRDefault="00B127E1" w:rsidP="00B22F97">
      <w:pPr>
        <w:spacing w:after="120"/>
        <w:ind w:firstLine="720"/>
        <w:jc w:val="both"/>
        <w:rPr>
          <w:rFonts w:cs="Times New Roman"/>
          <w:b/>
        </w:rPr>
      </w:pPr>
      <w:r w:rsidRPr="00350D24">
        <w:rPr>
          <w:rFonts w:cs="Times New Roman"/>
          <w:b/>
        </w:rPr>
        <w:t>Izšķir vairākus saturiski atšķirīgus apropriāciju izmaiņu veidus:</w:t>
      </w:r>
    </w:p>
    <w:p w:rsidR="00B127E1" w:rsidRPr="009327C8" w:rsidRDefault="00B127E1" w:rsidP="008C25BB">
      <w:pPr>
        <w:pStyle w:val="ListParagraph"/>
        <w:numPr>
          <w:ilvl w:val="0"/>
          <w:numId w:val="36"/>
        </w:numPr>
        <w:spacing w:after="120"/>
        <w:ind w:left="993" w:hanging="284"/>
        <w:contextualSpacing w:val="0"/>
        <w:jc w:val="both"/>
        <w:rPr>
          <w:rFonts w:cs="Times New Roman"/>
        </w:rPr>
      </w:pPr>
      <w:r w:rsidRPr="009327C8">
        <w:t xml:space="preserve">apropriācijas pārdales </w:t>
      </w:r>
      <w:r w:rsidRPr="009327C8">
        <w:rPr>
          <w:rFonts w:cs="Times New Roman"/>
        </w:rPr>
        <w:t>vienas ministrijas ietvaros starp programmām, apakšprogrammām un izdevumu kodiem;</w:t>
      </w:r>
    </w:p>
    <w:p w:rsidR="00B127E1" w:rsidRPr="009327C8" w:rsidRDefault="00B127E1" w:rsidP="008C25BB">
      <w:pPr>
        <w:pStyle w:val="ListParagraph"/>
        <w:numPr>
          <w:ilvl w:val="0"/>
          <w:numId w:val="36"/>
        </w:numPr>
        <w:spacing w:after="120"/>
        <w:ind w:left="993" w:hanging="284"/>
        <w:contextualSpacing w:val="0"/>
        <w:jc w:val="both"/>
        <w:rPr>
          <w:rFonts w:cs="Times New Roman"/>
        </w:rPr>
      </w:pPr>
      <w:r w:rsidRPr="009327C8">
        <w:t>apropriācijas pārdales starp 74.resora 80.00.00 programmu “Nesadalītais finansējums Eiropas Savienības politiku instrumentu un pārējās ārvalstu finanšu palīdzības līdzfinansēto projektu un pasākumu īstenošanai” (turpmāk – 80.00.00 programma) un ministrijām;</w:t>
      </w:r>
    </w:p>
    <w:p w:rsidR="00B127E1" w:rsidRPr="009327C8" w:rsidRDefault="00B127E1" w:rsidP="008C25BB">
      <w:pPr>
        <w:pStyle w:val="ListParagraph"/>
        <w:numPr>
          <w:ilvl w:val="0"/>
          <w:numId w:val="36"/>
        </w:numPr>
        <w:spacing w:after="120"/>
        <w:ind w:left="993" w:hanging="284"/>
        <w:contextualSpacing w:val="0"/>
        <w:jc w:val="both"/>
        <w:rPr>
          <w:rFonts w:cs="Times New Roman"/>
        </w:rPr>
      </w:pPr>
      <w:r w:rsidRPr="009327C8">
        <w:t>apropriāciju izmaiņas starp ministrijām transfertu veikšanai un ārvalstu finanšu palīdzības līdzekļu un to atlikumu izmantošanai;</w:t>
      </w:r>
    </w:p>
    <w:p w:rsidR="00B127E1" w:rsidRPr="009327C8" w:rsidRDefault="00B127E1" w:rsidP="008C25BB">
      <w:pPr>
        <w:pStyle w:val="ListParagraph"/>
        <w:numPr>
          <w:ilvl w:val="0"/>
          <w:numId w:val="36"/>
        </w:numPr>
        <w:spacing w:after="120"/>
        <w:ind w:left="993" w:hanging="284"/>
        <w:contextualSpacing w:val="0"/>
        <w:jc w:val="both"/>
      </w:pPr>
      <w:r w:rsidRPr="009327C8">
        <w:t xml:space="preserve">apropriācijas palielināšana </w:t>
      </w:r>
      <w:r>
        <w:t xml:space="preserve">maksas pakalpojumu un citu pašu ieņēmumu un to atlikumu izmantošanai un citiem </w:t>
      </w:r>
      <w:r w:rsidRPr="009327C8">
        <w:t>noteiktiem mērķiem;</w:t>
      </w:r>
    </w:p>
    <w:p w:rsidR="00B127E1" w:rsidRPr="009327C8" w:rsidRDefault="00B127E1" w:rsidP="008C25BB">
      <w:pPr>
        <w:pStyle w:val="ListParagraph"/>
        <w:numPr>
          <w:ilvl w:val="0"/>
          <w:numId w:val="36"/>
        </w:numPr>
        <w:spacing w:after="120"/>
        <w:ind w:left="993" w:hanging="284"/>
        <w:contextualSpacing w:val="0"/>
        <w:jc w:val="both"/>
      </w:pPr>
      <w:r w:rsidRPr="009327C8">
        <w:t>apropriācijas pārdales starp ministrijām;</w:t>
      </w:r>
    </w:p>
    <w:p w:rsidR="00B127E1" w:rsidRPr="009327C8" w:rsidRDefault="00B127E1" w:rsidP="008C25BB">
      <w:pPr>
        <w:pStyle w:val="ListParagraph"/>
        <w:numPr>
          <w:ilvl w:val="0"/>
          <w:numId w:val="36"/>
        </w:numPr>
        <w:spacing w:after="120"/>
        <w:ind w:left="993" w:hanging="284"/>
        <w:contextualSpacing w:val="0"/>
        <w:jc w:val="both"/>
      </w:pPr>
      <w:r w:rsidRPr="009327C8">
        <w:t>apropriāciju pārdales no 74.resora programm</w:t>
      </w:r>
      <w:r>
        <w:t>as</w:t>
      </w:r>
      <w:r w:rsidRPr="009327C8">
        <w:t xml:space="preserve"> 01.00.00 “Apropriācijas rezerve” uz ministrijām;</w:t>
      </w:r>
    </w:p>
    <w:p w:rsidR="00B127E1" w:rsidRPr="009327C8" w:rsidRDefault="00B127E1" w:rsidP="008C25BB">
      <w:pPr>
        <w:pStyle w:val="ListParagraph"/>
        <w:numPr>
          <w:ilvl w:val="0"/>
          <w:numId w:val="36"/>
        </w:numPr>
        <w:spacing w:after="120"/>
        <w:ind w:left="993" w:hanging="284"/>
        <w:contextualSpacing w:val="0"/>
        <w:jc w:val="both"/>
      </w:pPr>
      <w:r w:rsidRPr="009327C8">
        <w:t>apropriāciju pārdales no 74.resora programm</w:t>
      </w:r>
      <w:r>
        <w:t>as</w:t>
      </w:r>
      <w:r w:rsidRPr="009327C8">
        <w:t xml:space="preserve"> 02.00.00 “Līdzekļi neparedzētiem gadījumiem” uz ministrijām;</w:t>
      </w:r>
    </w:p>
    <w:p w:rsidR="00B127E1" w:rsidRPr="00AB1D7D" w:rsidRDefault="00B127E1" w:rsidP="008C25BB">
      <w:pPr>
        <w:pStyle w:val="ListParagraph"/>
        <w:numPr>
          <w:ilvl w:val="0"/>
          <w:numId w:val="36"/>
        </w:numPr>
        <w:spacing w:after="120"/>
        <w:ind w:left="993" w:hanging="284"/>
        <w:contextualSpacing w:val="0"/>
        <w:jc w:val="both"/>
      </w:pPr>
      <w:r w:rsidRPr="009327C8">
        <w:t>apropriāciju izmaiņas atbilstoši gadskārtējā valsts budžeta likumā iekļautiem pantiem un formulētiem nosacījumiem.</w:t>
      </w:r>
    </w:p>
    <w:p w:rsidR="00B127E1" w:rsidRPr="007C27E2" w:rsidRDefault="00B127E1" w:rsidP="008C25BB">
      <w:pPr>
        <w:pStyle w:val="ListParagraph"/>
        <w:numPr>
          <w:ilvl w:val="0"/>
          <w:numId w:val="31"/>
        </w:numPr>
        <w:spacing w:after="120"/>
        <w:jc w:val="both"/>
        <w:rPr>
          <w:rFonts w:cs="Times New Roman"/>
        </w:rPr>
      </w:pPr>
      <w:r w:rsidRPr="00350D24">
        <w:rPr>
          <w:rFonts w:cs="Times New Roman"/>
          <w:b/>
        </w:rPr>
        <w:t>Apropriāciju pārdales</w:t>
      </w:r>
      <w:r w:rsidRPr="007C27E2">
        <w:rPr>
          <w:rFonts w:cs="Times New Roman"/>
        </w:rPr>
        <w:t xml:space="preserve"> ministrijai gadskārtējā valsts budžeta likumā noteiktās apropriācijas ietvaros </w:t>
      </w:r>
      <w:r w:rsidRPr="00350D24">
        <w:rPr>
          <w:rFonts w:cs="Times New Roman"/>
          <w:b/>
        </w:rPr>
        <w:t>starp programmām, apakšprogrammām un izdevumu kodiem atbilstoši ekonomiskajām kategorijām</w:t>
      </w:r>
      <w:r>
        <w:rPr>
          <w:rFonts w:cs="Times New Roman"/>
        </w:rPr>
        <w:t xml:space="preserve"> – </w:t>
      </w:r>
      <w:r w:rsidRPr="00177593">
        <w:rPr>
          <w:rFonts w:cs="Times New Roman"/>
          <w:u w:val="single"/>
        </w:rPr>
        <w:t xml:space="preserve">atbilstoši LBFV 9.panta trīspadsmitās daļas 1.punktā noteiktajam. </w:t>
      </w:r>
    </w:p>
    <w:p w:rsidR="00B127E1" w:rsidRPr="007C27E2" w:rsidRDefault="00B127E1" w:rsidP="00B22F97">
      <w:pPr>
        <w:spacing w:after="120"/>
        <w:ind w:firstLine="720"/>
        <w:jc w:val="both"/>
        <w:rPr>
          <w:rFonts w:cs="Times New Roman"/>
        </w:rPr>
      </w:pPr>
      <w:r w:rsidRPr="007C27E2">
        <w:rPr>
          <w:rFonts w:cs="Times New Roman"/>
        </w:rPr>
        <w:lastRenderedPageBreak/>
        <w:t xml:space="preserve">Šādas pārdales </w:t>
      </w:r>
      <w:r>
        <w:rPr>
          <w:rFonts w:cs="Times New Roman"/>
        </w:rPr>
        <w:t xml:space="preserve">MK noteiktajā kārtībā (MK noteikumi Nr.256) </w:t>
      </w:r>
      <w:r w:rsidRPr="007C27E2">
        <w:rPr>
          <w:rFonts w:cs="Times New Roman"/>
        </w:rPr>
        <w:t xml:space="preserve">ir tiesīgs veikt </w:t>
      </w:r>
      <w:r w:rsidRPr="006C420C">
        <w:rPr>
          <w:rFonts w:cs="Times New Roman"/>
        </w:rPr>
        <w:t>finanšu ministrs,</w:t>
      </w:r>
      <w:r w:rsidRPr="007C27E2">
        <w:rPr>
          <w:rFonts w:cs="Times New Roman"/>
          <w:u w:val="single"/>
        </w:rPr>
        <w:t xml:space="preserve"> informējot par to Saeimu, ja apropriācijas pārdalē tiek ievēroti gadskārtējā valsts budžeta likumā formulētie nosacījumi.</w:t>
      </w:r>
    </w:p>
    <w:p w:rsidR="00B127E1" w:rsidRPr="00B22F97" w:rsidRDefault="00B127E1" w:rsidP="00B22F97">
      <w:pPr>
        <w:spacing w:after="120"/>
        <w:ind w:firstLine="720"/>
        <w:jc w:val="both"/>
        <w:rPr>
          <w:rFonts w:cs="Times New Roman"/>
          <w:u w:val="single"/>
        </w:rPr>
      </w:pPr>
      <w:r w:rsidRPr="007C27E2">
        <w:rPr>
          <w:rFonts w:cs="Times New Roman"/>
        </w:rPr>
        <w:t xml:space="preserve">Ja tomēr ministrijai ir pamatota nepieciešamība veikt </w:t>
      </w:r>
      <w:r w:rsidRPr="007C27E2">
        <w:rPr>
          <w:rFonts w:cs="Times New Roman"/>
          <w:u w:val="single"/>
        </w:rPr>
        <w:t>pārdales, kurās netiek ievēroti minētie ierobežojumi</w:t>
      </w:r>
      <w:r w:rsidRPr="007C27E2">
        <w:rPr>
          <w:rFonts w:cs="Times New Roman"/>
        </w:rPr>
        <w:t xml:space="preserve">, tad to var darīt tikai tad, </w:t>
      </w:r>
      <w:r w:rsidRPr="007C27E2">
        <w:rPr>
          <w:rFonts w:cs="Times New Roman"/>
          <w:u w:val="single"/>
        </w:rPr>
        <w:t xml:space="preserve">ja ir pieņemts </w:t>
      </w:r>
      <w:r>
        <w:rPr>
          <w:rFonts w:cs="Times New Roman"/>
          <w:u w:val="single"/>
        </w:rPr>
        <w:t>MK</w:t>
      </w:r>
      <w:r w:rsidRPr="007C27E2">
        <w:rPr>
          <w:rFonts w:cs="Times New Roman"/>
          <w:u w:val="single"/>
        </w:rPr>
        <w:t xml:space="preserve"> lēmums, un Saeimas Budžeta un finanšu (nodokļu) komisija piecu darba dienu laikā no attiecīgās informācijas saņemšanas nav iebildusi.</w:t>
      </w:r>
    </w:p>
    <w:p w:rsidR="00B127E1" w:rsidRPr="00177593" w:rsidRDefault="00B127E1" w:rsidP="008C25BB">
      <w:pPr>
        <w:pStyle w:val="ListParagraph"/>
        <w:numPr>
          <w:ilvl w:val="0"/>
          <w:numId w:val="31"/>
        </w:numPr>
        <w:spacing w:after="120"/>
        <w:jc w:val="both"/>
        <w:rPr>
          <w:rFonts w:cs="Times New Roman"/>
          <w:u w:val="single"/>
        </w:rPr>
      </w:pPr>
      <w:r w:rsidRPr="00350D24">
        <w:rPr>
          <w:b/>
        </w:rPr>
        <w:t>Apropriāciju pārdales starp</w:t>
      </w:r>
      <w:r w:rsidRPr="007C27E2">
        <w:t xml:space="preserve"> </w:t>
      </w:r>
      <w:r>
        <w:t>74.</w:t>
      </w:r>
      <w:r w:rsidRPr="007C27E2">
        <w:t xml:space="preserve">resora </w:t>
      </w:r>
      <w:r w:rsidRPr="006A2868">
        <w:rPr>
          <w:b/>
        </w:rPr>
        <w:t>80.00.00 programmā</w:t>
      </w:r>
      <w:r>
        <w:t xml:space="preserve"> </w:t>
      </w:r>
      <w:r w:rsidRPr="00350D24">
        <w:rPr>
          <w:b/>
        </w:rPr>
        <w:t>plānoto apropriāciju</w:t>
      </w:r>
      <w:r>
        <w:rPr>
          <w:b/>
        </w:rPr>
        <w:t xml:space="preserve"> </w:t>
      </w:r>
      <w:r w:rsidRPr="006A2868">
        <w:t>ES politiku instrumentu un  pārējās ārvalstu finanšu palīdzības projektu un pasākumu īstenošanai</w:t>
      </w:r>
      <w:r>
        <w:rPr>
          <w:b/>
        </w:rPr>
        <w:t xml:space="preserve"> </w:t>
      </w:r>
      <w:r w:rsidRPr="00350D24">
        <w:rPr>
          <w:b/>
        </w:rPr>
        <w:t>un ministrijām</w:t>
      </w:r>
      <w:r w:rsidRPr="00CD119B">
        <w:t xml:space="preserve"> </w:t>
      </w:r>
      <w:r w:rsidRPr="00BB5965">
        <w:rPr>
          <w:rFonts w:cs="Times New Roman"/>
        </w:rPr>
        <w:t xml:space="preserve">– </w:t>
      </w:r>
      <w:r w:rsidRPr="00177593">
        <w:rPr>
          <w:rFonts w:cs="Times New Roman"/>
          <w:u w:val="single"/>
        </w:rPr>
        <w:t xml:space="preserve">atbilstoši LBFV 9.panta trīspadsmitās daļas 2.punktā noteiktajam. </w:t>
      </w:r>
    </w:p>
    <w:p w:rsidR="00B127E1" w:rsidRPr="00B22F97" w:rsidRDefault="00B127E1" w:rsidP="00B22F97">
      <w:pPr>
        <w:spacing w:after="120"/>
        <w:ind w:firstLine="720"/>
        <w:jc w:val="both"/>
      </w:pPr>
      <w:r w:rsidRPr="00BB5965">
        <w:rPr>
          <w:rFonts w:cs="Times New Roman"/>
        </w:rPr>
        <w:t xml:space="preserve">Šādas pārdales </w:t>
      </w:r>
      <w:r>
        <w:rPr>
          <w:rFonts w:cs="Times New Roman"/>
        </w:rPr>
        <w:t xml:space="preserve">MK noteiktajā kārtībā (MK noteikumi Nr.464) </w:t>
      </w:r>
      <w:r w:rsidRPr="00BB5965">
        <w:rPr>
          <w:rFonts w:cs="Times New Roman"/>
        </w:rPr>
        <w:t xml:space="preserve">ir tiesīgs veikt </w:t>
      </w:r>
      <w:r w:rsidRPr="006C420C">
        <w:rPr>
          <w:rFonts w:cs="Times New Roman"/>
        </w:rPr>
        <w:t xml:space="preserve">finanšu ministrs, </w:t>
      </w:r>
      <w:r w:rsidRPr="00BB5965">
        <w:rPr>
          <w:rFonts w:cs="Times New Roman"/>
          <w:u w:val="single"/>
        </w:rPr>
        <w:t>informējot par to Saeimu</w:t>
      </w:r>
      <w:r>
        <w:rPr>
          <w:rFonts w:cs="Times New Roman"/>
          <w:u w:val="single"/>
        </w:rPr>
        <w:t>.</w:t>
      </w:r>
    </w:p>
    <w:p w:rsidR="00B127E1" w:rsidRPr="00CD030A" w:rsidRDefault="00B127E1" w:rsidP="008C25BB">
      <w:pPr>
        <w:pStyle w:val="ListParagraph"/>
        <w:numPr>
          <w:ilvl w:val="0"/>
          <w:numId w:val="31"/>
        </w:numPr>
        <w:spacing w:after="120"/>
        <w:jc w:val="both"/>
        <w:rPr>
          <w:rFonts w:cs="Times New Roman"/>
          <w:u w:val="single"/>
        </w:rPr>
      </w:pPr>
      <w:r w:rsidRPr="00CD030A">
        <w:rPr>
          <w:b/>
        </w:rPr>
        <w:t>Apropriāciju izmaiņas</w:t>
      </w:r>
      <w:r>
        <w:t xml:space="preserve"> </w:t>
      </w:r>
      <w:r w:rsidRPr="00CD119B">
        <w:t xml:space="preserve">starp ministrijām </w:t>
      </w:r>
      <w:r w:rsidRPr="00CD030A">
        <w:rPr>
          <w:b/>
        </w:rPr>
        <w:t xml:space="preserve">transfertu veikšanai </w:t>
      </w:r>
      <w:r w:rsidRPr="00CD030A">
        <w:t>gadskārtējā valsts budžeta izpildes procesā,</w:t>
      </w:r>
      <w:r w:rsidRPr="00CD119B">
        <w:t xml:space="preserve"> kā arī valsts budžeta saņemamajiem transfertiem no pašvaldību budžetiem, no valsts budžeta daļēji finansēto atvasināto publisko personu budžetiem un </w:t>
      </w:r>
      <w:r w:rsidR="002D1E76">
        <w:t>BNI</w:t>
      </w:r>
      <w:r>
        <w:t xml:space="preserve"> budžetiem, </w:t>
      </w:r>
      <w:r w:rsidRPr="00CD119B">
        <w:t xml:space="preserve">valsts budžeta iestādēm piešķirto </w:t>
      </w:r>
      <w:r w:rsidRPr="00CD030A">
        <w:rPr>
          <w:b/>
        </w:rPr>
        <w:t>ārvalstu finanšu palīdzības līdzekļu izmantošanai</w:t>
      </w:r>
      <w:r w:rsidRPr="00CD119B">
        <w:t xml:space="preserve"> un šā likuma 27.pantā noteiktajā kārtībā aprēķināto ārvalstu finanšu palīdzības līdzekļu atlikumu saimnieciskā gada sākumā izmantošanai</w:t>
      </w:r>
      <w:r>
        <w:t xml:space="preserve"> </w:t>
      </w:r>
      <w:r w:rsidRPr="00CD030A">
        <w:rPr>
          <w:rFonts w:cs="Times New Roman"/>
        </w:rPr>
        <w:t xml:space="preserve">– </w:t>
      </w:r>
      <w:r w:rsidRPr="00CD030A">
        <w:rPr>
          <w:rFonts w:cs="Times New Roman"/>
          <w:u w:val="single"/>
        </w:rPr>
        <w:t>atbi</w:t>
      </w:r>
      <w:r>
        <w:rPr>
          <w:rFonts w:cs="Times New Roman"/>
          <w:u w:val="single"/>
        </w:rPr>
        <w:t>lstoši LBFV 9.panta trīspadsmitajā prim daļā</w:t>
      </w:r>
      <w:r w:rsidRPr="00CD030A">
        <w:rPr>
          <w:rFonts w:cs="Times New Roman"/>
          <w:u w:val="single"/>
        </w:rPr>
        <w:t xml:space="preserve"> noteiktajam. </w:t>
      </w:r>
    </w:p>
    <w:p w:rsidR="00B127E1" w:rsidRDefault="00B127E1" w:rsidP="00B22F97">
      <w:pPr>
        <w:spacing w:after="120"/>
        <w:ind w:firstLine="720"/>
        <w:jc w:val="both"/>
        <w:rPr>
          <w:rFonts w:cs="Times New Roman"/>
          <w:u w:val="single"/>
        </w:rPr>
      </w:pPr>
      <w:r w:rsidRPr="00471AD5">
        <w:rPr>
          <w:rFonts w:cs="Times New Roman"/>
        </w:rPr>
        <w:t xml:space="preserve">Šādas apropriāciju izmaiņas ir tiesīgs veikt </w:t>
      </w:r>
      <w:r w:rsidRPr="006C420C">
        <w:rPr>
          <w:rFonts w:cs="Times New Roman"/>
        </w:rPr>
        <w:t xml:space="preserve">finanšu ministrs, </w:t>
      </w:r>
      <w:r w:rsidRPr="00471AD5">
        <w:rPr>
          <w:rFonts w:cs="Times New Roman"/>
          <w:u w:val="single"/>
        </w:rPr>
        <w:t>informējot par to Saeimu.</w:t>
      </w:r>
    </w:p>
    <w:p w:rsidR="00B127E1" w:rsidRDefault="00B127E1" w:rsidP="008C25BB">
      <w:pPr>
        <w:pStyle w:val="ListParagraph"/>
        <w:numPr>
          <w:ilvl w:val="0"/>
          <w:numId w:val="31"/>
        </w:numPr>
        <w:jc w:val="both"/>
      </w:pPr>
      <w:r w:rsidRPr="00350D24">
        <w:rPr>
          <w:b/>
        </w:rPr>
        <w:t>Apropriācijas palielināšana</w:t>
      </w:r>
      <w:r>
        <w:t xml:space="preserve"> </w:t>
      </w:r>
      <w:r w:rsidRPr="00350D24">
        <w:rPr>
          <w:b/>
        </w:rPr>
        <w:t>tikai šādiem mērķiem</w:t>
      </w:r>
      <w:r>
        <w:t xml:space="preserve">: </w:t>
      </w:r>
    </w:p>
    <w:p w:rsidR="00B127E1" w:rsidRPr="00A27A43" w:rsidRDefault="00B127E1" w:rsidP="00FF0325">
      <w:pPr>
        <w:pStyle w:val="ListParagraph"/>
        <w:numPr>
          <w:ilvl w:val="0"/>
          <w:numId w:val="32"/>
        </w:numPr>
        <w:spacing w:after="120"/>
        <w:ind w:left="851" w:hanging="284"/>
        <w:contextualSpacing w:val="0"/>
        <w:jc w:val="both"/>
      </w:pPr>
      <w:r w:rsidRPr="00A27A43">
        <w:t>valsts budžeta iestāžu ieņēmumu par sniegtajiem maksas pakalpojumiem un citu pašu ieņēmumu, kā arī šā likuma 27.pantā noteiktajā kārtībā aprēķināto ieņēmumu par sniegtajiem maksas pakalpojumiem un citu pašu ieņēmumu atlikumu saimnieciskā gada sākumā izmantošanai;</w:t>
      </w:r>
    </w:p>
    <w:p w:rsidR="00B127E1" w:rsidRDefault="00A16581" w:rsidP="00FF0325">
      <w:pPr>
        <w:pStyle w:val="ListParagraph"/>
        <w:numPr>
          <w:ilvl w:val="0"/>
          <w:numId w:val="32"/>
        </w:numPr>
        <w:spacing w:after="120"/>
        <w:ind w:left="851" w:hanging="284"/>
        <w:contextualSpacing w:val="0"/>
        <w:jc w:val="both"/>
      </w:pPr>
      <w:r>
        <w:t>ES</w:t>
      </w:r>
      <w:r w:rsidR="00B127E1">
        <w:t xml:space="preserve"> pašu resursu palielināšanai un norēķiniem ar </w:t>
      </w:r>
      <w:r>
        <w:t>ES</w:t>
      </w:r>
      <w:r w:rsidR="00B127E1">
        <w:t>;</w:t>
      </w:r>
    </w:p>
    <w:p w:rsidR="00B127E1" w:rsidRDefault="00B127E1" w:rsidP="00FF0325">
      <w:pPr>
        <w:pStyle w:val="ListParagraph"/>
        <w:numPr>
          <w:ilvl w:val="0"/>
          <w:numId w:val="32"/>
        </w:numPr>
        <w:spacing w:after="120"/>
        <w:ind w:left="851" w:hanging="284"/>
        <w:contextualSpacing w:val="0"/>
        <w:jc w:val="both"/>
      </w:pPr>
      <w:r>
        <w:t>starptautisko tiesu un Satversmes tiesas spriedumu izpildei;</w:t>
      </w:r>
    </w:p>
    <w:p w:rsidR="00B127E1" w:rsidRDefault="00A16581" w:rsidP="00FF0325">
      <w:pPr>
        <w:pStyle w:val="ListParagraph"/>
        <w:numPr>
          <w:ilvl w:val="0"/>
          <w:numId w:val="32"/>
        </w:numPr>
        <w:spacing w:after="120"/>
        <w:ind w:left="851" w:hanging="284"/>
        <w:contextualSpacing w:val="0"/>
        <w:jc w:val="both"/>
      </w:pPr>
      <w:r>
        <w:t>ES</w:t>
      </w:r>
      <w:r w:rsidR="00B127E1">
        <w:t xml:space="preserve"> politiku instrumentu un citas ārvalstu finanšu palīdzības projektu un pasākumu īstenošanai;</w:t>
      </w:r>
    </w:p>
    <w:p w:rsidR="00B127E1" w:rsidRDefault="00B127E1" w:rsidP="00FF0325">
      <w:pPr>
        <w:pStyle w:val="ListParagraph"/>
        <w:numPr>
          <w:ilvl w:val="0"/>
          <w:numId w:val="32"/>
        </w:numPr>
        <w:spacing w:after="120"/>
        <w:ind w:left="851" w:hanging="284"/>
        <w:contextualSpacing w:val="0"/>
        <w:jc w:val="both"/>
      </w:pPr>
      <w:r>
        <w:t>normatīvajos aktos noteikto sociālās apdrošināšanas speciālā budžeta izdevumu segšanai;</w:t>
      </w:r>
    </w:p>
    <w:p w:rsidR="00B127E1" w:rsidRDefault="00B127E1" w:rsidP="00FF0325">
      <w:pPr>
        <w:pStyle w:val="ListParagraph"/>
        <w:numPr>
          <w:ilvl w:val="0"/>
          <w:numId w:val="32"/>
        </w:numPr>
        <w:spacing w:after="120"/>
        <w:ind w:left="851" w:hanging="284"/>
        <w:contextualSpacing w:val="0"/>
        <w:jc w:val="both"/>
      </w:pPr>
      <w:r>
        <w:t>likumā noteikto garantēto atlīdzību izmaksai Noguldījumu garantiju fondā trūkstošo līdzekļu nodrošināšanai;</w:t>
      </w:r>
    </w:p>
    <w:p w:rsidR="00B127E1" w:rsidRPr="00177593" w:rsidRDefault="00B127E1" w:rsidP="008C25BB">
      <w:pPr>
        <w:pStyle w:val="ListParagraph"/>
        <w:numPr>
          <w:ilvl w:val="0"/>
          <w:numId w:val="32"/>
        </w:numPr>
        <w:spacing w:after="120"/>
        <w:ind w:left="851" w:hanging="284"/>
        <w:contextualSpacing w:val="0"/>
        <w:jc w:val="both"/>
        <w:rPr>
          <w:u w:val="single"/>
        </w:rPr>
      </w:pPr>
      <w:r>
        <w:t xml:space="preserve">iemaksām Eiropas Stabilitātes mehānisma reģistrētajā kapitālā, nepārsniedzot kopējo apmaksāto akciju un kopējo pieprasāmo akciju iegādes saistību apjomu, ja par apropriācijas palielināšanu ir pieņemts MK lēmums </w:t>
      </w:r>
      <w:r w:rsidRPr="00277627">
        <w:rPr>
          <w:rFonts w:cs="Times New Roman"/>
        </w:rPr>
        <w:t xml:space="preserve">– </w:t>
      </w:r>
      <w:r w:rsidRPr="00177593">
        <w:rPr>
          <w:rFonts w:cs="Times New Roman"/>
          <w:u w:val="single"/>
        </w:rPr>
        <w:t xml:space="preserve">atbilstoši LBFV 9.panta četrpadsmitajā daļā noteiktajam. </w:t>
      </w:r>
    </w:p>
    <w:p w:rsidR="00B127E1" w:rsidRPr="00B22F97" w:rsidRDefault="00B127E1" w:rsidP="00B22F97">
      <w:pPr>
        <w:spacing w:after="120"/>
        <w:ind w:firstLine="720"/>
        <w:jc w:val="both"/>
        <w:rPr>
          <w:rFonts w:cs="Times New Roman"/>
          <w:u w:val="single"/>
        </w:rPr>
      </w:pPr>
      <w:r>
        <w:rPr>
          <w:rFonts w:cs="Times New Roman"/>
        </w:rPr>
        <w:t>Šādu apropriācijas palielināšanu</w:t>
      </w:r>
      <w:r w:rsidRPr="00200DC9">
        <w:rPr>
          <w:rFonts w:cs="Times New Roman"/>
        </w:rPr>
        <w:t xml:space="preserve"> ir tiesīgs veikt </w:t>
      </w:r>
      <w:r w:rsidRPr="006C420C">
        <w:rPr>
          <w:rFonts w:cs="Times New Roman"/>
        </w:rPr>
        <w:t xml:space="preserve">finanšu ministrs, </w:t>
      </w:r>
      <w:r>
        <w:rPr>
          <w:rFonts w:cs="Times New Roman"/>
          <w:u w:val="single"/>
        </w:rPr>
        <w:t xml:space="preserve">ja </w:t>
      </w:r>
      <w:r w:rsidRPr="00200DC9">
        <w:rPr>
          <w:rFonts w:cs="Times New Roman"/>
          <w:u w:val="single"/>
        </w:rPr>
        <w:t xml:space="preserve">Saeimas Budžeta un finanšu (nodokļu) komisija piecu darba dienu laikā no attiecīgās informācijas saņemšanas </w:t>
      </w:r>
      <w:r>
        <w:rPr>
          <w:rFonts w:cs="Times New Roman"/>
          <w:u w:val="single"/>
        </w:rPr>
        <w:t xml:space="preserve">ir izskatījusi to un </w:t>
      </w:r>
      <w:r w:rsidRPr="00200DC9">
        <w:rPr>
          <w:rFonts w:cs="Times New Roman"/>
          <w:u w:val="single"/>
        </w:rPr>
        <w:t>nav iebildusi</w:t>
      </w:r>
      <w:r>
        <w:rPr>
          <w:rFonts w:cs="Times New Roman"/>
          <w:u w:val="single"/>
        </w:rPr>
        <w:t xml:space="preserve"> pret apropriācijas palielinājumu</w:t>
      </w:r>
      <w:r w:rsidRPr="00200DC9">
        <w:rPr>
          <w:rFonts w:cs="Times New Roman"/>
          <w:u w:val="single"/>
        </w:rPr>
        <w:t>.</w:t>
      </w:r>
    </w:p>
    <w:p w:rsidR="00B127E1" w:rsidRPr="004466BD" w:rsidRDefault="00B127E1" w:rsidP="008C25BB">
      <w:pPr>
        <w:pStyle w:val="ListParagraph"/>
        <w:numPr>
          <w:ilvl w:val="0"/>
          <w:numId w:val="31"/>
        </w:numPr>
        <w:spacing w:after="120"/>
        <w:contextualSpacing w:val="0"/>
        <w:jc w:val="both"/>
      </w:pPr>
      <w:r w:rsidRPr="00350D24">
        <w:rPr>
          <w:b/>
        </w:rPr>
        <w:t>Apropriācijas pārdale starp ministrijām</w:t>
      </w:r>
      <w:r w:rsidRPr="00E05EAC">
        <w:t xml:space="preserve">, </w:t>
      </w:r>
      <w:r>
        <w:t xml:space="preserve">tai skaitā </w:t>
      </w:r>
      <w:r w:rsidRPr="00E05EAC">
        <w:t>funkciju pārdales v</w:t>
      </w:r>
      <w:r>
        <w:t xml:space="preserve">ai strukturālo reformu gadījumos </w:t>
      </w:r>
      <w:r w:rsidRPr="00177593">
        <w:rPr>
          <w:rFonts w:cs="Times New Roman"/>
        </w:rPr>
        <w:t xml:space="preserve">– </w:t>
      </w:r>
      <w:r w:rsidRPr="00177593">
        <w:rPr>
          <w:rFonts w:cs="Times New Roman"/>
          <w:u w:val="single"/>
        </w:rPr>
        <w:t xml:space="preserve">atbilstoši LBFV 9.panta </w:t>
      </w:r>
      <w:r>
        <w:rPr>
          <w:rFonts w:cs="Times New Roman"/>
          <w:u w:val="single"/>
        </w:rPr>
        <w:t>piec</w:t>
      </w:r>
      <w:r w:rsidRPr="00177593">
        <w:rPr>
          <w:rFonts w:cs="Times New Roman"/>
          <w:u w:val="single"/>
        </w:rPr>
        <w:t xml:space="preserve">padsmitajā daļā noteiktajam. </w:t>
      </w:r>
    </w:p>
    <w:p w:rsidR="00B127E1" w:rsidRPr="00B22F97" w:rsidRDefault="00B127E1" w:rsidP="00B22F97">
      <w:pPr>
        <w:spacing w:after="120"/>
        <w:ind w:firstLine="720"/>
        <w:jc w:val="both"/>
        <w:rPr>
          <w:u w:val="single"/>
        </w:rPr>
      </w:pPr>
      <w:r>
        <w:rPr>
          <w:rFonts w:cs="Times New Roman"/>
        </w:rPr>
        <w:lastRenderedPageBreak/>
        <w:t>Šādu apropriācijas</w:t>
      </w:r>
      <w:r w:rsidRPr="00471AD5">
        <w:rPr>
          <w:rFonts w:cs="Times New Roman"/>
        </w:rPr>
        <w:t xml:space="preserve"> </w:t>
      </w:r>
      <w:r>
        <w:rPr>
          <w:rFonts w:cs="Times New Roman"/>
        </w:rPr>
        <w:t>pārdali</w:t>
      </w:r>
      <w:r w:rsidRPr="00471AD5">
        <w:rPr>
          <w:rFonts w:cs="Times New Roman"/>
        </w:rPr>
        <w:t xml:space="preserve"> ir tiesīgs </w:t>
      </w:r>
      <w:r w:rsidRPr="006C420C">
        <w:rPr>
          <w:rFonts w:cs="Times New Roman"/>
        </w:rPr>
        <w:t xml:space="preserve">veikt finanšu ministrs, </w:t>
      </w:r>
      <w:r w:rsidRPr="004466BD">
        <w:rPr>
          <w:u w:val="single"/>
        </w:rPr>
        <w:t xml:space="preserve">ja ir pieņemts </w:t>
      </w:r>
      <w:r>
        <w:rPr>
          <w:u w:val="single"/>
        </w:rPr>
        <w:t>MK</w:t>
      </w:r>
      <w:r w:rsidRPr="004466BD">
        <w:rPr>
          <w:u w:val="single"/>
        </w:rPr>
        <w:t xml:space="preserve"> lēmums un Saeima ar atsevišķu lēmumu piekritusi šādai pārdalei. </w:t>
      </w:r>
    </w:p>
    <w:p w:rsidR="00B127E1" w:rsidRPr="00177593" w:rsidRDefault="00B127E1" w:rsidP="008C25BB">
      <w:pPr>
        <w:pStyle w:val="ListParagraph"/>
        <w:numPr>
          <w:ilvl w:val="0"/>
          <w:numId w:val="31"/>
        </w:numPr>
        <w:jc w:val="both"/>
        <w:rPr>
          <w:rFonts w:cs="Times New Roman"/>
          <w:u w:val="single"/>
        </w:rPr>
      </w:pPr>
      <w:r w:rsidRPr="00350D24">
        <w:rPr>
          <w:b/>
        </w:rPr>
        <w:t>Apropriāciju pārdales no</w:t>
      </w:r>
      <w:r w:rsidRPr="007C27E2">
        <w:t xml:space="preserve"> </w:t>
      </w:r>
      <w:r>
        <w:t>74.</w:t>
      </w:r>
      <w:r w:rsidRPr="007C27E2">
        <w:t xml:space="preserve">resora </w:t>
      </w:r>
      <w:r w:rsidRPr="00941DA0">
        <w:t>programmā 01.00.00</w:t>
      </w:r>
      <w:r w:rsidRPr="00350D24">
        <w:rPr>
          <w:b/>
        </w:rPr>
        <w:t xml:space="preserve"> “Apropriācijas rezerve” plānotās apropriācijas uz ministrijām</w:t>
      </w:r>
      <w:r>
        <w:t xml:space="preserve"> </w:t>
      </w:r>
      <w:r w:rsidRPr="00BB5965">
        <w:rPr>
          <w:rFonts w:cs="Times New Roman"/>
        </w:rPr>
        <w:t xml:space="preserve">– </w:t>
      </w:r>
      <w:r w:rsidRPr="00177593">
        <w:rPr>
          <w:rFonts w:cs="Times New Roman"/>
          <w:u w:val="single"/>
        </w:rPr>
        <w:t xml:space="preserve">atbilstoši LBFV </w:t>
      </w:r>
      <w:r w:rsidRPr="00512689">
        <w:rPr>
          <w:rFonts w:cs="Times New Roman"/>
          <w:u w:val="single"/>
        </w:rPr>
        <w:t>9.¹</w:t>
      </w:r>
      <w:r>
        <w:rPr>
          <w:rFonts w:cs="Times New Roman"/>
          <w:u w:val="single"/>
        </w:rPr>
        <w:t>pantā</w:t>
      </w:r>
      <w:r w:rsidRPr="00177593">
        <w:rPr>
          <w:rFonts w:cs="Times New Roman"/>
          <w:u w:val="single"/>
        </w:rPr>
        <w:t xml:space="preserve"> noteiktajam. </w:t>
      </w:r>
    </w:p>
    <w:p w:rsidR="00B127E1" w:rsidRPr="00B22F97" w:rsidRDefault="00B127E1" w:rsidP="00B22F97">
      <w:pPr>
        <w:spacing w:after="120"/>
        <w:ind w:firstLine="720"/>
        <w:jc w:val="both"/>
        <w:rPr>
          <w:rFonts w:cs="Times New Roman"/>
        </w:rPr>
      </w:pPr>
      <w:r w:rsidRPr="00BB5965">
        <w:rPr>
          <w:rFonts w:cs="Times New Roman"/>
        </w:rPr>
        <w:t xml:space="preserve">Šādas pārdales </w:t>
      </w:r>
      <w:r>
        <w:rPr>
          <w:rFonts w:cs="Times New Roman"/>
        </w:rPr>
        <w:t xml:space="preserve">MK noteiktajā kārtībā (MK noteikumi Nr.594) </w:t>
      </w:r>
      <w:r w:rsidRPr="00BB5965">
        <w:rPr>
          <w:rFonts w:cs="Times New Roman"/>
        </w:rPr>
        <w:t xml:space="preserve">ir tiesīgs veikt </w:t>
      </w:r>
      <w:r w:rsidRPr="006C420C">
        <w:rPr>
          <w:rFonts w:cs="Times New Roman"/>
        </w:rPr>
        <w:t xml:space="preserve">finanšu ministrs, </w:t>
      </w:r>
      <w:r w:rsidRPr="007C27E2">
        <w:rPr>
          <w:rFonts w:cs="Times New Roman"/>
          <w:u w:val="single"/>
        </w:rPr>
        <w:t>ja apropriācijas pārdalē tiek ievēroti gadskārtējā valsts budžeta likumā formulētie nosacījumi.</w:t>
      </w:r>
    </w:p>
    <w:p w:rsidR="00B127E1" w:rsidRPr="00177593" w:rsidRDefault="00B127E1" w:rsidP="008C25BB">
      <w:pPr>
        <w:pStyle w:val="ListParagraph"/>
        <w:numPr>
          <w:ilvl w:val="0"/>
          <w:numId w:val="31"/>
        </w:numPr>
        <w:spacing w:after="120"/>
        <w:jc w:val="both"/>
        <w:rPr>
          <w:rFonts w:cs="Times New Roman"/>
          <w:u w:val="single"/>
        </w:rPr>
      </w:pPr>
      <w:r w:rsidRPr="00350D24">
        <w:rPr>
          <w:b/>
        </w:rPr>
        <w:t>Apropriāciju pārdales no</w:t>
      </w:r>
      <w:r w:rsidRPr="007C27E2">
        <w:t xml:space="preserve"> </w:t>
      </w:r>
      <w:r>
        <w:t>74.</w:t>
      </w:r>
      <w:r w:rsidRPr="007C27E2">
        <w:t xml:space="preserve">resora </w:t>
      </w:r>
      <w:r w:rsidRPr="00941DA0">
        <w:t>programmā 02.00.00</w:t>
      </w:r>
      <w:r w:rsidRPr="00350D24">
        <w:rPr>
          <w:b/>
        </w:rPr>
        <w:t xml:space="preserve"> “Līdzekļi neparedzētiem gadījumiem” plānotās apropriācijas uz ministrijām</w:t>
      </w:r>
      <w:r w:rsidRPr="00CD119B">
        <w:t xml:space="preserve"> </w:t>
      </w:r>
      <w:r w:rsidRPr="00BB5965">
        <w:rPr>
          <w:rFonts w:cs="Times New Roman"/>
        </w:rPr>
        <w:t xml:space="preserve">– </w:t>
      </w:r>
      <w:r w:rsidRPr="00177593">
        <w:rPr>
          <w:rFonts w:cs="Times New Roman"/>
          <w:u w:val="single"/>
        </w:rPr>
        <w:t xml:space="preserve">atbilstoši LBFV </w:t>
      </w:r>
      <w:r>
        <w:rPr>
          <w:rFonts w:cs="Times New Roman"/>
          <w:u w:val="single"/>
        </w:rPr>
        <w:t>12.pantā</w:t>
      </w:r>
      <w:r w:rsidRPr="00177593">
        <w:rPr>
          <w:rFonts w:cs="Times New Roman"/>
          <w:u w:val="single"/>
        </w:rPr>
        <w:t xml:space="preserve"> noteiktajam. </w:t>
      </w:r>
    </w:p>
    <w:p w:rsidR="00B127E1" w:rsidRPr="00B22F97" w:rsidRDefault="00B127E1" w:rsidP="00B22F97">
      <w:pPr>
        <w:spacing w:after="120"/>
        <w:ind w:firstLine="720"/>
        <w:jc w:val="both"/>
        <w:rPr>
          <w:rFonts w:cs="Times New Roman"/>
        </w:rPr>
      </w:pPr>
      <w:r w:rsidRPr="00BB5965">
        <w:rPr>
          <w:rFonts w:cs="Times New Roman"/>
        </w:rPr>
        <w:t xml:space="preserve">Šādas pārdales </w:t>
      </w:r>
      <w:r>
        <w:rPr>
          <w:rFonts w:cs="Times New Roman"/>
        </w:rPr>
        <w:t xml:space="preserve">MK noteiktajā kārtībā (MK noteikumi Nr.1644) </w:t>
      </w:r>
      <w:r w:rsidRPr="00BB5965">
        <w:rPr>
          <w:rFonts w:cs="Times New Roman"/>
        </w:rPr>
        <w:t xml:space="preserve">ir tiesīgs veikt </w:t>
      </w:r>
      <w:r>
        <w:rPr>
          <w:rFonts w:cs="Times New Roman"/>
        </w:rPr>
        <w:t>finanšu ministrs.</w:t>
      </w:r>
    </w:p>
    <w:p w:rsidR="00B127E1" w:rsidRDefault="00B127E1" w:rsidP="008C25BB">
      <w:pPr>
        <w:pStyle w:val="ListParagraph"/>
        <w:numPr>
          <w:ilvl w:val="0"/>
          <w:numId w:val="31"/>
        </w:numPr>
        <w:spacing w:after="120"/>
        <w:jc w:val="both"/>
      </w:pPr>
      <w:r w:rsidRPr="00350D24">
        <w:rPr>
          <w:b/>
        </w:rPr>
        <w:t>Apropriāciju izmaiņas atbilstoši gadskārtējā valsts budžeta likumā iekļautiem pantiem</w:t>
      </w:r>
      <w:r>
        <w:t xml:space="preserve"> un formulētiem nosacījumiem.</w:t>
      </w:r>
    </w:p>
    <w:p w:rsidR="00B127E1" w:rsidRDefault="00B127E1" w:rsidP="00942CBD">
      <w:pPr>
        <w:spacing w:after="240"/>
        <w:ind w:firstLine="720"/>
        <w:jc w:val="both"/>
      </w:pPr>
      <w:r>
        <w:t xml:space="preserve">Izdevumu pārskatīšanas ietvaros tika izvērtēta līdzšinējā pieredze apropriāciju izmaiņu sagatavošanā. Budžeta izpildes procesā 2014.gadā izdots 301 FM rīkojums par apropriāciju izmaiņām, 2015.gadā – 233 rīkojumi, 2016.gadā – 232 rīkojumi. 2016.gada rīkojumu sagatavošanai saņemti 744 ministriju pieprasījumi </w:t>
      </w:r>
      <w:r w:rsidRPr="002651AA">
        <w:t xml:space="preserve">(skat. </w:t>
      </w:r>
      <w:r w:rsidR="00A16581" w:rsidRPr="002651AA">
        <w:t>2.7</w:t>
      </w:r>
      <w:r w:rsidRPr="002651AA">
        <w:t>.attēlu).</w:t>
      </w:r>
      <w:r>
        <w:t xml:space="preserve"> </w:t>
      </w:r>
    </w:p>
    <w:p w:rsidR="00B127E1" w:rsidRDefault="00B127E1" w:rsidP="00B127E1">
      <w:pPr>
        <w:jc w:val="both"/>
      </w:pPr>
      <w:r>
        <w:rPr>
          <w:noProof/>
          <w:lang w:eastAsia="lv-LV"/>
        </w:rPr>
        <w:drawing>
          <wp:inline distT="0" distB="0" distL="0" distR="0" wp14:anchorId="79C4ADED" wp14:editId="09515FDA">
            <wp:extent cx="5677232" cy="3395207"/>
            <wp:effectExtent l="0" t="0" r="0" b="15240"/>
            <wp:docPr id="87" name="Chart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127E1" w:rsidRDefault="00A16581" w:rsidP="00B22F97">
      <w:pPr>
        <w:spacing w:before="120"/>
        <w:jc w:val="center"/>
        <w:rPr>
          <w:rFonts w:cs="Times New Roman"/>
          <w:b/>
          <w:sz w:val="22"/>
        </w:rPr>
      </w:pPr>
      <w:r w:rsidRPr="002651AA">
        <w:rPr>
          <w:rFonts w:cs="Times New Roman"/>
          <w:i/>
          <w:sz w:val="22"/>
        </w:rPr>
        <w:t>2.7</w:t>
      </w:r>
      <w:r w:rsidR="00B127E1" w:rsidRPr="002651AA">
        <w:rPr>
          <w:rFonts w:cs="Times New Roman"/>
          <w:i/>
          <w:sz w:val="22"/>
        </w:rPr>
        <w:t>.att.</w:t>
      </w:r>
      <w:r w:rsidR="00B127E1" w:rsidRPr="00B22F97">
        <w:rPr>
          <w:rFonts w:cs="Times New Roman"/>
          <w:sz w:val="22"/>
        </w:rPr>
        <w:t xml:space="preserve"> </w:t>
      </w:r>
      <w:r w:rsidR="00B127E1" w:rsidRPr="00B22F97">
        <w:rPr>
          <w:rFonts w:cs="Times New Roman"/>
          <w:b/>
          <w:sz w:val="22"/>
        </w:rPr>
        <w:t>Finanšu ministrijas rīkojumi par apropriāciju izmaiņām 2016.gadā</w:t>
      </w:r>
    </w:p>
    <w:p w:rsidR="00FF0325" w:rsidRDefault="00FF0325" w:rsidP="00FF0325">
      <w:pPr>
        <w:spacing w:before="120" w:after="240"/>
        <w:ind w:firstLine="720"/>
        <w:jc w:val="both"/>
      </w:pPr>
      <w:r>
        <w:t>No visiem 2016.gadā izdotajiem rīkojumiem 86 rīkojumos jeb 37% veiktas pārdales no līdzekļiem neparedzētiem gadījumiem, 43 rīkojumos jeb 19% -</w:t>
      </w:r>
      <w:r w:rsidRPr="00996672">
        <w:rPr>
          <w:rFonts w:cs="Times New Roman"/>
        </w:rPr>
        <w:t xml:space="preserve"> pārdales ministrijas apropriācijas ietvaros starp programmām, apakšprogrammām un izdevumu kodiem atbilstoši ekonomiskajām kategorijām, 33 rīkojumos </w:t>
      </w:r>
      <w:r>
        <w:rPr>
          <w:rFonts w:cs="Times New Roman"/>
        </w:rPr>
        <w:t xml:space="preserve">jeb 14% </w:t>
      </w:r>
      <w:r w:rsidRPr="00996672">
        <w:rPr>
          <w:rFonts w:cs="Times New Roman"/>
        </w:rPr>
        <w:t xml:space="preserve">- </w:t>
      </w:r>
      <w:r w:rsidRPr="007C27E2">
        <w:t xml:space="preserve">pārdales starp </w:t>
      </w:r>
      <w:r w:rsidRPr="003B1A98">
        <w:t xml:space="preserve">80.00.00 </w:t>
      </w:r>
      <w:r>
        <w:t>programmā plānoto apropriāciju</w:t>
      </w:r>
      <w:r w:rsidRPr="00BB5965">
        <w:t xml:space="preserve"> </w:t>
      </w:r>
      <w:r>
        <w:t xml:space="preserve">un </w:t>
      </w:r>
      <w:r w:rsidRPr="00CD119B">
        <w:t>ministrijām</w:t>
      </w:r>
      <w:r>
        <w:t xml:space="preserve">, 25 rīkojumos jeb 11% - izmaiņas </w:t>
      </w:r>
      <w:r w:rsidRPr="00CD119B">
        <w:t>transfertu veikšanai gadskārtējā valsts budžeta izpildes procesā</w:t>
      </w:r>
      <w:r>
        <w:t xml:space="preserve"> un</w:t>
      </w:r>
      <w:r w:rsidRPr="00CD119B">
        <w:t xml:space="preserve"> ārvalstu finanšu palīdzības līdzekļu </w:t>
      </w:r>
      <w:r>
        <w:t>un to</w:t>
      </w:r>
      <w:r w:rsidRPr="00CD119B">
        <w:t xml:space="preserve"> atlikumu izmantošanai</w:t>
      </w:r>
      <w:r>
        <w:t xml:space="preserve">, 16 rīkojumos – izmaiņas atbilstoši gadskārtējā valsts budžeta likuma nosacījumiem, 15 rīkojumos – pārdales starp ministrijām, 10 rīkojumos – apropriāciju palielināšana ieņēmumu par sniegtajiem maksas pakalpojumiem un citu pašu ieņēmumu un to </w:t>
      </w:r>
      <w:r>
        <w:lastRenderedPageBreak/>
        <w:t xml:space="preserve">atlikumu izmantošanai u.c. mērķiem, 4 rīkojumos – pārdales no apropriācijas rezerves </w:t>
      </w:r>
      <w:r w:rsidRPr="002651AA">
        <w:t xml:space="preserve">(skat. </w:t>
      </w:r>
      <w:r>
        <w:t>2.8</w:t>
      </w:r>
      <w:r w:rsidRPr="002651AA">
        <w:t>.attēlu).</w:t>
      </w:r>
    </w:p>
    <w:p w:rsidR="00B127E1" w:rsidRDefault="00B127E1" w:rsidP="00B22F97">
      <w:pPr>
        <w:spacing w:before="120"/>
        <w:rPr>
          <w:rFonts w:cs="Times New Roman"/>
          <w:sz w:val="22"/>
        </w:rPr>
      </w:pPr>
      <w:r>
        <w:rPr>
          <w:noProof/>
          <w:lang w:eastAsia="lv-LV"/>
        </w:rPr>
        <w:drawing>
          <wp:inline distT="0" distB="0" distL="0" distR="0" wp14:anchorId="11D6E053" wp14:editId="7B68977B">
            <wp:extent cx="5937885" cy="3628339"/>
            <wp:effectExtent l="0" t="0" r="5715" b="10795"/>
            <wp:docPr id="88" name="Chart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127E1" w:rsidRPr="00B22F97" w:rsidRDefault="00A16581" w:rsidP="00B22F97">
      <w:pPr>
        <w:spacing w:before="120"/>
        <w:jc w:val="center"/>
        <w:rPr>
          <w:rFonts w:cs="Times New Roman"/>
          <w:b/>
          <w:sz w:val="22"/>
        </w:rPr>
      </w:pPr>
      <w:r w:rsidRPr="00942CBD">
        <w:rPr>
          <w:rFonts w:cs="Times New Roman"/>
          <w:i/>
          <w:sz w:val="22"/>
        </w:rPr>
        <w:t>2.8</w:t>
      </w:r>
      <w:r w:rsidR="00B127E1" w:rsidRPr="00942CBD">
        <w:rPr>
          <w:rFonts w:cs="Times New Roman"/>
          <w:i/>
          <w:sz w:val="22"/>
        </w:rPr>
        <w:t>.att.</w:t>
      </w:r>
      <w:r w:rsidR="00B127E1" w:rsidRPr="00942CBD">
        <w:rPr>
          <w:rFonts w:cs="Times New Roman"/>
          <w:sz w:val="22"/>
        </w:rPr>
        <w:t xml:space="preserve"> </w:t>
      </w:r>
      <w:r w:rsidR="00B127E1" w:rsidRPr="00942CBD">
        <w:rPr>
          <w:rFonts w:cs="Times New Roman"/>
          <w:b/>
          <w:sz w:val="22"/>
        </w:rPr>
        <w:t>Finanšu ministrijas rīkojumu īpatsvars pa izmaiņu veidiem 2016.gadā</w:t>
      </w:r>
    </w:p>
    <w:p w:rsidR="00B127E1" w:rsidRDefault="00B127E1" w:rsidP="00FF0325">
      <w:pPr>
        <w:spacing w:before="240"/>
        <w:ind w:firstLine="720"/>
        <w:jc w:val="both"/>
      </w:pPr>
      <w:r>
        <w:t>2016.gadā izdotajos FM rīkojumos izmaiņas</w:t>
      </w:r>
      <w:r w:rsidR="00942CBD">
        <w:t xml:space="preserve"> ministriju budžetu programmās/</w:t>
      </w:r>
      <w:r>
        <w:t>apakšprogrammās veiktas 1</w:t>
      </w:r>
      <w:r w:rsidR="00A16581">
        <w:t xml:space="preserve"> </w:t>
      </w:r>
      <w:r>
        <w:t>546 reizes (</w:t>
      </w:r>
      <w:r w:rsidRPr="00942CBD">
        <w:t xml:space="preserve">skat. </w:t>
      </w:r>
      <w:r w:rsidR="00A16581" w:rsidRPr="00942CBD">
        <w:t>2.9</w:t>
      </w:r>
      <w:r w:rsidRPr="00942CBD">
        <w:t>.attēlu).</w:t>
      </w:r>
    </w:p>
    <w:p w:rsidR="00B127E1" w:rsidRDefault="00B127E1" w:rsidP="00B127E1">
      <w:pPr>
        <w:spacing w:before="120"/>
        <w:ind w:firstLine="720"/>
        <w:rPr>
          <w:rFonts w:cs="Times New Roman"/>
          <w:b/>
          <w:sz w:val="22"/>
        </w:rPr>
      </w:pPr>
    </w:p>
    <w:p w:rsidR="00B127E1" w:rsidRPr="00457B39" w:rsidRDefault="00B127E1" w:rsidP="00B127E1">
      <w:pPr>
        <w:spacing w:before="120"/>
        <w:rPr>
          <w:rFonts w:cs="Times New Roman"/>
          <w:b/>
          <w:sz w:val="22"/>
        </w:rPr>
      </w:pPr>
      <w:r>
        <w:rPr>
          <w:noProof/>
          <w:lang w:eastAsia="lv-LV"/>
        </w:rPr>
        <w:drawing>
          <wp:inline distT="0" distB="0" distL="0" distR="0" wp14:anchorId="768846E3" wp14:editId="65146062">
            <wp:extent cx="5887085" cy="3101645"/>
            <wp:effectExtent l="0" t="0" r="18415" b="3810"/>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127E1" w:rsidRPr="00B22F97" w:rsidRDefault="00A16581" w:rsidP="00B22F97">
      <w:pPr>
        <w:spacing w:before="120"/>
        <w:jc w:val="center"/>
        <w:rPr>
          <w:rFonts w:cs="Times New Roman"/>
          <w:b/>
          <w:sz w:val="22"/>
        </w:rPr>
      </w:pPr>
      <w:r w:rsidRPr="00942CBD">
        <w:rPr>
          <w:rFonts w:cs="Times New Roman"/>
          <w:i/>
          <w:sz w:val="22"/>
        </w:rPr>
        <w:t>2.9</w:t>
      </w:r>
      <w:r w:rsidR="00B127E1" w:rsidRPr="00942CBD">
        <w:rPr>
          <w:rFonts w:cs="Times New Roman"/>
          <w:i/>
          <w:sz w:val="22"/>
        </w:rPr>
        <w:t>.att.</w:t>
      </w:r>
      <w:r w:rsidR="00B127E1" w:rsidRPr="00B22F97">
        <w:rPr>
          <w:rFonts w:cs="Times New Roman"/>
          <w:sz w:val="22"/>
        </w:rPr>
        <w:t xml:space="preserve"> </w:t>
      </w:r>
      <w:r w:rsidR="00B127E1" w:rsidRPr="00B22F97">
        <w:rPr>
          <w:rFonts w:cs="Times New Roman"/>
          <w:b/>
          <w:sz w:val="22"/>
        </w:rPr>
        <w:t>Finanšu ministrijas rīkojumos 2016.ga</w:t>
      </w:r>
      <w:r w:rsidR="00942CBD">
        <w:rPr>
          <w:rFonts w:cs="Times New Roman"/>
          <w:b/>
          <w:sz w:val="22"/>
        </w:rPr>
        <w:t>dā veiktās izmaiņas programmās/</w:t>
      </w:r>
      <w:r w:rsidR="00B127E1" w:rsidRPr="00B22F97">
        <w:rPr>
          <w:rFonts w:cs="Times New Roman"/>
          <w:b/>
          <w:sz w:val="22"/>
        </w:rPr>
        <w:t>apakšprogrammās</w:t>
      </w:r>
    </w:p>
    <w:p w:rsidR="00105873" w:rsidRDefault="00105873" w:rsidP="00105873">
      <w:pPr>
        <w:spacing w:before="120"/>
        <w:ind w:firstLine="720"/>
        <w:rPr>
          <w:rFonts w:cs="Times New Roman"/>
          <w:sz w:val="22"/>
        </w:rPr>
      </w:pPr>
    </w:p>
    <w:p w:rsidR="00B127E1" w:rsidRPr="00105873" w:rsidRDefault="00B127E1" w:rsidP="00942CBD">
      <w:pPr>
        <w:spacing w:before="120" w:after="240"/>
        <w:ind w:firstLine="720"/>
        <w:jc w:val="both"/>
        <w:rPr>
          <w:szCs w:val="24"/>
        </w:rPr>
      </w:pPr>
      <w:r w:rsidRPr="00105873">
        <w:rPr>
          <w:rFonts w:cs="Times New Roman"/>
          <w:szCs w:val="24"/>
        </w:rPr>
        <w:lastRenderedPageBreak/>
        <w:t xml:space="preserve">2016.gadā visvairāk apropriāciju izmaiņas veiktas IZM budžetā – 61 rīkojumā, VARAM budžetā – 55 rīkojumos, IeM budžetā – 53 rīkojumos, ĀM budžetā – 46 rīkojumos, KM budžetā – 45 </w:t>
      </w:r>
      <w:r w:rsidRPr="00942CBD">
        <w:rPr>
          <w:rFonts w:cs="Times New Roman"/>
          <w:szCs w:val="24"/>
        </w:rPr>
        <w:t>rīkojumos</w:t>
      </w:r>
      <w:r w:rsidRPr="00942CBD">
        <w:rPr>
          <w:szCs w:val="24"/>
        </w:rPr>
        <w:t xml:space="preserve"> (skat. </w:t>
      </w:r>
      <w:r w:rsidR="00A16581" w:rsidRPr="00942CBD">
        <w:rPr>
          <w:szCs w:val="24"/>
        </w:rPr>
        <w:t>2.10</w:t>
      </w:r>
      <w:r w:rsidRPr="00942CBD">
        <w:rPr>
          <w:szCs w:val="24"/>
        </w:rPr>
        <w:t>.attēlu</w:t>
      </w:r>
      <w:r w:rsidR="00725DED" w:rsidRPr="00942CBD">
        <w:rPr>
          <w:szCs w:val="24"/>
        </w:rPr>
        <w:t>).</w:t>
      </w:r>
    </w:p>
    <w:p w:rsidR="00B127E1" w:rsidRDefault="0072233C" w:rsidP="00B127E1">
      <w:pPr>
        <w:spacing w:before="120" w:after="120"/>
        <w:jc w:val="both"/>
      </w:pPr>
      <w:r>
        <w:rPr>
          <w:noProof/>
          <w:lang w:eastAsia="lv-LV"/>
        </w:rPr>
        <w:drawing>
          <wp:inline distT="0" distB="0" distL="0" distR="0" wp14:anchorId="36F5E9EE" wp14:editId="15C6F55F">
            <wp:extent cx="5760085" cy="3641090"/>
            <wp:effectExtent l="0" t="0" r="12065" b="16510"/>
            <wp:docPr id="7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127E1" w:rsidRPr="00725DED" w:rsidRDefault="00A16581" w:rsidP="00725DED">
      <w:pPr>
        <w:spacing w:before="120" w:after="240"/>
        <w:jc w:val="center"/>
        <w:rPr>
          <w:rFonts w:cs="Times New Roman"/>
          <w:b/>
          <w:sz w:val="22"/>
        </w:rPr>
      </w:pPr>
      <w:r w:rsidRPr="00942CBD">
        <w:rPr>
          <w:rFonts w:cs="Times New Roman"/>
          <w:i/>
          <w:sz w:val="22"/>
        </w:rPr>
        <w:t>2.10</w:t>
      </w:r>
      <w:r w:rsidR="00B127E1" w:rsidRPr="00942CBD">
        <w:rPr>
          <w:rFonts w:cs="Times New Roman"/>
          <w:i/>
          <w:sz w:val="22"/>
        </w:rPr>
        <w:t>.att.</w:t>
      </w:r>
      <w:r w:rsidR="00B127E1" w:rsidRPr="00942CBD">
        <w:rPr>
          <w:rFonts w:cs="Times New Roman"/>
          <w:sz w:val="22"/>
        </w:rPr>
        <w:t xml:space="preserve"> </w:t>
      </w:r>
      <w:r w:rsidR="00B127E1" w:rsidRPr="00942CBD">
        <w:rPr>
          <w:rFonts w:cs="Times New Roman"/>
          <w:b/>
          <w:sz w:val="22"/>
        </w:rPr>
        <w:t>Finanšu</w:t>
      </w:r>
      <w:r w:rsidR="00B127E1">
        <w:rPr>
          <w:rFonts w:cs="Times New Roman"/>
          <w:b/>
          <w:sz w:val="22"/>
        </w:rPr>
        <w:t xml:space="preserve"> ministrijas rīkojumu skaits 2016.gadā sadalījumā pa ministrijām un izmaiņu veidiem</w:t>
      </w:r>
    </w:p>
    <w:p w:rsidR="00B127E1" w:rsidRDefault="00B127E1" w:rsidP="00B127E1">
      <w:pPr>
        <w:spacing w:after="120"/>
        <w:ind w:firstLine="720"/>
        <w:jc w:val="both"/>
      </w:pPr>
      <w:r>
        <w:t xml:space="preserve">No ministriju sniegtajiem priekšlikumiem par vispārējo procesu optimizēšanu un pilnveidošanu 31 priekšlikums attiecināms uz apropriāciju izmaiņu procesu. Apropriāciju izmaiņu sagatavošanas procesu šobrīd reglamentē MK noteikumi Nr.256, Nr.464, Nr.594 un Nr.1644. Par MK noteikumiem Nr.256 sniegti 15 priekšlikumi, par MK noteikumiem Nr.464 – 13 priekšlikumi, par MK noteikumiem Nr.1644 – 2 priekšlikumi, par MK noteikumiem Nr.594 – 1 priekšlikums. </w:t>
      </w:r>
    </w:p>
    <w:p w:rsidR="00B127E1" w:rsidRPr="006845C8" w:rsidRDefault="00B127E1" w:rsidP="00B127E1">
      <w:pPr>
        <w:spacing w:after="120"/>
        <w:ind w:firstLine="720"/>
        <w:jc w:val="both"/>
        <w:rPr>
          <w:u w:val="single"/>
        </w:rPr>
      </w:pPr>
      <w:r w:rsidRPr="006845C8">
        <w:rPr>
          <w:u w:val="single"/>
        </w:rPr>
        <w:t>Lielākajā daļā ministriju priekšlikumu ierosināts vienkāršot un aktualizēt pašreizējo normatīvo regulējumu, piemēram:</w:t>
      </w:r>
    </w:p>
    <w:p w:rsidR="00B127E1" w:rsidRDefault="00B127E1" w:rsidP="008C25BB">
      <w:pPr>
        <w:pStyle w:val="ListParagraph"/>
        <w:numPr>
          <w:ilvl w:val="0"/>
          <w:numId w:val="34"/>
        </w:numPr>
        <w:spacing w:after="120"/>
        <w:ind w:left="714" w:hanging="357"/>
        <w:contextualSpacing w:val="0"/>
        <w:jc w:val="both"/>
      </w:pPr>
      <w:r w:rsidRPr="006F1317">
        <w:t xml:space="preserve">paredzēt iespēju iestādēm budžeta izpildes laikā precizēt apropriācijas sadalījumu, gada laikā nepārsniedzot </w:t>
      </w:r>
      <w:r>
        <w:t>10%</w:t>
      </w:r>
      <w:r w:rsidRPr="006F1317">
        <w:t xml:space="preserve"> no uzturēšanas izdevumiem noteiktās apropriācijas</w:t>
      </w:r>
      <w:r>
        <w:t>;</w:t>
      </w:r>
    </w:p>
    <w:p w:rsidR="00B127E1" w:rsidRDefault="00B127E1" w:rsidP="008C25BB">
      <w:pPr>
        <w:pStyle w:val="ListParagraph"/>
        <w:numPr>
          <w:ilvl w:val="0"/>
          <w:numId w:val="34"/>
        </w:numPr>
        <w:spacing w:after="120"/>
        <w:ind w:left="714" w:hanging="357"/>
        <w:contextualSpacing w:val="0"/>
        <w:jc w:val="both"/>
      </w:pPr>
      <w:r w:rsidRPr="006F1317">
        <w:t>fiksētās robežās noteikt elastīgu iespēju iestādei kārtējā gada laikā mainīt izdevumu sadalījumu starp preču un pakalpojumu un kapitālo izdevumu grupām bez atsevišķa FM rīkojuma</w:t>
      </w:r>
      <w:r>
        <w:t>;</w:t>
      </w:r>
    </w:p>
    <w:p w:rsidR="00B127E1" w:rsidRDefault="00B127E1" w:rsidP="008C25BB">
      <w:pPr>
        <w:pStyle w:val="ListParagraph"/>
        <w:numPr>
          <w:ilvl w:val="0"/>
          <w:numId w:val="34"/>
        </w:numPr>
        <w:spacing w:after="120"/>
        <w:ind w:left="714" w:hanging="357"/>
        <w:contextualSpacing w:val="0"/>
        <w:jc w:val="both"/>
      </w:pPr>
      <w:r w:rsidRPr="00F146CE">
        <w:t xml:space="preserve">noteikt augstāku inventāra iegādes cenas slieksni, no kura tas uzskaitāms kā pamatlīdzeklis, piemēram, 500 </w:t>
      </w:r>
      <w:r w:rsidRPr="00F146CE">
        <w:rPr>
          <w:i/>
        </w:rPr>
        <w:t>euro</w:t>
      </w:r>
      <w:r w:rsidRPr="00F146CE">
        <w:t>;</w:t>
      </w:r>
    </w:p>
    <w:p w:rsidR="00B127E1" w:rsidRDefault="00B127E1" w:rsidP="008C25BB">
      <w:pPr>
        <w:pStyle w:val="ListParagraph"/>
        <w:numPr>
          <w:ilvl w:val="0"/>
          <w:numId w:val="34"/>
        </w:numPr>
        <w:spacing w:after="120"/>
        <w:ind w:left="714" w:hanging="357"/>
        <w:contextualSpacing w:val="0"/>
        <w:jc w:val="both"/>
      </w:pPr>
      <w:r w:rsidRPr="00F146CE">
        <w:t>paredzēt vienkāršāku risinājumu, kas atvieglo</w:t>
      </w:r>
      <w:r>
        <w:t>tu</w:t>
      </w:r>
      <w:r w:rsidRPr="00F146CE">
        <w:t xml:space="preserve"> apropriācijas pārdali starp EKK, tai skaitā palielinot atlīdzību bez MK lēmuma;</w:t>
      </w:r>
    </w:p>
    <w:p w:rsidR="00B127E1" w:rsidRPr="004C4B0B" w:rsidRDefault="00B127E1" w:rsidP="008C25BB">
      <w:pPr>
        <w:pStyle w:val="ListParagraph"/>
        <w:numPr>
          <w:ilvl w:val="0"/>
          <w:numId w:val="34"/>
        </w:numPr>
        <w:spacing w:after="120"/>
        <w:ind w:left="714" w:hanging="357"/>
        <w:contextualSpacing w:val="0"/>
        <w:jc w:val="both"/>
      </w:pPr>
      <w:r w:rsidRPr="004C4B0B">
        <w:t xml:space="preserve">izvērtēt, vai katram ārvalstu finanšu palīdzības vai </w:t>
      </w:r>
      <w:r w:rsidRPr="00E20DDE">
        <w:rPr>
          <w:i/>
        </w:rPr>
        <w:t>Twinning</w:t>
      </w:r>
      <w:r w:rsidRPr="004C4B0B">
        <w:t xml:space="preserve"> un </w:t>
      </w:r>
      <w:r w:rsidRPr="00E20DDE">
        <w:rPr>
          <w:i/>
        </w:rPr>
        <w:t>Twinning Light</w:t>
      </w:r>
      <w:r w:rsidRPr="004C4B0B">
        <w:t xml:space="preserve"> ietvaros īstenotajam projektam, neatkarīgi no termiņa un finansējuma apmēra ir nepieciešama </w:t>
      </w:r>
      <w:r w:rsidRPr="004C4B0B">
        <w:lastRenderedPageBreak/>
        <w:t>MK atļauja un cik tā ir samērojama ar iesaistīto ministriju ieguldīto darba apmēru attiecībā pret pieprasāmo un no valsts puses ieguldāmo finansējumu;</w:t>
      </w:r>
    </w:p>
    <w:p w:rsidR="00B127E1" w:rsidRDefault="00B127E1" w:rsidP="008C25BB">
      <w:pPr>
        <w:pStyle w:val="ListParagraph"/>
        <w:numPr>
          <w:ilvl w:val="0"/>
          <w:numId w:val="34"/>
        </w:numPr>
        <w:spacing w:after="120"/>
        <w:ind w:left="714" w:hanging="357"/>
        <w:contextualSpacing w:val="0"/>
        <w:jc w:val="both"/>
      </w:pPr>
      <w:r>
        <w:t>regulēt procesu apropriācijas rezerves pārdalei ministrijām</w:t>
      </w:r>
      <w:r w:rsidRPr="0028294A">
        <w:t xml:space="preserve"> pabeigto </w:t>
      </w:r>
      <w:r>
        <w:t>ES</w:t>
      </w:r>
      <w:r w:rsidRPr="0028294A">
        <w:t xml:space="preserve"> politiku instrumentu un pārējās ār</w:t>
      </w:r>
      <w:r>
        <w:t>valstu finanšu palīdzības līdzfin</w:t>
      </w:r>
      <w:r w:rsidRPr="0028294A">
        <w:t>ansēto projektu uzturēš</w:t>
      </w:r>
      <w:r>
        <w:t>anai;</w:t>
      </w:r>
    </w:p>
    <w:p w:rsidR="00B127E1" w:rsidRPr="005069E0" w:rsidRDefault="00B127E1" w:rsidP="008C25BB">
      <w:pPr>
        <w:pStyle w:val="ListParagraph"/>
        <w:numPr>
          <w:ilvl w:val="0"/>
          <w:numId w:val="34"/>
        </w:numPr>
        <w:spacing w:after="120"/>
        <w:ind w:left="714" w:hanging="357"/>
        <w:contextualSpacing w:val="0"/>
        <w:jc w:val="both"/>
      </w:pPr>
      <w:r w:rsidRPr="005069E0">
        <w:t xml:space="preserve">paātrināt procesus valsts budžeta likumā noteiktās apropriācijas palielinājumam par valsts budžeta iestāžu ieņēmumu atlikumiem par sniegtajiem maksas pakalpojumiem, lai tos iestādes </w:t>
      </w:r>
      <w:r>
        <w:t>varētu izmantot jau gada sākumā;</w:t>
      </w:r>
    </w:p>
    <w:p w:rsidR="00B127E1" w:rsidRDefault="00B127E1" w:rsidP="008C25BB">
      <w:pPr>
        <w:pStyle w:val="ListParagraph"/>
        <w:numPr>
          <w:ilvl w:val="0"/>
          <w:numId w:val="34"/>
        </w:numPr>
        <w:spacing w:after="120"/>
        <w:contextualSpacing w:val="0"/>
        <w:jc w:val="both"/>
      </w:pPr>
      <w:r w:rsidRPr="00E334CA">
        <w:t>noteikt kārtību un aizpildāmās veidlapas apropriāciju izmaiņu pieprasīšanai transfertu</w:t>
      </w:r>
      <w:r w:rsidRPr="00CD119B">
        <w:t xml:space="preserve"> veikšanai gadskārtējā valsts budžeta izpildes procesā</w:t>
      </w:r>
      <w:r>
        <w:t xml:space="preserve"> un</w:t>
      </w:r>
      <w:r w:rsidRPr="00CD119B">
        <w:t xml:space="preserve"> ārvalstu finanšu palīdzības līdzekļu </w:t>
      </w:r>
      <w:r>
        <w:t>un to</w:t>
      </w:r>
      <w:r w:rsidRPr="00CD119B">
        <w:t xml:space="preserve"> atlikumu izmantošanai</w:t>
      </w:r>
      <w:r>
        <w:t xml:space="preserve">, apropriāciju palielināšanai ieņēmumu par </w:t>
      </w:r>
      <w:r w:rsidRPr="00B82CD6">
        <w:t>sniegtajiem maksas pakalpojumiem un citu pašu ieņēmumu un to atlikumu izmantošanai</w:t>
      </w:r>
      <w:r>
        <w:t xml:space="preserve">, kā arī </w:t>
      </w:r>
      <w:r w:rsidRPr="00B82CD6">
        <w:t>noteikt vienotu formu nepieciešamo izmaiņu skaidrojuma sagatavošanai analoģiski MK noteikumu Nr.256 3.pielikumā sniegtajam paraugam</w:t>
      </w:r>
      <w:r>
        <w:t xml:space="preserve"> u.c.</w:t>
      </w:r>
      <w:r w:rsidRPr="00B82CD6">
        <w:t xml:space="preserve"> </w:t>
      </w:r>
    </w:p>
    <w:p w:rsidR="00B127E1" w:rsidRPr="006845C8" w:rsidRDefault="00B127E1" w:rsidP="00B127E1">
      <w:pPr>
        <w:spacing w:after="120"/>
        <w:ind w:firstLine="720"/>
        <w:jc w:val="both"/>
        <w:rPr>
          <w:u w:val="single"/>
        </w:rPr>
      </w:pPr>
      <w:r w:rsidRPr="006845C8">
        <w:rPr>
          <w:u w:val="single"/>
        </w:rPr>
        <w:t>Daļā priekšlikumu ierosināts izvērtēt informācijas iesniegšanas lietderību, piemēram:</w:t>
      </w:r>
    </w:p>
    <w:p w:rsidR="00B127E1" w:rsidRPr="00E334CA" w:rsidRDefault="00B127E1" w:rsidP="008C25BB">
      <w:pPr>
        <w:pStyle w:val="ListParagraph"/>
        <w:numPr>
          <w:ilvl w:val="0"/>
          <w:numId w:val="35"/>
        </w:numPr>
        <w:spacing w:after="120"/>
        <w:contextualSpacing w:val="0"/>
        <w:jc w:val="both"/>
      </w:pPr>
      <w:r w:rsidRPr="00E334CA">
        <w:t xml:space="preserve">izvērtēt MK noteikumos Nr.256 un MK noteikumos Nr.464 </w:t>
      </w:r>
      <w:r>
        <w:t>iekļautajās</w:t>
      </w:r>
      <w:r w:rsidRPr="00E334CA">
        <w:t xml:space="preserve"> veidlapās pieprasāmās informācijas lietderību;</w:t>
      </w:r>
    </w:p>
    <w:p w:rsidR="00B127E1" w:rsidRDefault="00B127E1" w:rsidP="008C25BB">
      <w:pPr>
        <w:pStyle w:val="ListParagraph"/>
        <w:numPr>
          <w:ilvl w:val="0"/>
          <w:numId w:val="35"/>
        </w:numPr>
        <w:spacing w:after="120"/>
        <w:contextualSpacing w:val="0"/>
        <w:jc w:val="both"/>
      </w:pPr>
      <w:r w:rsidRPr="00E334CA">
        <w:t xml:space="preserve">MK noteikumos Nr.464 izmaiņas ilgtermiņa saistībās 4.pielikumā uzrādīt pret gada precizēto plānu un neuzrādīt iepriekšējo gadu izpildi un izmaiņas turpmākajos gados; </w:t>
      </w:r>
    </w:p>
    <w:p w:rsidR="00B127E1" w:rsidRDefault="00B127E1" w:rsidP="008C25BB">
      <w:pPr>
        <w:pStyle w:val="ListParagraph"/>
        <w:numPr>
          <w:ilvl w:val="0"/>
          <w:numId w:val="35"/>
        </w:numPr>
        <w:spacing w:after="120"/>
        <w:contextualSpacing w:val="0"/>
        <w:jc w:val="both"/>
      </w:pPr>
      <w:r w:rsidRPr="001902CD">
        <w:t>pārskatīt transfertu saskaņošanas procesu, padarot to ātrāku un ieviešot mūsdienām atbilstošāku – elektronisku saskaņošanas risinājumu</w:t>
      </w:r>
      <w:r>
        <w:t>;</w:t>
      </w:r>
    </w:p>
    <w:p w:rsidR="00B127E1" w:rsidRPr="006845C8" w:rsidRDefault="00B127E1" w:rsidP="008C25BB">
      <w:pPr>
        <w:pStyle w:val="ListParagraph"/>
        <w:numPr>
          <w:ilvl w:val="0"/>
          <w:numId w:val="35"/>
        </w:numPr>
        <w:spacing w:after="120"/>
        <w:contextualSpacing w:val="0"/>
        <w:jc w:val="both"/>
      </w:pPr>
      <w:r w:rsidRPr="006845C8">
        <w:t xml:space="preserve">FM izvērtēt prasības ministrijām katram apropriācijas izmaiņu veidam iesniegt atsevišķu pieprasījumu. Šobrīd pieprasot apropriācijas palielinājumu, lai nodrošinātu ārvalstu finanšu palīdzības finansēta projekta īstenošanu, kam nepieciešams līdzfinansējums arī no 80.00.00 programmas, ministrijām jāsagatavo divus atsevišķus pieprasījumus - apropriācijas palielinājumam ārvalstu finanšu palīdzībai un apropriācijas pārdalei </w:t>
      </w:r>
      <w:r>
        <w:t>no 80.00.00 budžeta programmas;</w:t>
      </w:r>
    </w:p>
    <w:p w:rsidR="00B127E1" w:rsidRPr="006845C8" w:rsidRDefault="00B127E1" w:rsidP="008C25BB">
      <w:pPr>
        <w:pStyle w:val="ListParagraph"/>
        <w:numPr>
          <w:ilvl w:val="0"/>
          <w:numId w:val="35"/>
        </w:numPr>
        <w:spacing w:after="120"/>
        <w:contextualSpacing w:val="0"/>
        <w:jc w:val="both"/>
      </w:pPr>
      <w:r w:rsidRPr="006845C8">
        <w:t>rast risinājumu, kas ļautu</w:t>
      </w:r>
      <w:r w:rsidR="00522347">
        <w:t>,</w:t>
      </w:r>
      <w:r w:rsidRPr="006845C8">
        <w:t xml:space="preserve"> jau veicot finansējuma pārdali no 80.00.00 programmas</w:t>
      </w:r>
      <w:r>
        <w:t>,</w:t>
      </w:r>
      <w:r w:rsidRPr="006845C8">
        <w:t xml:space="preserve"> ieplānot </w:t>
      </w:r>
      <w:r>
        <w:t xml:space="preserve"> arī </w:t>
      </w:r>
      <w:r w:rsidRPr="006845C8">
        <w:t>gadskārtējā valsts budžeta izpildes procesā veicamo transfertu, lai  mazinātu administratīvu slogu visām iesaistītajām pusēm un nodrošinātu projekta savlaicīgo uzsākšanu;</w:t>
      </w:r>
    </w:p>
    <w:p w:rsidR="00B127E1" w:rsidRDefault="00B127E1" w:rsidP="008C25BB">
      <w:pPr>
        <w:pStyle w:val="ListParagraph"/>
        <w:numPr>
          <w:ilvl w:val="0"/>
          <w:numId w:val="35"/>
        </w:numPr>
        <w:spacing w:after="120"/>
        <w:contextualSpacing w:val="0"/>
        <w:jc w:val="both"/>
      </w:pPr>
      <w:r w:rsidRPr="00E334CA">
        <w:t>nepieprasīt iesniegt informāciju, kura elektroniski pieejama Valsts k</w:t>
      </w:r>
      <w:r>
        <w:t>asē u.c.</w:t>
      </w:r>
    </w:p>
    <w:p w:rsidR="004B312C" w:rsidRPr="004B312C" w:rsidRDefault="004B312C" w:rsidP="004B312C">
      <w:pPr>
        <w:spacing w:after="120"/>
        <w:ind w:firstLine="360"/>
        <w:jc w:val="both"/>
        <w:rPr>
          <w:rFonts w:cs="Times New Roman"/>
          <w:szCs w:val="24"/>
        </w:rPr>
      </w:pPr>
      <w:r w:rsidRPr="004B312C">
        <w:rPr>
          <w:rFonts w:cs="Times New Roman"/>
          <w:szCs w:val="24"/>
        </w:rPr>
        <w:t>FM ir padziļināti analizējusi 2014.gada, 2015.gada un 2016.gada apropriācijas pārdales un to pamatojumus, meklējot risinājumus, kā ir iespējams sasniegt budžeta programmās izvirzītos mērķus, ieguldot mazākus administratīvos resursus apropriāciju pārdalē.</w:t>
      </w:r>
    </w:p>
    <w:p w:rsidR="00A746BE" w:rsidRPr="00A746BE" w:rsidRDefault="00A746BE" w:rsidP="00BF445B">
      <w:pPr>
        <w:ind w:firstLine="709"/>
        <w:jc w:val="both"/>
        <w:rPr>
          <w:szCs w:val="24"/>
        </w:rPr>
      </w:pPr>
      <w:r w:rsidRPr="00A746BE">
        <w:t>Veicot apropriācijas izmaiņu prakses padziļināto analīzi, tika v</w:t>
      </w:r>
      <w:r w:rsidRPr="00A746BE">
        <w:rPr>
          <w:szCs w:val="24"/>
        </w:rPr>
        <w:t>ērtēta apropriāciju izmaiņu dinamika un budžeta izpildes tendence konkrētajos ministrijās konkrētajos izdevumu kodos atbilstoši ekonomiskajām kategorijām (gadskārtējā budžeta likuma griezuma detalizētākajā līmenī). Analīzei tika ņemti vērā šādi faktori:</w:t>
      </w:r>
    </w:p>
    <w:p w:rsidR="00A746BE" w:rsidRPr="00A746BE" w:rsidRDefault="00A746BE" w:rsidP="008C25BB">
      <w:pPr>
        <w:pStyle w:val="ListParagraph"/>
        <w:numPr>
          <w:ilvl w:val="0"/>
          <w:numId w:val="81"/>
        </w:numPr>
        <w:spacing w:before="120" w:after="120"/>
        <w:ind w:left="777" w:hanging="357"/>
        <w:contextualSpacing w:val="0"/>
        <w:jc w:val="both"/>
      </w:pPr>
      <w:r w:rsidRPr="00A746BE">
        <w:rPr>
          <w:szCs w:val="24"/>
        </w:rPr>
        <w:t>apropriācijas izmaiņu veikšanas biežums un virziens vienā un tajā pašā pozīcijā gada laikā (lielāka uzmanība tika pievērsta “svārstīgākām” izmaiņām);</w:t>
      </w:r>
    </w:p>
    <w:p w:rsidR="00A746BE" w:rsidRPr="00A746BE" w:rsidRDefault="00A746BE" w:rsidP="008C25BB">
      <w:pPr>
        <w:pStyle w:val="ListParagraph"/>
        <w:numPr>
          <w:ilvl w:val="0"/>
          <w:numId w:val="81"/>
        </w:numPr>
        <w:spacing w:before="120" w:after="120"/>
        <w:ind w:left="777" w:hanging="357"/>
        <w:contextualSpacing w:val="0"/>
        <w:jc w:val="both"/>
      </w:pPr>
      <w:r w:rsidRPr="00A746BE">
        <w:rPr>
          <w:szCs w:val="24"/>
        </w:rPr>
        <w:t>apropriāciju izmaiņas, kuru rezultātā plānotais izdevumu apjoms tika palielināts, tomēr faktiskā izpilde bija zemāka par 80% no precizētā plāna;</w:t>
      </w:r>
    </w:p>
    <w:p w:rsidR="00A746BE" w:rsidRPr="00A746BE" w:rsidRDefault="00A746BE" w:rsidP="008C25BB">
      <w:pPr>
        <w:pStyle w:val="ListParagraph"/>
        <w:numPr>
          <w:ilvl w:val="0"/>
          <w:numId w:val="81"/>
        </w:numPr>
        <w:spacing w:before="120" w:after="120"/>
        <w:ind w:left="777" w:hanging="357"/>
        <w:contextualSpacing w:val="0"/>
        <w:jc w:val="both"/>
      </w:pPr>
      <w:r w:rsidRPr="00A746BE">
        <w:rPr>
          <w:szCs w:val="24"/>
        </w:rPr>
        <w:t>apropriāciju izmaiņas tika analizētas tikai valsts budžeta pamatfunkciju daļā.</w:t>
      </w:r>
    </w:p>
    <w:p w:rsidR="00A746BE" w:rsidRPr="00A66689" w:rsidRDefault="00A746BE" w:rsidP="00A746BE">
      <w:pPr>
        <w:pStyle w:val="ListParagraph"/>
        <w:ind w:left="780"/>
        <w:jc w:val="both"/>
        <w:rPr>
          <w:szCs w:val="24"/>
          <w:highlight w:val="yellow"/>
        </w:rPr>
      </w:pPr>
    </w:p>
    <w:p w:rsidR="00A746BE" w:rsidRPr="00A746BE" w:rsidRDefault="00A746BE" w:rsidP="00A746BE">
      <w:pPr>
        <w:pStyle w:val="ListParagraph"/>
        <w:ind w:left="0"/>
        <w:jc w:val="center"/>
        <w:rPr>
          <w:rFonts w:cs="Times New Roman"/>
          <w:b/>
          <w:sz w:val="22"/>
        </w:rPr>
      </w:pPr>
      <w:r w:rsidRPr="003A2558">
        <w:rPr>
          <w:noProof/>
          <w:lang w:eastAsia="lv-LV"/>
        </w:rPr>
        <w:lastRenderedPageBreak/>
        <w:drawing>
          <wp:anchor distT="0" distB="0" distL="114300" distR="114300" simplePos="0" relativeHeight="251681792" behindDoc="1" locked="0" layoutInCell="1" allowOverlap="1">
            <wp:simplePos x="0" y="0"/>
            <wp:positionH relativeFrom="margin">
              <wp:align>left</wp:align>
            </wp:positionH>
            <wp:positionV relativeFrom="paragraph">
              <wp:posOffset>0</wp:posOffset>
            </wp:positionV>
            <wp:extent cx="5924550" cy="2800350"/>
            <wp:effectExtent l="0" t="0" r="0" b="0"/>
            <wp:wrapTight wrapText="bothSides">
              <wp:wrapPolygon edited="0">
                <wp:start x="0" y="0"/>
                <wp:lineTo x="0" y="21453"/>
                <wp:lineTo x="21531" y="21453"/>
                <wp:lineTo x="21531" y="0"/>
                <wp:lineTo x="0" y="0"/>
              </wp:wrapPolygon>
            </wp:wrapTight>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003A2558" w:rsidRPr="003A2558">
        <w:rPr>
          <w:rFonts w:cs="Times New Roman"/>
          <w:i/>
          <w:sz w:val="22"/>
        </w:rPr>
        <w:t>2.11.</w:t>
      </w:r>
      <w:r w:rsidR="00BF445B" w:rsidRPr="003A2558">
        <w:rPr>
          <w:rFonts w:cs="Times New Roman"/>
          <w:i/>
          <w:sz w:val="22"/>
        </w:rPr>
        <w:t>att.</w:t>
      </w:r>
      <w:r w:rsidRPr="003A2558">
        <w:rPr>
          <w:rFonts w:cs="Times New Roman"/>
          <w:b/>
          <w:sz w:val="22"/>
        </w:rPr>
        <w:t xml:space="preserve"> </w:t>
      </w:r>
      <w:r w:rsidRPr="00A746BE">
        <w:rPr>
          <w:rFonts w:cs="Times New Roman"/>
          <w:b/>
          <w:sz w:val="22"/>
        </w:rPr>
        <w:t>Konkrētā gadījuma piemērs</w:t>
      </w:r>
      <w:r w:rsidR="00522347">
        <w:rPr>
          <w:rFonts w:cs="Times New Roman"/>
          <w:b/>
          <w:sz w:val="22"/>
        </w:rPr>
        <w:t xml:space="preserve"> vienā no resoriem</w:t>
      </w:r>
      <w:r w:rsidRPr="00A746BE">
        <w:rPr>
          <w:rFonts w:cs="Times New Roman"/>
          <w:b/>
          <w:sz w:val="22"/>
        </w:rPr>
        <w:t>, kas tika pakļauts padziļinātai analīzei - pozīcijas “Pr</w:t>
      </w:r>
      <w:r w:rsidR="00BF445B">
        <w:rPr>
          <w:rFonts w:cs="Times New Roman"/>
          <w:b/>
          <w:sz w:val="22"/>
        </w:rPr>
        <w:t>eces un pakalpojumi” plāna (zaļā</w:t>
      </w:r>
      <w:r w:rsidRPr="00A746BE">
        <w:rPr>
          <w:rFonts w:cs="Times New Roman"/>
          <w:b/>
          <w:sz w:val="22"/>
        </w:rPr>
        <w:t xml:space="preserve"> līkne) svārstības dažādos vi</w:t>
      </w:r>
      <w:r w:rsidR="00BF445B">
        <w:rPr>
          <w:rFonts w:cs="Times New Roman"/>
          <w:b/>
          <w:sz w:val="22"/>
        </w:rPr>
        <w:t>rzienos un zema izpilde (oranžā</w:t>
      </w:r>
      <w:r w:rsidRPr="00A746BE">
        <w:rPr>
          <w:rFonts w:cs="Times New Roman"/>
          <w:b/>
          <w:sz w:val="22"/>
        </w:rPr>
        <w:t xml:space="preserve"> līkne)</w:t>
      </w:r>
      <w:r w:rsidR="00522347">
        <w:rPr>
          <w:rFonts w:cs="Times New Roman"/>
          <w:b/>
          <w:sz w:val="22"/>
        </w:rPr>
        <w:t xml:space="preserve">, </w:t>
      </w:r>
      <w:r w:rsidR="00522347" w:rsidRPr="00522347">
        <w:rPr>
          <w:rFonts w:cs="Times New Roman"/>
          <w:b/>
          <w:i/>
          <w:sz w:val="22"/>
        </w:rPr>
        <w:t>euro</w:t>
      </w:r>
    </w:p>
    <w:p w:rsidR="00A746BE" w:rsidRPr="00A66689" w:rsidRDefault="00A746BE" w:rsidP="00A746BE">
      <w:pPr>
        <w:jc w:val="both"/>
        <w:rPr>
          <w:highlight w:val="yellow"/>
        </w:rPr>
      </w:pPr>
    </w:p>
    <w:p w:rsidR="00A746BE" w:rsidRPr="00A746BE" w:rsidRDefault="00A746BE" w:rsidP="00BA3D36">
      <w:pPr>
        <w:spacing w:before="120"/>
        <w:ind w:firstLine="709"/>
        <w:jc w:val="both"/>
        <w:rPr>
          <w:rFonts w:cs="Times New Roman"/>
          <w:szCs w:val="24"/>
        </w:rPr>
      </w:pPr>
      <w:r w:rsidRPr="00A746BE">
        <w:rPr>
          <w:rFonts w:cs="Times New Roman"/>
          <w:szCs w:val="24"/>
        </w:rPr>
        <w:t xml:space="preserve">Līkne “Precēm un pakalpojumiem” 01.01.2016 atspoguļo 2016.gada plānu, savukārt nākamie datumi – apstiprinātos </w:t>
      </w:r>
      <w:r>
        <w:rPr>
          <w:rFonts w:cs="Times New Roman"/>
          <w:szCs w:val="24"/>
        </w:rPr>
        <w:t xml:space="preserve">FM </w:t>
      </w:r>
      <w:r w:rsidRPr="00A746BE">
        <w:rPr>
          <w:rFonts w:cs="Times New Roman"/>
          <w:szCs w:val="24"/>
        </w:rPr>
        <w:t>rīkojumus par apropriācijas pārdalēm</w:t>
      </w:r>
      <w:r w:rsidR="003A2558">
        <w:rPr>
          <w:rFonts w:cs="Times New Roman"/>
          <w:szCs w:val="24"/>
        </w:rPr>
        <w:t xml:space="preserve"> (skat. 2.11.attēlu)</w:t>
      </w:r>
      <w:r w:rsidRPr="00A746BE">
        <w:rPr>
          <w:rFonts w:cs="Times New Roman"/>
          <w:szCs w:val="24"/>
        </w:rPr>
        <w:t>. Līkne “Izpilde” – Valsts kases dati attiecīgā mēneša beigās. Izdevumi 31.12.2016 – attiecīgā gada plāns kopā ar izmaiņām un izpilde gada beigās.</w:t>
      </w:r>
    </w:p>
    <w:p w:rsidR="00A746BE" w:rsidRPr="00A746BE" w:rsidRDefault="00A746BE" w:rsidP="00BA3D36">
      <w:pPr>
        <w:ind w:firstLine="709"/>
        <w:jc w:val="both"/>
        <w:rPr>
          <w:rFonts w:cs="Times New Roman"/>
          <w:szCs w:val="24"/>
        </w:rPr>
      </w:pPr>
      <w:r w:rsidRPr="00A746BE">
        <w:rPr>
          <w:rFonts w:cs="Times New Roman"/>
          <w:szCs w:val="24"/>
        </w:rPr>
        <w:t xml:space="preserve">Atbilstoši izvēlētajiem kritērijiem tika atlasīti un padziļināti analizēti apropriāciju izmaiņu dinamikas 70 gadījumi (par 2014., 2015. un 2016.gadu kopā). Izvērsta apropriāciju izmaiņu gadījumu analīze katram resoram ir pieejama </w:t>
      </w:r>
      <w:r>
        <w:rPr>
          <w:rFonts w:cs="Times New Roman"/>
          <w:szCs w:val="24"/>
        </w:rPr>
        <w:t>FM</w:t>
      </w:r>
      <w:r w:rsidRPr="00A746BE">
        <w:rPr>
          <w:rFonts w:cs="Times New Roman"/>
          <w:szCs w:val="24"/>
        </w:rPr>
        <w:t xml:space="preserve">. Balstoties uz šo izvērtējumu, tika secināts: </w:t>
      </w:r>
    </w:p>
    <w:p w:rsidR="00A746BE" w:rsidRDefault="00A746BE" w:rsidP="008C25BB">
      <w:pPr>
        <w:pStyle w:val="ListParagraph"/>
        <w:numPr>
          <w:ilvl w:val="0"/>
          <w:numId w:val="83"/>
        </w:numPr>
        <w:spacing w:before="120" w:after="120"/>
        <w:jc w:val="both"/>
        <w:rPr>
          <w:rFonts w:cs="Times New Roman"/>
          <w:szCs w:val="24"/>
        </w:rPr>
      </w:pPr>
      <w:r w:rsidRPr="00A746BE">
        <w:rPr>
          <w:rFonts w:cs="Times New Roman"/>
          <w:b/>
          <w:bCs/>
          <w:szCs w:val="24"/>
        </w:rPr>
        <w:t>Nepieciešamība atspoguļot izdevumus pēc to ekonomiskās būtības</w:t>
      </w:r>
      <w:r w:rsidR="00BF445B">
        <w:rPr>
          <w:rFonts w:cs="Times New Roman"/>
          <w:szCs w:val="24"/>
        </w:rPr>
        <w:t>;</w:t>
      </w:r>
      <w:r w:rsidRPr="00A746BE">
        <w:rPr>
          <w:rFonts w:cs="Times New Roman"/>
          <w:szCs w:val="24"/>
        </w:rPr>
        <w:t xml:space="preserve"> </w:t>
      </w:r>
    </w:p>
    <w:p w:rsidR="00A746BE" w:rsidRPr="00A746BE" w:rsidRDefault="00A746BE" w:rsidP="00BA3D36">
      <w:pPr>
        <w:ind w:firstLine="709"/>
        <w:jc w:val="both"/>
        <w:rPr>
          <w:rFonts w:cs="Times New Roman"/>
          <w:szCs w:val="24"/>
        </w:rPr>
      </w:pPr>
      <w:r w:rsidRPr="00A746BE">
        <w:rPr>
          <w:rFonts w:cs="Times New Roman"/>
          <w:szCs w:val="24"/>
        </w:rPr>
        <w:t xml:space="preserve">Ministrijas iesniedz pieprasījumus apropriāciju izmaiņām starp vienas programmas (apakšprogrammas) klasifikāciju kodiem, lai atspoguļotu darījumu atbilstoši ekonomiskajai būtībai, lai gan darījuma mērķis nemainās. Piemēram, pamatlīdzekļu iegāde (datori, darba galdi) tiek plānota kapitālo izdevumu pozīcijā (EKK 5000), bet reāli veicot iepirkumu faktiskā cena ir lētāka un izdevumi jāatspoguļo kā kārtējie izdevumi (EKK 2000). Cits piemērs – finansējums dažādu pasākumu un aktivitāšu finansēšanai tiek sākotnēji ieplānots kā dotācija komersantiem vai biedrībām (EKK 3000), bet aktivitātes īstenošanas stadijā par sadarbības partneriem var kļūt arī pašvaldība, augstskola vai valsts budžeta iestāde, un tad finansējums ir jāatspoguļo kā transferts (EKK 7000 un EKK 9000). Šobrīd šāda veida apropriāciju pārdales tiek veiktas ar finanšu ministra rīkojumu (ja vien vienlaicīgi netiek iesaistīti vēl citi kritēriji, kad izmaiņas jāsaskaņo ar augstākstāvošajām lēmējinstitūcijām). Tā kā ir svarīgi nodrošināt plāna un izpildes informāciju gan par kārtējiem un kapitālajiem izdevumiem, gan arī par veicamajiem transfertiem, tad ir turpināma esošā situācija, kad šādas apropriāciju izmaiņas tiek veiktas ar finanšu ministra rīkojumu, neiesaistot augstākās lēmējinstitūcijas. </w:t>
      </w:r>
    </w:p>
    <w:p w:rsidR="00A746BE" w:rsidRPr="00A746BE" w:rsidRDefault="00A746BE" w:rsidP="00BA3D36">
      <w:pPr>
        <w:pStyle w:val="ListParagraph"/>
        <w:ind w:left="0" w:firstLine="709"/>
        <w:contextualSpacing w:val="0"/>
        <w:jc w:val="both"/>
        <w:rPr>
          <w:rFonts w:cs="Times New Roman"/>
          <w:szCs w:val="24"/>
        </w:rPr>
      </w:pPr>
      <w:r w:rsidRPr="00A746BE">
        <w:t xml:space="preserve">Jāpiebilst, ka valsts budžeta iestādes vairākkārtīgi ir rosinājušas par iespēju budžeta plānošanā nenodalīt kārtējos un kapitālos izdevumus, bet nodrošināt to uzskaiti tikai izpildes stadijā. Atbilstoši ES praksei, t.i, </w:t>
      </w:r>
      <w:r w:rsidRPr="00A746BE">
        <w:rPr>
          <w:i/>
          <w:iCs/>
        </w:rPr>
        <w:t>Eiropas Padomes 2013.gada 21.maija Regulai (EK) Nr.549/2013 par Eiropas nacionālo un reģionālo kontu sistēmu Eiropas Savienībā</w:t>
      </w:r>
      <w:r w:rsidRPr="00A746BE">
        <w:t xml:space="preserve"> ir</w:t>
      </w:r>
      <w:r w:rsidRPr="00A746BE">
        <w:rPr>
          <w:color w:val="1F497D"/>
        </w:rPr>
        <w:t xml:space="preserve"> </w:t>
      </w:r>
      <w:r w:rsidRPr="00A746BE">
        <w:t xml:space="preserve">veidota arī nacionālā budžeta izdevumu klasifikācija, kur kapitālie izdevumi ir atspoguļoti atsevišķi no precēm un pakalpojumiem. Tādējādi tiek nodrošināta iespēja sagatavot valdības finanšu statistiku, lai tā būtu salīdzināma starp valstīm. Minētais sadalījums starp īstermiņa un </w:t>
      </w:r>
      <w:r w:rsidRPr="00A746BE">
        <w:lastRenderedPageBreak/>
        <w:t xml:space="preserve">ilgtermiņa aktīviem nodrošina Eiropas Komisijai nepieciešamo datu salīdzināmību starp </w:t>
      </w:r>
      <w:r w:rsidRPr="00A746BE">
        <w:rPr>
          <w:i/>
          <w:iCs/>
        </w:rPr>
        <w:t>eirozonas</w:t>
      </w:r>
      <w:r w:rsidRPr="00A746BE">
        <w:t xml:space="preserve"> dalībvalstīm un efektīvu fiskālo uzraudzību. Gadskārtējā valsts budžeta likumā katrai budžeta programmai/apakšprogrammai ir atsevišķi izdalīti budžeta rādītāji uzturēšanas izdevumiem (tajā skaitā preces un pakalpojumi) un kapitāliem izdevumiem. Tieši šāds uzturēšanas un kapitālo izdevumu dalījums ir būtisks, jo kapitālo izdevumu klasifikācijas kodus piemēro, īstenojot ilgtermiņa ieguldījumus. Iestādes plāno kapitālos izdevumus konkrētu vidēja un ilgtermiņa projektu īstenošanai. Paredzētā apropriāciju pārdale ir kā iespēja iestāžu vadītājiem nodrošināt elastību budžeta plānošanā un izpildē. Tādējādi priekšlikums par izdevumiem precēm</w:t>
      </w:r>
      <w:r w:rsidR="00AA2491">
        <w:t xml:space="preserve"> un pakalpojumiem,</w:t>
      </w:r>
      <w:r w:rsidRPr="00A746BE">
        <w:t xml:space="preserve"> izdevumiem pamatkapitāla veidošanai apvienošanu plānošanas posmā nav atbalstāms.</w:t>
      </w:r>
    </w:p>
    <w:p w:rsidR="00A746BE" w:rsidRPr="00A746BE" w:rsidRDefault="00A746BE" w:rsidP="008C25BB">
      <w:pPr>
        <w:pStyle w:val="ListParagraph"/>
        <w:numPr>
          <w:ilvl w:val="0"/>
          <w:numId w:val="83"/>
        </w:numPr>
        <w:spacing w:before="120" w:after="120"/>
        <w:contextualSpacing w:val="0"/>
        <w:jc w:val="both"/>
        <w:rPr>
          <w:rFonts w:cs="Times New Roman"/>
          <w:szCs w:val="24"/>
        </w:rPr>
      </w:pPr>
      <w:r w:rsidRPr="00A746BE">
        <w:rPr>
          <w:rFonts w:cs="Times New Roman"/>
          <w:b/>
          <w:bCs/>
          <w:szCs w:val="24"/>
        </w:rPr>
        <w:t>Objektīvi apstākļi izmaiņu nepieciešamībai</w:t>
      </w:r>
      <w:r w:rsidR="00BF445B">
        <w:rPr>
          <w:rFonts w:cs="Times New Roman"/>
          <w:szCs w:val="24"/>
        </w:rPr>
        <w:t>;</w:t>
      </w:r>
      <w:r w:rsidRPr="00A746BE">
        <w:rPr>
          <w:rFonts w:cs="Times New Roman"/>
          <w:szCs w:val="24"/>
        </w:rPr>
        <w:t xml:space="preserve"> </w:t>
      </w:r>
    </w:p>
    <w:p w:rsidR="00A746BE" w:rsidRPr="00A746BE" w:rsidRDefault="00A746BE" w:rsidP="00BA3D36">
      <w:pPr>
        <w:spacing w:before="120"/>
        <w:ind w:firstLine="709"/>
        <w:jc w:val="both"/>
        <w:rPr>
          <w:rFonts w:cs="Times New Roman"/>
          <w:szCs w:val="24"/>
        </w:rPr>
      </w:pPr>
      <w:r w:rsidRPr="00A746BE">
        <w:rPr>
          <w:rFonts w:cs="Times New Roman"/>
          <w:szCs w:val="24"/>
        </w:rPr>
        <w:t>Analizējot izdevumu plāna izmaiņas un attiecīgās izdevumu pozīcijas (pēc ekonomiskās klasifikācijas) izpildes stadiju, tika konstatēti gadījumi, kā, piemēram, apropriācija precēm un pakalpojumiem tikusi palielināta, lai gan uz to brīdi šajā konkrētajā pozīcijā vēl bija pieejami finanšu resursi, taču tie bija ieplānoti citam pasākumam.</w:t>
      </w:r>
    </w:p>
    <w:p w:rsidR="00A746BE" w:rsidRPr="00BF445B" w:rsidRDefault="00A746BE" w:rsidP="00BA3D36">
      <w:pPr>
        <w:pStyle w:val="ListParagraph"/>
        <w:spacing w:after="120"/>
        <w:ind w:left="0" w:firstLine="709"/>
        <w:contextualSpacing w:val="0"/>
        <w:jc w:val="both"/>
        <w:rPr>
          <w:rFonts w:cs="Times New Roman"/>
          <w:szCs w:val="24"/>
        </w:rPr>
      </w:pPr>
      <w:r w:rsidRPr="00A746BE">
        <w:rPr>
          <w:rFonts w:cs="Times New Roman"/>
          <w:szCs w:val="24"/>
        </w:rPr>
        <w:t xml:space="preserve">Jāņem vērā, ka budžeta līdzekļi tiek plānoti ne tikai vadoties pēc izdevumu ekonomiskajām kategorijām, bet vadoties pēc īstenojamiem pasākumiem, to īstenošanas grafika, un ievērojot nepieciešamību attiecībā pret katru no pasākumiem nodrošināt caurspīdīgu budžeta uzskati. Budžeta izpildītāji nav tiesīgi viena pasākuma ieplānotos finanšu līdzekļus izlietot citam. Pieprasot apropriācijas pārdali, budžeta izpildītājs izvērtē situāciju un pasākumu izpildes progresu noteiktajā laika momentā - izmaiņu veikšanas brīdī nav iespējams paredzēt, ka drīz iestāsies kāds cits </w:t>
      </w:r>
      <w:r w:rsidRPr="00BF445B">
        <w:rPr>
          <w:rFonts w:cs="Times New Roman"/>
          <w:szCs w:val="24"/>
        </w:rPr>
        <w:t>notikums, kas pavērsīs naudas plūsmu uz citu pusi.</w:t>
      </w:r>
    </w:p>
    <w:p w:rsidR="00A746BE" w:rsidRPr="00A746BE" w:rsidRDefault="00A746BE" w:rsidP="008C25BB">
      <w:pPr>
        <w:pStyle w:val="ListParagraph"/>
        <w:numPr>
          <w:ilvl w:val="0"/>
          <w:numId w:val="83"/>
        </w:numPr>
        <w:spacing w:before="240" w:after="120"/>
        <w:ind w:left="714" w:hanging="357"/>
        <w:contextualSpacing w:val="0"/>
        <w:jc w:val="both"/>
        <w:rPr>
          <w:rFonts w:cs="Times New Roman"/>
          <w:szCs w:val="24"/>
        </w:rPr>
      </w:pPr>
      <w:r w:rsidRPr="00A746BE">
        <w:rPr>
          <w:rFonts w:cs="Times New Roman"/>
          <w:b/>
          <w:szCs w:val="24"/>
        </w:rPr>
        <w:t>Ar budžeta elastības rīkiem nav iespē</w:t>
      </w:r>
      <w:r w:rsidR="00BF445B">
        <w:rPr>
          <w:rFonts w:cs="Times New Roman"/>
          <w:b/>
          <w:szCs w:val="24"/>
        </w:rPr>
        <w:t>jams pilnībā novērst neizpildes;</w:t>
      </w:r>
      <w:r w:rsidRPr="00A746BE">
        <w:rPr>
          <w:rFonts w:cs="Times New Roman"/>
          <w:b/>
          <w:szCs w:val="24"/>
        </w:rPr>
        <w:t xml:space="preserve"> </w:t>
      </w:r>
    </w:p>
    <w:p w:rsidR="00A746BE" w:rsidRPr="00A746BE" w:rsidRDefault="00A746BE" w:rsidP="00105873">
      <w:pPr>
        <w:spacing w:after="120"/>
        <w:ind w:firstLine="709"/>
        <w:jc w:val="both"/>
        <w:rPr>
          <w:rFonts w:cs="Times New Roman"/>
          <w:szCs w:val="24"/>
        </w:rPr>
      </w:pPr>
      <w:r w:rsidRPr="00A746BE">
        <w:rPr>
          <w:rFonts w:cs="Times New Roman"/>
          <w:szCs w:val="24"/>
        </w:rPr>
        <w:t>Resoriem gada beigās veidojas neiztērētās apropriācijas, tomēr, veicot analīzi par apropriācijas izmaiņām, secinājām, ka izdevumu neizpildes biežākie iemesli pamatā ir šādi:</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iepirkumi noslēgti par mazākām summām nekā plānots;</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iepirkumi netika realizēti;</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faktiskie rēķini mazāki par plānotajiem (lētākas lidojumu biļetes, lētāka telpu rezervācija, kā arī citu faktiski izdevumu atšķirība plānotajiem);</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netika nokomplektētas amata vietas;</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netika saņemti ieplānotie ieņēmumi no maksas pakalpojumiem un citu pašu ieņēmumiem;</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netika apmaksāti rēķini par dažādu materiālo vērtību iegādi, to veiks nākamajā gadā;</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tika mainītas ieplānotās iegādes, kā arī dažas tika atceltas;</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netika īstenotas plānotās aktivitātes, no iestādes neatkarīgu iemeslu dēļ (piemēram, EXPO, pārstāvniecība ANO Ženēvā);</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plānotie darbi (t.sk. projektu realizēšana) no izpildītāju puses netika izpildīti termiņā, finansējums netika izlietots;</w:t>
      </w:r>
    </w:p>
    <w:p w:rsidR="00A746BE" w:rsidRPr="00A746BE" w:rsidRDefault="00A746BE" w:rsidP="008C25BB">
      <w:pPr>
        <w:pStyle w:val="ListParagraph"/>
        <w:numPr>
          <w:ilvl w:val="0"/>
          <w:numId w:val="82"/>
        </w:numPr>
        <w:spacing w:after="60"/>
        <w:ind w:left="0" w:firstLine="567"/>
        <w:contextualSpacing w:val="0"/>
        <w:jc w:val="both"/>
        <w:rPr>
          <w:rFonts w:cs="Times New Roman"/>
          <w:szCs w:val="24"/>
        </w:rPr>
      </w:pPr>
      <w:r w:rsidRPr="00A746BE">
        <w:rPr>
          <w:rFonts w:cs="Times New Roman"/>
          <w:szCs w:val="24"/>
        </w:rPr>
        <w:t>tiesvedības process.</w:t>
      </w:r>
    </w:p>
    <w:p w:rsidR="00A746BE" w:rsidRDefault="00A746BE" w:rsidP="00A746BE">
      <w:pPr>
        <w:spacing w:after="120"/>
        <w:ind w:firstLine="720"/>
        <w:jc w:val="both"/>
      </w:pPr>
      <w:r w:rsidRPr="00A746BE">
        <w:rPr>
          <w:rFonts w:cs="Times New Roman"/>
          <w:szCs w:val="24"/>
        </w:rPr>
        <w:t>Tādējādi budžeta elastības rīku piemērošana ne visos gadījumos var mazināt budžeta neizpildi, jo pastāv objektīvi apstākļi</w:t>
      </w:r>
      <w:r>
        <w:rPr>
          <w:rFonts w:cs="Times New Roman"/>
          <w:szCs w:val="24"/>
        </w:rPr>
        <w:t>.</w:t>
      </w:r>
    </w:p>
    <w:p w:rsidR="00B127E1" w:rsidRPr="0081138D" w:rsidRDefault="00B127E1" w:rsidP="00BA3D36">
      <w:pPr>
        <w:spacing w:after="40"/>
        <w:ind w:firstLine="720"/>
        <w:jc w:val="both"/>
        <w:rPr>
          <w:b/>
        </w:rPr>
      </w:pPr>
      <w:r>
        <w:t xml:space="preserve">Pārskatot apropriāciju izmaiņu sagatavošanas procesu reglamentējošos MK noteikumus Nr.256, Nr.464, Nr.594 un Nr.1644 un tajos iekļautās veidlapas, kā arī iepazīstoties ar ministriju iesniegtajiem priekšlikumiem, FM </w:t>
      </w:r>
      <w:r w:rsidRPr="0081138D">
        <w:rPr>
          <w:b/>
        </w:rPr>
        <w:t xml:space="preserve">galvenie secinājumi ir: </w:t>
      </w:r>
    </w:p>
    <w:p w:rsidR="00B127E1" w:rsidRDefault="00B127E1" w:rsidP="00BA3D36">
      <w:pPr>
        <w:pStyle w:val="ListParagraph"/>
        <w:numPr>
          <w:ilvl w:val="0"/>
          <w:numId w:val="37"/>
        </w:numPr>
        <w:spacing w:after="40"/>
        <w:contextualSpacing w:val="0"/>
        <w:jc w:val="both"/>
      </w:pPr>
      <w:r>
        <w:lastRenderedPageBreak/>
        <w:t>spēkā esošais normatīvais regulējums nosaka atšķirīgas prasības aizpildāmo un iesniedzamo veidlapu struktūrai un saturam;</w:t>
      </w:r>
    </w:p>
    <w:p w:rsidR="00B127E1" w:rsidRDefault="00B127E1" w:rsidP="00BA3D36">
      <w:pPr>
        <w:pStyle w:val="ListParagraph"/>
        <w:numPr>
          <w:ilvl w:val="0"/>
          <w:numId w:val="37"/>
        </w:numPr>
        <w:spacing w:after="40"/>
        <w:contextualSpacing w:val="0"/>
        <w:jc w:val="both"/>
      </w:pPr>
      <w:r>
        <w:t>atsevišķas nor</w:t>
      </w:r>
      <w:r w:rsidR="00F7340A">
        <w:t>matīvā regulējuma prasības ir no</w:t>
      </w:r>
      <w:r>
        <w:t>vecojušas un neatbilst reālai situācijai;</w:t>
      </w:r>
    </w:p>
    <w:p w:rsidR="00B127E1" w:rsidRDefault="00B127E1" w:rsidP="00BA3D36">
      <w:pPr>
        <w:pStyle w:val="ListParagraph"/>
        <w:numPr>
          <w:ilvl w:val="0"/>
          <w:numId w:val="37"/>
        </w:numPr>
        <w:spacing w:after="40"/>
        <w:contextualSpacing w:val="0"/>
        <w:jc w:val="both"/>
      </w:pPr>
      <w:r>
        <w:t>atsevišķiem apropriāciju izmaiņu veidiem MK normatīvais regulējums nav noteikts;</w:t>
      </w:r>
    </w:p>
    <w:p w:rsidR="00B127E1" w:rsidRDefault="00B127E1" w:rsidP="00BA3D36">
      <w:pPr>
        <w:pStyle w:val="ListParagraph"/>
        <w:numPr>
          <w:ilvl w:val="0"/>
          <w:numId w:val="37"/>
        </w:numPr>
        <w:spacing w:after="40"/>
        <w:contextualSpacing w:val="0"/>
        <w:jc w:val="both"/>
      </w:pPr>
      <w:r>
        <w:t>apropriāciju izmaiņu process ir darbietilpīgs:</w:t>
      </w:r>
    </w:p>
    <w:p w:rsidR="00B127E1" w:rsidRPr="00E81B63" w:rsidRDefault="00B127E1" w:rsidP="00BA3D36">
      <w:pPr>
        <w:numPr>
          <w:ilvl w:val="0"/>
          <w:numId w:val="33"/>
        </w:numPr>
        <w:spacing w:after="40"/>
        <w:jc w:val="both"/>
      </w:pPr>
      <w:r w:rsidRPr="006C0940">
        <w:rPr>
          <w:rFonts w:cs="Times New Roman"/>
        </w:rPr>
        <w:t>m</w:t>
      </w:r>
      <w:r w:rsidRPr="006C0940">
        <w:rPr>
          <w:iCs/>
        </w:rPr>
        <w:t xml:space="preserve">inistrijas apropriāciju izmaiņu pieprasījumu skaitlisko informāciju sagatavo un iesniedz Excel formātā, jo šobrīd ministrijām nav iespēja rīkojumu pielikumus ievadīt SAP sistēmā </w:t>
      </w:r>
      <w:r w:rsidRPr="00E81B63">
        <w:rPr>
          <w:iCs/>
        </w:rPr>
        <w:t xml:space="preserve">– </w:t>
      </w:r>
      <w:r w:rsidRPr="00E81B63">
        <w:rPr>
          <w:iCs/>
          <w:u w:val="single"/>
        </w:rPr>
        <w:t xml:space="preserve">nepieciešams paplašināt </w:t>
      </w:r>
      <w:r w:rsidRPr="00E81B63">
        <w:rPr>
          <w:bCs/>
          <w:u w:val="single"/>
        </w:rPr>
        <w:t>SAP sistēmas funkcionalitāti, lai ministrijas apropriāciju izmaiņu pieprasījumu pielikumu skaitlisko informāciju varētu pašas ievadīt SAP portālā</w:t>
      </w:r>
      <w:r w:rsidRPr="00E81B63">
        <w:rPr>
          <w:u w:val="single"/>
        </w:rPr>
        <w:t>;</w:t>
      </w:r>
    </w:p>
    <w:p w:rsidR="00B127E1" w:rsidRPr="002B322F" w:rsidRDefault="00B127E1" w:rsidP="00BA3D36">
      <w:pPr>
        <w:pStyle w:val="ListParagraph"/>
        <w:numPr>
          <w:ilvl w:val="0"/>
          <w:numId w:val="38"/>
        </w:numPr>
        <w:spacing w:after="40"/>
        <w:ind w:left="714" w:hanging="357"/>
        <w:contextualSpacing w:val="0"/>
        <w:jc w:val="both"/>
        <w:rPr>
          <w:iCs/>
        </w:rPr>
      </w:pPr>
      <w:r w:rsidRPr="002B322F">
        <w:rPr>
          <w:iCs/>
        </w:rPr>
        <w:t xml:space="preserve">FM skaitlisko informāciju no </w:t>
      </w:r>
      <w:r w:rsidRPr="002B322F">
        <w:rPr>
          <w:rFonts w:cs="Times New Roman"/>
        </w:rPr>
        <w:t>m</w:t>
      </w:r>
      <w:r w:rsidRPr="002B322F">
        <w:rPr>
          <w:iCs/>
        </w:rPr>
        <w:t xml:space="preserve">inistrijas Excel formātā sagatavotajiem apropriāciju izmaiņu pieprasījumiem rīkojuma pielikumu sagatavošanai atkārtoti ievada SAP sistēmā – </w:t>
      </w:r>
      <w:r w:rsidRPr="002B322F">
        <w:rPr>
          <w:iCs/>
          <w:u w:val="single"/>
        </w:rPr>
        <w:t xml:space="preserve">nepieciešams veikt izmaiņas SAP sistēmas </w:t>
      </w:r>
      <w:r w:rsidRPr="002B322F">
        <w:rPr>
          <w:bCs/>
          <w:u w:val="single"/>
        </w:rPr>
        <w:t>procesu plūsmā</w:t>
      </w:r>
      <w:r w:rsidRPr="002B322F">
        <w:rPr>
          <w:iCs/>
          <w:u w:val="single"/>
        </w:rPr>
        <w:t>, paredzot, ka FM B</w:t>
      </w:r>
      <w:r w:rsidR="00725DED">
        <w:rPr>
          <w:iCs/>
          <w:u w:val="single"/>
        </w:rPr>
        <w:t>udžeta departamenta (turpmāk – B</w:t>
      </w:r>
      <w:r w:rsidRPr="002B322F">
        <w:rPr>
          <w:iCs/>
          <w:u w:val="single"/>
        </w:rPr>
        <w:t>D</w:t>
      </w:r>
      <w:r w:rsidR="00725DED">
        <w:rPr>
          <w:iCs/>
          <w:u w:val="single"/>
        </w:rPr>
        <w:t>)</w:t>
      </w:r>
      <w:r w:rsidRPr="002B322F">
        <w:rPr>
          <w:iCs/>
          <w:u w:val="single"/>
        </w:rPr>
        <w:t xml:space="preserve"> nodaļu kuratori pārbauda un apstiprina ministriju SAP portālā ievadītos datus, bet FM BD Valsts budžeta politi</w:t>
      </w:r>
      <w:r w:rsidR="0000423F">
        <w:rPr>
          <w:iCs/>
          <w:u w:val="single"/>
        </w:rPr>
        <w:t>kas un kopsavilkuma nodaļa FM BD</w:t>
      </w:r>
      <w:r w:rsidRPr="002B322F">
        <w:rPr>
          <w:iCs/>
          <w:u w:val="single"/>
        </w:rPr>
        <w:t xml:space="preserve"> nodaļu kuratoru apstiprināto versiju datus kopē, konsolidē un sagatavo FM rīkojuma pielikumu atskaites;</w:t>
      </w:r>
    </w:p>
    <w:p w:rsidR="00B127E1" w:rsidRPr="002B322F" w:rsidRDefault="00B127E1" w:rsidP="00BA3D36">
      <w:pPr>
        <w:pStyle w:val="ListParagraph"/>
        <w:numPr>
          <w:ilvl w:val="0"/>
          <w:numId w:val="38"/>
        </w:numPr>
        <w:spacing w:after="40"/>
        <w:ind w:left="714" w:hanging="357"/>
        <w:contextualSpacing w:val="0"/>
        <w:jc w:val="both"/>
        <w:rPr>
          <w:iCs/>
          <w:u w:val="single"/>
        </w:rPr>
      </w:pPr>
      <w:r w:rsidRPr="002B322F">
        <w:rPr>
          <w:iCs/>
        </w:rPr>
        <w:t>atsevišķu izmaiņu pieprasījumu pielikumos ministrij</w:t>
      </w:r>
      <w:r>
        <w:rPr>
          <w:iCs/>
        </w:rPr>
        <w:t>as</w:t>
      </w:r>
      <w:r w:rsidRPr="002B322F">
        <w:rPr>
          <w:iCs/>
        </w:rPr>
        <w:t xml:space="preserve"> ievada ar FM rīkojumu sagatavošanu tieši nesaistīt</w:t>
      </w:r>
      <w:r>
        <w:rPr>
          <w:iCs/>
        </w:rPr>
        <w:t>u</w:t>
      </w:r>
      <w:r w:rsidRPr="002B322F">
        <w:rPr>
          <w:iCs/>
        </w:rPr>
        <w:t xml:space="preserve"> informācij</w:t>
      </w:r>
      <w:r>
        <w:rPr>
          <w:iCs/>
        </w:rPr>
        <w:t>u</w:t>
      </w:r>
      <w:r w:rsidRPr="002B322F">
        <w:rPr>
          <w:iCs/>
        </w:rPr>
        <w:t xml:space="preserve"> par iepriekšējo gadu izpildi, kas nekur tādā formātā nav iegūstama un ir manuāli saskaitāms lielums, kā arī par izmaiņām turpmākajos gados</w:t>
      </w:r>
      <w:r>
        <w:rPr>
          <w:iCs/>
        </w:rPr>
        <w:t xml:space="preserve"> – </w:t>
      </w:r>
      <w:r w:rsidRPr="002B322F">
        <w:rPr>
          <w:iCs/>
          <w:u w:val="single"/>
        </w:rPr>
        <w:t>nepieciešams pārskatīt normatīvo regulējumu</w:t>
      </w:r>
      <w:r>
        <w:rPr>
          <w:iCs/>
          <w:u w:val="single"/>
        </w:rPr>
        <w:t>, atsakoties no nelietderīgas informācijas sagatavošanas;</w:t>
      </w:r>
    </w:p>
    <w:p w:rsidR="00B127E1" w:rsidRPr="00E21FCD" w:rsidRDefault="00B127E1" w:rsidP="00BA3D36">
      <w:pPr>
        <w:pStyle w:val="ListParagraph"/>
        <w:numPr>
          <w:ilvl w:val="0"/>
          <w:numId w:val="38"/>
        </w:numPr>
        <w:spacing w:after="40"/>
        <w:ind w:left="714" w:hanging="357"/>
        <w:contextualSpacing w:val="0"/>
        <w:jc w:val="both"/>
        <w:rPr>
          <w:iCs/>
          <w:u w:val="single"/>
        </w:rPr>
      </w:pPr>
      <w:r>
        <w:rPr>
          <w:iCs/>
        </w:rPr>
        <w:t xml:space="preserve">ministrijas </w:t>
      </w:r>
      <w:r>
        <w:t>a</w:t>
      </w:r>
      <w:r w:rsidRPr="00C57127">
        <w:t>propriāciju izmaiņu paskaidrojoš</w:t>
      </w:r>
      <w:r>
        <w:t>o</w:t>
      </w:r>
      <w:r w:rsidRPr="00C57127">
        <w:t xml:space="preserve"> informācij</w:t>
      </w:r>
      <w:r>
        <w:t>u</w:t>
      </w:r>
      <w:r w:rsidRPr="00C57127">
        <w:t xml:space="preserve"> </w:t>
      </w:r>
      <w:r>
        <w:t>sagatavo</w:t>
      </w:r>
      <w:r w:rsidRPr="00C57127">
        <w:t xml:space="preserve"> dažādos formātos un detalizācijas pakāpē</w:t>
      </w:r>
      <w:r>
        <w:t xml:space="preserve"> </w:t>
      </w:r>
      <w:r>
        <w:rPr>
          <w:iCs/>
        </w:rPr>
        <w:t>(</w:t>
      </w:r>
      <w:r w:rsidRPr="00E21FCD">
        <w:rPr>
          <w:iCs/>
        </w:rPr>
        <w:t>gan atbilstoši MK noteikumiem Nr.256, gan brīvā formā un dažādā detalizācijā</w:t>
      </w:r>
      <w:r>
        <w:rPr>
          <w:iCs/>
        </w:rPr>
        <w:t>)</w:t>
      </w:r>
      <w:r w:rsidRPr="00E21FCD">
        <w:rPr>
          <w:iCs/>
        </w:rPr>
        <w:t>, bet FM rīkojuma tekstu sagatavo no jauna, pamatojoties uz iesniegtajiem paskaidrojumiem vai vēstulēs iekļaut</w:t>
      </w:r>
      <w:r w:rsidR="004458DE">
        <w:rPr>
          <w:iCs/>
        </w:rPr>
        <w:t>o informāciju</w:t>
      </w:r>
      <w:r>
        <w:rPr>
          <w:iCs/>
        </w:rPr>
        <w:t xml:space="preserve"> – </w:t>
      </w:r>
      <w:r w:rsidRPr="00E21FCD">
        <w:rPr>
          <w:iCs/>
          <w:u w:val="single"/>
        </w:rPr>
        <w:t xml:space="preserve">nepieciešams izstrādāt vienotas prasības apropriāciju izmaiņu </w:t>
      </w:r>
      <w:r>
        <w:rPr>
          <w:iCs/>
          <w:u w:val="single"/>
        </w:rPr>
        <w:t xml:space="preserve">paskaidrojumiem </w:t>
      </w:r>
      <w:r w:rsidRPr="00E21FCD">
        <w:rPr>
          <w:iCs/>
          <w:u w:val="single"/>
        </w:rPr>
        <w:t>visiem izmaiņu veidiem</w:t>
      </w:r>
      <w:r>
        <w:rPr>
          <w:iCs/>
          <w:u w:val="single"/>
        </w:rPr>
        <w:t>, lai tos nepārveidotus varētu izmantot</w:t>
      </w:r>
      <w:r w:rsidRPr="0011557F">
        <w:rPr>
          <w:iCs/>
          <w:u w:val="single"/>
        </w:rPr>
        <w:t xml:space="preserve"> </w:t>
      </w:r>
      <w:r w:rsidRPr="00E21FCD">
        <w:rPr>
          <w:iCs/>
          <w:u w:val="single"/>
        </w:rPr>
        <w:t>rīkojumu teksta daļa</w:t>
      </w:r>
      <w:r>
        <w:rPr>
          <w:iCs/>
          <w:u w:val="single"/>
        </w:rPr>
        <w:t>s sagatavošanai</w:t>
      </w:r>
      <w:r w:rsidRPr="00E21FCD">
        <w:rPr>
          <w:iCs/>
          <w:u w:val="single"/>
        </w:rPr>
        <w:t>;</w:t>
      </w:r>
    </w:p>
    <w:p w:rsidR="00B127E1" w:rsidRDefault="00B127E1" w:rsidP="00BA3D36">
      <w:pPr>
        <w:pStyle w:val="ListParagraph"/>
        <w:numPr>
          <w:ilvl w:val="0"/>
          <w:numId w:val="37"/>
        </w:numPr>
        <w:spacing w:after="40"/>
        <w:contextualSpacing w:val="0"/>
        <w:jc w:val="both"/>
      </w:pPr>
      <w:r>
        <w:t>p</w:t>
      </w:r>
      <w:r w:rsidRPr="00C57127">
        <w:t>ārāk bieža apropriāciju i</w:t>
      </w:r>
      <w:r>
        <w:t xml:space="preserve">zmaiņu pieprasījumu iesniegšana </w:t>
      </w:r>
      <w:r w:rsidRPr="00E20DDE">
        <w:rPr>
          <w:rFonts w:cs="Times New Roman"/>
        </w:rPr>
        <w:t>– v</w:t>
      </w:r>
      <w:r w:rsidRPr="00E20DDE">
        <w:rPr>
          <w:iCs/>
        </w:rPr>
        <w:t>airākiem apropriāciju izmaiņu veidiem nav reglamentēts pieprasījumu iesniegšanas termiņš vai biežums, atsevišķiem apropriāciju izmaiņu veidiem noteikto pieprasījumu iesniegšanas termiņu iespējams interpretēt dažādi (atbilstoši MK noteikumiem Nr.256 iesniedz pieprasījumu piecas reizes gadā – līdz 1.martam, 1.maijam, 1.jūlijam, 1.septembrim, 15.novembrim).</w:t>
      </w:r>
    </w:p>
    <w:p w:rsidR="00B127E1" w:rsidRDefault="00B127E1" w:rsidP="004458DE">
      <w:pPr>
        <w:spacing w:before="240"/>
        <w:jc w:val="right"/>
        <w:rPr>
          <w:rFonts w:cs="Times New Roman"/>
        </w:rPr>
      </w:pPr>
      <w:r w:rsidRPr="003874D9">
        <w:rPr>
          <w:rFonts w:cs="Times New Roman"/>
        </w:rPr>
        <w:t>Tabula Nr.</w:t>
      </w:r>
      <w:r w:rsidR="003874D9" w:rsidRPr="003874D9">
        <w:rPr>
          <w:rFonts w:cs="Times New Roman"/>
        </w:rPr>
        <w:t>2.3</w:t>
      </w:r>
      <w:r w:rsidR="008B457B">
        <w:rPr>
          <w:rFonts w:cs="Times New Roman"/>
        </w:rPr>
        <w:t>.</w:t>
      </w:r>
    </w:p>
    <w:p w:rsidR="00B127E1" w:rsidRPr="0085598F" w:rsidRDefault="00B127E1" w:rsidP="00B127E1">
      <w:pPr>
        <w:jc w:val="center"/>
        <w:rPr>
          <w:rFonts w:cs="Times New Roman"/>
          <w:sz w:val="10"/>
        </w:rPr>
      </w:pPr>
    </w:p>
    <w:p w:rsidR="00B127E1" w:rsidRPr="0081138D" w:rsidRDefault="00B127E1" w:rsidP="00B22F97">
      <w:pPr>
        <w:spacing w:after="120"/>
        <w:jc w:val="center"/>
        <w:rPr>
          <w:b/>
        </w:rPr>
      </w:pPr>
      <w:r w:rsidRPr="0081138D">
        <w:rPr>
          <w:b/>
        </w:rPr>
        <w:t>Priekšlikumi turpmākai rīcībai</w:t>
      </w:r>
    </w:p>
    <w:tbl>
      <w:tblPr>
        <w:tblStyle w:val="TableGrid"/>
        <w:tblW w:w="5000" w:type="pct"/>
        <w:tblLook w:val="04A0" w:firstRow="1" w:lastRow="0" w:firstColumn="1" w:lastColumn="0" w:noHBand="0" w:noVBand="1"/>
      </w:tblPr>
      <w:tblGrid>
        <w:gridCol w:w="883"/>
        <w:gridCol w:w="5591"/>
        <w:gridCol w:w="2587"/>
      </w:tblGrid>
      <w:tr w:rsidR="00B127E1" w:rsidRPr="00B22F97" w:rsidTr="005210D4">
        <w:trPr>
          <w:tblHeader/>
        </w:trPr>
        <w:tc>
          <w:tcPr>
            <w:tcW w:w="472" w:type="pct"/>
            <w:shd w:val="clear" w:color="auto" w:fill="C5E0B3" w:themeFill="accent6" w:themeFillTint="66"/>
          </w:tcPr>
          <w:p w:rsidR="00B127E1" w:rsidRPr="00B22F97" w:rsidRDefault="00B127E1" w:rsidP="00E544F3">
            <w:pPr>
              <w:jc w:val="right"/>
              <w:rPr>
                <w:rFonts w:cs="Times New Roman"/>
                <w:b/>
                <w:sz w:val="22"/>
              </w:rPr>
            </w:pPr>
            <w:r w:rsidRPr="00B22F97">
              <w:rPr>
                <w:rFonts w:cs="Times New Roman"/>
                <w:b/>
                <w:sz w:val="22"/>
              </w:rPr>
              <w:t>Nr.p.k.</w:t>
            </w:r>
          </w:p>
        </w:tc>
        <w:tc>
          <w:tcPr>
            <w:tcW w:w="3093" w:type="pct"/>
            <w:shd w:val="clear" w:color="auto" w:fill="C5E0B3" w:themeFill="accent6" w:themeFillTint="66"/>
          </w:tcPr>
          <w:p w:rsidR="00B127E1" w:rsidRPr="00B22F97" w:rsidRDefault="00B127E1" w:rsidP="00E544F3">
            <w:pPr>
              <w:jc w:val="center"/>
              <w:rPr>
                <w:rFonts w:cs="Times New Roman"/>
                <w:b/>
                <w:sz w:val="22"/>
              </w:rPr>
            </w:pPr>
            <w:r w:rsidRPr="00B22F97">
              <w:rPr>
                <w:rFonts w:cs="Times New Roman"/>
                <w:b/>
                <w:sz w:val="22"/>
              </w:rPr>
              <w:t>Pasākums</w:t>
            </w:r>
          </w:p>
        </w:tc>
        <w:tc>
          <w:tcPr>
            <w:tcW w:w="1435" w:type="pct"/>
            <w:shd w:val="clear" w:color="auto" w:fill="C5E0B3" w:themeFill="accent6" w:themeFillTint="66"/>
          </w:tcPr>
          <w:p w:rsidR="00B127E1" w:rsidRPr="00B22F97" w:rsidRDefault="00B127E1" w:rsidP="00E544F3">
            <w:pPr>
              <w:jc w:val="center"/>
              <w:rPr>
                <w:rFonts w:cs="Times New Roman"/>
                <w:b/>
                <w:sz w:val="22"/>
              </w:rPr>
            </w:pPr>
            <w:r w:rsidRPr="00B22F97">
              <w:rPr>
                <w:rFonts w:cs="Times New Roman"/>
                <w:b/>
                <w:sz w:val="22"/>
              </w:rPr>
              <w:t>Ieviešanas gala termiņš</w:t>
            </w:r>
          </w:p>
        </w:tc>
      </w:tr>
      <w:tr w:rsidR="00B127E1" w:rsidRPr="00B22F97" w:rsidTr="00BF445B">
        <w:trPr>
          <w:trHeight w:val="1191"/>
        </w:trPr>
        <w:tc>
          <w:tcPr>
            <w:tcW w:w="472" w:type="pct"/>
            <w:shd w:val="clear" w:color="auto" w:fill="auto"/>
            <w:vAlign w:val="center"/>
          </w:tcPr>
          <w:p w:rsidR="00B127E1" w:rsidRPr="004458DE" w:rsidRDefault="00B127E1" w:rsidP="00E544F3">
            <w:pPr>
              <w:jc w:val="center"/>
              <w:rPr>
                <w:rFonts w:cs="Times New Roman"/>
                <w:sz w:val="22"/>
              </w:rPr>
            </w:pPr>
            <w:r w:rsidRPr="004458DE">
              <w:rPr>
                <w:rFonts w:cs="Times New Roman"/>
                <w:sz w:val="22"/>
              </w:rPr>
              <w:t>1.</w:t>
            </w:r>
          </w:p>
        </w:tc>
        <w:tc>
          <w:tcPr>
            <w:tcW w:w="3093" w:type="pct"/>
            <w:vAlign w:val="center"/>
          </w:tcPr>
          <w:p w:rsidR="00B127E1" w:rsidRPr="00B22F97" w:rsidRDefault="00B127E1" w:rsidP="00F7340A">
            <w:pPr>
              <w:jc w:val="both"/>
              <w:rPr>
                <w:rFonts w:cs="Times New Roman"/>
                <w:sz w:val="22"/>
              </w:rPr>
            </w:pPr>
            <w:r w:rsidRPr="00B22F97">
              <w:rPr>
                <w:bCs/>
                <w:sz w:val="22"/>
              </w:rPr>
              <w:t xml:space="preserve">Pārskatīt MK noteikumus Nr.256, Nr.464, Nr.594 un Nr.1644., izveidojot vienotu normatīvo regulējumu visu veidu apropriāciju izmaiņu veikšanai, </w:t>
            </w:r>
            <w:r w:rsidRPr="00B22F97">
              <w:rPr>
                <w:sz w:val="22"/>
              </w:rPr>
              <w:t>optimizējot un pilnveidojot iesniedzamo informāciju</w:t>
            </w:r>
          </w:p>
        </w:tc>
        <w:tc>
          <w:tcPr>
            <w:tcW w:w="1435" w:type="pct"/>
            <w:vAlign w:val="center"/>
          </w:tcPr>
          <w:p w:rsidR="00B127E1" w:rsidRPr="00B22F97" w:rsidRDefault="00B127E1" w:rsidP="00BA4D8A">
            <w:pPr>
              <w:jc w:val="center"/>
              <w:rPr>
                <w:rFonts w:cs="Times New Roman"/>
                <w:sz w:val="22"/>
              </w:rPr>
            </w:pPr>
            <w:r w:rsidRPr="00B22F97">
              <w:rPr>
                <w:rFonts w:cs="Times New Roman"/>
                <w:sz w:val="22"/>
              </w:rPr>
              <w:t>201</w:t>
            </w:r>
            <w:r w:rsidR="00BA4D8A">
              <w:rPr>
                <w:rFonts w:cs="Times New Roman"/>
                <w:sz w:val="22"/>
              </w:rPr>
              <w:t>8</w:t>
            </w:r>
            <w:r w:rsidRPr="00B22F97">
              <w:rPr>
                <w:rFonts w:cs="Times New Roman"/>
                <w:sz w:val="22"/>
              </w:rPr>
              <w:t xml:space="preserve">.gada </w:t>
            </w:r>
            <w:r w:rsidR="00BA4D8A">
              <w:rPr>
                <w:rFonts w:cs="Times New Roman"/>
                <w:sz w:val="22"/>
              </w:rPr>
              <w:t>1.jūnijs</w:t>
            </w:r>
          </w:p>
        </w:tc>
      </w:tr>
      <w:tr w:rsidR="00B127E1" w:rsidRPr="00B22F97" w:rsidTr="00BF445B">
        <w:trPr>
          <w:trHeight w:val="1191"/>
        </w:trPr>
        <w:tc>
          <w:tcPr>
            <w:tcW w:w="472" w:type="pct"/>
            <w:shd w:val="clear" w:color="auto" w:fill="auto"/>
            <w:vAlign w:val="center"/>
          </w:tcPr>
          <w:p w:rsidR="00B127E1" w:rsidRPr="004458DE" w:rsidRDefault="00B127E1" w:rsidP="00E544F3">
            <w:pPr>
              <w:jc w:val="center"/>
              <w:rPr>
                <w:rFonts w:cs="Times New Roman"/>
                <w:sz w:val="22"/>
              </w:rPr>
            </w:pPr>
            <w:r w:rsidRPr="004458DE">
              <w:rPr>
                <w:rFonts w:cs="Times New Roman"/>
                <w:sz w:val="22"/>
              </w:rPr>
              <w:t>2.</w:t>
            </w:r>
          </w:p>
        </w:tc>
        <w:tc>
          <w:tcPr>
            <w:tcW w:w="3093" w:type="pct"/>
            <w:vAlign w:val="center"/>
          </w:tcPr>
          <w:p w:rsidR="00B127E1" w:rsidRPr="00B22F97" w:rsidRDefault="00B127E1" w:rsidP="00E544F3">
            <w:pPr>
              <w:jc w:val="both"/>
              <w:rPr>
                <w:rFonts w:cs="Times New Roman"/>
                <w:sz w:val="22"/>
              </w:rPr>
            </w:pPr>
            <w:r w:rsidRPr="00B22F97">
              <w:rPr>
                <w:rFonts w:cs="Times New Roman"/>
                <w:sz w:val="22"/>
              </w:rPr>
              <w:t>Apropriāciju izmaiņu pieprasījuma gadskārtējā valsts budžeta likuma pielikumā “Valsts pamatbudžeta ieņēmumu un izdevumu atšifrējums pa programmām un apakšprogrammām” ievadi SAP portālā nodrošināt ministriju līmenī</w:t>
            </w:r>
          </w:p>
        </w:tc>
        <w:tc>
          <w:tcPr>
            <w:tcW w:w="1435" w:type="pct"/>
            <w:vAlign w:val="center"/>
          </w:tcPr>
          <w:p w:rsidR="00B127E1" w:rsidRPr="00B22F97" w:rsidRDefault="00B127E1" w:rsidP="00E544F3">
            <w:pPr>
              <w:jc w:val="center"/>
              <w:rPr>
                <w:rFonts w:cs="Times New Roman"/>
                <w:sz w:val="22"/>
              </w:rPr>
            </w:pPr>
            <w:r w:rsidRPr="00B22F97">
              <w:rPr>
                <w:rFonts w:cs="Times New Roman"/>
                <w:sz w:val="22"/>
              </w:rPr>
              <w:t>2018.gada 1.janvāris</w:t>
            </w:r>
          </w:p>
        </w:tc>
      </w:tr>
      <w:tr w:rsidR="00B127E1" w:rsidRPr="00B22F97" w:rsidTr="00BF445B">
        <w:trPr>
          <w:trHeight w:val="1191"/>
        </w:trPr>
        <w:tc>
          <w:tcPr>
            <w:tcW w:w="472" w:type="pct"/>
            <w:shd w:val="clear" w:color="auto" w:fill="auto"/>
            <w:vAlign w:val="center"/>
          </w:tcPr>
          <w:p w:rsidR="00B127E1" w:rsidRPr="004458DE" w:rsidRDefault="00B127E1" w:rsidP="00E544F3">
            <w:pPr>
              <w:jc w:val="center"/>
              <w:rPr>
                <w:rFonts w:cs="Times New Roman"/>
                <w:sz w:val="22"/>
              </w:rPr>
            </w:pPr>
            <w:r w:rsidRPr="004458DE">
              <w:rPr>
                <w:rFonts w:cs="Times New Roman"/>
                <w:sz w:val="22"/>
              </w:rPr>
              <w:lastRenderedPageBreak/>
              <w:t>3.</w:t>
            </w:r>
          </w:p>
        </w:tc>
        <w:tc>
          <w:tcPr>
            <w:tcW w:w="3093" w:type="pct"/>
            <w:vAlign w:val="center"/>
          </w:tcPr>
          <w:p w:rsidR="00B127E1" w:rsidRPr="00B22F97" w:rsidRDefault="00B127E1" w:rsidP="004458DE">
            <w:pPr>
              <w:jc w:val="both"/>
              <w:rPr>
                <w:rFonts w:cs="Times New Roman"/>
                <w:sz w:val="22"/>
              </w:rPr>
            </w:pPr>
            <w:r w:rsidRPr="00B22F97">
              <w:rPr>
                <w:rFonts w:cs="Times New Roman"/>
                <w:sz w:val="22"/>
              </w:rPr>
              <w:t>Apropriāciju izmaiņu pieprasījuma gadskārtējā valsts budžeta likuma pielikumā “Valsts speciālā budžeta ieņēmumu un izdevumu atšifrējums pa programmām un apakšprogrammām” ievadi SAP portālā nodrošināt ministriju līmenī</w:t>
            </w:r>
          </w:p>
        </w:tc>
        <w:tc>
          <w:tcPr>
            <w:tcW w:w="1435" w:type="pct"/>
            <w:vAlign w:val="center"/>
          </w:tcPr>
          <w:p w:rsidR="00B127E1" w:rsidRPr="00B22F97" w:rsidRDefault="00B127E1" w:rsidP="00E544F3">
            <w:pPr>
              <w:jc w:val="center"/>
              <w:rPr>
                <w:rFonts w:cs="Times New Roman"/>
                <w:sz w:val="22"/>
              </w:rPr>
            </w:pPr>
            <w:r w:rsidRPr="00B22F97">
              <w:rPr>
                <w:rFonts w:cs="Times New Roman"/>
                <w:sz w:val="22"/>
              </w:rPr>
              <w:t>2018.gada 1.janvāris</w:t>
            </w:r>
          </w:p>
        </w:tc>
      </w:tr>
      <w:tr w:rsidR="00B127E1" w:rsidRPr="00B22F97" w:rsidTr="00BF445B">
        <w:trPr>
          <w:trHeight w:val="1191"/>
        </w:trPr>
        <w:tc>
          <w:tcPr>
            <w:tcW w:w="472" w:type="pct"/>
            <w:shd w:val="clear" w:color="auto" w:fill="auto"/>
            <w:vAlign w:val="center"/>
          </w:tcPr>
          <w:p w:rsidR="00B127E1" w:rsidRPr="004458DE" w:rsidRDefault="00B127E1" w:rsidP="00E544F3">
            <w:pPr>
              <w:jc w:val="center"/>
              <w:rPr>
                <w:rFonts w:cs="Times New Roman"/>
                <w:sz w:val="22"/>
              </w:rPr>
            </w:pPr>
            <w:r w:rsidRPr="004458DE">
              <w:rPr>
                <w:rFonts w:cs="Times New Roman"/>
                <w:sz w:val="22"/>
              </w:rPr>
              <w:t>4.</w:t>
            </w:r>
          </w:p>
        </w:tc>
        <w:tc>
          <w:tcPr>
            <w:tcW w:w="3093" w:type="pct"/>
            <w:vAlign w:val="center"/>
          </w:tcPr>
          <w:p w:rsidR="00B127E1" w:rsidRPr="00B22F97" w:rsidRDefault="00B127E1" w:rsidP="00E544F3">
            <w:pPr>
              <w:jc w:val="both"/>
              <w:rPr>
                <w:rFonts w:cs="Times New Roman"/>
                <w:sz w:val="22"/>
              </w:rPr>
            </w:pPr>
            <w:r w:rsidRPr="00B22F97">
              <w:rPr>
                <w:rFonts w:cs="Times New Roman"/>
                <w:sz w:val="22"/>
              </w:rPr>
              <w:t>Apropriāciju izmaiņu pieprasījuma gadskārtējā valsts budžeta likuma pielikumā “Valsts budžeta ilgtermiņa saistību maksimāli pieļ</w:t>
            </w:r>
            <w:r w:rsidR="004458DE">
              <w:rPr>
                <w:rFonts w:cs="Times New Roman"/>
                <w:sz w:val="22"/>
              </w:rPr>
              <w:t>aujamais apjoms” (pamatbudžets/</w:t>
            </w:r>
            <w:r w:rsidRPr="00B22F97">
              <w:rPr>
                <w:rFonts w:cs="Times New Roman"/>
                <w:sz w:val="22"/>
              </w:rPr>
              <w:t xml:space="preserve">speciālais budžets) ievadi SAP portālā nodrošināt ministriju līmenī </w:t>
            </w:r>
          </w:p>
        </w:tc>
        <w:tc>
          <w:tcPr>
            <w:tcW w:w="1435" w:type="pct"/>
            <w:vAlign w:val="center"/>
          </w:tcPr>
          <w:p w:rsidR="00B127E1" w:rsidRPr="00B22F97" w:rsidRDefault="00B127E1" w:rsidP="00E544F3">
            <w:pPr>
              <w:jc w:val="center"/>
              <w:rPr>
                <w:rFonts w:cs="Times New Roman"/>
                <w:sz w:val="22"/>
              </w:rPr>
            </w:pPr>
            <w:r w:rsidRPr="00B22F97">
              <w:rPr>
                <w:rFonts w:cs="Times New Roman"/>
                <w:sz w:val="22"/>
              </w:rPr>
              <w:t>2018.gada 1.janvāris</w:t>
            </w:r>
          </w:p>
        </w:tc>
      </w:tr>
    </w:tbl>
    <w:p w:rsidR="00BA4D8A" w:rsidRPr="004209E7" w:rsidRDefault="00BA4D8A" w:rsidP="00BA3D36">
      <w:pPr>
        <w:spacing w:before="120"/>
        <w:ind w:firstLine="720"/>
        <w:jc w:val="both"/>
        <w:rPr>
          <w:szCs w:val="24"/>
        </w:rPr>
      </w:pPr>
      <w:r w:rsidRPr="004209E7">
        <w:rPr>
          <w:szCs w:val="24"/>
        </w:rPr>
        <w:t>Izstrādājot vienotas prasības apropriāciju izmaiņu pieprasījumiem, kā arī paplašinot SAP sistēmas funkcionalitāti, lai ministrijas apropriāciju izmaiņu pieprasījumu pielikumu skaitlisko informāciju varētu pašas ievadīt SAP portālā, tiks mazināts administratīvais slogs ministrijām, kā rezultātā būs iespēja pārvirzīt esošos resursus analītiskajam darbam</w:t>
      </w:r>
      <w:r w:rsidR="003874D9" w:rsidRPr="004209E7">
        <w:rPr>
          <w:szCs w:val="24"/>
        </w:rPr>
        <w:t xml:space="preserve"> (skat. tabulu Nr.2.3</w:t>
      </w:r>
      <w:r w:rsidR="008B457B">
        <w:rPr>
          <w:szCs w:val="24"/>
        </w:rPr>
        <w:t>.</w:t>
      </w:r>
      <w:r w:rsidR="003874D9" w:rsidRPr="004209E7">
        <w:rPr>
          <w:szCs w:val="24"/>
        </w:rPr>
        <w:t>)</w:t>
      </w:r>
      <w:r w:rsidRPr="004209E7">
        <w:rPr>
          <w:szCs w:val="24"/>
        </w:rPr>
        <w:t>.</w:t>
      </w:r>
    </w:p>
    <w:p w:rsidR="00BA4D8A" w:rsidRPr="004209E7" w:rsidRDefault="00BA4D8A" w:rsidP="00BA3D36">
      <w:pPr>
        <w:ind w:firstLine="720"/>
        <w:jc w:val="both"/>
        <w:rPr>
          <w:szCs w:val="24"/>
        </w:rPr>
      </w:pPr>
      <w:r w:rsidRPr="004209E7">
        <w:rPr>
          <w:szCs w:val="24"/>
        </w:rPr>
        <w:t>FM pamatojoties uz provizoriskajām aplēsēm un ekspertu novērtējumu, veica iespējamā ietaupījuma aprēķinu katrā ministrijā.</w:t>
      </w:r>
    </w:p>
    <w:p w:rsidR="00BF445B" w:rsidRPr="005459D6" w:rsidRDefault="00BA4D8A" w:rsidP="00BA3D36">
      <w:pPr>
        <w:ind w:firstLine="720"/>
        <w:jc w:val="both"/>
        <w:rPr>
          <w:szCs w:val="24"/>
        </w:rPr>
      </w:pPr>
      <w:r w:rsidRPr="004209E7">
        <w:rPr>
          <w:szCs w:val="24"/>
        </w:rPr>
        <w:t xml:space="preserve">Kopējais ietaupījums </w:t>
      </w:r>
      <w:r w:rsidRPr="004209E7">
        <w:rPr>
          <w:i/>
          <w:szCs w:val="24"/>
        </w:rPr>
        <w:t>euro</w:t>
      </w:r>
      <w:r w:rsidRPr="004209E7">
        <w:rPr>
          <w:szCs w:val="24"/>
        </w:rPr>
        <w:t xml:space="preserve"> izteiksmē aprēķināts par pamatu ņemot ministrijas padotībā esošās budžeta iestādes</w:t>
      </w:r>
      <w:r w:rsidRPr="004209E7">
        <w:rPr>
          <w:rStyle w:val="FootnoteReference"/>
          <w:szCs w:val="24"/>
        </w:rPr>
        <w:footnoteReference w:id="8"/>
      </w:r>
      <w:r w:rsidRPr="004209E7">
        <w:rPr>
          <w:szCs w:val="24"/>
        </w:rPr>
        <w:t xml:space="preserve"> un citas iestādes, ministriju budžeta programmu/apakšprogrammu skaitu, gada laikā ve</w:t>
      </w:r>
      <w:r w:rsidR="004209E7" w:rsidRPr="004209E7">
        <w:rPr>
          <w:szCs w:val="24"/>
        </w:rPr>
        <w:t>ikto izmaiņu skaitu programmās/</w:t>
      </w:r>
      <w:r w:rsidRPr="004209E7">
        <w:rPr>
          <w:szCs w:val="24"/>
        </w:rPr>
        <w:t xml:space="preserve">apakšprogrammās visiem apropriāciju izmaiņu veidiem, kā arī FM </w:t>
      </w:r>
      <w:r w:rsidR="004209E7" w:rsidRPr="004209E7">
        <w:rPr>
          <w:szCs w:val="24"/>
        </w:rPr>
        <w:t>BD</w:t>
      </w:r>
      <w:r w:rsidRPr="004209E7">
        <w:rPr>
          <w:szCs w:val="24"/>
        </w:rPr>
        <w:t xml:space="preserve"> ieguldītās cilvēkstundas apropriāciju izmaiņu pieprasījumu izvērtēšanā un rīkojumu sagatavošanā. Kopējās izmaksas aprēķinātas pamatojoties uz CSP datiem par vienas stundas darbaspēka izmaksām valsts pārvaldē 2016.gada 4.ceturksnī</w:t>
      </w:r>
      <w:r w:rsidRPr="004209E7">
        <w:rPr>
          <w:rStyle w:val="FootnoteReference"/>
          <w:szCs w:val="24"/>
        </w:rPr>
        <w:footnoteReference w:id="9"/>
      </w:r>
      <w:r w:rsidRPr="004209E7">
        <w:rPr>
          <w:szCs w:val="24"/>
        </w:rPr>
        <w:t xml:space="preserve"> (9,58</w:t>
      </w:r>
      <w:r w:rsidR="004209E7" w:rsidRPr="004209E7">
        <w:rPr>
          <w:szCs w:val="24"/>
        </w:rPr>
        <w:t> </w:t>
      </w:r>
      <w:r w:rsidRPr="004209E7">
        <w:rPr>
          <w:i/>
          <w:szCs w:val="24"/>
        </w:rPr>
        <w:t>euro</w:t>
      </w:r>
      <w:r w:rsidRPr="004209E7">
        <w:rPr>
          <w:szCs w:val="24"/>
        </w:rPr>
        <w:t xml:space="preserve"> par vienu cilvēkstundu</w:t>
      </w:r>
      <w:r w:rsidR="004209E7">
        <w:rPr>
          <w:szCs w:val="24"/>
        </w:rPr>
        <w:t>) (skat. tabulu Nr.2.4</w:t>
      </w:r>
      <w:r w:rsidR="008B457B">
        <w:rPr>
          <w:szCs w:val="24"/>
        </w:rPr>
        <w:t>.</w:t>
      </w:r>
      <w:r w:rsidR="004209E7">
        <w:rPr>
          <w:szCs w:val="24"/>
        </w:rPr>
        <w:t>).</w:t>
      </w:r>
    </w:p>
    <w:p w:rsidR="00BA4D8A" w:rsidRDefault="00BA4D8A" w:rsidP="005459D6">
      <w:pPr>
        <w:spacing w:before="120" w:after="120"/>
        <w:jc w:val="right"/>
        <w:rPr>
          <w:szCs w:val="24"/>
        </w:rPr>
      </w:pPr>
      <w:r w:rsidRPr="004209E7">
        <w:rPr>
          <w:szCs w:val="24"/>
        </w:rPr>
        <w:t>Tabula Nr.</w:t>
      </w:r>
      <w:r w:rsidR="004209E7" w:rsidRPr="004209E7">
        <w:rPr>
          <w:szCs w:val="24"/>
        </w:rPr>
        <w:t>2.4</w:t>
      </w:r>
      <w:r w:rsidR="008B457B">
        <w:rPr>
          <w:szCs w:val="24"/>
        </w:rPr>
        <w:t>.</w:t>
      </w:r>
    </w:p>
    <w:p w:rsidR="00BA4D8A" w:rsidRPr="00BA4D8A" w:rsidRDefault="00BA4D8A" w:rsidP="00BA4D8A">
      <w:pPr>
        <w:spacing w:before="120" w:after="120"/>
        <w:jc w:val="center"/>
        <w:rPr>
          <w:b/>
          <w:szCs w:val="24"/>
        </w:rPr>
      </w:pPr>
      <w:r w:rsidRPr="00BA4D8A">
        <w:rPr>
          <w:b/>
          <w:szCs w:val="24"/>
        </w:rPr>
        <w:t>Provizorisks aprēķins ietaupījumam veicot grozījumus MK noteikumos Nr.256, Nr.464, Nr.594, Nr.1644 –</w:t>
      </w:r>
      <w:r w:rsidR="00821367">
        <w:rPr>
          <w:b/>
          <w:szCs w:val="24"/>
        </w:rPr>
        <w:t>novērtējums</w:t>
      </w:r>
      <w:r w:rsidRPr="00BA4D8A">
        <w:rPr>
          <w:b/>
          <w:szCs w:val="24"/>
        </w:rPr>
        <w:t>-10%</w:t>
      </w:r>
    </w:p>
    <w:tbl>
      <w:tblPr>
        <w:tblW w:w="9307" w:type="dxa"/>
        <w:tblLook w:val="04A0" w:firstRow="1" w:lastRow="0" w:firstColumn="1" w:lastColumn="0" w:noHBand="0" w:noVBand="1"/>
      </w:tblPr>
      <w:tblGrid>
        <w:gridCol w:w="1271"/>
        <w:gridCol w:w="4253"/>
        <w:gridCol w:w="3783"/>
      </w:tblGrid>
      <w:tr w:rsidR="00BA4D8A" w:rsidRPr="00105873" w:rsidTr="00105873">
        <w:trPr>
          <w:trHeight w:val="20"/>
          <w:tblHeader/>
        </w:trPr>
        <w:tc>
          <w:tcPr>
            <w:tcW w:w="1271"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BA4D8A" w:rsidRPr="00105873" w:rsidRDefault="00BA4D8A" w:rsidP="00BA4D8A">
            <w:pPr>
              <w:jc w:val="center"/>
              <w:rPr>
                <w:rFonts w:eastAsia="Times New Roman" w:cs="Times New Roman"/>
                <w:b/>
                <w:bCs/>
                <w:color w:val="000000"/>
                <w:sz w:val="22"/>
                <w:lang w:eastAsia="lv-LV"/>
              </w:rPr>
            </w:pPr>
            <w:r w:rsidRPr="00105873">
              <w:rPr>
                <w:rFonts w:eastAsia="Times New Roman" w:cs="Times New Roman"/>
                <w:b/>
                <w:bCs/>
                <w:color w:val="000000"/>
                <w:sz w:val="22"/>
                <w:lang w:eastAsia="lv-LV"/>
              </w:rPr>
              <w:t>Nr. p. k.</w:t>
            </w:r>
          </w:p>
        </w:tc>
        <w:tc>
          <w:tcPr>
            <w:tcW w:w="425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BA4D8A" w:rsidRPr="00105873" w:rsidRDefault="00BA4D8A" w:rsidP="00BA4D8A">
            <w:pPr>
              <w:jc w:val="center"/>
              <w:rPr>
                <w:rFonts w:eastAsia="Times New Roman" w:cs="Times New Roman"/>
                <w:b/>
                <w:bCs/>
                <w:color w:val="000000"/>
                <w:sz w:val="22"/>
                <w:lang w:eastAsia="lv-LV"/>
              </w:rPr>
            </w:pPr>
            <w:r w:rsidRPr="00105873">
              <w:rPr>
                <w:rFonts w:eastAsia="Times New Roman" w:cs="Times New Roman"/>
                <w:b/>
                <w:bCs/>
                <w:color w:val="000000"/>
                <w:sz w:val="22"/>
                <w:lang w:eastAsia="lv-LV"/>
              </w:rPr>
              <w:t>Ministrija</w:t>
            </w:r>
          </w:p>
        </w:tc>
        <w:tc>
          <w:tcPr>
            <w:tcW w:w="3783"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BA4D8A" w:rsidRPr="00105873" w:rsidRDefault="00BA4D8A" w:rsidP="00BA4D8A">
            <w:pPr>
              <w:jc w:val="center"/>
              <w:rPr>
                <w:rFonts w:eastAsia="Times New Roman" w:cs="Times New Roman"/>
                <w:b/>
                <w:bCs/>
                <w:color w:val="000000"/>
                <w:sz w:val="22"/>
                <w:lang w:eastAsia="lv-LV"/>
              </w:rPr>
            </w:pPr>
            <w:r w:rsidRPr="00105873">
              <w:rPr>
                <w:rFonts w:eastAsia="Times New Roman" w:cs="Times New Roman"/>
                <w:b/>
                <w:bCs/>
                <w:color w:val="000000"/>
                <w:sz w:val="22"/>
                <w:lang w:eastAsia="lv-LV"/>
              </w:rPr>
              <w:t xml:space="preserve">Kopā ietaupījums </w:t>
            </w:r>
            <w:r w:rsidRPr="00F7340A">
              <w:rPr>
                <w:rFonts w:eastAsia="Times New Roman" w:cs="Times New Roman"/>
                <w:b/>
                <w:bCs/>
                <w:i/>
                <w:color w:val="000000"/>
                <w:sz w:val="22"/>
                <w:lang w:eastAsia="lv-LV"/>
              </w:rPr>
              <w:t>euro</w:t>
            </w:r>
            <w:r w:rsidRPr="00105873">
              <w:rPr>
                <w:rFonts w:eastAsia="Times New Roman" w:cs="Times New Roman"/>
                <w:b/>
                <w:bCs/>
                <w:color w:val="000000"/>
                <w:sz w:val="22"/>
                <w:lang w:eastAsia="lv-LV"/>
              </w:rPr>
              <w:t xml:space="preserve">, veicot grozījumus MK noteikumos </w:t>
            </w:r>
            <w:r w:rsidRPr="00105873">
              <w:rPr>
                <w:rFonts w:eastAsia="Times New Roman" w:cs="Times New Roman"/>
                <w:b/>
                <w:bCs/>
                <w:color w:val="000000"/>
                <w:sz w:val="22"/>
                <w:lang w:eastAsia="lv-LV"/>
              </w:rPr>
              <w:br/>
              <w:t xml:space="preserve">(9,58 </w:t>
            </w:r>
            <w:r w:rsidRPr="00105873">
              <w:rPr>
                <w:rFonts w:eastAsia="Times New Roman" w:cs="Times New Roman"/>
                <w:b/>
                <w:bCs/>
                <w:i/>
                <w:color w:val="000000"/>
                <w:sz w:val="22"/>
                <w:lang w:eastAsia="lv-LV"/>
              </w:rPr>
              <w:t>euro</w:t>
            </w:r>
            <w:r w:rsidRPr="00105873">
              <w:rPr>
                <w:rFonts w:eastAsia="Times New Roman" w:cs="Times New Roman"/>
                <w:b/>
                <w:bCs/>
                <w:color w:val="000000"/>
                <w:sz w:val="22"/>
                <w:lang w:eastAsia="lv-LV"/>
              </w:rPr>
              <w:t xml:space="preserve"> par C/H)</w:t>
            </w:r>
          </w:p>
        </w:tc>
      </w:tr>
      <w:tr w:rsidR="00BA4D8A" w:rsidRPr="00105873" w:rsidTr="00105873">
        <w:trPr>
          <w:trHeight w:val="2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1</w:t>
            </w:r>
          </w:p>
        </w:tc>
        <w:tc>
          <w:tcPr>
            <w:tcW w:w="4253" w:type="dxa"/>
            <w:tcBorders>
              <w:top w:val="single" w:sz="4" w:space="0" w:color="auto"/>
              <w:left w:val="nil"/>
              <w:bottom w:val="single" w:sz="4" w:space="0" w:color="auto"/>
              <w:right w:val="single" w:sz="4" w:space="0" w:color="auto"/>
            </w:tcBorders>
            <w:shd w:val="clear" w:color="auto" w:fill="auto"/>
            <w:noWrap/>
            <w:vAlign w:val="center"/>
            <w:hideMark/>
          </w:tcPr>
          <w:p w:rsidR="00BA4D8A" w:rsidRPr="00105873" w:rsidRDefault="00A054F9" w:rsidP="00EA3376">
            <w:pPr>
              <w:rPr>
                <w:rFonts w:eastAsia="Times New Roman" w:cs="Times New Roman"/>
                <w:color w:val="000000"/>
                <w:sz w:val="22"/>
                <w:lang w:eastAsia="lv-LV"/>
              </w:rPr>
            </w:pPr>
            <w:r>
              <w:rPr>
                <w:rFonts w:eastAsia="Times New Roman" w:cs="Times New Roman"/>
                <w:color w:val="000000"/>
                <w:sz w:val="22"/>
                <w:lang w:eastAsia="lv-LV"/>
              </w:rPr>
              <w:t>Ai</w:t>
            </w:r>
            <w:r w:rsidR="00BA4D8A" w:rsidRPr="00105873">
              <w:rPr>
                <w:rFonts w:eastAsia="Times New Roman" w:cs="Times New Roman"/>
                <w:color w:val="000000"/>
                <w:sz w:val="22"/>
                <w:lang w:eastAsia="lv-LV"/>
              </w:rPr>
              <w:t>M</w:t>
            </w:r>
          </w:p>
        </w:tc>
        <w:tc>
          <w:tcPr>
            <w:tcW w:w="3783" w:type="dxa"/>
            <w:tcBorders>
              <w:top w:val="single" w:sz="4" w:space="0" w:color="auto"/>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1 264</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ĀM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549</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3</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EM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1 095</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4</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FM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11 709</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5</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IeM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1 820</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6</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354614" w:rsidP="00EA3376">
            <w:pPr>
              <w:rPr>
                <w:rFonts w:eastAsia="Times New Roman" w:cs="Times New Roman"/>
                <w:sz w:val="22"/>
                <w:lang w:eastAsia="lv-LV"/>
              </w:rPr>
            </w:pPr>
            <w:r>
              <w:rPr>
                <w:rFonts w:eastAsia="Times New Roman" w:cs="Times New Roman"/>
                <w:sz w:val="22"/>
                <w:lang w:eastAsia="lv-LV"/>
              </w:rPr>
              <w:t>IZ</w:t>
            </w:r>
            <w:r w:rsidR="00BA4D8A" w:rsidRPr="00105873">
              <w:rPr>
                <w:rFonts w:eastAsia="Times New Roman" w:cs="Times New Roman"/>
                <w:sz w:val="22"/>
                <w:lang w:eastAsia="lv-LV"/>
              </w:rPr>
              <w:t>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4 488</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7</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KM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2 419</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8</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LM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1 497</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9</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SM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934</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10</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TM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1 585</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11</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VARAM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1 892</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12</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VM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1 454</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13</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ZM</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1 600</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14</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VPK</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82</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15</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sz w:val="22"/>
                <w:lang w:eastAsia="lv-LV"/>
              </w:rPr>
            </w:pPr>
            <w:r w:rsidRPr="00105873">
              <w:rPr>
                <w:rFonts w:eastAsia="Times New Roman" w:cs="Times New Roman"/>
                <w:sz w:val="22"/>
                <w:lang w:eastAsia="lv-LV"/>
              </w:rPr>
              <w:t>Saeima</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648</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sz w:val="22"/>
                <w:lang w:eastAsia="lv-LV"/>
              </w:rPr>
            </w:pPr>
            <w:r w:rsidRPr="00105873">
              <w:rPr>
                <w:rFonts w:eastAsia="Times New Roman" w:cs="Times New Roman"/>
                <w:sz w:val="22"/>
                <w:lang w:eastAsia="lv-LV"/>
              </w:rPr>
              <w:t>16</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354614" w:rsidP="00EA3376">
            <w:pPr>
              <w:rPr>
                <w:rFonts w:eastAsia="Times New Roman" w:cs="Times New Roman"/>
                <w:sz w:val="22"/>
                <w:lang w:eastAsia="lv-LV"/>
              </w:rPr>
            </w:pPr>
            <w:r>
              <w:rPr>
                <w:rFonts w:eastAsia="Times New Roman" w:cs="Times New Roman"/>
                <w:sz w:val="22"/>
                <w:lang w:eastAsia="lv-LV"/>
              </w:rPr>
              <w:t>MK</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1 147</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17</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PKC</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113</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lastRenderedPageBreak/>
              <w:t>18</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VKo</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66</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19</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354614" w:rsidP="00EA3376">
            <w:pPr>
              <w:rPr>
                <w:rFonts w:eastAsia="Times New Roman" w:cs="Times New Roman"/>
                <w:color w:val="000000"/>
                <w:sz w:val="22"/>
                <w:lang w:eastAsia="lv-LV"/>
              </w:rPr>
            </w:pPr>
            <w:r>
              <w:rPr>
                <w:rFonts w:eastAsia="Times New Roman" w:cs="Times New Roman"/>
                <w:color w:val="000000"/>
                <w:sz w:val="22"/>
                <w:lang w:eastAsia="lv-LV"/>
              </w:rPr>
              <w:t>P</w:t>
            </w:r>
            <w:r w:rsidR="00BA4D8A" w:rsidRPr="00105873">
              <w:rPr>
                <w:rFonts w:eastAsia="Times New Roman" w:cs="Times New Roman"/>
                <w:color w:val="000000"/>
                <w:sz w:val="22"/>
                <w:lang w:eastAsia="lv-LV"/>
              </w:rPr>
              <w:t>rokuratūra</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157</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20</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354614" w:rsidP="00EA3376">
            <w:pPr>
              <w:rPr>
                <w:rFonts w:eastAsia="Times New Roman" w:cs="Times New Roman"/>
                <w:color w:val="000000"/>
                <w:sz w:val="22"/>
                <w:lang w:eastAsia="lv-LV"/>
              </w:rPr>
            </w:pPr>
            <w:r>
              <w:rPr>
                <w:rFonts w:eastAsia="Times New Roman" w:cs="Times New Roman"/>
                <w:color w:val="000000"/>
                <w:sz w:val="22"/>
                <w:lang w:eastAsia="lv-LV"/>
              </w:rPr>
              <w:t>TB</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61</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21</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AT</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90</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22</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ST</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82</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23</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KNAB</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107</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24</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SPRK</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61</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25</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SIF</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294</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26</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CVK</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84</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27</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CZK</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61</w:t>
            </w:r>
          </w:p>
        </w:tc>
      </w:tr>
      <w:tr w:rsidR="00BA4D8A" w:rsidRPr="00105873" w:rsidTr="00BF445B">
        <w:trPr>
          <w:trHeight w:val="20"/>
        </w:trPr>
        <w:tc>
          <w:tcPr>
            <w:tcW w:w="1271" w:type="dxa"/>
            <w:tcBorders>
              <w:top w:val="nil"/>
              <w:left w:val="single" w:sz="4" w:space="0" w:color="auto"/>
              <w:bottom w:val="single" w:sz="4" w:space="0" w:color="auto"/>
              <w:right w:val="single" w:sz="4" w:space="0" w:color="auto"/>
            </w:tcBorders>
            <w:shd w:val="clear" w:color="auto" w:fill="auto"/>
            <w:noWrap/>
            <w:vAlign w:val="center"/>
            <w:hideMark/>
          </w:tcPr>
          <w:p w:rsidR="00BA4D8A" w:rsidRPr="00105873" w:rsidRDefault="00BA4D8A" w:rsidP="00EA3376">
            <w:pPr>
              <w:jc w:val="center"/>
              <w:rPr>
                <w:rFonts w:eastAsia="Times New Roman" w:cs="Times New Roman"/>
                <w:color w:val="000000"/>
                <w:sz w:val="22"/>
                <w:lang w:eastAsia="lv-LV"/>
              </w:rPr>
            </w:pPr>
            <w:r w:rsidRPr="00105873">
              <w:rPr>
                <w:rFonts w:eastAsia="Times New Roman" w:cs="Times New Roman"/>
                <w:color w:val="000000"/>
                <w:sz w:val="22"/>
                <w:lang w:eastAsia="lv-LV"/>
              </w:rPr>
              <w:t>28</w:t>
            </w:r>
          </w:p>
        </w:tc>
        <w:tc>
          <w:tcPr>
            <w:tcW w:w="4253" w:type="dxa"/>
            <w:tcBorders>
              <w:top w:val="nil"/>
              <w:left w:val="nil"/>
              <w:bottom w:val="single" w:sz="4" w:space="0" w:color="auto"/>
              <w:right w:val="single" w:sz="4" w:space="0" w:color="auto"/>
            </w:tcBorders>
            <w:shd w:val="clear" w:color="auto" w:fill="auto"/>
            <w:noWrap/>
            <w:vAlign w:val="center"/>
            <w:hideMark/>
          </w:tcPr>
          <w:p w:rsidR="00BA4D8A" w:rsidRPr="00105873" w:rsidRDefault="00BA4D8A" w:rsidP="00EA3376">
            <w:pPr>
              <w:rPr>
                <w:rFonts w:eastAsia="Times New Roman" w:cs="Times New Roman"/>
                <w:color w:val="000000"/>
                <w:sz w:val="22"/>
                <w:lang w:eastAsia="lv-LV"/>
              </w:rPr>
            </w:pPr>
            <w:r w:rsidRPr="00105873">
              <w:rPr>
                <w:rFonts w:eastAsia="Times New Roman" w:cs="Times New Roman"/>
                <w:color w:val="000000"/>
                <w:sz w:val="22"/>
                <w:lang w:eastAsia="lv-LV"/>
              </w:rPr>
              <w:t>RTV</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color w:val="000000"/>
                <w:sz w:val="22"/>
                <w:lang w:eastAsia="lv-LV"/>
              </w:rPr>
            </w:pPr>
            <w:r w:rsidRPr="00105873">
              <w:rPr>
                <w:rFonts w:eastAsia="Times New Roman" w:cs="Times New Roman"/>
                <w:color w:val="000000"/>
                <w:sz w:val="22"/>
                <w:lang w:eastAsia="lv-LV"/>
              </w:rPr>
              <w:t>154</w:t>
            </w:r>
          </w:p>
        </w:tc>
      </w:tr>
      <w:tr w:rsidR="00BA4D8A" w:rsidRPr="00105873" w:rsidTr="00BF445B">
        <w:trPr>
          <w:trHeight w:val="20"/>
        </w:trPr>
        <w:tc>
          <w:tcPr>
            <w:tcW w:w="55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4D8A" w:rsidRPr="00105873" w:rsidRDefault="00BA4D8A" w:rsidP="00BA4D8A">
            <w:pPr>
              <w:jc w:val="right"/>
              <w:rPr>
                <w:rFonts w:eastAsia="Times New Roman" w:cs="Times New Roman"/>
                <w:b/>
                <w:bCs/>
                <w:color w:val="000000"/>
                <w:sz w:val="22"/>
                <w:lang w:eastAsia="lv-LV"/>
              </w:rPr>
            </w:pPr>
            <w:r w:rsidRPr="00105873">
              <w:rPr>
                <w:rFonts w:eastAsia="Times New Roman" w:cs="Times New Roman"/>
                <w:b/>
                <w:bCs/>
                <w:color w:val="000000"/>
                <w:sz w:val="22"/>
                <w:lang w:eastAsia="lv-LV"/>
              </w:rPr>
              <w:t>KOPĀ:</w:t>
            </w:r>
          </w:p>
        </w:tc>
        <w:tc>
          <w:tcPr>
            <w:tcW w:w="3783" w:type="dxa"/>
            <w:tcBorders>
              <w:top w:val="nil"/>
              <w:left w:val="nil"/>
              <w:bottom w:val="single" w:sz="4" w:space="0" w:color="auto"/>
              <w:right w:val="single" w:sz="4" w:space="0" w:color="auto"/>
            </w:tcBorders>
            <w:shd w:val="clear" w:color="auto" w:fill="auto"/>
            <w:noWrap/>
            <w:vAlign w:val="bottom"/>
            <w:hideMark/>
          </w:tcPr>
          <w:p w:rsidR="00BA4D8A" w:rsidRPr="00105873" w:rsidRDefault="00BA4D8A" w:rsidP="00EA3376">
            <w:pPr>
              <w:jc w:val="right"/>
              <w:rPr>
                <w:rFonts w:eastAsia="Times New Roman" w:cs="Times New Roman"/>
                <w:b/>
                <w:bCs/>
                <w:color w:val="000000"/>
                <w:sz w:val="22"/>
                <w:lang w:eastAsia="lv-LV"/>
              </w:rPr>
            </w:pPr>
            <w:r w:rsidRPr="00105873">
              <w:rPr>
                <w:rFonts w:eastAsia="Times New Roman" w:cs="Times New Roman"/>
                <w:b/>
                <w:bCs/>
                <w:color w:val="000000"/>
                <w:sz w:val="22"/>
                <w:lang w:eastAsia="lv-LV"/>
              </w:rPr>
              <w:t>35 513</w:t>
            </w:r>
          </w:p>
        </w:tc>
      </w:tr>
    </w:tbl>
    <w:p w:rsidR="00186B53" w:rsidRPr="00C90316" w:rsidRDefault="00186B53" w:rsidP="00BF445B">
      <w:pPr>
        <w:pStyle w:val="Heading3"/>
        <w:spacing w:before="480"/>
        <w:jc w:val="center"/>
        <w:rPr>
          <w:sz w:val="28"/>
          <w:szCs w:val="28"/>
        </w:rPr>
      </w:pPr>
      <w:bookmarkStart w:id="7" w:name="_Toc487036791"/>
      <w:r w:rsidRPr="00C90316">
        <w:rPr>
          <w:rFonts w:ascii="Times New Roman" w:hAnsi="Times New Roman" w:cs="Times New Roman"/>
          <w:color w:val="auto"/>
          <w:sz w:val="28"/>
          <w:szCs w:val="28"/>
        </w:rPr>
        <w:t>2.2.3. Budžeta paskaidrojumu pilnveidošana</w:t>
      </w:r>
      <w:bookmarkEnd w:id="7"/>
    </w:p>
    <w:p w:rsidR="0085598F" w:rsidRDefault="0085598F" w:rsidP="00BA4D8A">
      <w:pPr>
        <w:spacing w:before="240" w:after="120"/>
        <w:ind w:firstLine="720"/>
        <w:jc w:val="both"/>
        <w:rPr>
          <w:szCs w:val="24"/>
        </w:rPr>
      </w:pPr>
      <w:r w:rsidRPr="00DE32BB">
        <w:rPr>
          <w:szCs w:val="24"/>
        </w:rPr>
        <w:t xml:space="preserve">Budžeta un finanšu vadības labākajās praksēs arvien lielāks uzsvars tiek likts uz mērķu un rezultātu sasniegšanu, nevis tikai līdzekļu izlietošanu konkrētiem ieplānotiem pasākumiem. Lai nodrošinātu sabiedrības vēlmi redzēt šo informāciju pārskatāmākā un saprotamākā formā, </w:t>
      </w:r>
      <w:r>
        <w:rPr>
          <w:szCs w:val="24"/>
        </w:rPr>
        <w:t xml:space="preserve">pagājušajā gadā tika veikti grozījumi normatīvajā regulējumā, lai jau 2017.gadā </w:t>
      </w:r>
      <w:r w:rsidRPr="00DE32BB">
        <w:rPr>
          <w:szCs w:val="24"/>
        </w:rPr>
        <w:t>budžeta paskaidrojum</w:t>
      </w:r>
      <w:r>
        <w:rPr>
          <w:szCs w:val="24"/>
        </w:rPr>
        <w:t>os</w:t>
      </w:r>
      <w:r w:rsidRPr="00DE32BB">
        <w:rPr>
          <w:szCs w:val="24"/>
        </w:rPr>
        <w:t xml:space="preserve"> sniegt</w:t>
      </w:r>
      <w:r>
        <w:rPr>
          <w:szCs w:val="24"/>
        </w:rPr>
        <w:t>u</w:t>
      </w:r>
      <w:r w:rsidRPr="00DE32BB">
        <w:rPr>
          <w:szCs w:val="24"/>
        </w:rPr>
        <w:t xml:space="preserve"> priekšstat</w:t>
      </w:r>
      <w:r>
        <w:rPr>
          <w:szCs w:val="24"/>
        </w:rPr>
        <w:t>u</w:t>
      </w:r>
      <w:r w:rsidRPr="00DE32BB">
        <w:rPr>
          <w:szCs w:val="24"/>
        </w:rPr>
        <w:t xml:space="preserve"> par visas sabiedrības vai tās atsevišķo grupu sagaidāmajiem ieguvumiem publisko finanšu līdzekļu sadales rezultātā. Jaunā pieeja pilnveido līdzšinējo budžeta paskaidrojumu izdevumu sadaļas saturu, un tās mērķis ir sniegt informāciju par valsts budžetu kā pol</w:t>
      </w:r>
      <w:r>
        <w:rPr>
          <w:szCs w:val="24"/>
        </w:rPr>
        <w:t>itikas realizācijas instrumentu.</w:t>
      </w:r>
    </w:p>
    <w:p w:rsidR="005F5729" w:rsidRDefault="005F5729" w:rsidP="005F5729">
      <w:pPr>
        <w:spacing w:after="120"/>
        <w:ind w:firstLine="720"/>
        <w:jc w:val="center"/>
        <w:rPr>
          <w:szCs w:val="24"/>
        </w:rPr>
      </w:pPr>
      <w:r w:rsidRPr="005F5729">
        <w:rPr>
          <w:noProof/>
          <w:szCs w:val="24"/>
          <w:lang w:eastAsia="lv-LV"/>
        </w:rPr>
        <w:drawing>
          <wp:inline distT="0" distB="0" distL="0" distR="0">
            <wp:extent cx="3436698" cy="4094922"/>
            <wp:effectExtent l="0" t="0" r="0" b="1270"/>
            <wp:docPr id="23" name="Picture 23" descr="C:\Users\bd-purek\AppData\Local\Microsoft\Windows\Temporary Internet Files\Content.Outlook\G9QKBJNN\Z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d-purek\AppData\Local\Microsoft\Windows\Temporary Internet Files\Content.Outlook\G9QKBJNN\Z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90686" cy="4159250"/>
                    </a:xfrm>
                    <a:prstGeom prst="rect">
                      <a:avLst/>
                    </a:prstGeom>
                    <a:noFill/>
                    <a:ln>
                      <a:noFill/>
                    </a:ln>
                  </pic:spPr>
                </pic:pic>
              </a:graphicData>
            </a:graphic>
          </wp:inline>
        </w:drawing>
      </w:r>
    </w:p>
    <w:p w:rsidR="00DE1764" w:rsidRDefault="00DE1764" w:rsidP="005F5729">
      <w:pPr>
        <w:spacing w:after="120"/>
        <w:ind w:firstLine="720"/>
        <w:jc w:val="center"/>
        <w:rPr>
          <w:szCs w:val="24"/>
        </w:rPr>
      </w:pPr>
      <w:r w:rsidRPr="00DE1764">
        <w:rPr>
          <w:i/>
          <w:szCs w:val="24"/>
        </w:rPr>
        <w:t>2</w:t>
      </w:r>
      <w:r w:rsidR="00647001">
        <w:rPr>
          <w:i/>
          <w:szCs w:val="24"/>
        </w:rPr>
        <w:t>.12.</w:t>
      </w:r>
      <w:r w:rsidRPr="00DE1764">
        <w:rPr>
          <w:i/>
          <w:szCs w:val="24"/>
        </w:rPr>
        <w:t>att.</w:t>
      </w:r>
      <w:r>
        <w:rPr>
          <w:szCs w:val="24"/>
        </w:rPr>
        <w:t xml:space="preserve"> </w:t>
      </w:r>
      <w:r w:rsidRPr="00DE1764">
        <w:rPr>
          <w:b/>
          <w:szCs w:val="24"/>
        </w:rPr>
        <w:t>Attēla fragments no interaktīvā budžeta</w:t>
      </w:r>
    </w:p>
    <w:p w:rsidR="00BA3D36" w:rsidRPr="00BA3D36" w:rsidRDefault="00BA3D36" w:rsidP="00BA3D36">
      <w:pPr>
        <w:ind w:firstLine="720"/>
        <w:jc w:val="both"/>
        <w:rPr>
          <w:i/>
          <w:szCs w:val="24"/>
        </w:rPr>
      </w:pPr>
      <w:r>
        <w:rPr>
          <w:szCs w:val="24"/>
        </w:rPr>
        <w:lastRenderedPageBreak/>
        <w:t>Jaunais budžeta formāts ir devis iespēju interaktīvā</w:t>
      </w:r>
      <w:r w:rsidRPr="00DE5896">
        <w:rPr>
          <w:szCs w:val="24"/>
        </w:rPr>
        <w:t xml:space="preserve"> un </w:t>
      </w:r>
      <w:r>
        <w:rPr>
          <w:szCs w:val="24"/>
        </w:rPr>
        <w:t>uzskatāmākā veidā informēt</w:t>
      </w:r>
      <w:r w:rsidRPr="00DE5896">
        <w:rPr>
          <w:szCs w:val="24"/>
        </w:rPr>
        <w:t xml:space="preserve"> Latvijas iedzīvotājus par to, kādās jomās u</w:t>
      </w:r>
      <w:r>
        <w:rPr>
          <w:szCs w:val="24"/>
        </w:rPr>
        <w:t>n kādā</w:t>
      </w:r>
      <w:r w:rsidRPr="00DE5896">
        <w:rPr>
          <w:szCs w:val="24"/>
        </w:rPr>
        <w:t xml:space="preserve"> apmērā tiek ieguldīta nodokļu maksātāju na</w:t>
      </w:r>
      <w:r>
        <w:rPr>
          <w:szCs w:val="24"/>
        </w:rPr>
        <w:t xml:space="preserve">uda un kādi rezultāti </w:t>
      </w:r>
      <w:r w:rsidRPr="00DE1764">
        <w:rPr>
          <w:szCs w:val="24"/>
        </w:rPr>
        <w:t>sagaidāmi (skat. FM tīmekļa vietnē).</w:t>
      </w:r>
      <w:r>
        <w:rPr>
          <w:szCs w:val="24"/>
        </w:rPr>
        <w:t xml:space="preserve"> Informācija ir pieejama trīs līmeņos, kas sniedz priekšstatu par Ministriju budžetu gan kopsavelkošā, gan detalizētā pakāpē. P</w:t>
      </w:r>
      <w:r w:rsidRPr="00DE5896">
        <w:rPr>
          <w:szCs w:val="24"/>
        </w:rPr>
        <w:t xml:space="preserve">irmajā līmenī </w:t>
      </w:r>
      <w:r>
        <w:rPr>
          <w:szCs w:val="24"/>
        </w:rPr>
        <w:t>lietotājs var</w:t>
      </w:r>
      <w:r w:rsidRPr="00DE5896">
        <w:rPr>
          <w:szCs w:val="24"/>
        </w:rPr>
        <w:t xml:space="preserve"> iepazīties</w:t>
      </w:r>
      <w:r>
        <w:rPr>
          <w:szCs w:val="24"/>
        </w:rPr>
        <w:t xml:space="preserve"> ar ministriju</w:t>
      </w:r>
      <w:r w:rsidRPr="00542EB2">
        <w:rPr>
          <w:szCs w:val="24"/>
        </w:rPr>
        <w:t xml:space="preserve"> </w:t>
      </w:r>
      <w:r w:rsidRPr="00DE5896">
        <w:rPr>
          <w:szCs w:val="24"/>
        </w:rPr>
        <w:t>budžeta ieguldījuma jomām un tām novirzīto finansējumu, tostarp procentuāli</w:t>
      </w:r>
      <w:r w:rsidR="006F0B1A">
        <w:rPr>
          <w:szCs w:val="24"/>
        </w:rPr>
        <w:t xml:space="preserve"> </w:t>
      </w:r>
      <w:r w:rsidR="006F0B1A" w:rsidRPr="00DE1764">
        <w:rPr>
          <w:szCs w:val="24"/>
        </w:rPr>
        <w:t>(skat. 2.12.atēlu)</w:t>
      </w:r>
      <w:r>
        <w:rPr>
          <w:szCs w:val="24"/>
        </w:rPr>
        <w:t>. Otrajā līmenī – katras jomas P</w:t>
      </w:r>
      <w:r w:rsidRPr="00597D2A">
        <w:rPr>
          <w:szCs w:val="24"/>
        </w:rPr>
        <w:t>ol</w:t>
      </w:r>
      <w:r>
        <w:rPr>
          <w:szCs w:val="24"/>
        </w:rPr>
        <w:t>itikas un resursu vadībās karte</w:t>
      </w:r>
      <w:r w:rsidRPr="00597D2A">
        <w:rPr>
          <w:szCs w:val="24"/>
        </w:rPr>
        <w:t xml:space="preserve"> (turpmāk – Karte)</w:t>
      </w:r>
      <w:r>
        <w:rPr>
          <w:szCs w:val="24"/>
        </w:rPr>
        <w:t xml:space="preserve">, </w:t>
      </w:r>
      <w:r w:rsidRPr="00542EB2">
        <w:rPr>
          <w:szCs w:val="24"/>
        </w:rPr>
        <w:t>kurā vienkopus tiek sniegta sabiedrībai iespējami aptverošāka un raksturojošāka informācija par nozares darbu attiecīgajā jomā – mērķis, tā sasniegšanā ieguldāmie resursi (</w:t>
      </w:r>
      <w:r w:rsidRPr="00502BD0">
        <w:rPr>
          <w:i/>
          <w:szCs w:val="24"/>
        </w:rPr>
        <w:t>inputs</w:t>
      </w:r>
      <w:r w:rsidRPr="00542EB2">
        <w:rPr>
          <w:szCs w:val="24"/>
        </w:rPr>
        <w:t>), sagaidāmie darbības rezultāti (</w:t>
      </w:r>
      <w:r w:rsidRPr="00502BD0">
        <w:rPr>
          <w:i/>
          <w:szCs w:val="24"/>
        </w:rPr>
        <w:t>outputs</w:t>
      </w:r>
      <w:r w:rsidRPr="00542EB2">
        <w:rPr>
          <w:szCs w:val="24"/>
        </w:rPr>
        <w:t>) un augstākā līmeņa sasniedzamie nozaru politikas un kvalitātes rādītāji (</w:t>
      </w:r>
      <w:r w:rsidRPr="00502BD0">
        <w:rPr>
          <w:i/>
          <w:szCs w:val="24"/>
        </w:rPr>
        <w:t>outcome</w:t>
      </w:r>
      <w:r w:rsidRPr="00542EB2">
        <w:rPr>
          <w:szCs w:val="24"/>
        </w:rPr>
        <w:t>) – tādējādi dodot priekšstatu par nozares darbības rezultātā sniegto labumu sabiedrībai.</w:t>
      </w:r>
      <w:r>
        <w:rPr>
          <w:szCs w:val="24"/>
        </w:rPr>
        <w:t xml:space="preserve"> Trešajā līmenī </w:t>
      </w:r>
      <w:r w:rsidRPr="00E10B0E">
        <w:rPr>
          <w:szCs w:val="24"/>
        </w:rPr>
        <w:t>iespējams uzzināt detalizētāku informāciju</w:t>
      </w:r>
      <w:r>
        <w:rPr>
          <w:szCs w:val="24"/>
        </w:rPr>
        <w:t xml:space="preserve"> </w:t>
      </w:r>
      <w:r w:rsidRPr="00E10B0E">
        <w:rPr>
          <w:szCs w:val="24"/>
        </w:rPr>
        <w:t>par budžeta programm</w:t>
      </w:r>
      <w:r>
        <w:rPr>
          <w:szCs w:val="24"/>
        </w:rPr>
        <w:t>ām (apakšprogrammām</w:t>
      </w:r>
      <w:r w:rsidRPr="00E10B0E">
        <w:rPr>
          <w:szCs w:val="24"/>
        </w:rPr>
        <w:t>)</w:t>
      </w:r>
      <w:r>
        <w:rPr>
          <w:szCs w:val="24"/>
        </w:rPr>
        <w:t xml:space="preserve"> – </w:t>
      </w:r>
      <w:r w:rsidRPr="00E10B0E">
        <w:rPr>
          <w:szCs w:val="24"/>
        </w:rPr>
        <w:t>mērķi, galvenās aktivitātes un izpildītājus,</w:t>
      </w:r>
      <w:r>
        <w:rPr>
          <w:szCs w:val="24"/>
        </w:rPr>
        <w:t xml:space="preserve"> </w:t>
      </w:r>
      <w:r w:rsidRPr="00E10B0E">
        <w:rPr>
          <w:szCs w:val="24"/>
        </w:rPr>
        <w:t>finansiālos rādītājus</w:t>
      </w:r>
      <w:r>
        <w:rPr>
          <w:szCs w:val="24"/>
        </w:rPr>
        <w:t>,</w:t>
      </w:r>
      <w:r w:rsidRPr="00E10B0E">
        <w:rPr>
          <w:szCs w:val="24"/>
        </w:rPr>
        <w:t xml:space="preserve"> darbības rezultātu</w:t>
      </w:r>
      <w:r>
        <w:rPr>
          <w:szCs w:val="24"/>
        </w:rPr>
        <w:t>s un to rezultatīvos rādītājus..</w:t>
      </w:r>
    </w:p>
    <w:p w:rsidR="0085598F" w:rsidRPr="0085598F" w:rsidRDefault="0085598F" w:rsidP="00BA3D36">
      <w:pPr>
        <w:ind w:firstLine="720"/>
        <w:jc w:val="both"/>
        <w:rPr>
          <w:szCs w:val="24"/>
        </w:rPr>
      </w:pPr>
      <w:r w:rsidRPr="0076156F">
        <w:rPr>
          <w:szCs w:val="24"/>
        </w:rPr>
        <w:t xml:space="preserve">Papildus, lai budžets kļūtu pieejamāks sabiedrībai, budžeta paskaidrojumos </w:t>
      </w:r>
      <w:r>
        <w:rPr>
          <w:szCs w:val="24"/>
        </w:rPr>
        <w:t>tika</w:t>
      </w:r>
      <w:r w:rsidRPr="0076156F">
        <w:rPr>
          <w:szCs w:val="24"/>
        </w:rPr>
        <w:t xml:space="preserve"> vienkāršota, saīsināta un sistematizēta dažāda rakstura tehniskā un specifiskā informācija, tādējādi novēršot informācijas dublēšanos un padarot budžeta paskaidrojumus vieglāk uztveramus arī cilvēkiem bez padziļinātām zināšanām par budžeta tehnisko specifiku. Tehniskā informācija par līdzekļu izlietojuma </w:t>
      </w:r>
      <w:r w:rsidRPr="0085598F">
        <w:rPr>
          <w:szCs w:val="24"/>
        </w:rPr>
        <w:t>izmaiņām vairs netiek atspoguļota budžeta paskaidrojumo</w:t>
      </w:r>
      <w:r w:rsidR="00302B58">
        <w:rPr>
          <w:szCs w:val="24"/>
        </w:rPr>
        <w:t xml:space="preserve">s, bet ir pieejama FM mājaslapā </w:t>
      </w:r>
      <w:r w:rsidRPr="0085598F">
        <w:rPr>
          <w:szCs w:val="24"/>
        </w:rPr>
        <w:t>pārskatāmā un vizuāli pievilcīgā formā (</w:t>
      </w:r>
      <w:hyperlink r:id="rId24" w:history="1">
        <w:r w:rsidRPr="0085598F">
          <w:rPr>
            <w:rStyle w:val="Hyperlink"/>
            <w:color w:val="auto"/>
            <w:szCs w:val="24"/>
          </w:rPr>
          <w:t>http://www.fm.gov.lv/lv/sadalas/valsts_budzets/valsts_budzeta_izdevumu_izmainas/</w:t>
        </w:r>
      </w:hyperlink>
      <w:r w:rsidRPr="0085598F">
        <w:rPr>
          <w:szCs w:val="24"/>
        </w:rPr>
        <w:t>).</w:t>
      </w:r>
    </w:p>
    <w:p w:rsidR="0085598F" w:rsidRPr="000F6500" w:rsidRDefault="0085598F" w:rsidP="0085598F">
      <w:pPr>
        <w:spacing w:after="120"/>
        <w:ind w:firstLine="720"/>
        <w:jc w:val="both"/>
        <w:rPr>
          <w:szCs w:val="24"/>
        </w:rPr>
      </w:pPr>
      <w:r w:rsidRPr="0085598F">
        <w:rPr>
          <w:szCs w:val="24"/>
        </w:rPr>
        <w:t xml:space="preserve">Izvērtējot 2017.gada budžeta paskaidrojumu sagatavošanas pieredzi un veicot </w:t>
      </w:r>
      <w:r w:rsidRPr="000F6500">
        <w:rPr>
          <w:szCs w:val="24"/>
        </w:rPr>
        <w:t xml:space="preserve">labās pieredzes apmaiņu ar </w:t>
      </w:r>
      <w:r w:rsidR="00302B58">
        <w:rPr>
          <w:szCs w:val="24"/>
        </w:rPr>
        <w:t>M</w:t>
      </w:r>
      <w:r w:rsidRPr="000F6500">
        <w:rPr>
          <w:szCs w:val="24"/>
        </w:rPr>
        <w:t xml:space="preserve">inistrijām, </w:t>
      </w:r>
      <w:r>
        <w:rPr>
          <w:szCs w:val="24"/>
        </w:rPr>
        <w:t xml:space="preserve">šogad </w:t>
      </w:r>
      <w:r w:rsidRPr="000F6500">
        <w:rPr>
          <w:szCs w:val="24"/>
        </w:rPr>
        <w:t>tiek turpināta budžeta paskaidrojumu kvalitātes pilnveidošana.</w:t>
      </w:r>
    </w:p>
    <w:p w:rsidR="0085598F" w:rsidRPr="000F6500" w:rsidRDefault="0085598F" w:rsidP="0085598F">
      <w:pPr>
        <w:spacing w:after="120"/>
        <w:ind w:firstLine="720"/>
        <w:jc w:val="both"/>
        <w:rPr>
          <w:szCs w:val="24"/>
        </w:rPr>
      </w:pPr>
      <w:r w:rsidRPr="000F6500">
        <w:rPr>
          <w:szCs w:val="24"/>
        </w:rPr>
        <w:t xml:space="preserve">Tiks efektivizēts, uzlabots un precizēts informācijas </w:t>
      </w:r>
      <w:r>
        <w:rPr>
          <w:szCs w:val="24"/>
        </w:rPr>
        <w:t>izklāsts budžeta dokumentācijā:</w:t>
      </w:r>
    </w:p>
    <w:p w:rsidR="0085598F" w:rsidRDefault="0085598F" w:rsidP="008C25BB">
      <w:pPr>
        <w:pStyle w:val="ListParagraph"/>
        <w:numPr>
          <w:ilvl w:val="0"/>
          <w:numId w:val="42"/>
        </w:numPr>
        <w:spacing w:after="120"/>
        <w:contextualSpacing w:val="0"/>
        <w:jc w:val="both"/>
        <w:rPr>
          <w:szCs w:val="24"/>
        </w:rPr>
      </w:pPr>
      <w:r>
        <w:rPr>
          <w:szCs w:val="24"/>
        </w:rPr>
        <w:t>l</w:t>
      </w:r>
      <w:r w:rsidRPr="00597D2A">
        <w:rPr>
          <w:szCs w:val="24"/>
        </w:rPr>
        <w:t>ai veicinātu pārskatāmību</w:t>
      </w:r>
      <w:r>
        <w:rPr>
          <w:szCs w:val="24"/>
        </w:rPr>
        <w:t xml:space="preserve">, </w:t>
      </w:r>
      <w:r w:rsidRPr="00597D2A">
        <w:rPr>
          <w:szCs w:val="24"/>
        </w:rPr>
        <w:t>Kart</w:t>
      </w:r>
      <w:r>
        <w:rPr>
          <w:szCs w:val="24"/>
        </w:rPr>
        <w:t>ē</w:t>
      </w:r>
      <w:r w:rsidRPr="00597D2A">
        <w:rPr>
          <w:szCs w:val="24"/>
        </w:rPr>
        <w:t xml:space="preserve"> ieguldījumu sadaļā tiks norādīta tikai </w:t>
      </w:r>
      <w:r>
        <w:rPr>
          <w:szCs w:val="24"/>
        </w:rPr>
        <w:t xml:space="preserve">budžeta </w:t>
      </w:r>
      <w:r w:rsidRPr="00597D2A">
        <w:rPr>
          <w:szCs w:val="24"/>
        </w:rPr>
        <w:t xml:space="preserve">programma, nesadalot to līdz apakšprogrammu līmenim, ja </w:t>
      </w:r>
      <w:r>
        <w:rPr>
          <w:szCs w:val="24"/>
        </w:rPr>
        <w:t xml:space="preserve">budžeta </w:t>
      </w:r>
      <w:r w:rsidRPr="00597D2A">
        <w:rPr>
          <w:szCs w:val="24"/>
        </w:rPr>
        <w:t>programma ar visām apakšprogrammām</w:t>
      </w:r>
      <w:r>
        <w:rPr>
          <w:szCs w:val="24"/>
        </w:rPr>
        <w:t xml:space="preserve"> attiecas uz vienu jomu;</w:t>
      </w:r>
    </w:p>
    <w:p w:rsidR="0085598F" w:rsidRPr="00597D2A" w:rsidRDefault="0085598F" w:rsidP="008C25BB">
      <w:pPr>
        <w:pStyle w:val="ListParagraph"/>
        <w:numPr>
          <w:ilvl w:val="0"/>
          <w:numId w:val="42"/>
        </w:numPr>
        <w:spacing w:after="120"/>
        <w:contextualSpacing w:val="0"/>
        <w:jc w:val="both"/>
        <w:rPr>
          <w:szCs w:val="24"/>
        </w:rPr>
      </w:pPr>
      <w:r>
        <w:rPr>
          <w:szCs w:val="24"/>
        </w:rPr>
        <w:t>l</w:t>
      </w:r>
      <w:r w:rsidRPr="00597D2A">
        <w:rPr>
          <w:szCs w:val="24"/>
        </w:rPr>
        <w:t>ai sniegtu pilnīgāku informāciju par ieguldītajiem līdzekļiem, Kartes ieguldījumu sadaļa tiks papildināta ar informāciju par akciju un citu līdzdalību komersantu pašu kapitālā</w:t>
      </w:r>
      <w:r>
        <w:rPr>
          <w:szCs w:val="24"/>
        </w:rPr>
        <w:t xml:space="preserve"> (</w:t>
      </w:r>
      <w:r w:rsidRPr="00EE502D">
        <w:rPr>
          <w:szCs w:val="24"/>
        </w:rPr>
        <w:t>jo arī tie finanšu līdzekļi, kas tiek ieguldīti kā līdzdalība organizāciju kapitālā, ir vērsti uz attiecīgo politikas jomu mērķu sasniegšanu</w:t>
      </w:r>
      <w:r>
        <w:rPr>
          <w:szCs w:val="24"/>
        </w:rPr>
        <w:t>)</w:t>
      </w:r>
      <w:r w:rsidRPr="00597D2A">
        <w:rPr>
          <w:szCs w:val="24"/>
        </w:rPr>
        <w:t>.</w:t>
      </w:r>
    </w:p>
    <w:p w:rsidR="0085598F" w:rsidRPr="000F6500" w:rsidRDefault="0085598F" w:rsidP="0085598F">
      <w:pPr>
        <w:spacing w:after="120"/>
        <w:ind w:firstLine="720"/>
        <w:jc w:val="both"/>
        <w:rPr>
          <w:szCs w:val="24"/>
        </w:rPr>
      </w:pPr>
      <w:r w:rsidRPr="000F6500">
        <w:rPr>
          <w:szCs w:val="24"/>
        </w:rPr>
        <w:t>Tiks pilnveidots budžeta un nozaru politikas plānošanas sasaistes atspoguļojums Kartēs</w:t>
      </w:r>
      <w:r>
        <w:rPr>
          <w:szCs w:val="24"/>
        </w:rPr>
        <w:t>,</w:t>
      </w:r>
      <w:r w:rsidRPr="000F6500">
        <w:rPr>
          <w:szCs w:val="24"/>
        </w:rPr>
        <w:t xml:space="preserve"> </w:t>
      </w:r>
      <w:r w:rsidR="00C26D23" w:rsidRPr="00C26D23">
        <w:rPr>
          <w:szCs w:val="24"/>
        </w:rPr>
        <w:t>tās papildinot ar rindu "Valdības rīcības plāns", kurā tiks norādīts attiecīgais Valdības rīcības plāna punkts, kura izpildi nodrošina konkrētā darbības joma. Tas iezīmēs aktuālās valdības prioritātes, tādējādi atspoguļojot valsts budžeta izdevumu sasaisti arī ar valdības prioritārajiem rīcības virzieniem</w:t>
      </w:r>
      <w:r w:rsidR="00C26D23">
        <w:rPr>
          <w:szCs w:val="24"/>
        </w:rPr>
        <w:t xml:space="preserve">. </w:t>
      </w:r>
      <w:r>
        <w:rPr>
          <w:szCs w:val="24"/>
        </w:rPr>
        <w:t>Kā arī, lai</w:t>
      </w:r>
      <w:r w:rsidRPr="000F6500">
        <w:rPr>
          <w:szCs w:val="24"/>
        </w:rPr>
        <w:t xml:space="preserve"> pilnvērtīgāk raksturotu darbības jomu, tiks precizēts norādāmo </w:t>
      </w:r>
      <w:r>
        <w:rPr>
          <w:szCs w:val="24"/>
        </w:rPr>
        <w:t xml:space="preserve">politikas, darbības un kvalitātes </w:t>
      </w:r>
      <w:r w:rsidRPr="000F6500">
        <w:rPr>
          <w:szCs w:val="24"/>
        </w:rPr>
        <w:t>rādītāju skaits Kartē saskaņā ar aktuālo praksi.</w:t>
      </w:r>
      <w:r>
        <w:rPr>
          <w:szCs w:val="24"/>
        </w:rPr>
        <w:t xml:space="preserve"> </w:t>
      </w:r>
      <w:r w:rsidRPr="002F3C79">
        <w:rPr>
          <w:szCs w:val="24"/>
        </w:rPr>
        <w:t>Proti, rādītājiem tiek noteikts optimālais skaits, kā arī maksimāli pieļaujamais skaits Kartēs ar lielu ieguldījumu apjomu, ja tas ir būtiski mērķa sasniegšanas pakāpes atspoguļojumam.</w:t>
      </w:r>
    </w:p>
    <w:p w:rsidR="0085598F" w:rsidRDefault="0085598F" w:rsidP="0085598F">
      <w:pPr>
        <w:spacing w:after="120"/>
        <w:ind w:firstLine="720"/>
        <w:jc w:val="both"/>
        <w:rPr>
          <w:szCs w:val="24"/>
        </w:rPr>
      </w:pPr>
      <w:r w:rsidRPr="000F6500">
        <w:rPr>
          <w:szCs w:val="24"/>
        </w:rPr>
        <w:t>Tiks vērsta uzmanība uz darbības rezultāt</w:t>
      </w:r>
      <w:r>
        <w:rPr>
          <w:szCs w:val="24"/>
        </w:rPr>
        <w:t>u</w:t>
      </w:r>
      <w:r w:rsidRPr="000F6500">
        <w:rPr>
          <w:szCs w:val="24"/>
        </w:rPr>
        <w:t xml:space="preserve"> un to rezultatīv</w:t>
      </w:r>
      <w:r>
        <w:rPr>
          <w:szCs w:val="24"/>
        </w:rPr>
        <w:t>o</w:t>
      </w:r>
      <w:r w:rsidRPr="000F6500">
        <w:rPr>
          <w:szCs w:val="24"/>
        </w:rPr>
        <w:t xml:space="preserve"> rādītāj</w:t>
      </w:r>
      <w:r>
        <w:rPr>
          <w:szCs w:val="24"/>
        </w:rPr>
        <w:t>u</w:t>
      </w:r>
      <w:r w:rsidRPr="000F6500">
        <w:rPr>
          <w:szCs w:val="24"/>
        </w:rPr>
        <w:t xml:space="preserve"> </w:t>
      </w:r>
      <w:r w:rsidRPr="002F3C79">
        <w:rPr>
          <w:szCs w:val="24"/>
        </w:rPr>
        <w:t>definēšan</w:t>
      </w:r>
      <w:r>
        <w:rPr>
          <w:szCs w:val="24"/>
        </w:rPr>
        <w:t>u</w:t>
      </w:r>
      <w:r w:rsidRPr="002F3C79">
        <w:rPr>
          <w:szCs w:val="24"/>
        </w:rPr>
        <w:t xml:space="preserve"> budžeta programmu (apakšprogrammu) sadaļā, pastiprinot pieeju, ka ir jānorāda tādi rādītāji, kas vispilnīgāk raksturo budžeta programmas (apakšprogrammas) mērķa sasniegšanu un tās resursu izlietojumu. Papildus tiks pieļauta elastība rādītāju norādīšanā pie budžeta programmām (apakšprogrammām), veicinot to jēgpilnu izmantošanu, lai izvairītos no formālu rādītāju norādīšanas.</w:t>
      </w:r>
    </w:p>
    <w:p w:rsidR="00E57528" w:rsidRDefault="00E57528" w:rsidP="00E57528">
      <w:pPr>
        <w:spacing w:after="120"/>
        <w:ind w:firstLine="720"/>
        <w:jc w:val="both"/>
        <w:rPr>
          <w:szCs w:val="24"/>
        </w:rPr>
      </w:pPr>
      <w:r>
        <w:t>L</w:t>
      </w:r>
      <w:r w:rsidR="006F0B1A">
        <w:t>ai ieviestu minētās izmaiņas un</w:t>
      </w:r>
      <w:r>
        <w:t xml:space="preserve"> lai ministrijas jau varētu sagatavot likumprojekta “Par valsts budžetu 2018.gadam” paskaidrojumus pilnveidotā izskatā, FM izstrādāja grozījumus MK noteikumos Nr.523, kas 2017.gada 4.jūlijā tika apstiprināti Ministru kabinetā. Šie noteikumu </w:t>
      </w:r>
      <w:r>
        <w:lastRenderedPageBreak/>
        <w:t>grozījumi nostiprinās budžeta dokumentācijas kvalitāti un veicinās budžeta uztveramību un pārskatāmību, kā arī pilnveidos budžeta un nozaru politikas sasaistes atspoguļojumu.</w:t>
      </w:r>
    </w:p>
    <w:p w:rsidR="00186B53" w:rsidRPr="00C90316" w:rsidRDefault="00186B53" w:rsidP="003E7B53">
      <w:pPr>
        <w:pStyle w:val="Heading3"/>
        <w:spacing w:before="240" w:after="240"/>
        <w:jc w:val="center"/>
        <w:rPr>
          <w:sz w:val="28"/>
          <w:szCs w:val="28"/>
        </w:rPr>
      </w:pPr>
      <w:bookmarkStart w:id="8" w:name="_Toc487036792"/>
      <w:r w:rsidRPr="00C90316">
        <w:rPr>
          <w:rFonts w:ascii="Times New Roman" w:hAnsi="Times New Roman" w:cs="Times New Roman"/>
          <w:color w:val="auto"/>
          <w:sz w:val="28"/>
          <w:szCs w:val="28"/>
        </w:rPr>
        <w:t>2.2.4. Priekšlikumi izmaiņām Likumā par budžetu un finanšu vadību</w:t>
      </w:r>
      <w:bookmarkEnd w:id="8"/>
    </w:p>
    <w:p w:rsidR="003E7B53" w:rsidRPr="00C63630" w:rsidRDefault="003E7B53" w:rsidP="00BF445B">
      <w:pPr>
        <w:ind w:right="79" w:firstLine="709"/>
        <w:jc w:val="both"/>
        <w:rPr>
          <w:szCs w:val="24"/>
        </w:rPr>
      </w:pPr>
      <w:r>
        <w:t xml:space="preserve">Spēkā </w:t>
      </w:r>
      <w:r w:rsidRPr="00C63630">
        <w:rPr>
          <w:szCs w:val="24"/>
        </w:rPr>
        <w:t>esošais LBFV 9.pants paredz, ka, lai nākošajā saimnieciskajā gadā izmantotu iepriekšējā gadā radušos atlikumus no maksas pakalpoj</w:t>
      </w:r>
      <w:r>
        <w:rPr>
          <w:szCs w:val="24"/>
        </w:rPr>
        <w:t>umiem un citiem pašu ieņēmumiem</w:t>
      </w:r>
      <w:r w:rsidRPr="00C63630">
        <w:rPr>
          <w:szCs w:val="24"/>
        </w:rPr>
        <w:t xml:space="preserve"> vai lai kārtējā gadā ieplānotu neparedzētos ieņēmumus un veikt to izmantošanu, ir nepieciešams Saeimas Budžeta un finanšu (nodokļu) komisijas saskaņojums. 2016.gadā valsts pamatbudžetā tika pārcelti maksas pakalpojumu un citu pašu ieņēmumu atlikumi par ~ 13 miljoniem </w:t>
      </w:r>
      <w:r w:rsidRPr="00D101FE">
        <w:rPr>
          <w:i/>
          <w:szCs w:val="24"/>
        </w:rPr>
        <w:t>euro</w:t>
      </w:r>
      <w:r w:rsidRPr="00C63630">
        <w:rPr>
          <w:szCs w:val="24"/>
        </w:rPr>
        <w:t xml:space="preserve"> un palielināti tekošā gada ieņēmumi par ~ 17 miljoniem </w:t>
      </w:r>
      <w:r w:rsidRPr="00D101FE">
        <w:rPr>
          <w:i/>
          <w:szCs w:val="24"/>
        </w:rPr>
        <w:t>euro</w:t>
      </w:r>
      <w:r w:rsidRPr="00C63630">
        <w:rPr>
          <w:szCs w:val="24"/>
        </w:rPr>
        <w:t>, lūdzot Saeimas Budžeta komisijas saskaņojumu 9 reizes un katrā reizē detalizēti izskatot izmaiņas veidojošas pozīcijas. Šāds regulējums praksē ne vienmēr ir efektīvs šādu iemeslu dēļ:</w:t>
      </w:r>
    </w:p>
    <w:p w:rsidR="003E7B53" w:rsidRPr="00C63630" w:rsidRDefault="003E7B53" w:rsidP="008C25BB">
      <w:pPr>
        <w:pStyle w:val="ListParagraph"/>
        <w:numPr>
          <w:ilvl w:val="0"/>
          <w:numId w:val="78"/>
        </w:numPr>
        <w:spacing w:before="120" w:after="120"/>
        <w:ind w:right="79" w:hanging="357"/>
        <w:contextualSpacing w:val="0"/>
        <w:jc w:val="both"/>
        <w:rPr>
          <w:szCs w:val="24"/>
        </w:rPr>
      </w:pPr>
      <w:r w:rsidRPr="00C63630">
        <w:rPr>
          <w:szCs w:val="24"/>
        </w:rPr>
        <w:t>netiek diferencēts summas skaitliskais apmērs, par kuru būtu nepieciešams S</w:t>
      </w:r>
      <w:r>
        <w:rPr>
          <w:szCs w:val="24"/>
        </w:rPr>
        <w:t>aeimas komisijas saskaņojums, ka</w:t>
      </w:r>
      <w:r w:rsidRPr="00C63630">
        <w:rPr>
          <w:szCs w:val="24"/>
        </w:rPr>
        <w:t xml:space="preserve"> rezultātā Saeimas komisija ir spiesta izskatīt finansiāli ļoti nebūtiskus pasākumus (piemēram, 70 </w:t>
      </w:r>
      <w:r w:rsidRPr="00D101FE">
        <w:rPr>
          <w:i/>
          <w:szCs w:val="24"/>
        </w:rPr>
        <w:t>euro</w:t>
      </w:r>
      <w:r w:rsidRPr="00C63630">
        <w:rPr>
          <w:szCs w:val="24"/>
        </w:rPr>
        <w:t>). Jāatzīmē, ka administratīvie resursi, kas ieguldīti dokumentācijas sagatavošanā un jautājuma apspriedē, ir krietni lielāki, nekā lemjamā jautājuma summa;</w:t>
      </w:r>
    </w:p>
    <w:p w:rsidR="003E7B53" w:rsidRPr="00C63630" w:rsidRDefault="003E7B53" w:rsidP="008C25BB">
      <w:pPr>
        <w:pStyle w:val="ListParagraph"/>
        <w:numPr>
          <w:ilvl w:val="0"/>
          <w:numId w:val="78"/>
        </w:numPr>
        <w:spacing w:before="120" w:after="120"/>
        <w:ind w:right="79" w:hanging="357"/>
        <w:contextualSpacing w:val="0"/>
        <w:jc w:val="both"/>
        <w:rPr>
          <w:szCs w:val="24"/>
        </w:rPr>
      </w:pPr>
      <w:r w:rsidRPr="00C63630">
        <w:rPr>
          <w:szCs w:val="24"/>
        </w:rPr>
        <w:t>Saeimas komisija tiek iesaistīta tādu jautājumu izskatīšanā, kuriem ir saimniecisks raksturs (parasti tie ir iestāžu ieņēmumi un tiem atbilstošie izdevumi sadarbības projektos, kā arī faktiskas svārstības sn</w:t>
      </w:r>
      <w:r>
        <w:rPr>
          <w:szCs w:val="24"/>
        </w:rPr>
        <w:t>iedzamajos maksas pakalpojumos)</w:t>
      </w:r>
      <w:r w:rsidRPr="00C63630">
        <w:rPr>
          <w:szCs w:val="24"/>
        </w:rPr>
        <w:t xml:space="preserve"> un kuriem nav negatīvās fiskālās ietekmes uz valsts budžetu, jo ieplānojamo ieņēmumu un izdevumu apmērs ir līdzvērtīgs</w:t>
      </w:r>
      <w:r>
        <w:rPr>
          <w:szCs w:val="24"/>
        </w:rPr>
        <w:t>, neradot negatīvu ietekmi</w:t>
      </w:r>
      <w:r w:rsidRPr="00C63630">
        <w:rPr>
          <w:szCs w:val="24"/>
        </w:rPr>
        <w:t>;</w:t>
      </w:r>
    </w:p>
    <w:p w:rsidR="003E7B53" w:rsidRPr="00C63630" w:rsidRDefault="003E7B53" w:rsidP="008C25BB">
      <w:pPr>
        <w:pStyle w:val="ListParagraph"/>
        <w:numPr>
          <w:ilvl w:val="0"/>
          <w:numId w:val="78"/>
        </w:numPr>
        <w:spacing w:before="120" w:after="120"/>
        <w:ind w:right="79" w:hanging="357"/>
        <w:contextualSpacing w:val="0"/>
        <w:jc w:val="both"/>
        <w:rPr>
          <w:szCs w:val="24"/>
        </w:rPr>
      </w:pPr>
      <w:r>
        <w:rPr>
          <w:szCs w:val="24"/>
        </w:rPr>
        <w:t>š</w:t>
      </w:r>
      <w:r w:rsidRPr="00C63630">
        <w:rPr>
          <w:szCs w:val="24"/>
        </w:rPr>
        <w:t xml:space="preserve">obrīd valsts budžeta iestādes mēdz atturēties no dalības nelielos projektos dēļ ilgstošas administratīvas procedūras, kurā jāieplāno saņemamie ieņēmumi un atbilstošie izdevumi. Tādējādi </w:t>
      </w:r>
      <w:r>
        <w:rPr>
          <w:szCs w:val="24"/>
        </w:rPr>
        <w:t xml:space="preserve">bieži vien </w:t>
      </w:r>
      <w:r w:rsidRPr="00C63630">
        <w:rPr>
          <w:szCs w:val="24"/>
        </w:rPr>
        <w:t>netiek piesaistīti trešo pušu līdzekļi dažādu sadarbības projektu īstenošanai, kas vērsti uz pieredzes apmaiņu un institūciju kapacitātes stiprināšanu (piem</w:t>
      </w:r>
      <w:r w:rsidR="00302B58">
        <w:rPr>
          <w:szCs w:val="24"/>
        </w:rPr>
        <w:t>ēram</w:t>
      </w:r>
      <w:r w:rsidRPr="00C63630">
        <w:rPr>
          <w:szCs w:val="24"/>
        </w:rPr>
        <w:t>, dažu dienu pieredzes apmaiņas semināri).</w:t>
      </w:r>
    </w:p>
    <w:p w:rsidR="003E7B53" w:rsidRPr="00C63630" w:rsidRDefault="003E7B53" w:rsidP="00B84A18">
      <w:pPr>
        <w:spacing w:before="120"/>
        <w:ind w:right="79" w:firstLine="720"/>
        <w:jc w:val="both"/>
        <w:rPr>
          <w:szCs w:val="24"/>
        </w:rPr>
      </w:pPr>
      <w:r w:rsidRPr="00C63630">
        <w:rPr>
          <w:szCs w:val="24"/>
        </w:rPr>
        <w:t>Lai nodrošinātu efektīvāku budžeta elastību un vienlaikus saglabātu likumdevēja iesaisti būtiskos jautājumos, FM piedāvā šādu risinājumu:</w:t>
      </w:r>
    </w:p>
    <w:p w:rsidR="003E7B53" w:rsidRPr="00C63630" w:rsidRDefault="003E7B53" w:rsidP="008C25BB">
      <w:pPr>
        <w:pStyle w:val="ListParagraph"/>
        <w:numPr>
          <w:ilvl w:val="0"/>
          <w:numId w:val="79"/>
        </w:numPr>
        <w:spacing w:before="120" w:after="120"/>
        <w:ind w:left="992" w:right="79" w:hanging="425"/>
        <w:contextualSpacing w:val="0"/>
        <w:jc w:val="both"/>
        <w:rPr>
          <w:szCs w:val="24"/>
        </w:rPr>
      </w:pPr>
      <w:r w:rsidRPr="00C63630">
        <w:rPr>
          <w:szCs w:val="24"/>
        </w:rPr>
        <w:t>par maksas pakalpojumu un citu pašu ieņēmumu palielināšanu tekošajā gadā lemj finanšu ministrs;</w:t>
      </w:r>
    </w:p>
    <w:p w:rsidR="003E7B53" w:rsidRPr="00097D35" w:rsidRDefault="003E7B53" w:rsidP="008C25BB">
      <w:pPr>
        <w:pStyle w:val="ListParagraph"/>
        <w:numPr>
          <w:ilvl w:val="0"/>
          <w:numId w:val="79"/>
        </w:numPr>
        <w:spacing w:before="120" w:after="120"/>
        <w:ind w:left="992" w:right="79" w:hanging="425"/>
        <w:contextualSpacing w:val="0"/>
        <w:jc w:val="both"/>
        <w:rPr>
          <w:szCs w:val="24"/>
        </w:rPr>
      </w:pPr>
      <w:r w:rsidRPr="00097D35">
        <w:rPr>
          <w:szCs w:val="24"/>
        </w:rPr>
        <w:t>finanšu ministrs lemj par maksas pakalpojumu un citu pašu ieņēmumu atlikumu izmantošanu, nepārsniedzot vienai valsts budžeta programmai/apakšprogrammai ierobežojumu līdz 100</w:t>
      </w:r>
      <w:r w:rsidR="00302B58">
        <w:rPr>
          <w:szCs w:val="24"/>
        </w:rPr>
        <w:t> </w:t>
      </w:r>
      <w:r w:rsidRPr="00097D35">
        <w:rPr>
          <w:szCs w:val="24"/>
        </w:rPr>
        <w:t>000</w:t>
      </w:r>
      <w:r w:rsidR="00302B58">
        <w:rPr>
          <w:szCs w:val="24"/>
        </w:rPr>
        <w:t> </w:t>
      </w:r>
      <w:r w:rsidRPr="00097D35">
        <w:rPr>
          <w:i/>
          <w:szCs w:val="24"/>
        </w:rPr>
        <w:t>euro</w:t>
      </w:r>
      <w:r>
        <w:rPr>
          <w:szCs w:val="24"/>
        </w:rPr>
        <w:t xml:space="preserve"> un </w:t>
      </w:r>
      <w:r w:rsidRPr="00097D35">
        <w:rPr>
          <w:szCs w:val="24"/>
        </w:rPr>
        <w:t>5</w:t>
      </w:r>
      <w:r w:rsidR="00302B58">
        <w:rPr>
          <w:szCs w:val="24"/>
        </w:rPr>
        <w:t>%</w:t>
      </w:r>
      <w:r w:rsidRPr="00097D35">
        <w:rPr>
          <w:szCs w:val="24"/>
        </w:rPr>
        <w:t xml:space="preserve"> no kopējiem plānotajiem </w:t>
      </w:r>
      <w:r w:rsidR="00302B58">
        <w:rPr>
          <w:szCs w:val="24"/>
        </w:rPr>
        <w:t>izdevumiem saimnieciskajā gadā;</w:t>
      </w:r>
    </w:p>
    <w:p w:rsidR="003E7B53" w:rsidRPr="00C63630" w:rsidRDefault="003E7B53" w:rsidP="008C25BB">
      <w:pPr>
        <w:pStyle w:val="ListParagraph"/>
        <w:numPr>
          <w:ilvl w:val="0"/>
          <w:numId w:val="79"/>
        </w:numPr>
        <w:spacing w:before="120" w:after="120"/>
        <w:ind w:left="992" w:right="79" w:hanging="425"/>
        <w:contextualSpacing w:val="0"/>
        <w:jc w:val="both"/>
        <w:rPr>
          <w:szCs w:val="24"/>
        </w:rPr>
      </w:pPr>
      <w:r w:rsidRPr="00C63630">
        <w:rPr>
          <w:szCs w:val="24"/>
        </w:rPr>
        <w:t xml:space="preserve">Saeimas Budžeta un finanšu (nodokļu) komisijas saskaņojums ir nepieciešams par maksas pakalpojumu un citu pašu ieņēmumu atlikumu izmantošanu, </w:t>
      </w:r>
      <w:r>
        <w:rPr>
          <w:szCs w:val="24"/>
        </w:rPr>
        <w:t>kas pārsniedz</w:t>
      </w:r>
      <w:r w:rsidRPr="00C63630">
        <w:rPr>
          <w:szCs w:val="24"/>
        </w:rPr>
        <w:t xml:space="preserve"> finanšu ministram noteiktā limita ietvar</w:t>
      </w:r>
      <w:r>
        <w:rPr>
          <w:szCs w:val="24"/>
        </w:rPr>
        <w:t>u</w:t>
      </w:r>
      <w:r w:rsidRPr="00C63630">
        <w:rPr>
          <w:szCs w:val="24"/>
        </w:rPr>
        <w:t xml:space="preserve">s. </w:t>
      </w:r>
    </w:p>
    <w:p w:rsidR="003E7B53" w:rsidRPr="00C63630" w:rsidRDefault="003E7B53" w:rsidP="00B84A18">
      <w:pPr>
        <w:spacing w:before="120"/>
        <w:ind w:right="79" w:firstLine="720"/>
        <w:jc w:val="both"/>
        <w:rPr>
          <w:szCs w:val="24"/>
        </w:rPr>
      </w:pPr>
      <w:r>
        <w:rPr>
          <w:szCs w:val="24"/>
        </w:rPr>
        <w:t>Ieguvumi, ī</w:t>
      </w:r>
      <w:r w:rsidRPr="00C63630">
        <w:rPr>
          <w:szCs w:val="24"/>
        </w:rPr>
        <w:t>stenojot šādu pieeju:</w:t>
      </w:r>
    </w:p>
    <w:p w:rsidR="003E7B53" w:rsidRPr="00C63630" w:rsidRDefault="003E7B53" w:rsidP="008C25BB">
      <w:pPr>
        <w:pStyle w:val="ListParagraph"/>
        <w:numPr>
          <w:ilvl w:val="0"/>
          <w:numId w:val="80"/>
        </w:numPr>
        <w:spacing w:before="120" w:after="120"/>
        <w:ind w:left="992" w:right="79" w:hanging="425"/>
        <w:contextualSpacing w:val="0"/>
        <w:jc w:val="both"/>
        <w:rPr>
          <w:szCs w:val="24"/>
        </w:rPr>
      </w:pPr>
      <w:r w:rsidRPr="00C63630">
        <w:rPr>
          <w:szCs w:val="24"/>
        </w:rPr>
        <w:t xml:space="preserve">Saeimas Budžeta komisija tiktu atslogota no tādu jautājumu izskatīšanas, kuriem </w:t>
      </w:r>
      <w:r>
        <w:rPr>
          <w:szCs w:val="24"/>
        </w:rPr>
        <w:t>nav negatīvās fiskālās ietekmes</w:t>
      </w:r>
      <w:r w:rsidRPr="00C63630">
        <w:rPr>
          <w:szCs w:val="24"/>
        </w:rPr>
        <w:t xml:space="preserve"> un kas saistīti ar nelielu atlikumu pārcelšanu (kumulatīvi līdz 100</w:t>
      </w:r>
      <w:r w:rsidR="00302B58">
        <w:rPr>
          <w:szCs w:val="24"/>
        </w:rPr>
        <w:t> </w:t>
      </w:r>
      <w:r w:rsidRPr="00C63630">
        <w:rPr>
          <w:szCs w:val="24"/>
        </w:rPr>
        <w:t>000</w:t>
      </w:r>
      <w:r w:rsidR="00302B58">
        <w:rPr>
          <w:szCs w:val="24"/>
        </w:rPr>
        <w:t> </w:t>
      </w:r>
      <w:r w:rsidRPr="00D101FE">
        <w:rPr>
          <w:i/>
          <w:szCs w:val="24"/>
        </w:rPr>
        <w:t>euro</w:t>
      </w:r>
      <w:r w:rsidRPr="00C63630">
        <w:rPr>
          <w:szCs w:val="24"/>
        </w:rPr>
        <w:t xml:space="preserve"> gadā vienā valsts budžeta programmā/apakšprogrammā). Nozares ministrijas atbildība būs “sakomplektēt” atlikumu izmantošanu tā, lai finansiāli nebūtiskas izm</w:t>
      </w:r>
      <w:r>
        <w:rPr>
          <w:szCs w:val="24"/>
        </w:rPr>
        <w:t xml:space="preserve">aiņas </w:t>
      </w:r>
      <w:r w:rsidRPr="00C63630">
        <w:rPr>
          <w:szCs w:val="24"/>
        </w:rPr>
        <w:t>varētu veikt finanšu ministra līmenī programmai/apakšprogrammai atļautā gada limita ietvaros;</w:t>
      </w:r>
    </w:p>
    <w:p w:rsidR="003E7B53" w:rsidRPr="00C63630" w:rsidRDefault="003E7B53" w:rsidP="008C25BB">
      <w:pPr>
        <w:pStyle w:val="ListParagraph"/>
        <w:numPr>
          <w:ilvl w:val="0"/>
          <w:numId w:val="80"/>
        </w:numPr>
        <w:spacing w:before="120" w:after="120"/>
        <w:ind w:left="992" w:right="79" w:hanging="425"/>
        <w:contextualSpacing w:val="0"/>
        <w:jc w:val="both"/>
        <w:rPr>
          <w:szCs w:val="24"/>
        </w:rPr>
      </w:pPr>
      <w:r w:rsidRPr="00C63630">
        <w:rPr>
          <w:szCs w:val="24"/>
        </w:rPr>
        <w:lastRenderedPageBreak/>
        <w:t>Saeimas Budžeta komisija saglabātu kontroli pār atlikumu izmantošanu pasākumiem, kuru negatīv</w:t>
      </w:r>
      <w:r>
        <w:rPr>
          <w:szCs w:val="24"/>
        </w:rPr>
        <w:t>ā fiskālā ietekme pārsniedz 100 </w:t>
      </w:r>
      <w:r w:rsidRPr="00C63630">
        <w:rPr>
          <w:szCs w:val="24"/>
        </w:rPr>
        <w:t xml:space="preserve">000 </w:t>
      </w:r>
      <w:r w:rsidRPr="00D101FE">
        <w:rPr>
          <w:i/>
          <w:szCs w:val="24"/>
        </w:rPr>
        <w:t>euro</w:t>
      </w:r>
      <w:r>
        <w:rPr>
          <w:szCs w:val="24"/>
        </w:rPr>
        <w:t xml:space="preserve"> un </w:t>
      </w:r>
      <w:r w:rsidR="00302B58">
        <w:rPr>
          <w:szCs w:val="24"/>
        </w:rPr>
        <w:t>5%</w:t>
      </w:r>
      <w:r w:rsidRPr="00F2432E">
        <w:rPr>
          <w:szCs w:val="24"/>
        </w:rPr>
        <w:t xml:space="preserve"> no kopējiem plānotajiem izdevumiem saimnieciskajā gadā</w:t>
      </w:r>
      <w:r w:rsidRPr="00C63630">
        <w:rPr>
          <w:szCs w:val="24"/>
        </w:rPr>
        <w:t xml:space="preserve"> vienā valsts budžeta programmā/apakšprogrammā. Tādējādi tiktu nodrošināta starptautiski atzīta labā prakse, ka likumdevējs lemj par būtiskām novirzēm no sākotnēji apstipr</w:t>
      </w:r>
      <w:r w:rsidR="00302B58">
        <w:rPr>
          <w:szCs w:val="24"/>
        </w:rPr>
        <w:t>inātā budžeta;</w:t>
      </w:r>
    </w:p>
    <w:p w:rsidR="003E7B53" w:rsidRPr="00C63630" w:rsidRDefault="003E7B53" w:rsidP="008C25BB">
      <w:pPr>
        <w:pStyle w:val="ListParagraph"/>
        <w:numPr>
          <w:ilvl w:val="0"/>
          <w:numId w:val="80"/>
        </w:numPr>
        <w:spacing w:before="120" w:after="120"/>
        <w:ind w:left="992" w:right="79" w:hanging="425"/>
        <w:contextualSpacing w:val="0"/>
        <w:jc w:val="both"/>
        <w:rPr>
          <w:szCs w:val="24"/>
        </w:rPr>
      </w:pPr>
      <w:r>
        <w:rPr>
          <w:szCs w:val="24"/>
        </w:rPr>
        <w:t>v</w:t>
      </w:r>
      <w:r w:rsidRPr="00C63630">
        <w:rPr>
          <w:szCs w:val="24"/>
        </w:rPr>
        <w:t xml:space="preserve">alsts budžeta iestādēm mazinātos administratīvais slogs (nebūtu nepieciešams noslogot Saeimas Budžeta komisiju </w:t>
      </w:r>
      <w:r w:rsidR="004C69DE">
        <w:rPr>
          <w:szCs w:val="24"/>
        </w:rPr>
        <w:t>p</w:t>
      </w:r>
      <w:r w:rsidRPr="00C63630">
        <w:rPr>
          <w:szCs w:val="24"/>
        </w:rPr>
        <w:t xml:space="preserve">ar nebūtiskām </w:t>
      </w:r>
      <w:r w:rsidR="004C69DE">
        <w:rPr>
          <w:szCs w:val="24"/>
        </w:rPr>
        <w:t>izmaiņām</w:t>
      </w:r>
      <w:r w:rsidRPr="00C63630">
        <w:rPr>
          <w:szCs w:val="24"/>
        </w:rPr>
        <w:t>)</w:t>
      </w:r>
      <w:r>
        <w:rPr>
          <w:szCs w:val="24"/>
        </w:rPr>
        <w:t>;</w:t>
      </w:r>
    </w:p>
    <w:p w:rsidR="003E7B53" w:rsidRPr="00542F4C" w:rsidRDefault="003E7B53" w:rsidP="008C25BB">
      <w:pPr>
        <w:pStyle w:val="ListParagraph"/>
        <w:numPr>
          <w:ilvl w:val="0"/>
          <w:numId w:val="80"/>
        </w:numPr>
        <w:spacing w:before="120" w:after="120"/>
        <w:ind w:left="992" w:right="79" w:hanging="425"/>
        <w:contextualSpacing w:val="0"/>
        <w:jc w:val="both"/>
        <w:rPr>
          <w:szCs w:val="24"/>
        </w:rPr>
      </w:pPr>
      <w:r>
        <w:rPr>
          <w:szCs w:val="24"/>
        </w:rPr>
        <w:t>v</w:t>
      </w:r>
      <w:r w:rsidRPr="00C63630">
        <w:rPr>
          <w:szCs w:val="24"/>
        </w:rPr>
        <w:t>alsts budžeta iestādēm rastos iespēja ātrāk saņemt savā budžetā un sākt lietot neplānotos ieņēmumus (</w:t>
      </w:r>
      <w:r w:rsidR="009E4321">
        <w:rPr>
          <w:szCs w:val="24"/>
        </w:rPr>
        <w:t xml:space="preserve">ļoti bieži tie saistīti ar dalību </w:t>
      </w:r>
      <w:r w:rsidRPr="00C63630">
        <w:rPr>
          <w:szCs w:val="24"/>
        </w:rPr>
        <w:t>dažādos sadarbības projektos). Spēja ātri iesaistīties sadarbības projektā un elastīgi piesaistīt šim mērķim donora finansējumu ceļ valsts pārvaldes prestižu un kompetenci.</w:t>
      </w:r>
    </w:p>
    <w:p w:rsidR="003E7B53" w:rsidRPr="00C63630" w:rsidRDefault="003E7B53" w:rsidP="00B84A18">
      <w:pPr>
        <w:ind w:right="79" w:firstLine="720"/>
        <w:jc w:val="both"/>
        <w:rPr>
          <w:szCs w:val="24"/>
        </w:rPr>
      </w:pPr>
      <w:r w:rsidRPr="00C63630">
        <w:rPr>
          <w:szCs w:val="24"/>
        </w:rPr>
        <w:t>Jāpiemin, ka šāds risinājums</w:t>
      </w:r>
      <w:r>
        <w:rPr>
          <w:szCs w:val="24"/>
        </w:rPr>
        <w:t xml:space="preserve">, kad </w:t>
      </w:r>
      <w:r w:rsidRPr="00C63630">
        <w:rPr>
          <w:szCs w:val="24"/>
        </w:rPr>
        <w:t>budžeta izpildes laikā</w:t>
      </w:r>
      <w:r>
        <w:rPr>
          <w:szCs w:val="24"/>
        </w:rPr>
        <w:t>,</w:t>
      </w:r>
      <w:r w:rsidRPr="00C63630">
        <w:rPr>
          <w:szCs w:val="24"/>
        </w:rPr>
        <w:t xml:space="preserve"> veicot izmaiņas pret sākotnēji apstiprināto budžetu, likumdevēja </w:t>
      </w:r>
      <w:r>
        <w:rPr>
          <w:szCs w:val="24"/>
        </w:rPr>
        <w:t>iesaiste</w:t>
      </w:r>
      <w:r w:rsidRPr="00C63630">
        <w:rPr>
          <w:szCs w:val="24"/>
        </w:rPr>
        <w:t xml:space="preserve"> ir nepieciešama tikai par būtiskām izmaiņām</w:t>
      </w:r>
      <w:r>
        <w:rPr>
          <w:szCs w:val="24"/>
        </w:rPr>
        <w:t>,</w:t>
      </w:r>
      <w:r w:rsidRPr="00C63630">
        <w:rPr>
          <w:szCs w:val="24"/>
        </w:rPr>
        <w:t xml:space="preserve"> atbilst OECD un citām starptautiskajām rekomendācijām budžeta vadības jomā</w:t>
      </w:r>
      <w:r>
        <w:rPr>
          <w:szCs w:val="24"/>
        </w:rPr>
        <w:t>.</w:t>
      </w:r>
    </w:p>
    <w:p w:rsidR="003E7B53" w:rsidRPr="00C63630" w:rsidRDefault="003E7B53" w:rsidP="00B84A18">
      <w:pPr>
        <w:spacing w:before="120"/>
        <w:ind w:firstLine="720"/>
        <w:jc w:val="both"/>
        <w:rPr>
          <w:szCs w:val="24"/>
        </w:rPr>
      </w:pPr>
      <w:r>
        <w:t xml:space="preserve">Lai efektivizētu minētā </w:t>
      </w:r>
      <w:r>
        <w:rPr>
          <w:szCs w:val="24"/>
        </w:rPr>
        <w:t>procesa praktisko ieviešanu</w:t>
      </w:r>
      <w:r w:rsidRPr="00C63630">
        <w:rPr>
          <w:szCs w:val="24"/>
        </w:rPr>
        <w:t xml:space="preserve">, </w:t>
      </w:r>
      <w:r w:rsidR="00542F4C">
        <w:rPr>
          <w:szCs w:val="24"/>
        </w:rPr>
        <w:t>FM</w:t>
      </w:r>
      <w:r w:rsidRPr="00C63630">
        <w:rPr>
          <w:szCs w:val="24"/>
        </w:rPr>
        <w:t xml:space="preserve"> (sadarbībā ar nozaru ministrijām) varētu uzkrāt ministriju pieteikumus un virzīt to</w:t>
      </w:r>
      <w:r>
        <w:rPr>
          <w:szCs w:val="24"/>
        </w:rPr>
        <w:t>s</w:t>
      </w:r>
      <w:r w:rsidRPr="00C63630">
        <w:rPr>
          <w:szCs w:val="24"/>
        </w:rPr>
        <w:t xml:space="preserve"> uz Saeimas Budžeta komisiju, piemēram, </w:t>
      </w:r>
      <w:r w:rsidRPr="00F2432E">
        <w:rPr>
          <w:szCs w:val="24"/>
        </w:rPr>
        <w:t xml:space="preserve">reizi ceturksnī. </w:t>
      </w:r>
      <w:r w:rsidRPr="00C63630">
        <w:rPr>
          <w:szCs w:val="24"/>
        </w:rPr>
        <w:t>Īpaši būtiskos un neatliekamos g</w:t>
      </w:r>
      <w:r>
        <w:rPr>
          <w:szCs w:val="24"/>
        </w:rPr>
        <w:t>adījumus varētu virzīt</w:t>
      </w:r>
      <w:r w:rsidRPr="00C63630">
        <w:rPr>
          <w:szCs w:val="24"/>
        </w:rPr>
        <w:t xml:space="preserve"> uz Saeimas Budžeta komisiju izņēmuma kārtā</w:t>
      </w:r>
      <w:r>
        <w:rPr>
          <w:szCs w:val="24"/>
        </w:rPr>
        <w:t>.</w:t>
      </w:r>
    </w:p>
    <w:p w:rsidR="003E7B53" w:rsidRDefault="003E7B53" w:rsidP="00BF445B">
      <w:pPr>
        <w:ind w:firstLine="709"/>
      </w:pPr>
    </w:p>
    <w:p w:rsidR="003E7B53" w:rsidRPr="00BF445B" w:rsidRDefault="003E7B53" w:rsidP="00BF445B">
      <w:pPr>
        <w:ind w:firstLine="709"/>
        <w:jc w:val="both"/>
      </w:pPr>
      <w:r w:rsidRPr="00BF445B">
        <w:t xml:space="preserve">Lai minētos pilnveidojumus īstenotu jau ar 2018.gada budžeta izpildi, </w:t>
      </w:r>
      <w:r w:rsidRPr="00BF445B">
        <w:rPr>
          <w:rFonts w:eastAsia="Times New Roman" w:cs="Times New Roman"/>
          <w:szCs w:val="24"/>
          <w:lang w:eastAsia="lv-LV"/>
        </w:rPr>
        <w:t xml:space="preserve">FM virzīs atbilstošos grozījumus </w:t>
      </w:r>
      <w:r w:rsidR="00542F4C" w:rsidRPr="00BF445B">
        <w:rPr>
          <w:rFonts w:eastAsia="Times New Roman" w:cs="Times New Roman"/>
          <w:szCs w:val="24"/>
          <w:lang w:eastAsia="lv-LV"/>
        </w:rPr>
        <w:t>LBFV</w:t>
      </w:r>
      <w:r w:rsidRPr="00BF445B">
        <w:rPr>
          <w:rFonts w:eastAsia="Times New Roman" w:cs="Times New Roman"/>
          <w:szCs w:val="24"/>
          <w:lang w:eastAsia="lv-LV"/>
        </w:rPr>
        <w:t xml:space="preserve"> likumprojekta “Par valsts budžetu 2018.gadam” pavadošo likumprojektu paketē.</w:t>
      </w:r>
    </w:p>
    <w:p w:rsidR="00466A08" w:rsidRDefault="00466A08" w:rsidP="007B777F">
      <w:pPr>
        <w:pStyle w:val="Heading2"/>
        <w:spacing w:before="240" w:after="240"/>
        <w:jc w:val="center"/>
        <w:rPr>
          <w:rFonts w:ascii="Times New Roman" w:hAnsi="Times New Roman" w:cs="Times New Roman"/>
          <w:color w:val="auto"/>
          <w:sz w:val="28"/>
          <w:szCs w:val="28"/>
        </w:rPr>
      </w:pPr>
      <w:bookmarkStart w:id="9" w:name="_Toc487036793"/>
      <w:r>
        <w:rPr>
          <w:rFonts w:ascii="Times New Roman" w:hAnsi="Times New Roman" w:cs="Times New Roman"/>
          <w:color w:val="auto"/>
          <w:sz w:val="28"/>
          <w:szCs w:val="28"/>
        </w:rPr>
        <w:t>2.3. Valsts budžeta bāzes izdevumu noteikšanas kārtība</w:t>
      </w:r>
      <w:bookmarkEnd w:id="9"/>
    </w:p>
    <w:p w:rsidR="007659D9" w:rsidRDefault="007659D9" w:rsidP="007659D9">
      <w:pPr>
        <w:ind w:firstLine="720"/>
        <w:jc w:val="both"/>
      </w:pPr>
      <w:r w:rsidRPr="00A31B0C">
        <w:t xml:space="preserve">Valsts budžeta izdevumu plānošanā sākotnēji tiek aprēķināti un saskaņoti bāzes izdevumi. Bāzes izdevumu aprēķinu un to sasaistes principus ar vidēja termiņa budžeta ietvara likumu nosaka </w:t>
      </w:r>
      <w:r>
        <w:t xml:space="preserve">MK noteikumi Nr.867. </w:t>
      </w:r>
      <w:r w:rsidRPr="00A31B0C">
        <w:t>Tādējādi sākotnēji tiek noteikts nepieciešamais izdevumu apjoms, lai nodrošinātu valsts funkciju izpildi nemainīgā līmenī.</w:t>
      </w:r>
    </w:p>
    <w:p w:rsidR="007659D9" w:rsidRDefault="007659D9" w:rsidP="007659D9">
      <w:pPr>
        <w:spacing w:before="120"/>
        <w:ind w:firstLine="720"/>
        <w:jc w:val="both"/>
      </w:pPr>
      <w:r>
        <w:t xml:space="preserve">MK noteikumi Nr.867 ir spēkā kopš 2012.gada 11.decembra, pamatojoties uz </w:t>
      </w:r>
      <w:r w:rsidRPr="00FE1C3B">
        <w:t xml:space="preserve">līdzšinējo valsts budžeta </w:t>
      </w:r>
      <w:r>
        <w:t>bāzes izdevumu</w:t>
      </w:r>
      <w:r w:rsidRPr="00FE1C3B">
        <w:t xml:space="preserve"> veidošanas praksi, tika veikta analīze par </w:t>
      </w:r>
      <w:r>
        <w:t>valsts budžeta bāzes izdevumu aprēķināšanas procesu un</w:t>
      </w:r>
      <w:r w:rsidRPr="00FE1C3B">
        <w:t xml:space="preserve"> saskatītas iespējas š</w:t>
      </w:r>
      <w:r>
        <w:t>ī</w:t>
      </w:r>
      <w:r w:rsidRPr="00FE1C3B">
        <w:t xml:space="preserve"> proces</w:t>
      </w:r>
      <w:r>
        <w:t>a</w:t>
      </w:r>
      <w:r w:rsidRPr="00FE1C3B">
        <w:t xml:space="preserve"> pilnveido</w:t>
      </w:r>
      <w:r>
        <w:t>šanai.</w:t>
      </w:r>
    </w:p>
    <w:p w:rsidR="007659D9" w:rsidRPr="00B24D7A" w:rsidRDefault="007659D9" w:rsidP="007659D9">
      <w:pPr>
        <w:spacing w:before="120" w:after="120"/>
        <w:ind w:left="130" w:firstLine="425"/>
        <w:jc w:val="both"/>
      </w:pPr>
      <w:r>
        <w:t xml:space="preserve">2017.gada sākumā FM sagatavoja grozījumus MK noteikumos Nr.867, lai pilnveidotu </w:t>
      </w:r>
      <w:r w:rsidRPr="00C27128">
        <w:t>jauno politikas iniciatīvu un citu atbalstāmo pasākumu iesniegšanas un vērtēšanas procesu</w:t>
      </w:r>
      <w:r>
        <w:t xml:space="preserve">, izveidojot </w:t>
      </w:r>
      <w:r w:rsidRPr="00B24D7A">
        <w:t xml:space="preserve">vienotu konceptu – </w:t>
      </w:r>
      <w:r w:rsidRPr="00C27128">
        <w:rPr>
          <w:i/>
        </w:rPr>
        <w:t>prioritārie pasākumi</w:t>
      </w:r>
      <w:r w:rsidRPr="00B24D7A">
        <w:t xml:space="preserve">. Papildus </w:t>
      </w:r>
      <w:r>
        <w:t>grozījumu projektā iekļauti</w:t>
      </w:r>
      <w:r w:rsidRPr="00B24D7A">
        <w:t xml:space="preserve"> precizē</w:t>
      </w:r>
      <w:r>
        <w:t>jumi</w:t>
      </w:r>
      <w:r w:rsidRPr="00B24D7A">
        <w:t xml:space="preserve"> valsts budžeta bāzes izdevumu noteikšanas pro</w:t>
      </w:r>
      <w:r>
        <w:t>cesā</w:t>
      </w:r>
      <w:r w:rsidRPr="00B24D7A">
        <w:t>.</w:t>
      </w:r>
    </w:p>
    <w:p w:rsidR="007659D9" w:rsidRDefault="007659D9" w:rsidP="007659D9">
      <w:pPr>
        <w:spacing w:before="120" w:after="120"/>
        <w:ind w:firstLine="720"/>
        <w:jc w:val="both"/>
      </w:pPr>
      <w:r>
        <w:t>Lai turpinātu pilnveidot valsts budžeta bāzes izdevumu aprēķināšanas kārtību, FM plāno sagatavo</w:t>
      </w:r>
      <w:r w:rsidR="0081499D">
        <w:t>t</w:t>
      </w:r>
      <w:r>
        <w:t xml:space="preserve"> grozījumus MK noteikumos Nr.867, lai tajos iekļautu konstatētās nepieciešamās izmaiņas bāzes izdevumu aprēķināšanas metodikā:</w:t>
      </w:r>
    </w:p>
    <w:p w:rsidR="007659D9" w:rsidRPr="00E21589" w:rsidRDefault="007659D9" w:rsidP="008C25BB">
      <w:pPr>
        <w:pStyle w:val="ListParagraph"/>
        <w:numPr>
          <w:ilvl w:val="0"/>
          <w:numId w:val="45"/>
        </w:numPr>
        <w:spacing w:before="120" w:after="120"/>
        <w:jc w:val="both"/>
      </w:pPr>
      <w:r w:rsidRPr="006E0B6F">
        <w:rPr>
          <w:i/>
        </w:rPr>
        <w:t>Skaidrāk definētas pienākumu un tiesību robežas</w:t>
      </w:r>
    </w:p>
    <w:p w:rsidR="007659D9" w:rsidRDefault="007659D9" w:rsidP="007659D9">
      <w:pPr>
        <w:spacing w:before="120" w:after="120"/>
        <w:ind w:firstLine="720"/>
        <w:jc w:val="both"/>
      </w:pPr>
      <w:r>
        <w:t>MK noteikumu Nr.867 10.punkts nosaka, ka FM</w:t>
      </w:r>
      <w:r w:rsidRPr="00623837">
        <w:t xml:space="preserve"> valsts pamatbudžeta bāzi ministrijai n+1, n+2 un n</w:t>
      </w:r>
      <w:r>
        <w:t xml:space="preserve">+3 gadam aprēķina, ievērojot </w:t>
      </w:r>
      <w:r w:rsidRPr="00623837">
        <w:t>noteikum</w:t>
      </w:r>
      <w:r>
        <w:t>os</w:t>
      </w:r>
      <w:r w:rsidRPr="00623837">
        <w:t xml:space="preserve"> minētos nosacījumus un ņemot vērā izmaiņas</w:t>
      </w:r>
      <w:r>
        <w:t>, tajā skaitā</w:t>
      </w:r>
      <w:r w:rsidRPr="00623837">
        <w:t>:</w:t>
      </w:r>
    </w:p>
    <w:p w:rsidR="007659D9" w:rsidRDefault="007659D9" w:rsidP="008C25BB">
      <w:pPr>
        <w:pStyle w:val="ListParagraph"/>
        <w:numPr>
          <w:ilvl w:val="0"/>
          <w:numId w:val="46"/>
        </w:numPr>
        <w:spacing w:after="120"/>
        <w:jc w:val="both"/>
      </w:pPr>
      <w:r w:rsidRPr="00623837">
        <w:t>ieņēmumos no maksas pakalpojumiem un citiem pašu ieņēmumiem un tiem atbilstošajos izdevumos</w:t>
      </w:r>
      <w:r>
        <w:t xml:space="preserve"> (10.2.punkts);</w:t>
      </w:r>
    </w:p>
    <w:p w:rsidR="007659D9" w:rsidRDefault="007659D9" w:rsidP="008C25BB">
      <w:pPr>
        <w:pStyle w:val="ListParagraph"/>
        <w:numPr>
          <w:ilvl w:val="0"/>
          <w:numId w:val="46"/>
        </w:numPr>
        <w:spacing w:after="120"/>
        <w:jc w:val="both"/>
      </w:pPr>
      <w:r w:rsidRPr="00623837">
        <w:lastRenderedPageBreak/>
        <w:t>valsts sociālo pabalstu saņēmēju kontingenta prognozēs, izdienas pensiju un piemaksu pie vecuma un invaliditātes pensijām vidējā apmēra un saņēmēju kontingenta prognozēs, bēgļu un personu, kurām piešķirts alternatīvais statuss, pabalstu saņēmēju kontingenta prognozēs</w:t>
      </w:r>
      <w:r>
        <w:t xml:space="preserve"> (10.3.punkts);</w:t>
      </w:r>
    </w:p>
    <w:p w:rsidR="007659D9" w:rsidRPr="002C0650" w:rsidRDefault="007659D9" w:rsidP="008C25BB">
      <w:pPr>
        <w:pStyle w:val="ListParagraph"/>
        <w:numPr>
          <w:ilvl w:val="0"/>
          <w:numId w:val="46"/>
        </w:numPr>
        <w:jc w:val="both"/>
      </w:pPr>
      <w:r w:rsidRPr="00623837">
        <w:t xml:space="preserve">uzturēšanas izdevumos, kas rodas no veiktajiem kapitālajiem ieguldījumiem pabeigtos projektos, kas ir nodoti ekspluatācijā un par kuriem tiks veikts galīgā norēķina maksājums (tai skaitā no </w:t>
      </w:r>
      <w:r>
        <w:t>ES</w:t>
      </w:r>
      <w:r w:rsidRPr="00623837">
        <w:t xml:space="preserve"> politiku instrumentu un pārējo </w:t>
      </w:r>
      <w:r w:rsidR="00B84A18" w:rsidRPr="00B84A18">
        <w:t>ārvalstu finanšu palīdzības</w:t>
      </w:r>
      <w:r w:rsidR="00B84A18">
        <w:t xml:space="preserve"> </w:t>
      </w:r>
      <w:r w:rsidRPr="00623837">
        <w:t>līdzekļu ietvaros veiktajām investīcijām) un kas turpmāk jāfinansē no valsts budžeta līdzekļiem atbilstoši noslēgtajiem līgumiem, citiem pamatojuma dokumentiem vai aprēķiniem</w:t>
      </w:r>
      <w:r>
        <w:t xml:space="preserve"> (10.4.punkts).</w:t>
      </w:r>
    </w:p>
    <w:p w:rsidR="007659D9" w:rsidRPr="00F7554F" w:rsidRDefault="007659D9" w:rsidP="00B84A18">
      <w:pPr>
        <w:spacing w:before="120" w:after="120"/>
        <w:ind w:firstLine="720"/>
        <w:jc w:val="both"/>
        <w:rPr>
          <w:u w:val="single"/>
        </w:rPr>
      </w:pPr>
      <w:r w:rsidRPr="00F7554F">
        <w:rPr>
          <w:u w:val="single"/>
        </w:rPr>
        <w:t>Priekšlikumi izmaiņām:</w:t>
      </w:r>
    </w:p>
    <w:p w:rsidR="007659D9" w:rsidRDefault="007659D9" w:rsidP="008C25BB">
      <w:pPr>
        <w:pStyle w:val="ListParagraph"/>
        <w:numPr>
          <w:ilvl w:val="0"/>
          <w:numId w:val="47"/>
        </w:numPr>
        <w:spacing w:before="120"/>
        <w:ind w:left="714" w:hanging="357"/>
        <w:contextualSpacing w:val="0"/>
        <w:jc w:val="both"/>
      </w:pPr>
      <w:r>
        <w:t xml:space="preserve">Nepieciešams precizēt MK noteikumu Nr.867 10.4.punktu nosakot, ka uzturēšanas izdevumus, kas rodas no veiktajiem kapitālajiem ieguldījumiem pabeigtos projektos, kas ir nodoti ekspluatācijā un par kuriem </w:t>
      </w:r>
      <w:r w:rsidRPr="00F7554F">
        <w:rPr>
          <w:i/>
        </w:rPr>
        <w:t>ir veikts galīgā norēķina maksājums</w:t>
      </w:r>
      <w:r>
        <w:t>, skaidri definējot robežu, kad ministrijai valsts pamatbudžeta bāzes izdevumos tiek iekļauti uzturēšanas izdevumi, kas rodas no veiktajiem kapitālajiem ieguldījumiem pabeigtos projektos.</w:t>
      </w:r>
    </w:p>
    <w:p w:rsidR="007659D9" w:rsidRDefault="007659D9" w:rsidP="008C25BB">
      <w:pPr>
        <w:pStyle w:val="ListParagraph"/>
        <w:numPr>
          <w:ilvl w:val="0"/>
          <w:numId w:val="47"/>
        </w:numPr>
        <w:spacing w:before="120"/>
        <w:ind w:left="714" w:hanging="357"/>
        <w:contextualSpacing w:val="0"/>
        <w:jc w:val="both"/>
      </w:pPr>
      <w:r>
        <w:t xml:space="preserve">Ņemot vērā, ka FM </w:t>
      </w:r>
      <w:r w:rsidRPr="002F77ED">
        <w:t>lielākoties izmaiņas</w:t>
      </w:r>
      <w:r>
        <w:t xml:space="preserve">, kuras paredzētas MK noteikumu Nr.867 10.2., 10.3. un 10.4.punktos nevar aprēķināt, t.i., šāda </w:t>
      </w:r>
      <w:r w:rsidRPr="002F77ED">
        <w:t>informācija jā</w:t>
      </w:r>
      <w:r>
        <w:t>pieprasa no nozares ministrijas, nepieciešamas precizēt minētos noteikumu punktus, lai skaidrāk definētu kādas izmaiņas, aprēķinus un precizējumus veic FM un kāda informācija tiek pieprasīta no nozares ministrijas.</w:t>
      </w:r>
    </w:p>
    <w:p w:rsidR="007659D9" w:rsidRDefault="007659D9" w:rsidP="00AF7F30">
      <w:pPr>
        <w:spacing w:before="120"/>
        <w:ind w:left="851" w:hanging="425"/>
        <w:jc w:val="both"/>
        <w:rPr>
          <w:szCs w:val="24"/>
        </w:rPr>
      </w:pPr>
      <w:r>
        <w:rPr>
          <w:szCs w:val="24"/>
        </w:rPr>
        <w:t>2)</w:t>
      </w:r>
      <w:r w:rsidRPr="0044369A">
        <w:t xml:space="preserve"> </w:t>
      </w:r>
      <w:r w:rsidRPr="0044369A">
        <w:rPr>
          <w:i/>
          <w:szCs w:val="24"/>
        </w:rPr>
        <w:t>Nevienveidīgas interpretācijas iespēju samazināšana</w:t>
      </w:r>
      <w:r w:rsidRPr="0044369A">
        <w:rPr>
          <w:szCs w:val="24"/>
        </w:rPr>
        <w:t xml:space="preserve"> </w:t>
      </w:r>
    </w:p>
    <w:p w:rsidR="007659D9" w:rsidRPr="003330A9" w:rsidRDefault="007659D9" w:rsidP="00B84A18">
      <w:pPr>
        <w:spacing w:before="120"/>
        <w:ind w:firstLine="720"/>
        <w:jc w:val="both"/>
        <w:rPr>
          <w:szCs w:val="24"/>
        </w:rPr>
      </w:pPr>
      <w:r>
        <w:rPr>
          <w:szCs w:val="24"/>
        </w:rPr>
        <w:t>MK noteikumi Nr.867:</w:t>
      </w:r>
    </w:p>
    <w:p w:rsidR="009E4321" w:rsidRPr="003330A9" w:rsidRDefault="009E4321" w:rsidP="009E4321">
      <w:pPr>
        <w:pStyle w:val="ListParagraph"/>
        <w:numPr>
          <w:ilvl w:val="0"/>
          <w:numId w:val="48"/>
        </w:numPr>
        <w:spacing w:before="120" w:after="120"/>
        <w:ind w:left="714" w:hanging="357"/>
        <w:contextualSpacing w:val="0"/>
        <w:jc w:val="both"/>
        <w:rPr>
          <w:szCs w:val="24"/>
        </w:rPr>
      </w:pPr>
      <w:r w:rsidRPr="003330A9">
        <w:rPr>
          <w:szCs w:val="24"/>
        </w:rPr>
        <w:t xml:space="preserve">nepastāv detalizēti nosacījumi (ierobežojumi), kādi izdevumi iekļaujami uzturēšanas izdevumos, kas rodas no veiktajiem kapitālajiem ieguldījumiem </w:t>
      </w:r>
      <w:r>
        <w:rPr>
          <w:szCs w:val="24"/>
        </w:rPr>
        <w:t xml:space="preserve">pabeigtajos projektos </w:t>
      </w:r>
      <w:r w:rsidRPr="003330A9">
        <w:rPr>
          <w:szCs w:val="24"/>
        </w:rPr>
        <w:t>(piem</w:t>
      </w:r>
      <w:r>
        <w:rPr>
          <w:szCs w:val="24"/>
        </w:rPr>
        <w:t>ēram</w:t>
      </w:r>
      <w:r w:rsidRPr="003330A9">
        <w:rPr>
          <w:szCs w:val="24"/>
        </w:rPr>
        <w:t>, ma</w:t>
      </w:r>
      <w:r>
        <w:rPr>
          <w:szCs w:val="24"/>
        </w:rPr>
        <w:t>ksimālais</w:t>
      </w:r>
      <w:r w:rsidRPr="003330A9">
        <w:rPr>
          <w:szCs w:val="24"/>
        </w:rPr>
        <w:t xml:space="preserve"> procentuālais apmērs uzturēšanas izdevumiem no IT (varbūt arī citu) projektu kopējām izmaksām</w:t>
      </w:r>
      <w:r>
        <w:rPr>
          <w:szCs w:val="24"/>
        </w:rPr>
        <w:t xml:space="preserve"> </w:t>
      </w:r>
      <w:r w:rsidRPr="003330A9">
        <w:rPr>
          <w:szCs w:val="24"/>
        </w:rPr>
        <w:t xml:space="preserve">– </w:t>
      </w:r>
      <w:r>
        <w:rPr>
          <w:szCs w:val="24"/>
        </w:rPr>
        <w:t xml:space="preserve">IT gadījumā </w:t>
      </w:r>
      <w:r w:rsidRPr="003330A9">
        <w:rPr>
          <w:szCs w:val="24"/>
        </w:rPr>
        <w:t>nepieciešama VARAM iesaistes procedūra; gadījumi, kad uzturēšanas izdevumos tiek/netiek iekļauti izdevumi atlīdzībai</w:t>
      </w:r>
      <w:r>
        <w:rPr>
          <w:szCs w:val="24"/>
        </w:rPr>
        <w:t>) (10.4.punkts)</w:t>
      </w:r>
      <w:r w:rsidRPr="003330A9">
        <w:rPr>
          <w:szCs w:val="24"/>
        </w:rPr>
        <w:t>;</w:t>
      </w:r>
    </w:p>
    <w:p w:rsidR="007659D9" w:rsidRPr="003330A9" w:rsidRDefault="007659D9" w:rsidP="008C25BB">
      <w:pPr>
        <w:pStyle w:val="ListParagraph"/>
        <w:numPr>
          <w:ilvl w:val="0"/>
          <w:numId w:val="48"/>
        </w:numPr>
        <w:spacing w:before="120" w:after="120"/>
        <w:contextualSpacing w:val="0"/>
        <w:jc w:val="both"/>
        <w:rPr>
          <w:szCs w:val="24"/>
        </w:rPr>
      </w:pPr>
      <w:r w:rsidRPr="003330A9">
        <w:rPr>
          <w:szCs w:val="24"/>
        </w:rPr>
        <w:t>uzturēšanas izdevumi, kas rodas no veiktajiem kapitālajiem ieguldījumiem pabeigtos projektos, kas ir nodoti ekspluatācijā un par kuriem tiks veikts galīgā norēķina maksājums (</w:t>
      </w:r>
      <w:r w:rsidRPr="003330A9">
        <w:rPr>
          <w:i/>
          <w:szCs w:val="24"/>
        </w:rPr>
        <w:t xml:space="preserve">jāmaina formulējums uz </w:t>
      </w:r>
      <w:r>
        <w:rPr>
          <w:i/>
          <w:szCs w:val="24"/>
        </w:rPr>
        <w:t>“</w:t>
      </w:r>
      <w:r w:rsidRPr="003330A9">
        <w:rPr>
          <w:i/>
          <w:szCs w:val="24"/>
        </w:rPr>
        <w:t>ir veikts</w:t>
      </w:r>
      <w:r>
        <w:rPr>
          <w:i/>
          <w:szCs w:val="24"/>
        </w:rPr>
        <w:t>”</w:t>
      </w:r>
      <w:r w:rsidRPr="003330A9">
        <w:rPr>
          <w:szCs w:val="24"/>
        </w:rPr>
        <w:t>)</w:t>
      </w:r>
      <w:r>
        <w:rPr>
          <w:szCs w:val="24"/>
        </w:rPr>
        <w:t>.</w:t>
      </w:r>
      <w:r w:rsidRPr="003330A9">
        <w:rPr>
          <w:szCs w:val="24"/>
        </w:rPr>
        <w:t xml:space="preserve"> </w:t>
      </w:r>
      <w:r>
        <w:rPr>
          <w:szCs w:val="24"/>
        </w:rPr>
        <w:t>VKo</w:t>
      </w:r>
      <w:r w:rsidRPr="003330A9">
        <w:rPr>
          <w:szCs w:val="24"/>
        </w:rPr>
        <w:t xml:space="preserve"> pamatoti norādītais, ka pastāv dažāda pieeja no FM puses</w:t>
      </w:r>
      <w:r>
        <w:rPr>
          <w:szCs w:val="24"/>
        </w:rPr>
        <w:t xml:space="preserve"> (10.4.punkts)</w:t>
      </w:r>
      <w:r w:rsidRPr="003330A9">
        <w:rPr>
          <w:szCs w:val="24"/>
        </w:rPr>
        <w:t>;</w:t>
      </w:r>
    </w:p>
    <w:p w:rsidR="007659D9" w:rsidRPr="003330A9" w:rsidRDefault="007659D9" w:rsidP="008C25BB">
      <w:pPr>
        <w:pStyle w:val="ListParagraph"/>
        <w:numPr>
          <w:ilvl w:val="0"/>
          <w:numId w:val="48"/>
        </w:numPr>
        <w:spacing w:before="120" w:after="120"/>
        <w:contextualSpacing w:val="0"/>
        <w:jc w:val="both"/>
        <w:rPr>
          <w:szCs w:val="24"/>
        </w:rPr>
      </w:pPr>
      <w:r w:rsidRPr="003330A9">
        <w:rPr>
          <w:szCs w:val="24"/>
        </w:rPr>
        <w:t>nepieļauj pārdali no valsts sociālajiem pabalstiem uz citiem izdevumiem (piem</w:t>
      </w:r>
      <w:r>
        <w:rPr>
          <w:szCs w:val="24"/>
        </w:rPr>
        <w:t>ēram</w:t>
      </w:r>
      <w:r w:rsidRPr="003330A9">
        <w:rPr>
          <w:szCs w:val="24"/>
        </w:rPr>
        <w:t>, ja IZM stipendijas nodod pri</w:t>
      </w:r>
      <w:r>
        <w:rPr>
          <w:szCs w:val="24"/>
        </w:rPr>
        <w:t xml:space="preserve">vātajai skolai) – jāparedz, ka, </w:t>
      </w:r>
      <w:r w:rsidRPr="003330A9">
        <w:rPr>
          <w:szCs w:val="24"/>
        </w:rPr>
        <w:t>saglabājot pakalpojum</w:t>
      </w:r>
      <w:r>
        <w:rPr>
          <w:szCs w:val="24"/>
        </w:rPr>
        <w:t>u, šādas pārdales ir iespējamas (13.punkts);</w:t>
      </w:r>
    </w:p>
    <w:p w:rsidR="007659D9" w:rsidRPr="002C0650" w:rsidRDefault="007659D9" w:rsidP="008C25BB">
      <w:pPr>
        <w:pStyle w:val="ListParagraph"/>
        <w:numPr>
          <w:ilvl w:val="0"/>
          <w:numId w:val="48"/>
        </w:numPr>
        <w:spacing w:before="120"/>
        <w:ind w:left="714" w:hanging="357"/>
        <w:contextualSpacing w:val="0"/>
        <w:jc w:val="both"/>
        <w:rPr>
          <w:szCs w:val="24"/>
        </w:rPr>
      </w:pPr>
      <w:r>
        <w:rPr>
          <w:szCs w:val="24"/>
        </w:rPr>
        <w:t>i</w:t>
      </w:r>
      <w:r w:rsidRPr="003330A9">
        <w:rPr>
          <w:szCs w:val="24"/>
        </w:rPr>
        <w:t xml:space="preserve">emaksas dažādās starptautiskajās organizācijās. Ja uzņemas jaunas saistības nepieciešams MK lēmums, bet ir gadījumi, kad esošās iemaksas no ārvalstu partneru puses dažādu iemeslu dēļ tiek palielinātas un daudzos gadījumos netiek slēgts (vai grozīts) līgums. Nepieciešami kritēriji pēc kādiem tiek izvērtēts un pieņemts lēmums iekļaut bāzē </w:t>
      </w:r>
      <w:r>
        <w:rPr>
          <w:szCs w:val="24"/>
        </w:rPr>
        <w:t xml:space="preserve">(vai neiekļaut) </w:t>
      </w:r>
      <w:r w:rsidRPr="003330A9">
        <w:rPr>
          <w:szCs w:val="24"/>
        </w:rPr>
        <w:t>papildu finansējumu starptautiskajai sada</w:t>
      </w:r>
      <w:r>
        <w:rPr>
          <w:szCs w:val="24"/>
        </w:rPr>
        <w:t xml:space="preserve">rbībai </w:t>
      </w:r>
      <w:r w:rsidRPr="003330A9">
        <w:rPr>
          <w:szCs w:val="24"/>
        </w:rPr>
        <w:t>(10.1.p</w:t>
      </w:r>
      <w:r>
        <w:rPr>
          <w:szCs w:val="24"/>
        </w:rPr>
        <w:t>unkts</w:t>
      </w:r>
      <w:r w:rsidRPr="003330A9">
        <w:rPr>
          <w:szCs w:val="24"/>
        </w:rPr>
        <w:t xml:space="preserve"> – starptautiskā sadarbība).</w:t>
      </w:r>
    </w:p>
    <w:p w:rsidR="007659D9" w:rsidRPr="002041C6" w:rsidRDefault="007659D9" w:rsidP="00B84A18">
      <w:pPr>
        <w:spacing w:before="120" w:after="120"/>
        <w:ind w:firstLine="720"/>
        <w:jc w:val="both"/>
        <w:rPr>
          <w:u w:val="single"/>
        </w:rPr>
      </w:pPr>
      <w:r w:rsidRPr="002041C6">
        <w:rPr>
          <w:u w:val="single"/>
        </w:rPr>
        <w:t>Priekšlikumi izmaiņām:</w:t>
      </w:r>
    </w:p>
    <w:p w:rsidR="007659D9" w:rsidRDefault="007659D9" w:rsidP="008C25BB">
      <w:pPr>
        <w:pStyle w:val="ListParagraph"/>
        <w:numPr>
          <w:ilvl w:val="0"/>
          <w:numId w:val="49"/>
        </w:numPr>
        <w:spacing w:after="120"/>
        <w:ind w:left="714" w:hanging="357"/>
        <w:contextualSpacing w:val="0"/>
        <w:jc w:val="both"/>
        <w:rPr>
          <w:szCs w:val="24"/>
        </w:rPr>
      </w:pPr>
      <w:r>
        <w:rPr>
          <w:szCs w:val="24"/>
        </w:rPr>
        <w:t>Precizēt nosacījumus, kādi valsts pamatbudžeta bāzes izdevumi tiek aprēķināti bal</w:t>
      </w:r>
      <w:r w:rsidR="00120D27">
        <w:rPr>
          <w:szCs w:val="24"/>
        </w:rPr>
        <w:t>stoties uz kontingenta izmaiņām;</w:t>
      </w:r>
    </w:p>
    <w:p w:rsidR="007659D9" w:rsidRDefault="007659D9" w:rsidP="008C25BB">
      <w:pPr>
        <w:pStyle w:val="ListParagraph"/>
        <w:numPr>
          <w:ilvl w:val="0"/>
          <w:numId w:val="49"/>
        </w:numPr>
        <w:spacing w:after="120"/>
        <w:ind w:left="714" w:hanging="357"/>
        <w:contextualSpacing w:val="0"/>
        <w:jc w:val="both"/>
        <w:rPr>
          <w:szCs w:val="24"/>
        </w:rPr>
      </w:pPr>
      <w:r>
        <w:rPr>
          <w:szCs w:val="24"/>
        </w:rPr>
        <w:lastRenderedPageBreak/>
        <w:t xml:space="preserve">Precizēt un definēt </w:t>
      </w:r>
      <w:r w:rsidRPr="003330A9">
        <w:rPr>
          <w:szCs w:val="24"/>
        </w:rPr>
        <w:t>nosacījum</w:t>
      </w:r>
      <w:r>
        <w:rPr>
          <w:szCs w:val="24"/>
        </w:rPr>
        <w:t>us (ierobežojumus</w:t>
      </w:r>
      <w:r w:rsidRPr="003330A9">
        <w:rPr>
          <w:szCs w:val="24"/>
        </w:rPr>
        <w:t xml:space="preserve">), kādi izdevumi iekļaujami uzturēšanas izdevumos, kas rodas no veiktajiem kapitālajiem ieguldījumiem </w:t>
      </w:r>
      <w:r>
        <w:rPr>
          <w:szCs w:val="24"/>
        </w:rPr>
        <w:t>pabeigtajos projektos.</w:t>
      </w:r>
    </w:p>
    <w:p w:rsidR="007659D9" w:rsidRDefault="007659D9" w:rsidP="008C25BB">
      <w:pPr>
        <w:pStyle w:val="ListParagraph"/>
        <w:numPr>
          <w:ilvl w:val="0"/>
          <w:numId w:val="49"/>
        </w:numPr>
        <w:spacing w:after="120"/>
        <w:ind w:left="714" w:hanging="357"/>
        <w:contextualSpacing w:val="0"/>
        <w:jc w:val="both"/>
        <w:rPr>
          <w:szCs w:val="24"/>
        </w:rPr>
      </w:pPr>
      <w:r>
        <w:rPr>
          <w:szCs w:val="24"/>
        </w:rPr>
        <w:t xml:space="preserve">Jāparedz, ka, </w:t>
      </w:r>
      <w:r w:rsidRPr="003330A9">
        <w:rPr>
          <w:szCs w:val="24"/>
        </w:rPr>
        <w:t>saglabājot pakalpojum</w:t>
      </w:r>
      <w:r>
        <w:rPr>
          <w:szCs w:val="24"/>
        </w:rPr>
        <w:t xml:space="preserve">u pārdales </w:t>
      </w:r>
      <w:r w:rsidRPr="003330A9">
        <w:rPr>
          <w:szCs w:val="24"/>
        </w:rPr>
        <w:t>no valsts sociālajiem pabalstiem uz citiem izdevumiem</w:t>
      </w:r>
      <w:r w:rsidR="00120D27">
        <w:rPr>
          <w:szCs w:val="24"/>
        </w:rPr>
        <w:t xml:space="preserve"> ir iespējamas;</w:t>
      </w:r>
    </w:p>
    <w:p w:rsidR="007659D9" w:rsidRDefault="007659D9" w:rsidP="008C25BB">
      <w:pPr>
        <w:pStyle w:val="ListParagraph"/>
        <w:numPr>
          <w:ilvl w:val="0"/>
          <w:numId w:val="49"/>
        </w:numPr>
        <w:spacing w:after="120"/>
        <w:ind w:left="714" w:hanging="357"/>
        <w:contextualSpacing w:val="0"/>
        <w:jc w:val="both"/>
        <w:rPr>
          <w:szCs w:val="24"/>
        </w:rPr>
      </w:pPr>
      <w:r w:rsidRPr="003330A9">
        <w:rPr>
          <w:szCs w:val="24"/>
        </w:rPr>
        <w:t>Nepieciešami kritēriji pēc kādiem tiek izvērtēts un pieņemts lēmums iekļaut bāzē papildu finansējumu starptautiskajai sadarbībai</w:t>
      </w:r>
      <w:r>
        <w:rPr>
          <w:szCs w:val="24"/>
        </w:rPr>
        <w:t>.</w:t>
      </w:r>
    </w:p>
    <w:p w:rsidR="007659D9" w:rsidRDefault="007659D9" w:rsidP="00AF7F30">
      <w:pPr>
        <w:spacing w:before="120"/>
        <w:ind w:left="709" w:hanging="283"/>
        <w:jc w:val="both"/>
        <w:rPr>
          <w:szCs w:val="24"/>
        </w:rPr>
      </w:pPr>
      <w:r>
        <w:rPr>
          <w:szCs w:val="24"/>
        </w:rPr>
        <w:t>3)</w:t>
      </w:r>
      <w:r w:rsidRPr="005073B4">
        <w:rPr>
          <w:szCs w:val="24"/>
        </w:rPr>
        <w:t xml:space="preserve"> </w:t>
      </w:r>
      <w:r w:rsidRPr="005073B4">
        <w:rPr>
          <w:i/>
          <w:szCs w:val="24"/>
        </w:rPr>
        <w:t>Plānošanas metodikas un normatīvā regulējuma trūkums</w:t>
      </w:r>
      <w:r w:rsidRPr="005073B4">
        <w:rPr>
          <w:szCs w:val="24"/>
        </w:rPr>
        <w:t xml:space="preserve"> </w:t>
      </w:r>
    </w:p>
    <w:p w:rsidR="007659D9" w:rsidRPr="00337AE4" w:rsidRDefault="007659D9" w:rsidP="00B84A18">
      <w:pPr>
        <w:spacing w:before="120" w:after="120"/>
        <w:ind w:firstLine="720"/>
        <w:jc w:val="both"/>
        <w:rPr>
          <w:szCs w:val="24"/>
        </w:rPr>
      </w:pPr>
      <w:r w:rsidRPr="00337AE4">
        <w:rPr>
          <w:szCs w:val="24"/>
        </w:rPr>
        <w:t>MK noteikumos Nr.867:</w:t>
      </w:r>
    </w:p>
    <w:p w:rsidR="007659D9" w:rsidRPr="00AE4E90" w:rsidRDefault="007659D9" w:rsidP="008C25BB">
      <w:pPr>
        <w:pStyle w:val="ListParagraph"/>
        <w:numPr>
          <w:ilvl w:val="0"/>
          <w:numId w:val="50"/>
        </w:numPr>
        <w:spacing w:after="120"/>
        <w:contextualSpacing w:val="0"/>
        <w:jc w:val="both"/>
        <w:rPr>
          <w:szCs w:val="24"/>
        </w:rPr>
      </w:pPr>
      <w:r w:rsidRPr="00AE4E90">
        <w:rPr>
          <w:szCs w:val="24"/>
        </w:rPr>
        <w:t>nav metodikas, kā tiek plānot</w:t>
      </w:r>
      <w:r>
        <w:rPr>
          <w:szCs w:val="24"/>
        </w:rPr>
        <w:t>a 74.resora 80.00.00 programma “</w:t>
      </w:r>
      <w:r w:rsidRPr="00AE4E90">
        <w:rPr>
          <w:szCs w:val="24"/>
        </w:rPr>
        <w:t>Nesadalītais finansējums E</w:t>
      </w:r>
      <w:r w:rsidR="006E5FA9">
        <w:rPr>
          <w:szCs w:val="24"/>
        </w:rPr>
        <w:t xml:space="preserve">iropas </w:t>
      </w:r>
      <w:r w:rsidRPr="00AE4E90">
        <w:rPr>
          <w:szCs w:val="24"/>
        </w:rPr>
        <w:t>S</w:t>
      </w:r>
      <w:r w:rsidR="006E5FA9">
        <w:rPr>
          <w:szCs w:val="24"/>
        </w:rPr>
        <w:t>avienības</w:t>
      </w:r>
      <w:r w:rsidRPr="00AE4E90">
        <w:rPr>
          <w:szCs w:val="24"/>
        </w:rPr>
        <w:t xml:space="preserve"> politiku instrumentu un pārējās </w:t>
      </w:r>
      <w:r w:rsidR="006E5FA9" w:rsidRPr="006E5FA9">
        <w:rPr>
          <w:szCs w:val="24"/>
        </w:rPr>
        <w:t xml:space="preserve">ārvalstu finanšu palīdzības </w:t>
      </w:r>
      <w:r w:rsidRPr="00AE4E90">
        <w:rPr>
          <w:szCs w:val="24"/>
        </w:rPr>
        <w:t>līdzfinansēto projektu un pasākumu īstenošanai</w:t>
      </w:r>
      <w:r>
        <w:rPr>
          <w:szCs w:val="24"/>
        </w:rPr>
        <w:t xml:space="preserve">”, kā arī </w:t>
      </w:r>
      <w:r w:rsidR="00346FF9">
        <w:rPr>
          <w:szCs w:val="24"/>
        </w:rPr>
        <w:t>02.00.00 programma “Līdzekļi neparedzētiem gadījumiem”</w:t>
      </w:r>
      <w:r w:rsidR="00346FF9" w:rsidRPr="00AE4E90">
        <w:rPr>
          <w:szCs w:val="24"/>
        </w:rPr>
        <w:t xml:space="preserve"> </w:t>
      </w:r>
      <w:r>
        <w:rPr>
          <w:szCs w:val="24"/>
        </w:rPr>
        <w:t>un citām programmām</w:t>
      </w:r>
      <w:r w:rsidRPr="00AE4E90">
        <w:rPr>
          <w:szCs w:val="24"/>
        </w:rPr>
        <w:t>;</w:t>
      </w:r>
    </w:p>
    <w:p w:rsidR="007659D9" w:rsidRPr="00AE4E90" w:rsidRDefault="007659D9" w:rsidP="008C25BB">
      <w:pPr>
        <w:pStyle w:val="ListParagraph"/>
        <w:numPr>
          <w:ilvl w:val="0"/>
          <w:numId w:val="50"/>
        </w:numPr>
        <w:spacing w:after="120"/>
        <w:contextualSpacing w:val="0"/>
        <w:jc w:val="both"/>
        <w:rPr>
          <w:szCs w:val="24"/>
        </w:rPr>
      </w:pPr>
      <w:r>
        <w:rPr>
          <w:szCs w:val="24"/>
        </w:rPr>
        <w:t xml:space="preserve">nav regulējuma prioritārajiem pasākumiem </w:t>
      </w:r>
      <w:r w:rsidRPr="00AE4E90">
        <w:rPr>
          <w:szCs w:val="24"/>
        </w:rPr>
        <w:t xml:space="preserve">un 2.lasījuma priekšlikumos </w:t>
      </w:r>
      <w:r>
        <w:rPr>
          <w:szCs w:val="24"/>
        </w:rPr>
        <w:t>trīs</w:t>
      </w:r>
      <w:r w:rsidRPr="00AE4E90">
        <w:rPr>
          <w:szCs w:val="24"/>
        </w:rPr>
        <w:t xml:space="preserve"> gadiem piešķirtā finansējuma plānošanu ilgtermiņam</w:t>
      </w:r>
      <w:r>
        <w:rPr>
          <w:szCs w:val="24"/>
        </w:rPr>
        <w:t>, t.i., nav regulējuma, vai finansējumu nepieciešams plānot, kā arī nav atrunāts kurā mirklī un kurš izlemj šāda finansējuma plānošanu;</w:t>
      </w:r>
    </w:p>
    <w:p w:rsidR="007659D9" w:rsidRPr="00AE4E90" w:rsidRDefault="007659D9" w:rsidP="008C25BB">
      <w:pPr>
        <w:pStyle w:val="ListParagraph"/>
        <w:numPr>
          <w:ilvl w:val="0"/>
          <w:numId w:val="50"/>
        </w:numPr>
        <w:spacing w:after="120"/>
        <w:contextualSpacing w:val="0"/>
        <w:jc w:val="both"/>
        <w:rPr>
          <w:szCs w:val="24"/>
        </w:rPr>
      </w:pPr>
      <w:r>
        <w:rPr>
          <w:szCs w:val="24"/>
        </w:rPr>
        <w:t xml:space="preserve">netiek atrunāts, kā tiek plānota </w:t>
      </w:r>
      <w:r w:rsidRPr="00AE4E90">
        <w:rPr>
          <w:szCs w:val="24"/>
        </w:rPr>
        <w:t xml:space="preserve">reformu atkāpe no </w:t>
      </w:r>
      <w:r>
        <w:rPr>
          <w:szCs w:val="24"/>
        </w:rPr>
        <w:t xml:space="preserve">vidējā termiņa mērķa, </w:t>
      </w:r>
      <w:r w:rsidRPr="00AE4E90">
        <w:rPr>
          <w:szCs w:val="24"/>
        </w:rPr>
        <w:t>ja tā ir izdevumu pusē</w:t>
      </w:r>
      <w:r>
        <w:rPr>
          <w:szCs w:val="24"/>
        </w:rPr>
        <w:t>.</w:t>
      </w:r>
      <w:r w:rsidRPr="00AE4E90">
        <w:rPr>
          <w:szCs w:val="24"/>
        </w:rPr>
        <w:t xml:space="preserve"> </w:t>
      </w:r>
      <w:r>
        <w:rPr>
          <w:szCs w:val="24"/>
        </w:rPr>
        <w:t>Latvija</w:t>
      </w:r>
      <w:r w:rsidRPr="00AE4E90">
        <w:rPr>
          <w:szCs w:val="24"/>
        </w:rPr>
        <w:t xml:space="preserve"> pastāvīgi izmanto atkāpi – iepriekš </w:t>
      </w:r>
      <w:r>
        <w:rPr>
          <w:szCs w:val="24"/>
        </w:rPr>
        <w:t xml:space="preserve">šāda atkāpe tika izmantota </w:t>
      </w:r>
      <w:r w:rsidRPr="00AE4E90">
        <w:rPr>
          <w:szCs w:val="24"/>
        </w:rPr>
        <w:t>pensiju sistēmas reforma</w:t>
      </w:r>
      <w:r>
        <w:rPr>
          <w:szCs w:val="24"/>
        </w:rPr>
        <w:t>i;</w:t>
      </w:r>
    </w:p>
    <w:p w:rsidR="007659D9" w:rsidRPr="002C0650" w:rsidRDefault="007659D9" w:rsidP="008C25BB">
      <w:pPr>
        <w:pStyle w:val="ListParagraph"/>
        <w:numPr>
          <w:ilvl w:val="0"/>
          <w:numId w:val="50"/>
        </w:numPr>
        <w:ind w:left="714" w:hanging="357"/>
        <w:contextualSpacing w:val="0"/>
        <w:jc w:val="both"/>
        <w:rPr>
          <w:szCs w:val="24"/>
        </w:rPr>
      </w:pPr>
      <w:r w:rsidRPr="00AE4E90">
        <w:rPr>
          <w:szCs w:val="24"/>
        </w:rPr>
        <w:t>vienotas pieejas trūkums MK lēmumu formulēšanai (ja finansējums tiek atbalstīts konkrētiem gadiem, ir jābūt norādei par to, vai finansējums jā</w:t>
      </w:r>
      <w:r>
        <w:rPr>
          <w:szCs w:val="24"/>
        </w:rPr>
        <w:t>paredz arī turpmākajiem gadiem),</w:t>
      </w:r>
      <w:r w:rsidRPr="00AE4E90">
        <w:rPr>
          <w:szCs w:val="24"/>
        </w:rPr>
        <w:t xml:space="preserve"> bez tam </w:t>
      </w:r>
      <w:r>
        <w:rPr>
          <w:szCs w:val="24"/>
        </w:rPr>
        <w:t>būtu jāparedz</w:t>
      </w:r>
      <w:r w:rsidRPr="00AE4E90">
        <w:rPr>
          <w:szCs w:val="24"/>
        </w:rPr>
        <w:t xml:space="preserve"> nosacījumu, ka noteikta veida MK lēmumi par izdevumiem, kas paredzēt</w:t>
      </w:r>
      <w:r>
        <w:rPr>
          <w:szCs w:val="24"/>
        </w:rPr>
        <w:t>i</w:t>
      </w:r>
      <w:r w:rsidRPr="00AE4E90">
        <w:rPr>
          <w:szCs w:val="24"/>
        </w:rPr>
        <w:t xml:space="preserve"> arī turpmākajiem gadiem, ir jāizvērtē atkārtoti un finansējums netiek automātiski iekļauts bāzē.</w:t>
      </w:r>
    </w:p>
    <w:p w:rsidR="007659D9" w:rsidRDefault="007659D9" w:rsidP="00346FF9">
      <w:pPr>
        <w:spacing w:before="120" w:after="120"/>
        <w:ind w:firstLine="720"/>
        <w:jc w:val="both"/>
        <w:rPr>
          <w:szCs w:val="24"/>
          <w:u w:val="single"/>
        </w:rPr>
      </w:pPr>
      <w:r w:rsidRPr="0042186D">
        <w:rPr>
          <w:szCs w:val="24"/>
          <w:u w:val="single"/>
        </w:rPr>
        <w:t>Priekšlikumi izmaiņām:</w:t>
      </w:r>
    </w:p>
    <w:p w:rsidR="007659D9" w:rsidRDefault="007659D9" w:rsidP="008C25BB">
      <w:pPr>
        <w:pStyle w:val="ListParagraph"/>
        <w:numPr>
          <w:ilvl w:val="0"/>
          <w:numId w:val="51"/>
        </w:numPr>
        <w:ind w:left="714" w:hanging="357"/>
        <w:jc w:val="both"/>
        <w:rPr>
          <w:szCs w:val="24"/>
        </w:rPr>
      </w:pPr>
      <w:r>
        <w:rPr>
          <w:szCs w:val="24"/>
        </w:rPr>
        <w:t xml:space="preserve">Precizēt MK noteikumus un ieviest metodiku 74.resora programmu plānošanai, prioritāro pasākumu un 2.lasījuma priekšlikumu plānošanai ilgtermiņam, kā arī reformu atkāpes plānošanai no vidējā termiņa mērķa, ja tā ir izdevumu pusē. </w:t>
      </w:r>
    </w:p>
    <w:p w:rsidR="007659D9" w:rsidRDefault="007659D9" w:rsidP="007659D9">
      <w:pPr>
        <w:spacing w:before="120"/>
        <w:ind w:firstLine="709"/>
        <w:jc w:val="both"/>
        <w:rPr>
          <w:szCs w:val="24"/>
        </w:rPr>
      </w:pPr>
      <w:r>
        <w:rPr>
          <w:szCs w:val="24"/>
        </w:rPr>
        <w:t>Arī ministrijas</w:t>
      </w:r>
      <w:r w:rsidR="00120D27">
        <w:rPr>
          <w:szCs w:val="24"/>
        </w:rPr>
        <w:t>,</w:t>
      </w:r>
      <w:r>
        <w:rPr>
          <w:szCs w:val="24"/>
        </w:rPr>
        <w:t xml:space="preserve"> iesniedzot priekšlikumus vispārējo procesu efektivizēšanai un pilnveidošanai</w:t>
      </w:r>
      <w:r w:rsidR="00120D27">
        <w:rPr>
          <w:szCs w:val="24"/>
        </w:rPr>
        <w:t>,</w:t>
      </w:r>
      <w:r>
        <w:rPr>
          <w:szCs w:val="24"/>
        </w:rPr>
        <w:t xml:space="preserve"> ir iesniegušas 7 priekšlikumus par MK noteikumiem Nr.867. Pieci no iesniegtajiem priekšlikumiem attiecināmi uz SAP sistēmas funkcionalitātes pilnveidošanu, lai ministrij</w:t>
      </w:r>
      <w:r w:rsidR="00AF7F30">
        <w:rPr>
          <w:szCs w:val="24"/>
        </w:rPr>
        <w:t>as</w:t>
      </w:r>
      <w:r>
        <w:rPr>
          <w:szCs w:val="24"/>
        </w:rPr>
        <w:t xml:space="preserve"> bāzes izdevumu sagatavošanas procesā n</w:t>
      </w:r>
      <w:r w:rsidR="00AF7F30">
        <w:rPr>
          <w:szCs w:val="24"/>
        </w:rPr>
        <w:t>eveidotu papildu darba tabulas E</w:t>
      </w:r>
      <w:r>
        <w:rPr>
          <w:szCs w:val="24"/>
        </w:rPr>
        <w:t>xcel formātā. Viens priekšlikums attiecināms uz uzturēšanas izdevumu plānošanu objektiem pēc to pabeigšanas. Kā arī TM iesniegusi priekšlikumu par finansējuma paredzēšanu arī gadījumos, kad klientu skaits ir būtiski pieaudzis.</w:t>
      </w:r>
    </w:p>
    <w:p w:rsidR="007659D9" w:rsidRPr="002C0650" w:rsidRDefault="007659D9" w:rsidP="007659D9">
      <w:pPr>
        <w:spacing w:before="120" w:after="240"/>
        <w:ind w:firstLine="709"/>
        <w:jc w:val="both"/>
      </w:pPr>
      <w:r>
        <w:t>Atbilstoši MK noteikumu Nr.867 11.punkta prasībām FM</w:t>
      </w:r>
      <w:r w:rsidRPr="002C0650">
        <w:t xml:space="preserve"> pamatbudžeta bāzes aprēķinus sadalījumā pa n+1, n+2 un n+3 gadu ministrijai nosūta saskaņošanai līdz n gada 31.</w:t>
      </w:r>
      <w:r w:rsidRPr="006B3BA4">
        <w:t xml:space="preserve">janvārim. Attēlā </w:t>
      </w:r>
      <w:r w:rsidR="00AF7F30" w:rsidRPr="006B3BA4">
        <w:t>Nr.2.1</w:t>
      </w:r>
      <w:r w:rsidR="00647001">
        <w:t>3</w:t>
      </w:r>
      <w:r w:rsidR="00AF7F30" w:rsidRPr="006B3BA4">
        <w:t xml:space="preserve">. </w:t>
      </w:r>
      <w:r w:rsidRPr="006B3BA4">
        <w:t>parādīti</w:t>
      </w:r>
      <w:r>
        <w:t xml:space="preserve"> likumā</w:t>
      </w:r>
      <w:r w:rsidRPr="002C0650">
        <w:t xml:space="preserve"> “Par vidēja termiņa budžeta ietvaru 2017., 2018. un 2019. gadam”</w:t>
      </w:r>
      <w:r>
        <w:t xml:space="preserve"> apstiprinātie valsts pamatbudžeta un valsts speciālā budžeta bāzes izdevumi un 2017.gada 23.martā (prot. Nr.15., 2.</w:t>
      </w:r>
      <w:r>
        <w:rPr>
          <w:rFonts w:cs="Times New Roman"/>
        </w:rPr>
        <w:t>§</w:t>
      </w:r>
      <w:r>
        <w:t xml:space="preserve">) apstiprinātie </w:t>
      </w:r>
      <w:r w:rsidRPr="002C0650">
        <w:t>valsts pamatbudžeta un valsts speciālā budžeta bāzes</w:t>
      </w:r>
      <w:r>
        <w:t xml:space="preserve"> izdevumi</w:t>
      </w:r>
      <w:r w:rsidRPr="002C0650">
        <w:t xml:space="preserve"> 2018.,</w:t>
      </w:r>
      <w:r>
        <w:t xml:space="preserve"> 2019. un 2020. gadam.</w:t>
      </w:r>
    </w:p>
    <w:p w:rsidR="007659D9" w:rsidRDefault="00F95DE5" w:rsidP="00F95DE5">
      <w:pPr>
        <w:spacing w:before="120"/>
        <w:jc w:val="center"/>
        <w:rPr>
          <w:szCs w:val="24"/>
        </w:rPr>
      </w:pPr>
      <w:r>
        <w:rPr>
          <w:noProof/>
          <w:lang w:eastAsia="lv-LV"/>
        </w:rPr>
        <w:lastRenderedPageBreak/>
        <w:drawing>
          <wp:inline distT="0" distB="0" distL="0" distR="0" wp14:anchorId="1F278656">
            <wp:extent cx="5215255" cy="3262579"/>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6875" cy="3276104"/>
                    </a:xfrm>
                    <a:prstGeom prst="rect">
                      <a:avLst/>
                    </a:prstGeom>
                    <a:noFill/>
                  </pic:spPr>
                </pic:pic>
              </a:graphicData>
            </a:graphic>
          </wp:inline>
        </w:drawing>
      </w:r>
    </w:p>
    <w:p w:rsidR="007659D9" w:rsidRPr="00F30CB1" w:rsidRDefault="006B3BA4" w:rsidP="00F30CB1">
      <w:pPr>
        <w:spacing w:before="120" w:after="240"/>
        <w:jc w:val="center"/>
        <w:rPr>
          <w:rFonts w:cs="Times New Roman"/>
          <w:b/>
          <w:sz w:val="22"/>
        </w:rPr>
      </w:pPr>
      <w:r w:rsidRPr="006B3BA4">
        <w:rPr>
          <w:rFonts w:cs="Times New Roman"/>
          <w:i/>
          <w:sz w:val="22"/>
        </w:rPr>
        <w:t>2.1</w:t>
      </w:r>
      <w:r w:rsidR="00647001">
        <w:rPr>
          <w:rFonts w:cs="Times New Roman"/>
          <w:i/>
          <w:sz w:val="22"/>
        </w:rPr>
        <w:t>3</w:t>
      </w:r>
      <w:r w:rsidR="007659D9" w:rsidRPr="006B3BA4">
        <w:rPr>
          <w:rFonts w:cs="Times New Roman"/>
          <w:i/>
          <w:sz w:val="22"/>
        </w:rPr>
        <w:t>.att.</w:t>
      </w:r>
      <w:r w:rsidR="007659D9" w:rsidRPr="006B3BA4">
        <w:rPr>
          <w:rFonts w:cs="Times New Roman"/>
          <w:sz w:val="22"/>
        </w:rPr>
        <w:t xml:space="preserve"> </w:t>
      </w:r>
      <w:r w:rsidR="007659D9" w:rsidRPr="006B3BA4">
        <w:rPr>
          <w:rFonts w:cs="Times New Roman"/>
          <w:b/>
          <w:sz w:val="22"/>
        </w:rPr>
        <w:t>Valsts</w:t>
      </w:r>
      <w:r w:rsidR="007659D9">
        <w:rPr>
          <w:rFonts w:cs="Times New Roman"/>
          <w:b/>
          <w:sz w:val="22"/>
        </w:rPr>
        <w:t xml:space="preserve"> pamatbudžeta un valsts speciālā budžeta izdevumi atbilstoši likumam “</w:t>
      </w:r>
      <w:r w:rsidR="007659D9" w:rsidRPr="009C4BD7">
        <w:rPr>
          <w:rFonts w:cs="Times New Roman"/>
          <w:b/>
          <w:sz w:val="22"/>
        </w:rPr>
        <w:t>Par vidēja termiņa budžeta ietvaru 2017., 2018. un 2019. gadam</w:t>
      </w:r>
      <w:r w:rsidR="007659D9">
        <w:rPr>
          <w:rFonts w:cs="Times New Roman"/>
          <w:b/>
          <w:sz w:val="22"/>
        </w:rPr>
        <w:t xml:space="preserve">” un apstiprinātajiem </w:t>
      </w:r>
      <w:r w:rsidR="007659D9" w:rsidRPr="009C4BD7">
        <w:rPr>
          <w:rFonts w:cs="Times New Roman"/>
          <w:b/>
          <w:sz w:val="22"/>
        </w:rPr>
        <w:t>valsts pamatbudžeta un valsts speciālā budžeta bāz</w:t>
      </w:r>
      <w:r w:rsidR="007659D9">
        <w:rPr>
          <w:rFonts w:cs="Times New Roman"/>
          <w:b/>
          <w:sz w:val="22"/>
        </w:rPr>
        <w:t>es</w:t>
      </w:r>
      <w:r w:rsidR="007659D9" w:rsidRPr="009C4BD7">
        <w:rPr>
          <w:rFonts w:cs="Times New Roman"/>
          <w:b/>
          <w:sz w:val="22"/>
        </w:rPr>
        <w:t xml:space="preserve"> 201</w:t>
      </w:r>
      <w:r w:rsidR="007659D9">
        <w:rPr>
          <w:rFonts w:cs="Times New Roman"/>
          <w:b/>
          <w:sz w:val="22"/>
        </w:rPr>
        <w:t>8</w:t>
      </w:r>
      <w:r w:rsidR="007659D9" w:rsidRPr="009C4BD7">
        <w:rPr>
          <w:rFonts w:cs="Times New Roman"/>
          <w:b/>
          <w:sz w:val="22"/>
        </w:rPr>
        <w:t>., 201</w:t>
      </w:r>
      <w:r w:rsidR="007659D9">
        <w:rPr>
          <w:rFonts w:cs="Times New Roman"/>
          <w:b/>
          <w:sz w:val="22"/>
        </w:rPr>
        <w:t>9</w:t>
      </w:r>
      <w:r w:rsidR="007659D9" w:rsidRPr="009C4BD7">
        <w:rPr>
          <w:rFonts w:cs="Times New Roman"/>
          <w:b/>
          <w:sz w:val="22"/>
        </w:rPr>
        <w:t>. un 20</w:t>
      </w:r>
      <w:r w:rsidR="007659D9">
        <w:rPr>
          <w:rFonts w:cs="Times New Roman"/>
          <w:b/>
          <w:sz w:val="22"/>
        </w:rPr>
        <w:t>20</w:t>
      </w:r>
      <w:r w:rsidR="007659D9" w:rsidRPr="009C4BD7">
        <w:rPr>
          <w:rFonts w:cs="Times New Roman"/>
          <w:b/>
          <w:sz w:val="22"/>
        </w:rPr>
        <w:t>. gadam</w:t>
      </w:r>
      <w:r w:rsidR="00F30CB1">
        <w:rPr>
          <w:rFonts w:cs="Times New Roman"/>
          <w:b/>
          <w:sz w:val="22"/>
        </w:rPr>
        <w:t xml:space="preserve"> izdevumiem</w:t>
      </w:r>
    </w:p>
    <w:p w:rsidR="00C27F64" w:rsidRPr="000A3CCE" w:rsidRDefault="00C27F64" w:rsidP="00C27F64">
      <w:pPr>
        <w:spacing w:before="120"/>
        <w:ind w:firstLine="720"/>
        <w:jc w:val="both"/>
        <w:rPr>
          <w:szCs w:val="24"/>
        </w:rPr>
      </w:pPr>
      <w:r w:rsidRPr="000A3CCE">
        <w:rPr>
          <w:szCs w:val="24"/>
        </w:rPr>
        <w:t xml:space="preserve">Ministriju valsts budžeta bāzes </w:t>
      </w:r>
      <w:r w:rsidR="00AF7F30">
        <w:rPr>
          <w:szCs w:val="24"/>
        </w:rPr>
        <w:t>izdevumi ir noteikti</w:t>
      </w:r>
      <w:r w:rsidRPr="000A3CCE">
        <w:rPr>
          <w:szCs w:val="24"/>
        </w:rPr>
        <w:t xml:space="preserve">, ievērojot </w:t>
      </w:r>
      <w:r>
        <w:rPr>
          <w:szCs w:val="24"/>
        </w:rPr>
        <w:t>MK</w:t>
      </w:r>
      <w:r w:rsidRPr="000A3CCE">
        <w:rPr>
          <w:szCs w:val="24"/>
        </w:rPr>
        <w:t xml:space="preserve"> noteikumu Nr.867 prasības, kā arī ņemot vērā </w:t>
      </w:r>
      <w:r w:rsidR="00AF7F30">
        <w:rPr>
          <w:szCs w:val="24"/>
        </w:rPr>
        <w:t>MK</w:t>
      </w:r>
      <w:r w:rsidRPr="000A3CCE">
        <w:rPr>
          <w:szCs w:val="24"/>
        </w:rPr>
        <w:t xml:space="preserve"> pieņemtos lēmumus.</w:t>
      </w:r>
    </w:p>
    <w:p w:rsidR="007659D9" w:rsidRPr="00A23661" w:rsidRDefault="009E4321" w:rsidP="009E4321">
      <w:pPr>
        <w:spacing w:before="120"/>
        <w:ind w:firstLine="720"/>
        <w:jc w:val="both"/>
        <w:rPr>
          <w:rFonts w:eastAsiaTheme="majorEastAsia" w:cs="Times New Roman"/>
          <w:szCs w:val="24"/>
        </w:rPr>
      </w:pPr>
      <w:r>
        <w:rPr>
          <w:szCs w:val="24"/>
        </w:rPr>
        <w:t>V</w:t>
      </w:r>
      <w:r w:rsidR="00B311B1" w:rsidRPr="00B311B1">
        <w:rPr>
          <w:szCs w:val="24"/>
        </w:rPr>
        <w:t xml:space="preserve">alsts pamatbudžeta </w:t>
      </w:r>
      <w:r>
        <w:rPr>
          <w:szCs w:val="24"/>
        </w:rPr>
        <w:t>un speciālā budžeta bāzi nosaka un apstiprina, ņemot vērā MK noteikumu Nr.867 III nodaļā noteiktos nosacījumus.</w:t>
      </w:r>
    </w:p>
    <w:p w:rsidR="007659D9" w:rsidRDefault="00D1542E" w:rsidP="00D1542E">
      <w:pPr>
        <w:spacing w:before="120"/>
        <w:ind w:firstLine="720"/>
        <w:jc w:val="both"/>
        <w:rPr>
          <w:rFonts w:eastAsiaTheme="majorEastAsia" w:cs="Times New Roman"/>
          <w:szCs w:val="24"/>
        </w:rPr>
      </w:pPr>
      <w:r w:rsidRPr="00D1542E">
        <w:rPr>
          <w:rFonts w:eastAsiaTheme="majorEastAsia" w:cs="Times New Roman"/>
          <w:szCs w:val="24"/>
        </w:rPr>
        <w:t xml:space="preserve">Pamatojoties uz apstiprinātajiem valsts budžeta bāzes izdevumiem saskaņā ar </w:t>
      </w:r>
      <w:r>
        <w:rPr>
          <w:rFonts w:eastAsiaTheme="majorEastAsia" w:cs="Times New Roman"/>
          <w:szCs w:val="24"/>
        </w:rPr>
        <w:t>MK</w:t>
      </w:r>
      <w:r w:rsidRPr="00D1542E">
        <w:rPr>
          <w:rFonts w:eastAsiaTheme="majorEastAsia" w:cs="Times New Roman"/>
          <w:szCs w:val="24"/>
        </w:rPr>
        <w:t xml:space="preserve"> noteikto valsts budžeta izdevumu pārskatīšanas tvērumu ti</w:t>
      </w:r>
      <w:r>
        <w:rPr>
          <w:rFonts w:eastAsiaTheme="majorEastAsia" w:cs="Times New Roman"/>
          <w:szCs w:val="24"/>
        </w:rPr>
        <w:t>ek</w:t>
      </w:r>
      <w:r w:rsidRPr="00D1542E">
        <w:rPr>
          <w:rFonts w:eastAsiaTheme="majorEastAsia" w:cs="Times New Roman"/>
          <w:szCs w:val="24"/>
        </w:rPr>
        <w:t xml:space="preserve"> veikta izdevumu pārskatīšana un iesniegts izskatīšanai </w:t>
      </w:r>
      <w:r>
        <w:rPr>
          <w:rFonts w:eastAsiaTheme="majorEastAsia" w:cs="Times New Roman"/>
          <w:szCs w:val="24"/>
        </w:rPr>
        <w:t>MK</w:t>
      </w:r>
      <w:r w:rsidRPr="00D1542E">
        <w:rPr>
          <w:rFonts w:eastAsiaTheme="majorEastAsia" w:cs="Times New Roman"/>
          <w:szCs w:val="24"/>
        </w:rPr>
        <w:t xml:space="preserve"> informatīvais ziņojums </w:t>
      </w:r>
      <w:r>
        <w:rPr>
          <w:rFonts w:eastAsiaTheme="majorEastAsia" w:cs="Times New Roman"/>
          <w:szCs w:val="24"/>
        </w:rPr>
        <w:t>par</w:t>
      </w:r>
      <w:r w:rsidRPr="00D1542E">
        <w:rPr>
          <w:rFonts w:eastAsiaTheme="majorEastAsia" w:cs="Times New Roman"/>
          <w:szCs w:val="24"/>
        </w:rPr>
        <w:t xml:space="preserve"> valsts budžeta izdevumu pārskatīšanas rezultātiem un priekšlikumi par šo rezultātu izmantošanu, kā arī ti</w:t>
      </w:r>
      <w:r w:rsidR="00AF7F30">
        <w:rPr>
          <w:rFonts w:eastAsiaTheme="majorEastAsia" w:cs="Times New Roman"/>
          <w:szCs w:val="24"/>
        </w:rPr>
        <w:t>e</w:t>
      </w:r>
      <w:r w:rsidRPr="00D1542E">
        <w:rPr>
          <w:rFonts w:eastAsiaTheme="majorEastAsia" w:cs="Times New Roman"/>
          <w:szCs w:val="24"/>
        </w:rPr>
        <w:t>k aprēķināts maksimāli pieļaujamais valsts budžeta izdevumu kopapjoms un maksimāli pieļaujamais valsts budžeta kopējo izdevumu apjoms katrai ministr</w:t>
      </w:r>
      <w:r>
        <w:rPr>
          <w:rFonts w:eastAsiaTheme="majorEastAsia" w:cs="Times New Roman"/>
          <w:szCs w:val="24"/>
        </w:rPr>
        <w:t>ijai</w:t>
      </w:r>
      <w:r w:rsidRPr="00D1542E">
        <w:rPr>
          <w:rFonts w:eastAsiaTheme="majorEastAsia" w:cs="Times New Roman"/>
          <w:szCs w:val="24"/>
        </w:rPr>
        <w:t>.</w:t>
      </w:r>
    </w:p>
    <w:p w:rsidR="00337D19" w:rsidRDefault="00C476FC" w:rsidP="00BF445B">
      <w:pPr>
        <w:spacing w:before="120" w:after="120"/>
        <w:ind w:firstLine="720"/>
        <w:jc w:val="both"/>
        <w:rPr>
          <w:rFonts w:eastAsiaTheme="majorEastAsia" w:cs="Times New Roman"/>
          <w:szCs w:val="24"/>
        </w:rPr>
      </w:pPr>
      <w:r>
        <w:rPr>
          <w:rFonts w:eastAsiaTheme="majorEastAsia" w:cs="Times New Roman"/>
          <w:szCs w:val="24"/>
        </w:rPr>
        <w:t xml:space="preserve">No </w:t>
      </w:r>
      <w:r w:rsidR="00AF7F30" w:rsidRPr="006B3BA4">
        <w:rPr>
          <w:rFonts w:eastAsiaTheme="majorEastAsia" w:cs="Times New Roman"/>
          <w:szCs w:val="24"/>
        </w:rPr>
        <w:t>2.1</w:t>
      </w:r>
      <w:r w:rsidR="00647001">
        <w:rPr>
          <w:rFonts w:eastAsiaTheme="majorEastAsia" w:cs="Times New Roman"/>
          <w:szCs w:val="24"/>
        </w:rPr>
        <w:t>4</w:t>
      </w:r>
      <w:r w:rsidRPr="006B3BA4">
        <w:rPr>
          <w:rFonts w:eastAsiaTheme="majorEastAsia" w:cs="Times New Roman"/>
          <w:szCs w:val="24"/>
        </w:rPr>
        <w:t>.attēla</w:t>
      </w:r>
      <w:r w:rsidRPr="00C476FC">
        <w:rPr>
          <w:rFonts w:eastAsiaTheme="majorEastAsia" w:cs="Times New Roman"/>
          <w:szCs w:val="24"/>
        </w:rPr>
        <w:t xml:space="preserve"> redzams, ka</w:t>
      </w:r>
      <w:r>
        <w:rPr>
          <w:rFonts w:eastAsiaTheme="majorEastAsia" w:cs="Times New Roman"/>
          <w:szCs w:val="24"/>
        </w:rPr>
        <w:t xml:space="preserve"> </w:t>
      </w:r>
      <w:r w:rsidR="00337D19">
        <w:rPr>
          <w:rFonts w:eastAsiaTheme="majorEastAsia" w:cs="Times New Roman"/>
          <w:szCs w:val="24"/>
        </w:rPr>
        <w:t>kārtējā gada sākumā veiktie valsts pamatbudžeta un valsts speciālā budžeta bāzes izdevumu aprēķini būtiski neatšķiras no</w:t>
      </w:r>
      <w:r w:rsidR="00337D19" w:rsidRPr="00337D19">
        <w:t xml:space="preserve"> </w:t>
      </w:r>
      <w:r w:rsidR="00337D19" w:rsidRPr="00337D19">
        <w:rPr>
          <w:rFonts w:eastAsiaTheme="majorEastAsia" w:cs="Times New Roman"/>
          <w:szCs w:val="24"/>
        </w:rPr>
        <w:t xml:space="preserve">vidēja termiņa budžeta ietvara likumā </w:t>
      </w:r>
      <w:r w:rsidR="00337D19">
        <w:rPr>
          <w:rFonts w:eastAsiaTheme="majorEastAsia" w:cs="Times New Roman"/>
          <w:szCs w:val="24"/>
        </w:rPr>
        <w:t xml:space="preserve">apstiprinātajiem izdevumiem. Tāpat apstiprinot valsts pamatbudžeta un valsts speciālā budžeta bāzes izdevumus </w:t>
      </w:r>
      <w:r w:rsidR="00F83E97">
        <w:rPr>
          <w:rFonts w:eastAsiaTheme="majorEastAsia" w:cs="Times New Roman"/>
          <w:szCs w:val="24"/>
        </w:rPr>
        <w:t xml:space="preserve">ikgadēji </w:t>
      </w:r>
      <w:r w:rsidR="00337D19">
        <w:rPr>
          <w:rFonts w:eastAsiaTheme="majorEastAsia" w:cs="Times New Roman"/>
          <w:szCs w:val="24"/>
        </w:rPr>
        <w:t>MK sēdes protokollēmumā tiek atļauts FM precizēt valsts budžeta bāzes izdevumus šādos gadījumos:</w:t>
      </w:r>
    </w:p>
    <w:p w:rsidR="00337D19" w:rsidRDefault="00337D19" w:rsidP="008C25BB">
      <w:pPr>
        <w:pStyle w:val="ListParagraph"/>
        <w:numPr>
          <w:ilvl w:val="0"/>
          <w:numId w:val="75"/>
        </w:numPr>
        <w:spacing w:after="80"/>
        <w:ind w:left="714" w:hanging="357"/>
        <w:contextualSpacing w:val="0"/>
        <w:jc w:val="both"/>
        <w:rPr>
          <w:rFonts w:eastAsiaTheme="majorEastAsia" w:cs="Times New Roman"/>
          <w:szCs w:val="24"/>
        </w:rPr>
      </w:pPr>
      <w:r>
        <w:rPr>
          <w:rFonts w:eastAsiaTheme="majorEastAsia" w:cs="Times New Roman"/>
          <w:szCs w:val="24"/>
        </w:rPr>
        <w:t>ja ir pieņemts attiecīgs MK lēmums;</w:t>
      </w:r>
    </w:p>
    <w:p w:rsidR="00337D19" w:rsidRDefault="00337D19" w:rsidP="008C25BB">
      <w:pPr>
        <w:pStyle w:val="ListParagraph"/>
        <w:numPr>
          <w:ilvl w:val="0"/>
          <w:numId w:val="75"/>
        </w:numPr>
        <w:spacing w:after="80"/>
        <w:contextualSpacing w:val="0"/>
        <w:jc w:val="both"/>
        <w:rPr>
          <w:rFonts w:eastAsiaTheme="majorEastAsia" w:cs="Times New Roman"/>
          <w:szCs w:val="24"/>
        </w:rPr>
      </w:pPr>
      <w:r>
        <w:rPr>
          <w:rFonts w:eastAsiaTheme="majorEastAsia" w:cs="Times New Roman"/>
          <w:szCs w:val="24"/>
        </w:rPr>
        <w:t xml:space="preserve">veicot tehniskus precizējumus un nepalielinot izdevumu kopējo apjomu; </w:t>
      </w:r>
    </w:p>
    <w:p w:rsidR="00637DD6" w:rsidRPr="00637DD6" w:rsidRDefault="00337D19" w:rsidP="008C25BB">
      <w:pPr>
        <w:pStyle w:val="ListParagraph"/>
        <w:numPr>
          <w:ilvl w:val="0"/>
          <w:numId w:val="75"/>
        </w:numPr>
        <w:spacing w:after="80"/>
        <w:contextualSpacing w:val="0"/>
        <w:jc w:val="both"/>
        <w:rPr>
          <w:rFonts w:eastAsiaTheme="majorEastAsia" w:cs="Times New Roman"/>
          <w:szCs w:val="24"/>
        </w:rPr>
      </w:pPr>
      <w:r>
        <w:rPr>
          <w:rFonts w:eastAsiaTheme="majorEastAsia" w:cs="Times New Roman"/>
          <w:szCs w:val="24"/>
        </w:rPr>
        <w:t>veicot izdevumu pārdali starp budžeta programmām/apakšprogrammām</w:t>
      </w:r>
      <w:r w:rsidR="00637DD6">
        <w:rPr>
          <w:rFonts w:eastAsiaTheme="majorEastAsia" w:cs="Times New Roman"/>
          <w:szCs w:val="24"/>
        </w:rPr>
        <w:t xml:space="preserve"> un </w:t>
      </w:r>
      <w:r w:rsidR="00F55542">
        <w:rPr>
          <w:rFonts w:eastAsiaTheme="majorEastAsia" w:cs="Times New Roman"/>
          <w:szCs w:val="24"/>
        </w:rPr>
        <w:t>EKK</w:t>
      </w:r>
      <w:r w:rsidR="00637DD6">
        <w:rPr>
          <w:rFonts w:eastAsiaTheme="majorEastAsia" w:cs="Times New Roman"/>
          <w:szCs w:val="24"/>
        </w:rPr>
        <w:t xml:space="preserve">, nepalielinot kārtējo izdevumu kopējo apjomu, vienlaikus ministrijām nodrošinot attiecīgajās budžeta </w:t>
      </w:r>
      <w:r w:rsidR="00637DD6" w:rsidRPr="00637DD6">
        <w:rPr>
          <w:rFonts w:eastAsiaTheme="majorEastAsia" w:cs="Times New Roman"/>
          <w:szCs w:val="24"/>
        </w:rPr>
        <w:t>programmās/apakšprogrammās paredzēto pamatfunkciju īstenošanu un neveidojot maksājumu parādus;</w:t>
      </w:r>
    </w:p>
    <w:p w:rsidR="0014263C" w:rsidRPr="0014263C" w:rsidRDefault="0014263C" w:rsidP="008C25BB">
      <w:pPr>
        <w:pStyle w:val="ListParagraph"/>
        <w:numPr>
          <w:ilvl w:val="0"/>
          <w:numId w:val="75"/>
        </w:numPr>
        <w:spacing w:after="80"/>
        <w:contextualSpacing w:val="0"/>
        <w:jc w:val="both"/>
        <w:rPr>
          <w:rFonts w:eastAsiaTheme="majorEastAsia" w:cs="Times New Roman"/>
          <w:szCs w:val="24"/>
        </w:rPr>
      </w:pPr>
      <w:r>
        <w:rPr>
          <w:rFonts w:eastAsiaTheme="majorEastAsia" w:cs="Times New Roman"/>
          <w:szCs w:val="24"/>
        </w:rPr>
        <w:t>ES</w:t>
      </w:r>
      <w:r w:rsidRPr="0014263C">
        <w:rPr>
          <w:rFonts w:eastAsiaTheme="majorEastAsia" w:cs="Times New Roman"/>
          <w:szCs w:val="24"/>
        </w:rPr>
        <w:t xml:space="preserve"> politiku instrumentu un pārējās ārvalstu finanšu palīdzības līdzfinansēto projektu un pasākumu īstenošanai, veicot līdz</w:t>
      </w:r>
      <w:r>
        <w:rPr>
          <w:rFonts w:eastAsiaTheme="majorEastAsia" w:cs="Times New Roman"/>
          <w:szCs w:val="24"/>
        </w:rPr>
        <w:t xml:space="preserve">ekļu pārdali no budžeta </w:t>
      </w:r>
      <w:r w:rsidR="00F55542">
        <w:rPr>
          <w:rFonts w:eastAsiaTheme="majorEastAsia" w:cs="Times New Roman"/>
          <w:szCs w:val="24"/>
        </w:rPr>
        <w:t>74.</w:t>
      </w:r>
      <w:r>
        <w:rPr>
          <w:rFonts w:eastAsiaTheme="majorEastAsia" w:cs="Times New Roman"/>
          <w:szCs w:val="24"/>
        </w:rPr>
        <w:t>resora programmā 80.00.00 “</w:t>
      </w:r>
      <w:r w:rsidRPr="0014263C">
        <w:rPr>
          <w:rFonts w:eastAsiaTheme="majorEastAsia" w:cs="Times New Roman"/>
          <w:szCs w:val="24"/>
        </w:rPr>
        <w:t>Nesadalītais finansējums Eiropas Savienības politiku instrumentiem un pārējai ārvalstu finanšu palīdzībai</w:t>
      </w:r>
      <w:r>
        <w:rPr>
          <w:rFonts w:eastAsiaTheme="majorEastAsia" w:cs="Times New Roman"/>
          <w:szCs w:val="24"/>
        </w:rPr>
        <w:t>”</w:t>
      </w:r>
      <w:r w:rsidRPr="0014263C">
        <w:rPr>
          <w:rFonts w:eastAsiaTheme="majorEastAsia" w:cs="Times New Roman"/>
          <w:szCs w:val="24"/>
        </w:rPr>
        <w:t xml:space="preserve"> plānotā finansējuma uz attiecīgās ministrijas budžetu;</w:t>
      </w:r>
    </w:p>
    <w:p w:rsidR="0014263C" w:rsidRPr="0014263C" w:rsidRDefault="0014263C" w:rsidP="008C25BB">
      <w:pPr>
        <w:pStyle w:val="ListParagraph"/>
        <w:numPr>
          <w:ilvl w:val="0"/>
          <w:numId w:val="75"/>
        </w:numPr>
        <w:spacing w:after="80"/>
        <w:contextualSpacing w:val="0"/>
        <w:jc w:val="both"/>
        <w:rPr>
          <w:rFonts w:eastAsiaTheme="majorEastAsia" w:cs="Times New Roman"/>
          <w:szCs w:val="24"/>
        </w:rPr>
      </w:pPr>
      <w:r w:rsidRPr="0014263C">
        <w:rPr>
          <w:rFonts w:eastAsiaTheme="majorEastAsia" w:cs="Times New Roman"/>
          <w:szCs w:val="24"/>
        </w:rPr>
        <w:lastRenderedPageBreak/>
        <w:t>precizējot ministriju budžeta bāzes izdevumus no ārvalstu finanšu palīdzības līdzekļiem, ieņēmumiem par sniegtajiem maksas pakalpojumiem un citiem pašu ieņēmumiem, budžeta izpildes procesā veicamajiem transfertiem, kā arī no ārvalstu finanšu palīdzības līdzekļu un maksas pakalpojumu un citu pašu ieņēmumu atlikumiem uz gada sākumu;</w:t>
      </w:r>
    </w:p>
    <w:p w:rsidR="0014263C" w:rsidRDefault="0014263C" w:rsidP="008C25BB">
      <w:pPr>
        <w:pStyle w:val="ListParagraph"/>
        <w:numPr>
          <w:ilvl w:val="0"/>
          <w:numId w:val="75"/>
        </w:numPr>
        <w:spacing w:after="80"/>
        <w:contextualSpacing w:val="0"/>
        <w:jc w:val="both"/>
        <w:rPr>
          <w:rFonts w:eastAsiaTheme="majorEastAsia" w:cs="Times New Roman"/>
          <w:szCs w:val="24"/>
        </w:rPr>
      </w:pPr>
      <w:r w:rsidRPr="0014263C">
        <w:rPr>
          <w:rFonts w:eastAsiaTheme="majorEastAsia" w:cs="Times New Roman"/>
          <w:szCs w:val="24"/>
        </w:rPr>
        <w:t xml:space="preserve">palielinot ministriju budžeta bāzes izdevumus par uzturēšanas izdevumiem, kas rodas no </w:t>
      </w:r>
      <w:r>
        <w:rPr>
          <w:rFonts w:eastAsiaTheme="majorEastAsia" w:cs="Times New Roman"/>
          <w:szCs w:val="24"/>
        </w:rPr>
        <w:t>ES</w:t>
      </w:r>
      <w:r w:rsidRPr="0014263C">
        <w:rPr>
          <w:rFonts w:eastAsiaTheme="majorEastAsia" w:cs="Times New Roman"/>
          <w:szCs w:val="24"/>
        </w:rPr>
        <w:t xml:space="preserve"> politiku instrumentu un pārējās ārvalstu finanšu palīdzības līdzfinansēto projektu ietvaros veiktajiem kapitālajiem ieguldījumiem un kas turpmāk jāfinansē no valsts budžeta līdzekļiem, ja projekts ir pilnībā pabeigts un par to ir veikts galīgā norēķina maksājums, ievērojot šādus nosacījumus:</w:t>
      </w:r>
    </w:p>
    <w:p w:rsidR="0014263C" w:rsidRDefault="00F55542" w:rsidP="008C25BB">
      <w:pPr>
        <w:pStyle w:val="ListParagraph"/>
        <w:numPr>
          <w:ilvl w:val="1"/>
          <w:numId w:val="132"/>
        </w:numPr>
        <w:spacing w:before="80"/>
        <w:contextualSpacing w:val="0"/>
        <w:jc w:val="both"/>
        <w:rPr>
          <w:rFonts w:eastAsiaTheme="majorEastAsia" w:cs="Times New Roman"/>
          <w:szCs w:val="24"/>
        </w:rPr>
      </w:pPr>
      <w:r>
        <w:rPr>
          <w:rFonts w:eastAsiaTheme="majorEastAsia" w:cs="Times New Roman"/>
          <w:szCs w:val="24"/>
        </w:rPr>
        <w:t>IKT</w:t>
      </w:r>
      <w:r w:rsidR="0014263C" w:rsidRPr="0014263C">
        <w:rPr>
          <w:rFonts w:eastAsiaTheme="majorEastAsia" w:cs="Times New Roman"/>
          <w:szCs w:val="24"/>
        </w:rPr>
        <w:t xml:space="preserve"> projektu uzturēšanai atbilstoši noslēgtiem līgumiem, citiem pamatojuma dokumentiem un aprēķiniem, par valsts informācijas sistēmām nepieciešamajiem uzturēšanas izdevumiem pievienojot VARAM atzinumu;</w:t>
      </w:r>
    </w:p>
    <w:p w:rsidR="00C476FC" w:rsidRPr="0014263C" w:rsidRDefault="0014263C" w:rsidP="008C25BB">
      <w:pPr>
        <w:pStyle w:val="ListParagraph"/>
        <w:numPr>
          <w:ilvl w:val="1"/>
          <w:numId w:val="132"/>
        </w:numPr>
        <w:spacing w:before="80"/>
        <w:contextualSpacing w:val="0"/>
        <w:jc w:val="both"/>
        <w:rPr>
          <w:rFonts w:eastAsiaTheme="majorEastAsia" w:cs="Times New Roman"/>
          <w:szCs w:val="24"/>
        </w:rPr>
      </w:pPr>
      <w:r w:rsidRPr="0014263C">
        <w:rPr>
          <w:rFonts w:eastAsiaTheme="majorEastAsia" w:cs="Times New Roman"/>
          <w:szCs w:val="24"/>
        </w:rPr>
        <w:t>esošo amata vietu uzturēšana vai jaunu izveidošana ir pieļaujama budžeta līdzekļu ietvaros, nepieprasot papildu finansējumu un izmantojot ministrijā pieejamās vakantās amata vietas.</w:t>
      </w:r>
    </w:p>
    <w:p w:rsidR="007659D9" w:rsidRDefault="00880BDC" w:rsidP="004D7517">
      <w:pPr>
        <w:jc w:val="both"/>
        <w:rPr>
          <w:rFonts w:eastAsiaTheme="majorEastAsia" w:cs="Times New Roman"/>
          <w:szCs w:val="24"/>
        </w:rPr>
      </w:pPr>
      <w:r>
        <w:rPr>
          <w:rFonts w:eastAsiaTheme="majorEastAsia" w:cs="Times New Roman"/>
          <w:noProof/>
          <w:szCs w:val="24"/>
          <w:lang w:eastAsia="lv-LV"/>
        </w:rPr>
        <mc:AlternateContent>
          <mc:Choice Requires="wps">
            <w:drawing>
              <wp:anchor distT="0" distB="0" distL="114300" distR="114300" simplePos="0" relativeHeight="251680768" behindDoc="0" locked="0" layoutInCell="1" allowOverlap="1">
                <wp:simplePos x="0" y="0"/>
                <wp:positionH relativeFrom="column">
                  <wp:posOffset>2299806</wp:posOffset>
                </wp:positionH>
                <wp:positionV relativeFrom="paragraph">
                  <wp:posOffset>829831</wp:posOffset>
                </wp:positionV>
                <wp:extent cx="219075" cy="4681575"/>
                <wp:effectExtent l="0" t="2222" r="26352" b="102553"/>
                <wp:wrapNone/>
                <wp:docPr id="122" name="Left Brace 122"/>
                <wp:cNvGraphicFramePr/>
                <a:graphic xmlns:a="http://schemas.openxmlformats.org/drawingml/2006/main">
                  <a:graphicData uri="http://schemas.microsoft.com/office/word/2010/wordprocessingShape">
                    <wps:wsp>
                      <wps:cNvSpPr/>
                      <wps:spPr>
                        <a:xfrm rot="16200000">
                          <a:off x="0" y="0"/>
                          <a:ext cx="219075" cy="4681575"/>
                        </a:xfrm>
                        <a:prstGeom prst="leftBrace">
                          <a:avLst>
                            <a:gd name="adj1" fmla="val 49995"/>
                            <a:gd name="adj2" fmla="val 46870"/>
                          </a:avLst>
                        </a:prstGeom>
                      </wps:spPr>
                      <wps:style>
                        <a:lnRef idx="3">
                          <a:schemeClr val="accent2"/>
                        </a:lnRef>
                        <a:fillRef idx="0">
                          <a:schemeClr val="accent2"/>
                        </a:fillRef>
                        <a:effectRef idx="2">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FA1CE9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2" o:spid="_x0000_s1026" type="#_x0000_t87" style="position:absolute;margin-left:181.1pt;margin-top:65.35pt;width:17.25pt;height:368.65pt;rotation:-90;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" adj="505,10124" strokecolor="#ed7d31 [3205]" strokeweight="1.5pt">
                <v:stroke joinstyle="miter"/>
              </v:shape>
            </w:pict>
          </mc:Fallback>
        </mc:AlternateContent>
      </w:r>
      <w:r w:rsidR="004D7517">
        <w:rPr>
          <w:rFonts w:eastAsiaTheme="majorEastAsia" w:cs="Times New Roman"/>
          <w:noProof/>
          <w:szCs w:val="24"/>
          <w:lang w:eastAsia="lv-LV"/>
        </w:rPr>
        <w:drawing>
          <wp:inline distT="0" distB="0" distL="0" distR="0">
            <wp:extent cx="5954395" cy="3482035"/>
            <wp:effectExtent l="0" t="0" r="65405" b="0"/>
            <wp:docPr id="121" name="Diagram 1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7659D9" w:rsidRPr="007F5FFB" w:rsidRDefault="00D54A8E" w:rsidP="0005065A">
      <w:pPr>
        <w:ind w:firstLine="720"/>
        <w:jc w:val="center"/>
        <w:rPr>
          <w:rFonts w:eastAsiaTheme="majorEastAsia" w:cs="Times New Roman"/>
          <w:sz w:val="22"/>
        </w:rPr>
      </w:pPr>
      <w:r w:rsidRPr="006B3BA4">
        <w:rPr>
          <w:rFonts w:eastAsiaTheme="majorEastAsia" w:cs="Times New Roman"/>
          <w:i/>
          <w:sz w:val="22"/>
        </w:rPr>
        <w:t>2.1</w:t>
      </w:r>
      <w:r w:rsidR="00647001">
        <w:rPr>
          <w:rFonts w:eastAsiaTheme="majorEastAsia" w:cs="Times New Roman"/>
          <w:i/>
          <w:sz w:val="22"/>
        </w:rPr>
        <w:t>4</w:t>
      </w:r>
      <w:r w:rsidRPr="006B3BA4">
        <w:rPr>
          <w:rFonts w:eastAsiaTheme="majorEastAsia" w:cs="Times New Roman"/>
          <w:i/>
          <w:sz w:val="22"/>
        </w:rPr>
        <w:t>.</w:t>
      </w:r>
      <w:r w:rsidR="0005065A" w:rsidRPr="006B3BA4">
        <w:rPr>
          <w:rFonts w:eastAsiaTheme="majorEastAsia" w:cs="Times New Roman"/>
          <w:i/>
          <w:sz w:val="22"/>
        </w:rPr>
        <w:t>att.</w:t>
      </w:r>
      <w:r w:rsidR="0005065A" w:rsidRPr="006B3BA4">
        <w:rPr>
          <w:rFonts w:eastAsiaTheme="majorEastAsia" w:cs="Times New Roman"/>
          <w:sz w:val="22"/>
        </w:rPr>
        <w:t xml:space="preserve"> </w:t>
      </w:r>
      <w:r w:rsidR="0005065A" w:rsidRPr="006B3BA4">
        <w:rPr>
          <w:rFonts w:eastAsiaTheme="majorEastAsia" w:cs="Times New Roman"/>
          <w:b/>
          <w:sz w:val="22"/>
        </w:rPr>
        <w:t>Maksimāli</w:t>
      </w:r>
      <w:r w:rsidR="0005065A" w:rsidRPr="007F5FFB">
        <w:rPr>
          <w:rFonts w:eastAsiaTheme="majorEastAsia" w:cs="Times New Roman"/>
          <w:b/>
          <w:sz w:val="22"/>
        </w:rPr>
        <w:t xml:space="preserve"> pieļaujamā izdevumu kopapjoma noteikšana</w:t>
      </w:r>
      <w:r w:rsidR="00192A88">
        <w:rPr>
          <w:rFonts w:eastAsiaTheme="majorEastAsia" w:cs="Times New Roman"/>
          <w:b/>
          <w:sz w:val="22"/>
        </w:rPr>
        <w:t xml:space="preserve"> viena gada ietvaros</w:t>
      </w:r>
    </w:p>
    <w:p w:rsidR="00BF445B" w:rsidRDefault="00BF445B" w:rsidP="00BF445B">
      <w:pPr>
        <w:ind w:firstLine="720"/>
        <w:jc w:val="both"/>
        <w:rPr>
          <w:rFonts w:eastAsiaTheme="majorEastAsia" w:cs="Times New Roman"/>
          <w:szCs w:val="24"/>
        </w:rPr>
      </w:pPr>
    </w:p>
    <w:p w:rsidR="00BE0A0F" w:rsidRDefault="00BE0A0F" w:rsidP="005658EC">
      <w:pPr>
        <w:spacing w:before="120" w:after="120"/>
        <w:ind w:firstLine="720"/>
        <w:jc w:val="both"/>
        <w:rPr>
          <w:rFonts w:eastAsiaTheme="majorEastAsia" w:cs="Times New Roman"/>
          <w:szCs w:val="24"/>
        </w:rPr>
      </w:pPr>
      <w:r>
        <w:rPr>
          <w:rFonts w:eastAsiaTheme="majorEastAsia" w:cs="Times New Roman"/>
          <w:szCs w:val="24"/>
        </w:rPr>
        <w:t xml:space="preserve">FM aprēķina un nosūta ministrijai valsts pamatbudžeta bāzes izdevumus līdz kārtējā gada 31.janvārim, MK valsts pamatbudžeta bāzes izdevumus apstiprina kārtējā gada martā. Savukārt valsts speciālā budžeta bāzes izdevumi tiek precizēti atbilstoši </w:t>
      </w:r>
      <w:r w:rsidRPr="00BE0A0F">
        <w:rPr>
          <w:rFonts w:eastAsiaTheme="majorEastAsia" w:cs="Times New Roman"/>
          <w:szCs w:val="24"/>
        </w:rPr>
        <w:t>FM aktualizētajām makroekonomisko rādītāju prognozēm un noteiktajiem termiņiem</w:t>
      </w:r>
      <w:r>
        <w:rPr>
          <w:rFonts w:eastAsiaTheme="majorEastAsia" w:cs="Times New Roman"/>
          <w:szCs w:val="24"/>
        </w:rPr>
        <w:t>. Vienlaikus kārtējā gadā no janvāra līdz jūlijam, atbilstoši gadskārtējā valsts budžeta sagatavošanas grafikam, FM veic valsts budžeta izdevumu pārskatīšanu.</w:t>
      </w:r>
      <w:r w:rsidR="00D54A8E">
        <w:rPr>
          <w:rFonts w:eastAsiaTheme="majorEastAsia" w:cs="Times New Roman"/>
          <w:szCs w:val="24"/>
        </w:rPr>
        <w:t xml:space="preserve"> Līdz ar to, var secināt, ka minētie procesi zināmā kārtējā gada laika periodā pārklājas.</w:t>
      </w:r>
    </w:p>
    <w:p w:rsidR="005658EC" w:rsidRDefault="00D54A8E" w:rsidP="005658EC">
      <w:pPr>
        <w:spacing w:before="120" w:after="120"/>
        <w:ind w:firstLine="720"/>
        <w:jc w:val="both"/>
        <w:rPr>
          <w:rFonts w:eastAsiaTheme="majorEastAsia" w:cs="Times New Roman"/>
          <w:szCs w:val="24"/>
        </w:rPr>
      </w:pPr>
      <w:r>
        <w:rPr>
          <w:rFonts w:eastAsiaTheme="majorEastAsia" w:cs="Times New Roman"/>
          <w:szCs w:val="24"/>
        </w:rPr>
        <w:t>A</w:t>
      </w:r>
      <w:r w:rsidR="00BE0A0F">
        <w:rPr>
          <w:rFonts w:eastAsiaTheme="majorEastAsia" w:cs="Times New Roman"/>
          <w:szCs w:val="24"/>
        </w:rPr>
        <w:t xml:space="preserve">pstiprinot valsts pamatbudžeta un valsts speciālā budžeta bāzes izdevumus </w:t>
      </w:r>
      <w:r w:rsidR="0094023A">
        <w:rPr>
          <w:rFonts w:eastAsiaTheme="majorEastAsia" w:cs="Times New Roman"/>
          <w:szCs w:val="24"/>
        </w:rPr>
        <w:t>MK protokolā tiek apstiprināti vairāki jautājumi, kuru īstenošanai nepieciešams papildu finansējumus (</w:t>
      </w:r>
      <w:r>
        <w:rPr>
          <w:rFonts w:eastAsiaTheme="majorEastAsia" w:cs="Times New Roman"/>
          <w:szCs w:val="24"/>
        </w:rPr>
        <w:t xml:space="preserve">piemēram, ir </w:t>
      </w:r>
      <w:r w:rsidR="0094023A">
        <w:rPr>
          <w:rFonts w:eastAsiaTheme="majorEastAsia" w:cs="Times New Roman"/>
          <w:szCs w:val="24"/>
        </w:rPr>
        <w:t>spēkā esošs normatīvais regulējums), bet šie pasākumi netiek iekļauti valsts pamatbudžeta bāzes izdevumos, bet tie skatāmi gadskārtējā valsts budžeta sagatavošanas procesā, t.i., lemjot par attīstības daļas finansējumu</w:t>
      </w:r>
      <w:r w:rsidR="005658EC">
        <w:rPr>
          <w:rFonts w:eastAsiaTheme="majorEastAsia" w:cs="Times New Roman"/>
          <w:szCs w:val="24"/>
        </w:rPr>
        <w:t>.</w:t>
      </w:r>
    </w:p>
    <w:p w:rsidR="007659D9" w:rsidRDefault="00294DFB" w:rsidP="007659D9">
      <w:pPr>
        <w:ind w:firstLine="720"/>
        <w:jc w:val="both"/>
        <w:rPr>
          <w:rFonts w:eastAsiaTheme="majorEastAsia" w:cs="Times New Roman"/>
          <w:szCs w:val="24"/>
        </w:rPr>
      </w:pPr>
      <w:r>
        <w:rPr>
          <w:rFonts w:eastAsiaTheme="majorEastAsia" w:cs="Times New Roman"/>
          <w:szCs w:val="24"/>
        </w:rPr>
        <w:lastRenderedPageBreak/>
        <w:t>Tā, piemēram, jau šobrīd ir spēkā likumi, kuros paredzētas normas par finansējumu noteiktā apm</w:t>
      </w:r>
      <w:r w:rsidR="00D54A8E">
        <w:rPr>
          <w:rFonts w:eastAsiaTheme="majorEastAsia" w:cs="Times New Roman"/>
          <w:szCs w:val="24"/>
        </w:rPr>
        <w:t>ērā kādai nozarei vai pasākumam, bet šis finansējums ne</w:t>
      </w:r>
      <w:r w:rsidR="00673939">
        <w:rPr>
          <w:rFonts w:eastAsiaTheme="majorEastAsia" w:cs="Times New Roman"/>
          <w:szCs w:val="24"/>
        </w:rPr>
        <w:t xml:space="preserve"> </w:t>
      </w:r>
      <w:r w:rsidR="00D54A8E">
        <w:rPr>
          <w:rFonts w:eastAsiaTheme="majorEastAsia" w:cs="Times New Roman"/>
          <w:szCs w:val="24"/>
        </w:rPr>
        <w:t>vienmēr tiek iekļauts ministrijas bāzes izdevumos</w:t>
      </w:r>
      <w:r w:rsidR="00AF7663">
        <w:rPr>
          <w:rFonts w:eastAsiaTheme="majorEastAsia" w:cs="Times New Roman"/>
          <w:szCs w:val="24"/>
        </w:rPr>
        <w:t xml:space="preserve"> (skat. tabulu Nr.2.5</w:t>
      </w:r>
      <w:r w:rsidR="008B457B">
        <w:rPr>
          <w:rFonts w:eastAsiaTheme="majorEastAsia" w:cs="Times New Roman"/>
          <w:szCs w:val="24"/>
        </w:rPr>
        <w:t>.</w:t>
      </w:r>
      <w:r w:rsidR="00AF7663">
        <w:rPr>
          <w:rFonts w:eastAsiaTheme="majorEastAsia" w:cs="Times New Roman"/>
          <w:szCs w:val="24"/>
        </w:rPr>
        <w:t>)</w:t>
      </w:r>
      <w:r w:rsidR="00D54A8E">
        <w:rPr>
          <w:rFonts w:eastAsiaTheme="majorEastAsia" w:cs="Times New Roman"/>
          <w:szCs w:val="24"/>
        </w:rPr>
        <w:t>.</w:t>
      </w:r>
    </w:p>
    <w:p w:rsidR="00294DFB" w:rsidRPr="006E5888" w:rsidRDefault="00294DFB" w:rsidP="00294DFB">
      <w:pPr>
        <w:jc w:val="right"/>
      </w:pPr>
      <w:r w:rsidRPr="00AF7663">
        <w:t>Tabula Nr.</w:t>
      </w:r>
      <w:r w:rsidR="008B457B">
        <w:t>2.5.</w:t>
      </w:r>
    </w:p>
    <w:p w:rsidR="00294DFB" w:rsidRPr="00294DFB" w:rsidRDefault="00294DFB" w:rsidP="00294DFB">
      <w:pPr>
        <w:spacing w:before="240" w:after="240"/>
        <w:jc w:val="center"/>
        <w:rPr>
          <w:b/>
        </w:rPr>
      </w:pPr>
      <w:r w:rsidRPr="00294DFB">
        <w:rPr>
          <w:b/>
        </w:rPr>
        <w:t>Kopsavilkums par likumdošanā paredzēto finansējumu noteiktajā apmērā</w:t>
      </w:r>
    </w:p>
    <w:tbl>
      <w:tblPr>
        <w:tblStyle w:val="TableGrid"/>
        <w:tblW w:w="9351" w:type="dxa"/>
        <w:tblLook w:val="04A0" w:firstRow="1" w:lastRow="0" w:firstColumn="1" w:lastColumn="0" w:noHBand="0" w:noVBand="1"/>
      </w:tblPr>
      <w:tblGrid>
        <w:gridCol w:w="1413"/>
        <w:gridCol w:w="2165"/>
        <w:gridCol w:w="5773"/>
      </w:tblGrid>
      <w:tr w:rsidR="00294DFB" w:rsidRPr="00294DFB" w:rsidTr="009D5127">
        <w:trPr>
          <w:trHeight w:val="20"/>
          <w:tblHeader/>
        </w:trPr>
        <w:tc>
          <w:tcPr>
            <w:tcW w:w="1413" w:type="dxa"/>
            <w:shd w:val="clear" w:color="auto" w:fill="C5E0B3" w:themeFill="accent6" w:themeFillTint="66"/>
            <w:vAlign w:val="center"/>
          </w:tcPr>
          <w:p w:rsidR="00294DFB" w:rsidRPr="00294DFB" w:rsidRDefault="00294DFB" w:rsidP="000C0108">
            <w:pPr>
              <w:jc w:val="center"/>
              <w:rPr>
                <w:b/>
                <w:sz w:val="22"/>
              </w:rPr>
            </w:pPr>
            <w:r w:rsidRPr="00294DFB">
              <w:rPr>
                <w:b/>
                <w:sz w:val="22"/>
              </w:rPr>
              <w:t>Ministrija</w:t>
            </w:r>
          </w:p>
        </w:tc>
        <w:tc>
          <w:tcPr>
            <w:tcW w:w="2165" w:type="dxa"/>
            <w:shd w:val="clear" w:color="auto" w:fill="C5E0B3" w:themeFill="accent6" w:themeFillTint="66"/>
            <w:vAlign w:val="center"/>
          </w:tcPr>
          <w:p w:rsidR="00294DFB" w:rsidRPr="00294DFB" w:rsidRDefault="00294DFB" w:rsidP="000C0108">
            <w:pPr>
              <w:jc w:val="center"/>
              <w:rPr>
                <w:b/>
                <w:sz w:val="22"/>
              </w:rPr>
            </w:pPr>
            <w:r w:rsidRPr="00294DFB">
              <w:rPr>
                <w:b/>
                <w:sz w:val="22"/>
              </w:rPr>
              <w:t>Likums</w:t>
            </w:r>
          </w:p>
        </w:tc>
        <w:tc>
          <w:tcPr>
            <w:tcW w:w="5773" w:type="dxa"/>
            <w:shd w:val="clear" w:color="auto" w:fill="C5E0B3" w:themeFill="accent6" w:themeFillTint="66"/>
            <w:vAlign w:val="center"/>
          </w:tcPr>
          <w:p w:rsidR="00294DFB" w:rsidRPr="00294DFB" w:rsidRDefault="00294DFB" w:rsidP="000C0108">
            <w:pPr>
              <w:jc w:val="center"/>
              <w:rPr>
                <w:b/>
                <w:sz w:val="22"/>
              </w:rPr>
            </w:pPr>
            <w:r w:rsidRPr="00294DFB">
              <w:rPr>
                <w:b/>
                <w:sz w:val="22"/>
              </w:rPr>
              <w:t>Likuma norma</w:t>
            </w:r>
          </w:p>
        </w:tc>
      </w:tr>
      <w:tr w:rsidR="00294DFB" w:rsidRPr="00294DFB" w:rsidTr="009D5127">
        <w:trPr>
          <w:trHeight w:val="20"/>
        </w:trPr>
        <w:tc>
          <w:tcPr>
            <w:tcW w:w="1413" w:type="dxa"/>
            <w:vAlign w:val="center"/>
          </w:tcPr>
          <w:p w:rsidR="00294DFB" w:rsidRPr="00F30CB1" w:rsidRDefault="00294DFB" w:rsidP="000C0108">
            <w:pPr>
              <w:jc w:val="center"/>
              <w:rPr>
                <w:b/>
                <w:sz w:val="22"/>
              </w:rPr>
            </w:pPr>
            <w:r w:rsidRPr="00F30CB1">
              <w:rPr>
                <w:b/>
                <w:sz w:val="22"/>
              </w:rPr>
              <w:t>SM</w:t>
            </w:r>
          </w:p>
        </w:tc>
        <w:tc>
          <w:tcPr>
            <w:tcW w:w="2165" w:type="dxa"/>
          </w:tcPr>
          <w:p w:rsidR="00294DFB" w:rsidRPr="00294DFB" w:rsidRDefault="00294DFB" w:rsidP="000C0108">
            <w:pPr>
              <w:jc w:val="center"/>
              <w:rPr>
                <w:sz w:val="22"/>
              </w:rPr>
            </w:pPr>
            <w:r w:rsidRPr="00294DFB">
              <w:rPr>
                <w:sz w:val="22"/>
              </w:rPr>
              <w:t>Par autoceļiem</w:t>
            </w:r>
          </w:p>
        </w:tc>
        <w:tc>
          <w:tcPr>
            <w:tcW w:w="5773" w:type="dxa"/>
          </w:tcPr>
          <w:p w:rsidR="00294DFB" w:rsidRPr="00294DFB" w:rsidRDefault="00294DFB" w:rsidP="000C0108">
            <w:pPr>
              <w:jc w:val="both"/>
              <w:rPr>
                <w:i/>
                <w:sz w:val="22"/>
              </w:rPr>
            </w:pPr>
            <w:r w:rsidRPr="00294DFB">
              <w:rPr>
                <w:i/>
                <w:sz w:val="22"/>
              </w:rPr>
              <w:t>12.pants ceturtā daļa</w:t>
            </w:r>
          </w:p>
          <w:p w:rsidR="00294DFB" w:rsidRPr="00294DFB" w:rsidRDefault="00294DFB" w:rsidP="000C0108">
            <w:pPr>
              <w:jc w:val="both"/>
              <w:rPr>
                <w:sz w:val="22"/>
              </w:rPr>
            </w:pPr>
            <w:r w:rsidRPr="00294DFB">
              <w:rPr>
                <w:sz w:val="22"/>
              </w:rPr>
              <w:t>Valsts budžeta finansējumu programmai “Valsts autoceļu fonds” veido prognozētie valsts budžeta ieņēmumi no transportlīdzekļu ekspluatācijas nodokļa, autoceļu lietošanas nodevas un 80 procenti no prognozētajiem valsts budžeta ieņēmumiem no akcīzes nodokļa par naftas produktiem, ja gadskārtējā valsts budžeta likumā nav noteikts citādi. Valsts autoceļu sakārtošanai un atjaunošanai finansējums tiek piešķirts saskaņā ar Valsts autoceļu sakārtošanas programmu. Plānojot gadskārtējo budžetu, valsts budžeta izdevumus programmai “Valsts autoceļu fonds” samazina par summu, kas ceļu nozarei ir pieejama no ES fondiem attiecīgajā finanšu gadā. Ikgadējai mērķdotācijai pašvaldību autoceļiem un ielām piešķirtais finansējums nedrīkst būt mazāks par 25 procentiem no programmai “Valsts autoceļu fonds” piešķirtā valsts budžeta finansējuma, neskaitot prognozētos ieņēmumus no autoceļu lietošanas nodevas.</w:t>
            </w:r>
          </w:p>
        </w:tc>
      </w:tr>
      <w:tr w:rsidR="00294DFB" w:rsidRPr="00294DFB" w:rsidTr="009D5127">
        <w:trPr>
          <w:trHeight w:val="20"/>
        </w:trPr>
        <w:tc>
          <w:tcPr>
            <w:tcW w:w="1413" w:type="dxa"/>
            <w:vMerge w:val="restart"/>
            <w:vAlign w:val="center"/>
          </w:tcPr>
          <w:p w:rsidR="00294DFB" w:rsidRPr="00F30CB1" w:rsidRDefault="00294DFB" w:rsidP="000C0108">
            <w:pPr>
              <w:jc w:val="center"/>
              <w:rPr>
                <w:b/>
                <w:sz w:val="22"/>
              </w:rPr>
            </w:pPr>
            <w:r w:rsidRPr="00F30CB1">
              <w:rPr>
                <w:b/>
                <w:sz w:val="22"/>
              </w:rPr>
              <w:t>KM</w:t>
            </w:r>
          </w:p>
        </w:tc>
        <w:tc>
          <w:tcPr>
            <w:tcW w:w="2165" w:type="dxa"/>
          </w:tcPr>
          <w:p w:rsidR="00294DFB" w:rsidRPr="00294DFB" w:rsidRDefault="00294DFB" w:rsidP="000C0108">
            <w:pPr>
              <w:jc w:val="center"/>
              <w:rPr>
                <w:sz w:val="22"/>
              </w:rPr>
            </w:pPr>
            <w:r w:rsidRPr="00294DFB">
              <w:rPr>
                <w:sz w:val="22"/>
              </w:rPr>
              <w:t>Elektronisko plašsaziņas līdzekļu likums</w:t>
            </w:r>
          </w:p>
        </w:tc>
        <w:tc>
          <w:tcPr>
            <w:tcW w:w="5773" w:type="dxa"/>
          </w:tcPr>
          <w:p w:rsidR="00294DFB" w:rsidRPr="00294DFB" w:rsidRDefault="00294DFB" w:rsidP="000C0108">
            <w:pPr>
              <w:rPr>
                <w:i/>
                <w:sz w:val="22"/>
              </w:rPr>
            </w:pPr>
            <w:r w:rsidRPr="00294DFB">
              <w:rPr>
                <w:i/>
                <w:sz w:val="22"/>
              </w:rPr>
              <w:t xml:space="preserve">70.panta pirmā daļa </w:t>
            </w:r>
          </w:p>
          <w:p w:rsidR="00294DFB" w:rsidRPr="00294DFB" w:rsidRDefault="00294DFB" w:rsidP="000C0108">
            <w:pPr>
              <w:jc w:val="both"/>
              <w:rPr>
                <w:sz w:val="22"/>
              </w:rPr>
            </w:pPr>
            <w:r w:rsidRPr="00294DFB">
              <w:rPr>
                <w:sz w:val="22"/>
              </w:rPr>
              <w:t>Sabiedrisko elektronisko plašsaziņas līdzekļu finansiālais nodrošinājums</w:t>
            </w:r>
          </w:p>
          <w:p w:rsidR="00294DFB" w:rsidRPr="00294DFB" w:rsidRDefault="00294DFB" w:rsidP="000C0108">
            <w:pPr>
              <w:jc w:val="both"/>
              <w:rPr>
                <w:sz w:val="22"/>
              </w:rPr>
            </w:pPr>
            <w:r w:rsidRPr="00294DFB">
              <w:rPr>
                <w:sz w:val="22"/>
              </w:rPr>
              <w:t>(1) Sabiedrisko elektronisko plašsaziņas līdzekļu finansiālā nodrošinājuma avoti ir:</w:t>
            </w:r>
          </w:p>
          <w:p w:rsidR="00294DFB" w:rsidRPr="00294DFB" w:rsidRDefault="00294DFB" w:rsidP="000C0108">
            <w:pPr>
              <w:ind w:left="620" w:hanging="284"/>
              <w:jc w:val="both"/>
              <w:rPr>
                <w:sz w:val="22"/>
              </w:rPr>
            </w:pPr>
            <w:r w:rsidRPr="00294DFB">
              <w:rPr>
                <w:sz w:val="22"/>
              </w:rPr>
              <w:t>1) valsts budžeta dotācija sabiedriskā pasūtījuma īstenošanai, turklāt tā nedrīkst būt mazāka kā iepriekšējā gadā;</w:t>
            </w:r>
          </w:p>
          <w:p w:rsidR="00294DFB" w:rsidRPr="00294DFB" w:rsidRDefault="00294DFB" w:rsidP="000C0108">
            <w:pPr>
              <w:ind w:left="620" w:hanging="284"/>
              <w:jc w:val="both"/>
              <w:rPr>
                <w:sz w:val="22"/>
              </w:rPr>
            </w:pPr>
            <w:r w:rsidRPr="00294DFB">
              <w:rPr>
                <w:sz w:val="22"/>
              </w:rPr>
              <w:t>2) ieņēmumi no saimnieciskās darbības;</w:t>
            </w:r>
          </w:p>
          <w:p w:rsidR="00294DFB" w:rsidRPr="00294DFB" w:rsidRDefault="00294DFB" w:rsidP="000C0108">
            <w:pPr>
              <w:ind w:left="620" w:hanging="284"/>
              <w:jc w:val="both"/>
              <w:rPr>
                <w:sz w:val="22"/>
              </w:rPr>
            </w:pPr>
            <w:r w:rsidRPr="00294DFB">
              <w:rPr>
                <w:sz w:val="22"/>
              </w:rPr>
              <w:t>3) dāvinājumi un ziedojumi naudas līdzekļu un mantiskā veidā, tai skaitā ārvalstu fizisko un juridisko personu dāvinājumi un ziedojumi;</w:t>
            </w:r>
          </w:p>
          <w:p w:rsidR="00294DFB" w:rsidRPr="00294DFB" w:rsidRDefault="00294DFB" w:rsidP="000C0108">
            <w:pPr>
              <w:ind w:left="620" w:hanging="284"/>
              <w:jc w:val="both"/>
              <w:rPr>
                <w:sz w:val="22"/>
              </w:rPr>
            </w:pPr>
            <w:r w:rsidRPr="00294DFB">
              <w:rPr>
                <w:sz w:val="22"/>
              </w:rPr>
              <w:t>4) citi normatīvajos aktos paredzēti finanšu avoti.</w:t>
            </w:r>
          </w:p>
        </w:tc>
      </w:tr>
      <w:tr w:rsidR="00294DFB" w:rsidRPr="00294DFB" w:rsidTr="009D5127">
        <w:trPr>
          <w:trHeight w:val="20"/>
        </w:trPr>
        <w:tc>
          <w:tcPr>
            <w:tcW w:w="1413" w:type="dxa"/>
            <w:vMerge/>
            <w:vAlign w:val="center"/>
          </w:tcPr>
          <w:p w:rsidR="00294DFB" w:rsidRPr="00F30CB1" w:rsidRDefault="00294DFB" w:rsidP="000C0108">
            <w:pPr>
              <w:jc w:val="center"/>
              <w:rPr>
                <w:b/>
                <w:sz w:val="22"/>
              </w:rPr>
            </w:pPr>
          </w:p>
        </w:tc>
        <w:tc>
          <w:tcPr>
            <w:tcW w:w="2165" w:type="dxa"/>
          </w:tcPr>
          <w:p w:rsidR="00294DFB" w:rsidRPr="00294DFB" w:rsidRDefault="00294DFB" w:rsidP="000C0108">
            <w:pPr>
              <w:jc w:val="center"/>
              <w:rPr>
                <w:sz w:val="22"/>
              </w:rPr>
            </w:pPr>
            <w:r w:rsidRPr="00294DFB">
              <w:rPr>
                <w:sz w:val="22"/>
              </w:rPr>
              <w:t>Valsts kultūrkapitāla fonda likums</w:t>
            </w:r>
          </w:p>
        </w:tc>
        <w:tc>
          <w:tcPr>
            <w:tcW w:w="5773" w:type="dxa"/>
          </w:tcPr>
          <w:p w:rsidR="00294DFB" w:rsidRPr="00294DFB" w:rsidRDefault="00294DFB" w:rsidP="000C0108">
            <w:pPr>
              <w:jc w:val="both"/>
              <w:rPr>
                <w:i/>
                <w:sz w:val="22"/>
              </w:rPr>
            </w:pPr>
            <w:r w:rsidRPr="00294DFB">
              <w:rPr>
                <w:i/>
                <w:sz w:val="22"/>
              </w:rPr>
              <w:t>5.pants otrā daļa</w:t>
            </w:r>
          </w:p>
          <w:p w:rsidR="00294DFB" w:rsidRPr="00294DFB" w:rsidRDefault="00294DFB" w:rsidP="000C0108">
            <w:pPr>
              <w:jc w:val="both"/>
              <w:rPr>
                <w:sz w:val="22"/>
              </w:rPr>
            </w:pPr>
            <w:r w:rsidRPr="00294DFB">
              <w:rPr>
                <w:sz w:val="22"/>
              </w:rPr>
              <w:t>Fonda līdzekļi un to izlietošana</w:t>
            </w:r>
          </w:p>
          <w:p w:rsidR="00294DFB" w:rsidRPr="00294DFB" w:rsidRDefault="00294DFB" w:rsidP="000C0108">
            <w:pPr>
              <w:jc w:val="both"/>
              <w:rPr>
                <w:sz w:val="22"/>
              </w:rPr>
            </w:pPr>
            <w:r w:rsidRPr="00294DFB">
              <w:rPr>
                <w:sz w:val="22"/>
              </w:rPr>
              <w:t>Valsts budžeta līdzekļu piešķīrums kārtējam gadam ir lielāks nekā iepriekšējā budžeta gadā.</w:t>
            </w:r>
          </w:p>
        </w:tc>
      </w:tr>
      <w:tr w:rsidR="00294DFB" w:rsidRPr="00294DFB" w:rsidTr="009D5127">
        <w:trPr>
          <w:trHeight w:val="20"/>
        </w:trPr>
        <w:tc>
          <w:tcPr>
            <w:tcW w:w="1413" w:type="dxa"/>
            <w:vMerge w:val="restart"/>
            <w:vAlign w:val="center"/>
          </w:tcPr>
          <w:p w:rsidR="00294DFB" w:rsidRPr="00F30CB1" w:rsidRDefault="00294DFB" w:rsidP="000C0108">
            <w:pPr>
              <w:jc w:val="center"/>
              <w:rPr>
                <w:b/>
                <w:sz w:val="22"/>
              </w:rPr>
            </w:pPr>
            <w:r w:rsidRPr="00F30CB1">
              <w:rPr>
                <w:b/>
                <w:sz w:val="22"/>
              </w:rPr>
              <w:t>IZM</w:t>
            </w:r>
          </w:p>
        </w:tc>
        <w:tc>
          <w:tcPr>
            <w:tcW w:w="2165" w:type="dxa"/>
          </w:tcPr>
          <w:p w:rsidR="00294DFB" w:rsidRPr="00294DFB" w:rsidRDefault="00294DFB" w:rsidP="000C0108">
            <w:pPr>
              <w:jc w:val="center"/>
              <w:rPr>
                <w:sz w:val="22"/>
              </w:rPr>
            </w:pPr>
            <w:r w:rsidRPr="00294DFB">
              <w:rPr>
                <w:sz w:val="22"/>
              </w:rPr>
              <w:t>Augstskolu likums</w:t>
            </w:r>
          </w:p>
        </w:tc>
        <w:tc>
          <w:tcPr>
            <w:tcW w:w="5773" w:type="dxa"/>
          </w:tcPr>
          <w:p w:rsidR="00294DFB" w:rsidRPr="00294DFB" w:rsidRDefault="00294DFB" w:rsidP="000C0108">
            <w:pPr>
              <w:rPr>
                <w:i/>
                <w:sz w:val="22"/>
              </w:rPr>
            </w:pPr>
            <w:r w:rsidRPr="00294DFB">
              <w:rPr>
                <w:i/>
                <w:sz w:val="22"/>
              </w:rPr>
              <w:t>78.panta septītā daļa</w:t>
            </w:r>
          </w:p>
          <w:p w:rsidR="00294DFB" w:rsidRPr="00294DFB" w:rsidRDefault="00294DFB" w:rsidP="000C0108">
            <w:pPr>
              <w:jc w:val="both"/>
              <w:rPr>
                <w:sz w:val="22"/>
              </w:rPr>
            </w:pPr>
            <w:r w:rsidRPr="00294DFB">
              <w:rPr>
                <w:sz w:val="22"/>
              </w:rPr>
              <w:t>(7) MK, iesniedzot Saeimai gadskārtējo valsts budžeta projektu, tajā paredz ikgadēju finansējuma pieaugumu studijām valsts dibinātās augstskolās ne mazāku par 0,25 procentiem no IKP, līdz valsts piešķirtais finansējums studijām valsts dibinātās augstskolās sasniedz vismaz divus procentus no IKP.</w:t>
            </w:r>
          </w:p>
        </w:tc>
      </w:tr>
      <w:tr w:rsidR="00294DFB" w:rsidRPr="00294DFB" w:rsidTr="009D5127">
        <w:trPr>
          <w:trHeight w:val="20"/>
        </w:trPr>
        <w:tc>
          <w:tcPr>
            <w:tcW w:w="1413" w:type="dxa"/>
            <w:vMerge/>
          </w:tcPr>
          <w:p w:rsidR="00294DFB" w:rsidRPr="00294DFB" w:rsidRDefault="00294DFB" w:rsidP="000C0108">
            <w:pPr>
              <w:jc w:val="center"/>
              <w:rPr>
                <w:sz w:val="22"/>
              </w:rPr>
            </w:pPr>
          </w:p>
        </w:tc>
        <w:tc>
          <w:tcPr>
            <w:tcW w:w="2165" w:type="dxa"/>
          </w:tcPr>
          <w:p w:rsidR="00294DFB" w:rsidRPr="00294DFB" w:rsidRDefault="00294DFB" w:rsidP="000C0108">
            <w:pPr>
              <w:jc w:val="center"/>
              <w:rPr>
                <w:sz w:val="22"/>
              </w:rPr>
            </w:pPr>
            <w:r w:rsidRPr="00294DFB">
              <w:rPr>
                <w:sz w:val="22"/>
              </w:rPr>
              <w:t>Zinātniskās darbības likums</w:t>
            </w:r>
          </w:p>
        </w:tc>
        <w:tc>
          <w:tcPr>
            <w:tcW w:w="5773" w:type="dxa"/>
          </w:tcPr>
          <w:p w:rsidR="00294DFB" w:rsidRPr="00294DFB" w:rsidRDefault="00294DFB" w:rsidP="000C0108">
            <w:pPr>
              <w:rPr>
                <w:i/>
                <w:sz w:val="22"/>
              </w:rPr>
            </w:pPr>
            <w:r w:rsidRPr="00294DFB">
              <w:rPr>
                <w:i/>
                <w:sz w:val="22"/>
              </w:rPr>
              <w:t>33.panta otrā daļa</w:t>
            </w:r>
          </w:p>
          <w:p w:rsidR="00294DFB" w:rsidRPr="00294DFB" w:rsidRDefault="00294DFB" w:rsidP="000C0108">
            <w:pPr>
              <w:jc w:val="both"/>
              <w:rPr>
                <w:sz w:val="22"/>
              </w:rPr>
            </w:pPr>
            <w:r w:rsidRPr="00294DFB">
              <w:rPr>
                <w:sz w:val="22"/>
              </w:rPr>
              <w:t>(2) MK, iesniedzot Saeimai gadskārtējo likumu par valsts budžetu, paredz ikgadēju finansējuma pieaugumu zinātniskajai darbībai ne mazāku par 0,15 procentiem no IKP, līdz valsts piešķirtais finansējums zinātniskajai darbībai sasniedz vismaz vienu procentu no IKP.</w:t>
            </w:r>
          </w:p>
        </w:tc>
      </w:tr>
      <w:tr w:rsidR="00294DFB" w:rsidRPr="00294DFB" w:rsidTr="009D5127">
        <w:trPr>
          <w:trHeight w:val="20"/>
        </w:trPr>
        <w:tc>
          <w:tcPr>
            <w:tcW w:w="1413" w:type="dxa"/>
            <w:vMerge/>
            <w:vAlign w:val="center"/>
          </w:tcPr>
          <w:p w:rsidR="00294DFB" w:rsidRPr="00294DFB" w:rsidRDefault="00294DFB" w:rsidP="000C0108">
            <w:pPr>
              <w:jc w:val="center"/>
              <w:rPr>
                <w:b/>
                <w:sz w:val="22"/>
              </w:rPr>
            </w:pPr>
          </w:p>
        </w:tc>
        <w:tc>
          <w:tcPr>
            <w:tcW w:w="2165" w:type="dxa"/>
          </w:tcPr>
          <w:p w:rsidR="00294DFB" w:rsidRPr="00294DFB" w:rsidRDefault="00294DFB" w:rsidP="000C0108">
            <w:pPr>
              <w:jc w:val="center"/>
              <w:rPr>
                <w:sz w:val="22"/>
              </w:rPr>
            </w:pPr>
            <w:r w:rsidRPr="00294DFB">
              <w:rPr>
                <w:sz w:val="22"/>
              </w:rPr>
              <w:t>Sporta likums</w:t>
            </w:r>
          </w:p>
        </w:tc>
        <w:tc>
          <w:tcPr>
            <w:tcW w:w="5773" w:type="dxa"/>
          </w:tcPr>
          <w:p w:rsidR="00294DFB" w:rsidRPr="00294DFB" w:rsidRDefault="00294DFB" w:rsidP="000C0108">
            <w:pPr>
              <w:jc w:val="both"/>
              <w:rPr>
                <w:sz w:val="22"/>
              </w:rPr>
            </w:pPr>
            <w:r w:rsidRPr="00294DFB">
              <w:rPr>
                <w:i/>
                <w:sz w:val="22"/>
              </w:rPr>
              <w:t>13.panta pirmā daļa</w:t>
            </w:r>
          </w:p>
          <w:p w:rsidR="00294DFB" w:rsidRPr="00294DFB" w:rsidRDefault="00294DFB" w:rsidP="000C0108">
            <w:pPr>
              <w:jc w:val="both"/>
              <w:rPr>
                <w:sz w:val="22"/>
              </w:rPr>
            </w:pPr>
            <w:r w:rsidRPr="00294DFB">
              <w:rPr>
                <w:sz w:val="22"/>
              </w:rPr>
              <w:lastRenderedPageBreak/>
              <w:t>Valsts budžeta līdzekļus sportam piešķir saskaņā ar gadskārtējo valsts budžeta likumu. Budžeta apakšprogrammas "Augstas klases sasniegumu sports" finansējuma apmērs tiek noteikts ne mazāks kā iepriekšējā budžeta gadā.</w:t>
            </w:r>
          </w:p>
        </w:tc>
      </w:tr>
      <w:tr w:rsidR="00294DFB" w:rsidRPr="00294DFB" w:rsidTr="009D5127">
        <w:trPr>
          <w:trHeight w:val="20"/>
        </w:trPr>
        <w:tc>
          <w:tcPr>
            <w:tcW w:w="1413" w:type="dxa"/>
            <w:vAlign w:val="center"/>
          </w:tcPr>
          <w:p w:rsidR="00294DFB" w:rsidRPr="00F30CB1" w:rsidRDefault="00294DFB" w:rsidP="000C0108">
            <w:pPr>
              <w:jc w:val="center"/>
              <w:rPr>
                <w:b/>
                <w:sz w:val="22"/>
              </w:rPr>
            </w:pPr>
            <w:r w:rsidRPr="00F30CB1">
              <w:rPr>
                <w:b/>
                <w:sz w:val="22"/>
              </w:rPr>
              <w:lastRenderedPageBreak/>
              <w:t>VARAM</w:t>
            </w:r>
          </w:p>
        </w:tc>
        <w:tc>
          <w:tcPr>
            <w:tcW w:w="2165" w:type="dxa"/>
          </w:tcPr>
          <w:p w:rsidR="00294DFB" w:rsidRPr="00294DFB" w:rsidRDefault="00294DFB" w:rsidP="000C0108">
            <w:pPr>
              <w:jc w:val="center"/>
              <w:rPr>
                <w:sz w:val="22"/>
              </w:rPr>
            </w:pPr>
            <w:r w:rsidRPr="00294DFB">
              <w:rPr>
                <w:sz w:val="22"/>
              </w:rPr>
              <w:t>Latvijas vides aizsardzības fonda likums</w:t>
            </w:r>
          </w:p>
        </w:tc>
        <w:tc>
          <w:tcPr>
            <w:tcW w:w="5773" w:type="dxa"/>
          </w:tcPr>
          <w:p w:rsidR="00294DFB" w:rsidRPr="00294DFB" w:rsidRDefault="00294DFB" w:rsidP="000C0108">
            <w:pPr>
              <w:jc w:val="both"/>
              <w:rPr>
                <w:i/>
                <w:sz w:val="22"/>
              </w:rPr>
            </w:pPr>
            <w:r w:rsidRPr="00294DFB">
              <w:rPr>
                <w:i/>
                <w:sz w:val="22"/>
              </w:rPr>
              <w:t>5.pants</w:t>
            </w:r>
          </w:p>
          <w:p w:rsidR="00294DFB" w:rsidRPr="00294DFB" w:rsidRDefault="00294DFB" w:rsidP="000C0108">
            <w:pPr>
              <w:jc w:val="both"/>
              <w:rPr>
                <w:sz w:val="22"/>
              </w:rPr>
            </w:pPr>
            <w:r w:rsidRPr="00294DFB">
              <w:rPr>
                <w:sz w:val="22"/>
              </w:rPr>
              <w:t>Valsts budžeta dotācija Fondam</w:t>
            </w:r>
          </w:p>
          <w:p w:rsidR="00294DFB" w:rsidRPr="00294DFB" w:rsidRDefault="00294DFB" w:rsidP="000C0108">
            <w:pPr>
              <w:jc w:val="both"/>
              <w:rPr>
                <w:sz w:val="22"/>
              </w:rPr>
            </w:pPr>
            <w:r w:rsidRPr="00294DFB">
              <w:rPr>
                <w:sz w:val="22"/>
              </w:rPr>
              <w:t>Fondam piešķirtā valsts budžeta dotācija no vispārējiem ieņēmumiem nevar būt mazāka kā iepriekšējā budžeta gadā.</w:t>
            </w:r>
          </w:p>
        </w:tc>
      </w:tr>
      <w:tr w:rsidR="00294DFB" w:rsidRPr="00294DFB" w:rsidTr="009D5127">
        <w:trPr>
          <w:trHeight w:val="20"/>
        </w:trPr>
        <w:tc>
          <w:tcPr>
            <w:tcW w:w="1413" w:type="dxa"/>
            <w:vAlign w:val="center"/>
          </w:tcPr>
          <w:p w:rsidR="00294DFB" w:rsidRPr="00F30CB1" w:rsidRDefault="00294DFB" w:rsidP="000C0108">
            <w:pPr>
              <w:jc w:val="center"/>
              <w:rPr>
                <w:b/>
                <w:sz w:val="22"/>
              </w:rPr>
            </w:pPr>
            <w:r w:rsidRPr="00F30CB1">
              <w:rPr>
                <w:b/>
                <w:sz w:val="22"/>
              </w:rPr>
              <w:t>ZM</w:t>
            </w:r>
          </w:p>
        </w:tc>
        <w:tc>
          <w:tcPr>
            <w:tcW w:w="2165" w:type="dxa"/>
          </w:tcPr>
          <w:p w:rsidR="00294DFB" w:rsidRPr="00294DFB" w:rsidRDefault="00294DFB" w:rsidP="000C0108">
            <w:pPr>
              <w:jc w:val="center"/>
              <w:rPr>
                <w:sz w:val="22"/>
              </w:rPr>
            </w:pPr>
            <w:r w:rsidRPr="00294DFB">
              <w:rPr>
                <w:sz w:val="22"/>
              </w:rPr>
              <w:t>Lauksaimniecības un lauku attīstības likums</w:t>
            </w:r>
          </w:p>
        </w:tc>
        <w:tc>
          <w:tcPr>
            <w:tcW w:w="5773" w:type="dxa"/>
          </w:tcPr>
          <w:p w:rsidR="00294DFB" w:rsidRPr="00294DFB" w:rsidRDefault="00294DFB" w:rsidP="000C0108">
            <w:pPr>
              <w:rPr>
                <w:i/>
                <w:sz w:val="22"/>
              </w:rPr>
            </w:pPr>
            <w:r w:rsidRPr="00294DFB">
              <w:rPr>
                <w:i/>
                <w:sz w:val="22"/>
              </w:rPr>
              <w:t>5.panta trešā daļa</w:t>
            </w:r>
          </w:p>
          <w:p w:rsidR="00294DFB" w:rsidRPr="00294DFB" w:rsidRDefault="00294DFB" w:rsidP="000C0108">
            <w:pPr>
              <w:jc w:val="both"/>
              <w:rPr>
                <w:sz w:val="22"/>
              </w:rPr>
            </w:pPr>
            <w:r w:rsidRPr="00294DFB">
              <w:rPr>
                <w:sz w:val="22"/>
              </w:rPr>
              <w:t>Valsts atbalsts lauksaimniecības attīstībai subsīdiju veidā nedrīkst būt mazāks par 2,5 procentiem no gada pamatbudžeta kopējiem izdevumiem, kas tiek segti no dotācijām no vispārējiem ieņēmumiem, atskaitot iemaksas ES budžetā.</w:t>
            </w:r>
          </w:p>
        </w:tc>
      </w:tr>
    </w:tbl>
    <w:p w:rsidR="00213F7E" w:rsidRDefault="00213F7E" w:rsidP="00AF7663">
      <w:pPr>
        <w:spacing w:before="120"/>
        <w:ind w:firstLine="720"/>
        <w:jc w:val="both"/>
        <w:rPr>
          <w:rFonts w:eastAsiaTheme="majorEastAsia" w:cs="Times New Roman"/>
          <w:szCs w:val="24"/>
        </w:rPr>
      </w:pPr>
      <w:r>
        <w:rPr>
          <w:rFonts w:eastAsiaTheme="majorEastAsia" w:cs="Times New Roman"/>
          <w:szCs w:val="24"/>
        </w:rPr>
        <w:t xml:space="preserve">Tāpat jau šobrīd ir spēkā esošas likumu normas, kas nenodrošina automātisku finansējuma iekļaušanu valsts pamatbudžeta bāzes izdevumos, bet ministrijai atkārtoti šis finansējums jāpieprasa kā prioritārais pasākums un jāskata MK gadskārtējā valsts budžeta likumprojekta sagatavošanas procesā. </w:t>
      </w:r>
    </w:p>
    <w:p w:rsidR="00294DFB" w:rsidRPr="00213F7E" w:rsidRDefault="00213F7E" w:rsidP="00213F7E">
      <w:pPr>
        <w:spacing w:before="120"/>
        <w:jc w:val="both"/>
        <w:rPr>
          <w:rFonts w:eastAsiaTheme="majorEastAsia" w:cs="Times New Roman"/>
          <w:i/>
          <w:szCs w:val="24"/>
        </w:rPr>
      </w:pPr>
      <w:r w:rsidRPr="00213F7E">
        <w:rPr>
          <w:rFonts w:eastAsiaTheme="majorEastAsia" w:cs="Times New Roman"/>
          <w:i/>
          <w:szCs w:val="24"/>
        </w:rPr>
        <w:t xml:space="preserve">Piemērs </w:t>
      </w:r>
    </w:p>
    <w:p w:rsidR="007659D9" w:rsidRDefault="00213F7E" w:rsidP="007659D9">
      <w:pPr>
        <w:ind w:firstLine="720"/>
        <w:jc w:val="both"/>
        <w:rPr>
          <w:rFonts w:eastAsiaTheme="majorEastAsia" w:cs="Times New Roman"/>
          <w:szCs w:val="24"/>
        </w:rPr>
      </w:pPr>
      <w:r>
        <w:rPr>
          <w:rFonts w:eastAsiaTheme="majorEastAsia" w:cs="Times New Roman"/>
          <w:szCs w:val="24"/>
        </w:rPr>
        <w:t xml:space="preserve">Valsts un pašvaldību institūciju amatpersonu un darbinieku atlīdzības likuma 25.panta ceturtā daļa: </w:t>
      </w:r>
      <w:r w:rsidRPr="00213F7E">
        <w:rPr>
          <w:rFonts w:eastAsiaTheme="majorEastAsia" w:cs="Times New Roman"/>
          <w:i/>
          <w:szCs w:val="24"/>
        </w:rPr>
        <w:t xml:space="preserve">IeM sistēmas iestāžu un Ieslodzījuma vietu pārvaldes amatpersona ar speciālo dienesta pakāpi pēc katriem pieciem nepārtrauktas izdienas gadiem </w:t>
      </w:r>
      <w:r>
        <w:rPr>
          <w:rFonts w:eastAsiaTheme="majorEastAsia" w:cs="Times New Roman"/>
          <w:i/>
          <w:szCs w:val="24"/>
        </w:rPr>
        <w:t>IeM</w:t>
      </w:r>
      <w:r w:rsidRPr="00213F7E">
        <w:rPr>
          <w:rFonts w:eastAsiaTheme="majorEastAsia" w:cs="Times New Roman"/>
          <w:i/>
          <w:szCs w:val="24"/>
        </w:rPr>
        <w:t xml:space="preserve"> sistēmā vai Ieslodzījuma vietu pārvaldē saņem vienreizēju pabalstu triju mēnešalgu apmērā atbilstoši pēdējam amatam.</w:t>
      </w:r>
      <w:r>
        <w:rPr>
          <w:rFonts w:eastAsiaTheme="majorEastAsia" w:cs="Times New Roman"/>
          <w:szCs w:val="24"/>
        </w:rPr>
        <w:t xml:space="preserve">  </w:t>
      </w:r>
    </w:p>
    <w:p w:rsidR="007659D9" w:rsidRDefault="00FD43D1" w:rsidP="00FD43D1">
      <w:pPr>
        <w:spacing w:before="120"/>
        <w:ind w:firstLine="720"/>
        <w:jc w:val="both"/>
        <w:rPr>
          <w:rFonts w:eastAsiaTheme="majorEastAsia" w:cs="Times New Roman"/>
          <w:szCs w:val="24"/>
        </w:rPr>
      </w:pPr>
      <w:r>
        <w:rPr>
          <w:rFonts w:eastAsiaTheme="majorEastAsia" w:cs="Times New Roman"/>
          <w:szCs w:val="24"/>
        </w:rPr>
        <w:t>Līdz ar to apstiprinot attīstības daļas finansējumu veidojas situācija, ka</w:t>
      </w:r>
      <w:r w:rsidR="007C5808">
        <w:rPr>
          <w:rFonts w:eastAsiaTheme="majorEastAsia" w:cs="Times New Roman"/>
          <w:szCs w:val="24"/>
        </w:rPr>
        <w:t xml:space="preserve"> finansējums tiek novirzīts izdevumiem, kurus būtu bijis jāparedz jau bāzes izdevumos (</w:t>
      </w:r>
      <w:r w:rsidR="00F8306A">
        <w:rPr>
          <w:rFonts w:eastAsiaTheme="majorEastAsia" w:cs="Times New Roman"/>
          <w:szCs w:val="24"/>
        </w:rPr>
        <w:t xml:space="preserve">ēku remontdarbiem, ēku būvniecībai, rekonstrukcijai, renovācijai, elektrības un komunālo maksājumu sadārdzinājuma kompensēšanai, minimālās mēnešalgas paaugstināšanai, mēneša darba algas izlīdzināšanai u.c.). Tāpat arī jau spēkā esošo likumu normu finansēšana </w:t>
      </w:r>
      <w:r w:rsidR="00F83E97">
        <w:rPr>
          <w:rFonts w:eastAsiaTheme="majorEastAsia" w:cs="Times New Roman"/>
          <w:szCs w:val="24"/>
        </w:rPr>
        <w:t xml:space="preserve">teorētiski </w:t>
      </w:r>
      <w:r w:rsidR="00F8306A">
        <w:rPr>
          <w:rFonts w:eastAsiaTheme="majorEastAsia" w:cs="Times New Roman"/>
          <w:szCs w:val="24"/>
        </w:rPr>
        <w:t>būtu paredzama valsts pamatbudžeta bāzes izdevumos, nepieprasot šo finansējumu atkārtoti un neiesniedzot kā prioritāro pasākumu</w:t>
      </w:r>
      <w:r w:rsidR="00F83E97">
        <w:rPr>
          <w:rFonts w:eastAsiaTheme="majorEastAsia" w:cs="Times New Roman"/>
          <w:szCs w:val="24"/>
        </w:rPr>
        <w:t>, tomēr praksē šāds risinājums nav iespējams, ņemot vērā ierobežotos valsts budžeta resursus</w:t>
      </w:r>
      <w:r w:rsidR="00F8306A">
        <w:rPr>
          <w:rFonts w:eastAsiaTheme="majorEastAsia" w:cs="Times New Roman"/>
          <w:szCs w:val="24"/>
        </w:rPr>
        <w:t>.</w:t>
      </w:r>
      <w:r>
        <w:rPr>
          <w:rFonts w:eastAsiaTheme="majorEastAsia" w:cs="Times New Roman"/>
          <w:szCs w:val="24"/>
        </w:rPr>
        <w:t xml:space="preserve"> </w:t>
      </w:r>
    </w:p>
    <w:p w:rsidR="00BF445B" w:rsidRDefault="007330A7" w:rsidP="009D5127">
      <w:pPr>
        <w:spacing w:before="120"/>
        <w:ind w:firstLine="720"/>
        <w:jc w:val="both"/>
      </w:pPr>
      <w:r>
        <w:rPr>
          <w:rFonts w:eastAsiaTheme="majorEastAsia" w:cs="Times New Roman"/>
          <w:szCs w:val="24"/>
        </w:rPr>
        <w:t xml:space="preserve">Pamatojoties uz šinī sadaļā aprakstīto un izdarītajiem secinājumiem, FM plāno sagatavot grozījumus MK noteikumos Nr.867, lai atrisinātu </w:t>
      </w:r>
      <w:r>
        <w:rPr>
          <w:szCs w:val="24"/>
        </w:rPr>
        <w:t xml:space="preserve">minētās, konstatētās </w:t>
      </w:r>
      <w:r>
        <w:t>nepieciešamās izmaiņas bāzes izdevumu aprēķināšanas metodikā. Jāatzīmē, ka 2017.gadā sagatavotie</w:t>
      </w:r>
      <w:r w:rsidR="004862B6">
        <w:t xml:space="preserve"> un spēkā stājušies</w:t>
      </w:r>
      <w:r>
        <w:t xml:space="preserve"> grozījumi MK noteikumos Nr.867 jau atrisināja atsevišķas problēmas, kuras saistītas ar bāzes izdevumu aprēķināšanu.</w:t>
      </w:r>
    </w:p>
    <w:p w:rsidR="009D5127" w:rsidRPr="009D5127" w:rsidRDefault="009D5127" w:rsidP="009D5127">
      <w:pPr>
        <w:ind w:firstLine="720"/>
        <w:jc w:val="both"/>
      </w:pPr>
    </w:p>
    <w:p w:rsidR="00FE21E3" w:rsidRDefault="00FE21E3" w:rsidP="00FE21E3">
      <w:pPr>
        <w:pStyle w:val="Heading2"/>
        <w:spacing w:before="120" w:after="240"/>
        <w:jc w:val="center"/>
        <w:rPr>
          <w:rFonts w:ascii="Times New Roman" w:hAnsi="Times New Roman" w:cs="Times New Roman"/>
          <w:color w:val="auto"/>
          <w:sz w:val="28"/>
          <w:szCs w:val="28"/>
        </w:rPr>
      </w:pPr>
      <w:bookmarkStart w:id="10" w:name="_Toc487036794"/>
      <w:r>
        <w:rPr>
          <w:rFonts w:ascii="Times New Roman" w:hAnsi="Times New Roman" w:cs="Times New Roman"/>
          <w:color w:val="auto"/>
          <w:sz w:val="28"/>
          <w:szCs w:val="28"/>
        </w:rPr>
        <w:t>2.4. Amata vietu skaita un dinamikas analīze</w:t>
      </w:r>
      <w:bookmarkEnd w:id="10"/>
    </w:p>
    <w:p w:rsidR="00FE21E3" w:rsidRDefault="00FE21E3" w:rsidP="00FE21E3"/>
    <w:p w:rsidR="00FE21E3" w:rsidRDefault="00FE21E3" w:rsidP="00FE21E3">
      <w:pPr>
        <w:ind w:firstLine="709"/>
        <w:jc w:val="both"/>
      </w:pPr>
      <w:r>
        <w:t xml:space="preserve">Kopumā valsts pārvaldē uz 2017.gada 31.martu nodarbināti ir 58 198 strādājošie, kuru dalījumu nodarbināto grupās raksturo </w:t>
      </w:r>
      <w:r w:rsidR="008B4BDD">
        <w:t>2.1</w:t>
      </w:r>
      <w:r w:rsidR="00647001">
        <w:t>5</w:t>
      </w:r>
      <w:r w:rsidR="008B4BDD">
        <w:t>.attēls:</w:t>
      </w:r>
    </w:p>
    <w:p w:rsidR="00FE21E3" w:rsidRPr="006159EC" w:rsidRDefault="00FE21E3" w:rsidP="00FE21E3">
      <w:pPr>
        <w:spacing w:before="120"/>
      </w:pPr>
      <w:r>
        <w:rPr>
          <w:noProof/>
          <w:lang w:eastAsia="lv-LV"/>
        </w:rPr>
        <w:lastRenderedPageBreak/>
        <w:drawing>
          <wp:inline distT="0" distB="0" distL="0" distR="0" wp14:anchorId="57B14241" wp14:editId="46478BFC">
            <wp:extent cx="5963479" cy="3132814"/>
            <wp:effectExtent l="0" t="0" r="18415" b="1079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E21E3" w:rsidRPr="006159EC" w:rsidRDefault="008B4BDD" w:rsidP="00FE21E3">
      <w:pPr>
        <w:spacing w:before="120" w:after="120"/>
        <w:jc w:val="center"/>
        <w:rPr>
          <w:i/>
          <w:sz w:val="22"/>
        </w:rPr>
      </w:pPr>
      <w:r w:rsidRPr="008B4BDD">
        <w:rPr>
          <w:i/>
          <w:sz w:val="22"/>
        </w:rPr>
        <w:t>2.1</w:t>
      </w:r>
      <w:r w:rsidR="00647001">
        <w:rPr>
          <w:i/>
          <w:sz w:val="22"/>
        </w:rPr>
        <w:t>5</w:t>
      </w:r>
      <w:r w:rsidRPr="008B4BDD">
        <w:rPr>
          <w:i/>
          <w:sz w:val="22"/>
        </w:rPr>
        <w:t>.a</w:t>
      </w:r>
      <w:r w:rsidR="00FE21E3" w:rsidRPr="008B4BDD">
        <w:rPr>
          <w:i/>
          <w:sz w:val="22"/>
        </w:rPr>
        <w:t>tt.</w:t>
      </w:r>
      <w:r w:rsidR="00FE21E3" w:rsidRPr="008B4BDD">
        <w:rPr>
          <w:sz w:val="22"/>
        </w:rPr>
        <w:t xml:space="preserve"> </w:t>
      </w:r>
      <w:r w:rsidR="00FE21E3" w:rsidRPr="008B4BDD">
        <w:rPr>
          <w:b/>
          <w:bCs/>
          <w:sz w:val="22"/>
        </w:rPr>
        <w:t>Nodarbināto skaita īpatsvars valsts budžeta iestādēs sadalījumā pa nodarbināto</w:t>
      </w:r>
      <w:r w:rsidR="00FE21E3" w:rsidRPr="006159EC">
        <w:rPr>
          <w:b/>
          <w:bCs/>
          <w:sz w:val="22"/>
        </w:rPr>
        <w:t xml:space="preserve"> grupām 2017.g.I ceturksnī, skaits un %</w:t>
      </w:r>
      <w:r w:rsidR="006329F7">
        <w:rPr>
          <w:rStyle w:val="FootnoteReference"/>
          <w:b/>
          <w:bCs/>
          <w:sz w:val="22"/>
        </w:rPr>
        <w:footnoteReference w:id="10"/>
      </w:r>
    </w:p>
    <w:p w:rsidR="00FE21E3" w:rsidRDefault="00FE21E3" w:rsidP="00654C24">
      <w:pPr>
        <w:spacing w:before="240" w:after="240"/>
        <w:ind w:firstLine="720"/>
        <w:jc w:val="both"/>
      </w:pPr>
      <w:r>
        <w:t>Vienlaicīgi ir jāņem vērā, ka laika periodā no 2008.gada ir vērojama nodarbināto skaita būtiska samazināšanās, ko lielā mērā ietekmēja arī ekonomiskā krīze</w:t>
      </w:r>
      <w:r w:rsidR="008B4BDD">
        <w:t xml:space="preserve"> (skat. 2.1</w:t>
      </w:r>
      <w:r w:rsidR="00647001">
        <w:t>6</w:t>
      </w:r>
      <w:r w:rsidR="008B4BDD">
        <w:t>. attēlu)</w:t>
      </w:r>
      <w:r>
        <w:t>.</w:t>
      </w:r>
    </w:p>
    <w:p w:rsidR="00FE21E3" w:rsidRDefault="00FE21E3" w:rsidP="00FE21E3">
      <w:r>
        <w:rPr>
          <w:noProof/>
          <w:lang w:eastAsia="lv-LV"/>
        </w:rPr>
        <w:drawing>
          <wp:inline distT="0" distB="0" distL="0" distR="0" wp14:anchorId="41D20A41" wp14:editId="31E032EF">
            <wp:extent cx="5788550" cy="2806810"/>
            <wp:effectExtent l="0" t="0" r="3175" b="1270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E21E3" w:rsidRPr="009D5127" w:rsidRDefault="008B4BDD" w:rsidP="00FE21E3">
      <w:pPr>
        <w:spacing w:before="120"/>
        <w:jc w:val="center"/>
        <w:rPr>
          <w:i/>
          <w:sz w:val="22"/>
        </w:rPr>
      </w:pPr>
      <w:r w:rsidRPr="008B4BDD">
        <w:rPr>
          <w:i/>
          <w:sz w:val="22"/>
        </w:rPr>
        <w:t>2.1</w:t>
      </w:r>
      <w:r w:rsidR="00647001">
        <w:rPr>
          <w:i/>
          <w:sz w:val="22"/>
        </w:rPr>
        <w:t>6</w:t>
      </w:r>
      <w:r w:rsidRPr="008B4BDD">
        <w:rPr>
          <w:i/>
          <w:sz w:val="22"/>
        </w:rPr>
        <w:t>.</w:t>
      </w:r>
      <w:r w:rsidR="00FE21E3" w:rsidRPr="008B4BDD">
        <w:rPr>
          <w:i/>
          <w:sz w:val="22"/>
        </w:rPr>
        <w:t>att.</w:t>
      </w:r>
      <w:r w:rsidR="00FE21E3" w:rsidRPr="009D5127">
        <w:rPr>
          <w:i/>
          <w:sz w:val="22"/>
        </w:rPr>
        <w:t xml:space="preserve"> </w:t>
      </w:r>
      <w:r w:rsidR="00FE21E3" w:rsidRPr="009D5127">
        <w:rPr>
          <w:b/>
          <w:bCs/>
          <w:sz w:val="22"/>
        </w:rPr>
        <w:t>Vidējais nodarbināto skaits valsts budžeta iestādēs 1.ceturksnī 200</w:t>
      </w:r>
      <w:r w:rsidR="00FE21E3">
        <w:rPr>
          <w:b/>
          <w:bCs/>
          <w:sz w:val="22"/>
        </w:rPr>
        <w:t>8. - 2017.gadā un salīdzinājumā</w:t>
      </w:r>
      <w:r w:rsidR="00FE21E3" w:rsidRPr="009D5127">
        <w:rPr>
          <w:b/>
          <w:bCs/>
          <w:sz w:val="22"/>
        </w:rPr>
        <w:t xml:space="preserve"> ar iepriekšējo periodu, tūkst</w:t>
      </w:r>
      <w:r>
        <w:rPr>
          <w:b/>
          <w:bCs/>
          <w:sz w:val="22"/>
        </w:rPr>
        <w:t>.</w:t>
      </w:r>
      <w:r w:rsidR="00FE21E3" w:rsidRPr="009D5127">
        <w:rPr>
          <w:b/>
          <w:bCs/>
          <w:sz w:val="22"/>
        </w:rPr>
        <w:t xml:space="preserve"> un %</w:t>
      </w:r>
      <w:r w:rsidR="006329F7">
        <w:rPr>
          <w:rStyle w:val="FootnoteReference"/>
          <w:b/>
          <w:bCs/>
          <w:sz w:val="22"/>
        </w:rPr>
        <w:footnoteReference w:id="11"/>
      </w:r>
    </w:p>
    <w:p w:rsidR="00FE21E3" w:rsidRDefault="00FE21E3" w:rsidP="00FE21E3"/>
    <w:p w:rsidR="00FE21E3" w:rsidRDefault="00FE21E3" w:rsidP="00FE21E3">
      <w:pPr>
        <w:spacing w:after="120"/>
        <w:ind w:firstLine="720"/>
        <w:jc w:val="both"/>
      </w:pPr>
      <w:r>
        <w:t xml:space="preserve">Latvijas ekonomikai atkopjoties no ekonomiskās krīzes, nodarbināto kopējais skaits nedaudz, bet tomēr mazinās. Savukārt, laika periodā līdz 2017.gada pirmajam ceturksnim nodarbināto skaits nedaudz sāk palielināties, tomēr nesasniedzot pat 2012.gada līmeni. </w:t>
      </w:r>
      <w:r w:rsidRPr="00604455">
        <w:t xml:space="preserve">Pieaugums saistīts ar </w:t>
      </w:r>
      <w:r>
        <w:t>valsts aizsargspēju</w:t>
      </w:r>
      <w:r w:rsidRPr="00604455">
        <w:t xml:space="preserve"> un drošības nodrošināšanai nepieciešamajiem papildus cilvēkresursiem, kā arī </w:t>
      </w:r>
      <w:r w:rsidR="00C81830">
        <w:t>ES</w:t>
      </w:r>
      <w:r w:rsidRPr="00604455">
        <w:t xml:space="preserve"> struktūrfondu un citu ārvalstu finanšu instrumentu finansēto projektu </w:t>
      </w:r>
      <w:r w:rsidRPr="00604455">
        <w:lastRenderedPageBreak/>
        <w:t xml:space="preserve">ieviešanas nodrošināšanai, </w:t>
      </w:r>
      <w:r>
        <w:t xml:space="preserve">kur projektu ieviešanā nodarbinātie tiek pieņemti darbā uz projektu īstenošanas laiku. </w:t>
      </w:r>
    </w:p>
    <w:p w:rsidR="00FE21E3" w:rsidRDefault="00FE21E3" w:rsidP="00FE21E3">
      <w:pPr>
        <w:spacing w:after="120"/>
        <w:ind w:firstLine="720"/>
        <w:jc w:val="both"/>
        <w:rPr>
          <w:rFonts w:cs="Times New Roman"/>
          <w:szCs w:val="24"/>
        </w:rPr>
      </w:pPr>
      <w:r w:rsidRPr="000257DB">
        <w:rPr>
          <w:rFonts w:cs="Times New Roman"/>
          <w:szCs w:val="24"/>
        </w:rPr>
        <w:t>Ta</w:t>
      </w:r>
      <w:r>
        <w:rPr>
          <w:rFonts w:cs="Times New Roman"/>
          <w:szCs w:val="24"/>
        </w:rPr>
        <w:t>jā</w:t>
      </w:r>
      <w:r w:rsidRPr="000257DB">
        <w:rPr>
          <w:rFonts w:cs="Times New Roman"/>
          <w:szCs w:val="24"/>
        </w:rPr>
        <w:t xml:space="preserve"> pat laikā jāatzīmē, ka jautājumam par amata vietu skaitu valsts pārvaldē rūpīgi tiek sekots līdzi jau kopš 2014.gada, kad </w:t>
      </w:r>
      <w:r>
        <w:rPr>
          <w:rFonts w:cs="Times New Roman"/>
          <w:szCs w:val="24"/>
        </w:rPr>
        <w:t>MK</w:t>
      </w:r>
      <w:r w:rsidRPr="000257DB">
        <w:rPr>
          <w:rFonts w:cs="Times New Roman"/>
          <w:szCs w:val="24"/>
        </w:rPr>
        <w:t xml:space="preserve"> 2014.gada 22.aprīļa sēdē </w:t>
      </w:r>
      <w:r>
        <w:rPr>
          <w:rFonts w:cs="Times New Roman"/>
          <w:szCs w:val="24"/>
        </w:rPr>
        <w:t xml:space="preserve">(protokols Nr. 24, 24.§ 4.punkts) </w:t>
      </w:r>
      <w:r w:rsidRPr="000257DB">
        <w:rPr>
          <w:rFonts w:cs="Times New Roman"/>
          <w:szCs w:val="24"/>
        </w:rPr>
        <w:t xml:space="preserve">noteica, ka ministrijām, gatavojot un iesniedzot izskatīšanai </w:t>
      </w:r>
      <w:r>
        <w:rPr>
          <w:rFonts w:cs="Times New Roman"/>
          <w:szCs w:val="24"/>
        </w:rPr>
        <w:t>MK</w:t>
      </w:r>
      <w:r w:rsidRPr="000257DB">
        <w:rPr>
          <w:rFonts w:cs="Times New Roman"/>
          <w:szCs w:val="24"/>
        </w:rPr>
        <w:t xml:space="preserve"> jaunus tiesību aktu projektus un plānošanas dokumentu projektus, jārod iespējas neparedzēt to īstenošanai jaunas amata vietas. Attiecīgi </w:t>
      </w:r>
      <w:r>
        <w:rPr>
          <w:rFonts w:cs="Times New Roman"/>
          <w:szCs w:val="24"/>
        </w:rPr>
        <w:t>MK</w:t>
      </w:r>
      <w:r w:rsidRPr="000257DB">
        <w:rPr>
          <w:rFonts w:cs="Times New Roman"/>
          <w:szCs w:val="24"/>
        </w:rPr>
        <w:t xml:space="preserve"> 2014.gada 30.decembrī apstiprināja arī “Valsts pārvaldes politikas attīstības pamatnostādnes 2014.-2020. gadam”</w:t>
      </w:r>
      <w:r>
        <w:rPr>
          <w:rFonts w:cs="Times New Roman"/>
          <w:szCs w:val="24"/>
        </w:rPr>
        <w:t>,</w:t>
      </w:r>
      <w:r w:rsidRPr="000257DB">
        <w:rPr>
          <w:rFonts w:cs="Times New Roman"/>
          <w:szCs w:val="24"/>
        </w:rPr>
        <w:t xml:space="preserve"> nosakot, ka ir jāturpina virzība uz mazu, profesionālu, un uz iedzīvotājiem orientētu valsts pārvaldi,</w:t>
      </w:r>
      <w:r w:rsidRPr="000257DB">
        <w:rPr>
          <w:szCs w:val="24"/>
        </w:rPr>
        <w:t xml:space="preserve"> </w:t>
      </w:r>
      <w:r w:rsidRPr="000257DB">
        <w:rPr>
          <w:rFonts w:cs="Times New Roman"/>
          <w:szCs w:val="24"/>
        </w:rPr>
        <w:t>primāri veicot esošo darba uzdevumu un cilvēkresursu efektivitātes izvērtējumu un</w:t>
      </w:r>
      <w:r w:rsidRPr="000257DB">
        <w:rPr>
          <w:szCs w:val="24"/>
        </w:rPr>
        <w:t xml:space="preserve"> </w:t>
      </w:r>
      <w:r w:rsidRPr="000257DB">
        <w:rPr>
          <w:rFonts w:cs="Times New Roman"/>
          <w:szCs w:val="24"/>
        </w:rPr>
        <w:t>attiecīgi efektīvi izlietojot valsts budžeta resursus. Ievērojot iepriekš minēto, gadījumos</w:t>
      </w:r>
      <w:r>
        <w:rPr>
          <w:rFonts w:cs="Times New Roman"/>
          <w:szCs w:val="24"/>
        </w:rPr>
        <w:t>,</w:t>
      </w:r>
      <w:r w:rsidRPr="000257DB">
        <w:rPr>
          <w:rFonts w:cs="Times New Roman"/>
          <w:szCs w:val="24"/>
        </w:rPr>
        <w:t xml:space="preserve"> kad institūcijas virza izskatīšanai </w:t>
      </w:r>
      <w:r>
        <w:rPr>
          <w:rFonts w:cs="Times New Roman"/>
          <w:szCs w:val="24"/>
        </w:rPr>
        <w:t>MK</w:t>
      </w:r>
      <w:r w:rsidRPr="000257DB">
        <w:rPr>
          <w:rFonts w:cs="Times New Roman"/>
          <w:szCs w:val="24"/>
        </w:rPr>
        <w:t xml:space="preserve"> jaunus normatīvos aktus vai prioritāros pasākumus</w:t>
      </w:r>
      <w:r>
        <w:rPr>
          <w:rFonts w:cs="Times New Roman"/>
          <w:szCs w:val="24"/>
        </w:rPr>
        <w:t>,</w:t>
      </w:r>
      <w:r w:rsidRPr="000257DB">
        <w:rPr>
          <w:rFonts w:cs="Times New Roman"/>
          <w:szCs w:val="24"/>
        </w:rPr>
        <w:t xml:space="preserve"> jaunu amata vietu izveide netiek atbalstīta, </w:t>
      </w:r>
      <w:r>
        <w:rPr>
          <w:rFonts w:cs="Times New Roman"/>
          <w:szCs w:val="24"/>
        </w:rPr>
        <w:t>tos nepieciešams rast katra resora iekšienē, tai skaitā restrukturizējot arī vakantos amatus.</w:t>
      </w:r>
    </w:p>
    <w:p w:rsidR="00FE21E3" w:rsidRDefault="00FE21E3" w:rsidP="00FE21E3">
      <w:pPr>
        <w:spacing w:after="120"/>
        <w:ind w:firstLine="720"/>
        <w:jc w:val="both"/>
        <w:rPr>
          <w:rFonts w:cs="Times New Roman"/>
          <w:szCs w:val="24"/>
        </w:rPr>
      </w:pPr>
      <w:r>
        <w:rPr>
          <w:rFonts w:cs="Times New Roman"/>
          <w:szCs w:val="24"/>
        </w:rPr>
        <w:t>Izvērtējuma gaitā caurskatīts arī ilgstoši vakanto amata vietu finansiālā ietilpība, piemērojot šādu algoritmu</w:t>
      </w:r>
      <w:r w:rsidR="00C81830">
        <w:rPr>
          <w:rFonts w:cs="Times New Roman"/>
          <w:szCs w:val="24"/>
        </w:rPr>
        <w:t xml:space="preserve"> (skat. tabulu Nr.2.6.)</w:t>
      </w:r>
      <w:r>
        <w:rPr>
          <w:rFonts w:cs="Times New Roman"/>
          <w:szCs w:val="24"/>
        </w:rPr>
        <w:t xml:space="preserve">: </w:t>
      </w:r>
    </w:p>
    <w:p w:rsidR="00FE21E3" w:rsidRDefault="00FE21E3" w:rsidP="00FE21E3">
      <w:pPr>
        <w:spacing w:after="120"/>
        <w:ind w:firstLine="709"/>
        <w:jc w:val="both"/>
        <w:rPr>
          <w:rFonts w:cs="Times New Roman"/>
          <w:i/>
          <w:szCs w:val="24"/>
        </w:rPr>
      </w:pPr>
      <w:r>
        <w:rPr>
          <w:rFonts w:cs="Times New Roman"/>
          <w:i/>
          <w:szCs w:val="24"/>
        </w:rPr>
        <w:t xml:space="preserve">Amata vietai, kas ir ilgstoši vakanta tiek pieņemts, ka mēnešalga paredzēta procentos no konkrētās mēnešalgu grupas 1.kategorijas maksimālā apmēra: </w:t>
      </w:r>
    </w:p>
    <w:p w:rsidR="00FE21E3" w:rsidRDefault="00FE21E3" w:rsidP="00654C24">
      <w:pPr>
        <w:spacing w:before="120"/>
        <w:jc w:val="right"/>
        <w:rPr>
          <w:rFonts w:cs="Times New Roman"/>
          <w:szCs w:val="24"/>
        </w:rPr>
      </w:pPr>
      <w:r w:rsidRPr="00C81830">
        <w:rPr>
          <w:rFonts w:cs="Times New Roman"/>
          <w:szCs w:val="24"/>
        </w:rPr>
        <w:t>Tabula Nr.</w:t>
      </w:r>
      <w:r w:rsidR="00C81830" w:rsidRPr="00C81830">
        <w:rPr>
          <w:rFonts w:cs="Times New Roman"/>
          <w:szCs w:val="24"/>
        </w:rPr>
        <w:t>2.6.</w:t>
      </w:r>
      <w:r w:rsidRPr="00215C6F">
        <w:rPr>
          <w:rFonts w:cs="Times New Roman"/>
          <w:szCs w:val="24"/>
        </w:rPr>
        <w:t xml:space="preserve"> </w:t>
      </w:r>
    </w:p>
    <w:p w:rsidR="00654C24" w:rsidRDefault="00654C24" w:rsidP="00FE21E3">
      <w:pPr>
        <w:spacing w:after="120"/>
        <w:jc w:val="center"/>
        <w:rPr>
          <w:rFonts w:cs="Times New Roman"/>
          <w:b/>
          <w:szCs w:val="24"/>
        </w:rPr>
      </w:pPr>
    </w:p>
    <w:p w:rsidR="00FE21E3" w:rsidRPr="00813C7C" w:rsidRDefault="00FE21E3" w:rsidP="00FE21E3">
      <w:pPr>
        <w:spacing w:after="120"/>
        <w:jc w:val="center"/>
        <w:rPr>
          <w:rFonts w:cs="Times New Roman"/>
          <w:b/>
          <w:szCs w:val="24"/>
        </w:rPr>
      </w:pPr>
      <w:r>
        <w:rPr>
          <w:rFonts w:cs="Times New Roman"/>
          <w:b/>
          <w:szCs w:val="24"/>
        </w:rPr>
        <w:t xml:space="preserve">Vakanto amata vietu finansiālās ietilpības aprēķina algoritms </w:t>
      </w:r>
    </w:p>
    <w:tbl>
      <w:tblPr>
        <w:tblStyle w:val="TableGrid"/>
        <w:tblW w:w="5000" w:type="pct"/>
        <w:tblLook w:val="04A0" w:firstRow="1" w:lastRow="0" w:firstColumn="1" w:lastColumn="0" w:noHBand="0" w:noVBand="1"/>
      </w:tblPr>
      <w:tblGrid>
        <w:gridCol w:w="2918"/>
        <w:gridCol w:w="6143"/>
      </w:tblGrid>
      <w:tr w:rsidR="00FE21E3" w:rsidRPr="00813C7C" w:rsidTr="00E13F0B">
        <w:tc>
          <w:tcPr>
            <w:tcW w:w="1610" w:type="pct"/>
            <w:shd w:val="clear" w:color="auto" w:fill="C5E0B3" w:themeFill="accent6" w:themeFillTint="66"/>
            <w:vAlign w:val="center"/>
          </w:tcPr>
          <w:p w:rsidR="00FE21E3" w:rsidRPr="00813C7C" w:rsidRDefault="00FE21E3" w:rsidP="00E13F0B">
            <w:pPr>
              <w:jc w:val="center"/>
              <w:rPr>
                <w:rFonts w:cs="Times New Roman"/>
                <w:b/>
                <w:sz w:val="22"/>
                <w:szCs w:val="24"/>
              </w:rPr>
            </w:pPr>
            <w:r w:rsidRPr="00813C7C">
              <w:rPr>
                <w:rFonts w:cs="Times New Roman"/>
                <w:b/>
                <w:sz w:val="22"/>
                <w:szCs w:val="24"/>
              </w:rPr>
              <w:t>Vakantās amata vietas ilgums mēnešos</w:t>
            </w:r>
          </w:p>
        </w:tc>
        <w:tc>
          <w:tcPr>
            <w:tcW w:w="3390" w:type="pct"/>
            <w:shd w:val="clear" w:color="auto" w:fill="C5E0B3" w:themeFill="accent6" w:themeFillTint="66"/>
            <w:vAlign w:val="center"/>
          </w:tcPr>
          <w:p w:rsidR="00FE21E3" w:rsidRPr="00813C7C" w:rsidRDefault="00FE21E3" w:rsidP="00E13F0B">
            <w:pPr>
              <w:jc w:val="center"/>
              <w:rPr>
                <w:rFonts w:cs="Times New Roman"/>
                <w:b/>
                <w:sz w:val="22"/>
                <w:szCs w:val="24"/>
              </w:rPr>
            </w:pPr>
            <w:r w:rsidRPr="00813C7C">
              <w:rPr>
                <w:rFonts w:cs="Times New Roman"/>
                <w:b/>
                <w:sz w:val="22"/>
                <w:szCs w:val="24"/>
              </w:rPr>
              <w:t>Procentuālais apmērs no attiecīgās mēnešalgu grupas 1.kategorijas, kas tiek piemērots, aprēķinot minimāli iespējamos līdzekļus</w:t>
            </w:r>
          </w:p>
        </w:tc>
      </w:tr>
      <w:tr w:rsidR="00FE21E3" w:rsidRPr="00813C7C" w:rsidTr="00E13F0B">
        <w:tc>
          <w:tcPr>
            <w:tcW w:w="1610" w:type="pct"/>
            <w:shd w:val="clear" w:color="auto" w:fill="auto"/>
          </w:tcPr>
          <w:p w:rsidR="00FE21E3" w:rsidRPr="00813C7C" w:rsidRDefault="00FE21E3" w:rsidP="00E13F0B">
            <w:pPr>
              <w:jc w:val="center"/>
              <w:rPr>
                <w:rFonts w:cs="Times New Roman"/>
                <w:sz w:val="22"/>
                <w:szCs w:val="24"/>
              </w:rPr>
            </w:pPr>
            <w:r w:rsidRPr="00813C7C">
              <w:rPr>
                <w:rFonts w:cs="Times New Roman"/>
                <w:sz w:val="22"/>
                <w:szCs w:val="24"/>
              </w:rPr>
              <w:t>11 – 12 mēneši</w:t>
            </w:r>
          </w:p>
        </w:tc>
        <w:tc>
          <w:tcPr>
            <w:tcW w:w="3390" w:type="pct"/>
          </w:tcPr>
          <w:p w:rsidR="00FE21E3" w:rsidRPr="00813C7C" w:rsidRDefault="00FE21E3" w:rsidP="00E13F0B">
            <w:pPr>
              <w:jc w:val="center"/>
              <w:rPr>
                <w:rFonts w:cs="Times New Roman"/>
                <w:sz w:val="22"/>
                <w:szCs w:val="24"/>
              </w:rPr>
            </w:pPr>
            <w:r w:rsidRPr="00813C7C">
              <w:rPr>
                <w:rFonts w:cs="Times New Roman"/>
                <w:sz w:val="22"/>
                <w:szCs w:val="24"/>
              </w:rPr>
              <w:t>65%</w:t>
            </w:r>
          </w:p>
        </w:tc>
      </w:tr>
      <w:tr w:rsidR="00FE21E3" w:rsidRPr="00813C7C" w:rsidTr="00E13F0B">
        <w:tc>
          <w:tcPr>
            <w:tcW w:w="1610" w:type="pct"/>
            <w:shd w:val="clear" w:color="auto" w:fill="auto"/>
          </w:tcPr>
          <w:p w:rsidR="00FE21E3" w:rsidRPr="00813C7C" w:rsidRDefault="00FE21E3" w:rsidP="00E13F0B">
            <w:pPr>
              <w:jc w:val="center"/>
              <w:rPr>
                <w:rFonts w:cs="Times New Roman"/>
                <w:sz w:val="22"/>
                <w:szCs w:val="24"/>
              </w:rPr>
            </w:pPr>
            <w:r w:rsidRPr="00813C7C">
              <w:rPr>
                <w:rFonts w:cs="Times New Roman"/>
                <w:sz w:val="22"/>
                <w:szCs w:val="24"/>
              </w:rPr>
              <w:t>9 – 10 mēneši</w:t>
            </w:r>
          </w:p>
        </w:tc>
        <w:tc>
          <w:tcPr>
            <w:tcW w:w="3390" w:type="pct"/>
          </w:tcPr>
          <w:p w:rsidR="00FE21E3" w:rsidRPr="00813C7C" w:rsidRDefault="00FE21E3" w:rsidP="00E13F0B">
            <w:pPr>
              <w:jc w:val="center"/>
              <w:rPr>
                <w:rFonts w:cs="Times New Roman"/>
                <w:sz w:val="22"/>
                <w:szCs w:val="24"/>
              </w:rPr>
            </w:pPr>
            <w:r w:rsidRPr="00813C7C">
              <w:rPr>
                <w:rFonts w:cs="Times New Roman"/>
                <w:sz w:val="22"/>
                <w:szCs w:val="24"/>
              </w:rPr>
              <w:t>48,75%</w:t>
            </w:r>
          </w:p>
        </w:tc>
      </w:tr>
      <w:tr w:rsidR="00FE21E3" w:rsidRPr="00813C7C" w:rsidTr="00E13F0B">
        <w:tc>
          <w:tcPr>
            <w:tcW w:w="1610" w:type="pct"/>
            <w:shd w:val="clear" w:color="auto" w:fill="auto"/>
          </w:tcPr>
          <w:p w:rsidR="00FE21E3" w:rsidRPr="00813C7C" w:rsidRDefault="00FE21E3" w:rsidP="00E13F0B">
            <w:pPr>
              <w:jc w:val="center"/>
              <w:rPr>
                <w:rFonts w:cs="Times New Roman"/>
                <w:sz w:val="22"/>
                <w:szCs w:val="24"/>
              </w:rPr>
            </w:pPr>
            <w:r w:rsidRPr="00813C7C">
              <w:rPr>
                <w:rFonts w:cs="Times New Roman"/>
                <w:sz w:val="22"/>
                <w:szCs w:val="24"/>
              </w:rPr>
              <w:t>7 – 8 mēneši</w:t>
            </w:r>
          </w:p>
        </w:tc>
        <w:tc>
          <w:tcPr>
            <w:tcW w:w="3390" w:type="pct"/>
          </w:tcPr>
          <w:p w:rsidR="00FE21E3" w:rsidRPr="00813C7C" w:rsidRDefault="00FE21E3" w:rsidP="00E13F0B">
            <w:pPr>
              <w:jc w:val="center"/>
              <w:rPr>
                <w:rFonts w:cs="Times New Roman"/>
                <w:sz w:val="22"/>
                <w:szCs w:val="24"/>
              </w:rPr>
            </w:pPr>
            <w:r w:rsidRPr="00813C7C">
              <w:rPr>
                <w:rFonts w:cs="Times New Roman"/>
                <w:sz w:val="22"/>
                <w:szCs w:val="24"/>
              </w:rPr>
              <w:t>32,50%</w:t>
            </w:r>
          </w:p>
        </w:tc>
      </w:tr>
      <w:tr w:rsidR="00FE21E3" w:rsidRPr="00813C7C" w:rsidTr="00E13F0B">
        <w:tc>
          <w:tcPr>
            <w:tcW w:w="1610" w:type="pct"/>
            <w:shd w:val="clear" w:color="auto" w:fill="auto"/>
          </w:tcPr>
          <w:p w:rsidR="00FE21E3" w:rsidRPr="00813C7C" w:rsidRDefault="00FE21E3" w:rsidP="00E13F0B">
            <w:pPr>
              <w:jc w:val="center"/>
              <w:rPr>
                <w:rFonts w:cs="Times New Roman"/>
                <w:sz w:val="22"/>
                <w:szCs w:val="24"/>
              </w:rPr>
            </w:pPr>
            <w:r w:rsidRPr="00813C7C">
              <w:rPr>
                <w:rFonts w:cs="Times New Roman"/>
                <w:sz w:val="22"/>
                <w:szCs w:val="24"/>
              </w:rPr>
              <w:t>6 mēneši</w:t>
            </w:r>
          </w:p>
        </w:tc>
        <w:tc>
          <w:tcPr>
            <w:tcW w:w="3390" w:type="pct"/>
          </w:tcPr>
          <w:p w:rsidR="00FE21E3" w:rsidRPr="00813C7C" w:rsidRDefault="00FE21E3" w:rsidP="00E13F0B">
            <w:pPr>
              <w:jc w:val="center"/>
              <w:rPr>
                <w:rFonts w:cs="Times New Roman"/>
                <w:sz w:val="22"/>
                <w:szCs w:val="24"/>
              </w:rPr>
            </w:pPr>
            <w:r w:rsidRPr="00813C7C">
              <w:rPr>
                <w:rFonts w:cs="Times New Roman"/>
                <w:sz w:val="22"/>
                <w:szCs w:val="24"/>
              </w:rPr>
              <w:t>13%</w:t>
            </w:r>
          </w:p>
        </w:tc>
      </w:tr>
    </w:tbl>
    <w:p w:rsidR="00FE21E3" w:rsidRDefault="00FE21E3" w:rsidP="00FE21E3">
      <w:pPr>
        <w:jc w:val="both"/>
        <w:rPr>
          <w:rFonts w:cs="Times New Roman"/>
          <w:i/>
          <w:szCs w:val="24"/>
        </w:rPr>
      </w:pPr>
    </w:p>
    <w:p w:rsidR="00FE21E3" w:rsidRPr="00FB2727" w:rsidRDefault="00FE21E3" w:rsidP="00FE21E3">
      <w:pPr>
        <w:spacing w:after="120"/>
        <w:ind w:firstLine="720"/>
        <w:jc w:val="both"/>
        <w:rPr>
          <w:rFonts w:cs="Times New Roman"/>
          <w:szCs w:val="24"/>
        </w:rPr>
      </w:pPr>
      <w:r>
        <w:rPr>
          <w:rFonts w:cs="Times New Roman"/>
          <w:szCs w:val="24"/>
        </w:rPr>
        <w:t>Vienlaicīgi jāatzīmē, ka šajos aprēķinos nav ietverti sekojoši amati: tiesneši rajona un apgabala tiesās, kā arī attiecīgs palīgu skaits, īpaši nozīmīgos valsts dienestos nodarbinātie (piem</w:t>
      </w:r>
      <w:r w:rsidR="001C2E3D">
        <w:rPr>
          <w:rFonts w:cs="Times New Roman"/>
          <w:szCs w:val="24"/>
        </w:rPr>
        <w:t>ēram</w:t>
      </w:r>
      <w:r>
        <w:rPr>
          <w:rFonts w:cs="Times New Roman"/>
          <w:szCs w:val="24"/>
        </w:rPr>
        <w:t xml:space="preserve">, policisti, ugunsdzēsēji, robežsargi, neatliekamās medicīniskās palīdzības brigādēs nodarbinātie), strādājošie, kas nodarbināti 44.amatu saimē </w:t>
      </w:r>
      <w:r w:rsidRPr="00FB2727">
        <w:rPr>
          <w:rFonts w:cs="Times New Roman"/>
          <w:szCs w:val="24"/>
        </w:rPr>
        <w:t>“</w:t>
      </w:r>
      <w:r w:rsidRPr="00FB2727">
        <w:rPr>
          <w:rFonts w:cs="Times New Roman"/>
          <w:bCs/>
          <w:szCs w:val="24"/>
        </w:rPr>
        <w:t xml:space="preserve">Ārvalstu finanšu instrumentu vadība”.  </w:t>
      </w:r>
    </w:p>
    <w:p w:rsidR="00FE21E3" w:rsidRDefault="00FE21E3" w:rsidP="00FE21E3">
      <w:pPr>
        <w:spacing w:after="120"/>
        <w:ind w:firstLine="720"/>
        <w:jc w:val="both"/>
      </w:pPr>
      <w:r w:rsidRPr="003F7288">
        <w:rPr>
          <w:rFonts w:cs="Times New Roman"/>
          <w:szCs w:val="24"/>
        </w:rPr>
        <w:t>Saskaņā ar iepriekš minēto algoritmu</w:t>
      </w:r>
      <w:r>
        <w:t xml:space="preserve"> ministriju iekšējie resursi, tai skaitā nodarbināto atlīdzības izmaksai un motivācijai, ir atspoguļoti tabulā</w:t>
      </w:r>
      <w:r w:rsidR="001C2E3D">
        <w:t xml:space="preserve"> Nr.2.7</w:t>
      </w:r>
      <w:r>
        <w:t>.</w:t>
      </w:r>
    </w:p>
    <w:p w:rsidR="00FE21E3" w:rsidRPr="00215C6F" w:rsidRDefault="00FE21E3" w:rsidP="00654C24">
      <w:pPr>
        <w:spacing w:after="120"/>
        <w:ind w:firstLine="720"/>
        <w:jc w:val="right"/>
        <w:rPr>
          <w:b/>
        </w:rPr>
      </w:pPr>
      <w:r w:rsidRPr="001C2E3D">
        <w:t>Tabula Nr.</w:t>
      </w:r>
      <w:r w:rsidR="001C2E3D" w:rsidRPr="001C2E3D">
        <w:t>2.7.</w:t>
      </w:r>
    </w:p>
    <w:p w:rsidR="00FE21E3" w:rsidRDefault="00FE21E3" w:rsidP="00FE21E3">
      <w:pPr>
        <w:spacing w:after="120"/>
        <w:ind w:firstLine="720"/>
        <w:jc w:val="center"/>
        <w:rPr>
          <w:b/>
        </w:rPr>
      </w:pPr>
      <w:r>
        <w:rPr>
          <w:b/>
        </w:rPr>
        <w:t xml:space="preserve">Indikatīvais novērtējums par potenciālajiem finanšu resursiem kapacitātes stiprināšanai un nodarbināto papildus motivācijai </w:t>
      </w:r>
    </w:p>
    <w:tbl>
      <w:tblPr>
        <w:tblW w:w="5000" w:type="pct"/>
        <w:tblLook w:val="04A0" w:firstRow="1" w:lastRow="0" w:firstColumn="1" w:lastColumn="0" w:noHBand="0" w:noVBand="1"/>
      </w:tblPr>
      <w:tblGrid>
        <w:gridCol w:w="1589"/>
        <w:gridCol w:w="3177"/>
        <w:gridCol w:w="1809"/>
        <w:gridCol w:w="2486"/>
      </w:tblGrid>
      <w:tr w:rsidR="007A30CA" w:rsidRPr="00654C24" w:rsidTr="00654C24">
        <w:trPr>
          <w:trHeight w:val="557"/>
          <w:tblHeader/>
        </w:trPr>
        <w:tc>
          <w:tcPr>
            <w:tcW w:w="877"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7A30CA" w:rsidRPr="00654C24" w:rsidRDefault="007A30CA" w:rsidP="00455EE1">
            <w:pPr>
              <w:jc w:val="center"/>
              <w:rPr>
                <w:rFonts w:eastAsia="Times New Roman" w:cs="Times New Roman"/>
                <w:b/>
                <w:color w:val="000000"/>
                <w:sz w:val="22"/>
                <w:lang w:eastAsia="lv-LV"/>
              </w:rPr>
            </w:pPr>
            <w:r w:rsidRPr="00654C24">
              <w:rPr>
                <w:rFonts w:eastAsia="Times New Roman" w:cs="Times New Roman"/>
                <w:b/>
                <w:color w:val="000000"/>
                <w:sz w:val="22"/>
                <w:lang w:eastAsia="lv-LV"/>
              </w:rPr>
              <w:t>Resora nosaukums</w:t>
            </w:r>
          </w:p>
        </w:tc>
        <w:tc>
          <w:tcPr>
            <w:tcW w:w="1753"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7A30CA" w:rsidRPr="00654C24" w:rsidRDefault="007A30CA" w:rsidP="00455EE1">
            <w:pPr>
              <w:jc w:val="center"/>
              <w:rPr>
                <w:rFonts w:eastAsia="Times New Roman" w:cs="Times New Roman"/>
                <w:b/>
                <w:i/>
                <w:color w:val="000000"/>
                <w:sz w:val="22"/>
                <w:lang w:eastAsia="lv-LV"/>
              </w:rPr>
            </w:pPr>
            <w:r w:rsidRPr="00654C24">
              <w:rPr>
                <w:rFonts w:eastAsia="Times New Roman" w:cs="Times New Roman"/>
                <w:b/>
                <w:color w:val="000000"/>
                <w:sz w:val="22"/>
                <w:lang w:eastAsia="lv-LV"/>
              </w:rPr>
              <w:t xml:space="preserve">Likumā par valsts budžetu 2017.gadam plānotie izdevumi atlīdzībai, </w:t>
            </w:r>
            <w:r w:rsidRPr="00654C24">
              <w:rPr>
                <w:rFonts w:eastAsia="Times New Roman" w:cs="Times New Roman"/>
                <w:b/>
                <w:i/>
                <w:color w:val="000000"/>
                <w:sz w:val="22"/>
                <w:lang w:eastAsia="lv-LV"/>
              </w:rPr>
              <w:t>euro</w:t>
            </w:r>
          </w:p>
        </w:tc>
        <w:tc>
          <w:tcPr>
            <w:tcW w:w="998"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7A30CA" w:rsidRPr="00654C24" w:rsidRDefault="007A30CA" w:rsidP="00455EE1">
            <w:pPr>
              <w:jc w:val="center"/>
              <w:rPr>
                <w:rFonts w:eastAsia="Times New Roman" w:cs="Times New Roman"/>
                <w:b/>
                <w:color w:val="000000"/>
                <w:sz w:val="22"/>
                <w:lang w:eastAsia="lv-LV"/>
              </w:rPr>
            </w:pPr>
            <w:r w:rsidRPr="00654C24">
              <w:rPr>
                <w:rFonts w:eastAsia="Times New Roman" w:cs="Times New Roman"/>
                <w:b/>
                <w:color w:val="000000"/>
                <w:sz w:val="22"/>
                <w:lang w:eastAsia="lv-LV"/>
              </w:rPr>
              <w:t xml:space="preserve">Indikatīvais novērtējums, </w:t>
            </w:r>
            <w:r w:rsidRPr="00654C24">
              <w:rPr>
                <w:rFonts w:eastAsia="Times New Roman" w:cs="Times New Roman"/>
                <w:b/>
                <w:i/>
                <w:iCs/>
                <w:color w:val="000000"/>
                <w:sz w:val="22"/>
                <w:lang w:eastAsia="lv-LV"/>
              </w:rPr>
              <w:t>euro</w:t>
            </w:r>
          </w:p>
        </w:tc>
        <w:tc>
          <w:tcPr>
            <w:tcW w:w="1372"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7A30CA" w:rsidRPr="00654C24" w:rsidRDefault="007A30CA" w:rsidP="00455EE1">
            <w:pPr>
              <w:jc w:val="center"/>
              <w:rPr>
                <w:rFonts w:eastAsia="Times New Roman" w:cs="Times New Roman"/>
                <w:b/>
                <w:color w:val="000000"/>
                <w:sz w:val="22"/>
                <w:lang w:eastAsia="lv-LV"/>
              </w:rPr>
            </w:pPr>
            <w:r w:rsidRPr="00654C24">
              <w:rPr>
                <w:rFonts w:eastAsia="Times New Roman" w:cs="Times New Roman"/>
                <w:b/>
                <w:color w:val="000000"/>
                <w:sz w:val="22"/>
                <w:lang w:eastAsia="lv-LV"/>
              </w:rPr>
              <w:t>Indikatīvais novērtējums % no 2017.gada budžetā apstiprinātiem izdevumiem atlīdzībai</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AiM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143 481 750</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175 689</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0,12</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ĀM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25 309 023</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14 450</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0,06</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EM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24 337 442</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7A30CA">
            <w:pPr>
              <w:jc w:val="center"/>
              <w:rPr>
                <w:rFonts w:eastAsia="Times New Roman" w:cs="Times New Roman"/>
                <w:color w:val="000000"/>
                <w:sz w:val="22"/>
                <w:lang w:eastAsia="lv-LV"/>
              </w:rPr>
            </w:pPr>
            <w:r w:rsidRPr="00654C24">
              <w:rPr>
                <w:rFonts w:eastAsia="Times New Roman" w:cs="Times New Roman"/>
                <w:color w:val="000000"/>
                <w:sz w:val="22"/>
                <w:lang w:eastAsia="lv-LV"/>
              </w:rPr>
              <w:t>217 246</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7A30CA">
            <w:pPr>
              <w:jc w:val="center"/>
              <w:rPr>
                <w:rFonts w:eastAsia="Times New Roman" w:cs="Times New Roman"/>
                <w:color w:val="000000"/>
                <w:sz w:val="22"/>
                <w:lang w:eastAsia="lv-LV"/>
              </w:rPr>
            </w:pPr>
            <w:r w:rsidRPr="00654C24">
              <w:rPr>
                <w:rFonts w:eastAsia="Times New Roman" w:cs="Times New Roman"/>
                <w:color w:val="000000"/>
                <w:sz w:val="22"/>
                <w:lang w:eastAsia="lv-LV"/>
              </w:rPr>
              <w:t>0,89</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FM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98 373 127</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507 247</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0,52</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lastRenderedPageBreak/>
              <w:t>IeM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235 256 749</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607 197</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0,26</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IZM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63 956 707</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149 823</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0,23</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KM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44 677 775</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144 656</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0,32</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LM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62 899 672</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421 675</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0,67</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SM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3 749 503</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24 139</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0,64</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TM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112 178 539</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629 905</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0,56</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VARAM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18 315 454</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123 213</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0,67</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VM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59 295 939</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186 959</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0,32</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ZM</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48 481 865</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257 110</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color w:val="000000"/>
                <w:sz w:val="22"/>
                <w:lang w:eastAsia="lv-LV"/>
              </w:rPr>
            </w:pPr>
            <w:r w:rsidRPr="00654C24">
              <w:rPr>
                <w:rFonts w:eastAsia="Times New Roman" w:cs="Times New Roman"/>
                <w:color w:val="000000"/>
                <w:sz w:val="22"/>
                <w:lang w:eastAsia="lv-LV"/>
              </w:rPr>
              <w:t>0,53</w:t>
            </w:r>
          </w:p>
        </w:tc>
      </w:tr>
      <w:tr w:rsidR="007A30CA" w:rsidRPr="00654C24" w:rsidTr="00654C24">
        <w:trPr>
          <w:trHeight w:val="315"/>
        </w:trPr>
        <w:tc>
          <w:tcPr>
            <w:tcW w:w="877" w:type="pct"/>
            <w:tcBorders>
              <w:top w:val="nil"/>
              <w:left w:val="single" w:sz="4" w:space="0" w:color="auto"/>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b/>
                <w:bCs/>
                <w:color w:val="000000"/>
                <w:sz w:val="22"/>
                <w:lang w:eastAsia="lv-LV"/>
              </w:rPr>
            </w:pPr>
            <w:r w:rsidRPr="00654C24">
              <w:rPr>
                <w:rFonts w:eastAsia="Times New Roman" w:cs="Times New Roman"/>
                <w:b/>
                <w:bCs/>
                <w:color w:val="000000"/>
                <w:sz w:val="22"/>
                <w:lang w:eastAsia="lv-LV"/>
              </w:rPr>
              <w:t>KOPĀ</w:t>
            </w:r>
          </w:p>
        </w:tc>
        <w:tc>
          <w:tcPr>
            <w:tcW w:w="1753"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b/>
                <w:bCs/>
                <w:color w:val="000000"/>
                <w:sz w:val="22"/>
                <w:lang w:eastAsia="lv-LV"/>
              </w:rPr>
            </w:pPr>
            <w:r w:rsidRPr="00654C24">
              <w:rPr>
                <w:rFonts w:eastAsia="Times New Roman" w:cs="Times New Roman"/>
                <w:b/>
                <w:bCs/>
                <w:color w:val="000000"/>
                <w:sz w:val="22"/>
                <w:lang w:eastAsia="lv-LV"/>
              </w:rPr>
              <w:t>940 313 545</w:t>
            </w:r>
          </w:p>
        </w:tc>
        <w:tc>
          <w:tcPr>
            <w:tcW w:w="998" w:type="pct"/>
            <w:tcBorders>
              <w:top w:val="nil"/>
              <w:left w:val="nil"/>
              <w:bottom w:val="single" w:sz="4" w:space="0" w:color="auto"/>
              <w:right w:val="single" w:sz="4" w:space="0" w:color="auto"/>
            </w:tcBorders>
            <w:shd w:val="clear" w:color="000000" w:fill="FFFFFF"/>
            <w:noWrap/>
            <w:vAlign w:val="bottom"/>
            <w:hideMark/>
          </w:tcPr>
          <w:p w:rsidR="007A30CA" w:rsidRPr="00654C24" w:rsidRDefault="007A30CA" w:rsidP="005F5729">
            <w:pPr>
              <w:jc w:val="center"/>
              <w:rPr>
                <w:rFonts w:eastAsia="Times New Roman" w:cs="Times New Roman"/>
                <w:b/>
                <w:bCs/>
                <w:color w:val="000000"/>
                <w:sz w:val="22"/>
                <w:lang w:eastAsia="lv-LV"/>
              </w:rPr>
            </w:pPr>
            <w:r w:rsidRPr="00654C24">
              <w:rPr>
                <w:rFonts w:eastAsia="Times New Roman" w:cs="Times New Roman"/>
                <w:b/>
                <w:bCs/>
                <w:color w:val="000000"/>
                <w:sz w:val="22"/>
                <w:lang w:eastAsia="lv-LV"/>
              </w:rPr>
              <w:t>  3 459 309</w:t>
            </w:r>
          </w:p>
        </w:tc>
        <w:tc>
          <w:tcPr>
            <w:tcW w:w="1372" w:type="pct"/>
            <w:tcBorders>
              <w:top w:val="nil"/>
              <w:left w:val="nil"/>
              <w:bottom w:val="single" w:sz="4" w:space="0" w:color="auto"/>
              <w:right w:val="single" w:sz="4" w:space="0" w:color="auto"/>
            </w:tcBorders>
            <w:shd w:val="clear" w:color="auto" w:fill="auto"/>
            <w:noWrap/>
            <w:vAlign w:val="bottom"/>
            <w:hideMark/>
          </w:tcPr>
          <w:p w:rsidR="007A30CA" w:rsidRPr="00654C24" w:rsidRDefault="007A30CA" w:rsidP="005F5729">
            <w:pPr>
              <w:jc w:val="center"/>
              <w:rPr>
                <w:rFonts w:eastAsia="Times New Roman" w:cs="Times New Roman"/>
                <w:b/>
                <w:bCs/>
                <w:color w:val="000000"/>
                <w:sz w:val="22"/>
                <w:lang w:eastAsia="lv-LV"/>
              </w:rPr>
            </w:pPr>
            <w:r w:rsidRPr="00654C24">
              <w:rPr>
                <w:rFonts w:eastAsia="Times New Roman" w:cs="Times New Roman"/>
                <w:b/>
                <w:bCs/>
                <w:color w:val="000000"/>
                <w:sz w:val="22"/>
                <w:lang w:eastAsia="lv-LV"/>
              </w:rPr>
              <w:t>0,37</w:t>
            </w:r>
          </w:p>
        </w:tc>
      </w:tr>
    </w:tbl>
    <w:p w:rsidR="00365788" w:rsidRDefault="007A30CA" w:rsidP="00654C24">
      <w:pPr>
        <w:spacing w:before="160" w:after="120"/>
        <w:ind w:firstLine="720"/>
        <w:jc w:val="both"/>
      </w:pPr>
      <w:r>
        <w:t>Vien</w:t>
      </w:r>
      <w:r w:rsidR="00501C67">
        <w:t xml:space="preserve">laicīgi ir jāņem vērā, ka datu </w:t>
      </w:r>
      <w:r>
        <w:t>analīze un izvērtējuma aprēķini ir veikti par laika periodu uz š.g. 31.martu, savukārt rezultāti tiek skatīti pēc gandrīz 3 mēnešiem</w:t>
      </w:r>
      <w:r w:rsidRPr="00604455">
        <w:t xml:space="preserve">. Ņemot vērā situāciju ar kvalificēta personāla resursu piesaisti </w:t>
      </w:r>
      <w:r>
        <w:t xml:space="preserve">valsts pārvaldē, </w:t>
      </w:r>
      <w:r w:rsidRPr="00604455">
        <w:t>daļa no izdevumu izvērtēšanā iekļautajiem ilgstošajiem vakantajiem amatiem jau ir aizpildīti</w:t>
      </w:r>
      <w:r>
        <w:t>,</w:t>
      </w:r>
      <w:r w:rsidRPr="00604455">
        <w:t xml:space="preserve"> vai arī veikta amata vietu restrukturizācija, efektivizējot esošos resursus. Savukārt</w:t>
      </w:r>
      <w:r>
        <w:t>,</w:t>
      </w:r>
      <w:r w:rsidRPr="00604455">
        <w:t xml:space="preserve"> finansējums jau arī līdz izdevumu izvērtēšanai ir ticis izmantots darbinieku papildus motivācijas nodrošināšanai, īstenojot konkrētas iestādes funkcijas</w:t>
      </w:r>
      <w:r>
        <w:t>.</w:t>
      </w:r>
      <w:r w:rsidRPr="00604455">
        <w:t xml:space="preserve"> </w:t>
      </w:r>
      <w:r>
        <w:t>L</w:t>
      </w:r>
      <w:r w:rsidRPr="00604455">
        <w:t xml:space="preserve">īdz ar </w:t>
      </w:r>
      <w:r>
        <w:t>t</w:t>
      </w:r>
      <w:r w:rsidRPr="00604455">
        <w:t xml:space="preserve">o arī turpmāk minētais indikatīvais finansējums ir saglabājams iestādei, nodrošinot </w:t>
      </w:r>
      <w:r>
        <w:t xml:space="preserve">jau aizpildīto vakanto amata vietu finansēšanu, kā arī esošo </w:t>
      </w:r>
      <w:r w:rsidRPr="00604455">
        <w:t>darbinieku papildus motivāciju</w:t>
      </w:r>
      <w:r>
        <w:t>. Vienlaikus jāturpina</w:t>
      </w:r>
      <w:r w:rsidRPr="00604455">
        <w:t xml:space="preserve"> darb</w:t>
      </w:r>
      <w:r>
        <w:t>s</w:t>
      </w:r>
      <w:r w:rsidRPr="00604455">
        <w:t xml:space="preserve"> pie atsevišķu funkciju centralizācijas un efektīvas līdzekļu un resursu izmantošanas.</w:t>
      </w:r>
    </w:p>
    <w:p w:rsidR="00365788" w:rsidRDefault="00365788" w:rsidP="00365788">
      <w:pPr>
        <w:spacing w:before="240" w:after="120"/>
        <w:ind w:firstLine="720"/>
        <w:jc w:val="both"/>
        <w:rPr>
          <w:b/>
        </w:rPr>
      </w:pPr>
      <w:r w:rsidRPr="00365788">
        <w:rPr>
          <w:b/>
        </w:rPr>
        <w:t>Turpmākā rīcība</w:t>
      </w:r>
    </w:p>
    <w:p w:rsidR="00365788" w:rsidRDefault="00365788" w:rsidP="00365788">
      <w:pPr>
        <w:ind w:firstLine="720"/>
        <w:jc w:val="both"/>
        <w:rPr>
          <w:bCs/>
        </w:rPr>
      </w:pPr>
      <w:r>
        <w:rPr>
          <w:bCs/>
        </w:rPr>
        <w:t>Ar 2017.gada 13.</w:t>
      </w:r>
      <w:r w:rsidRPr="00365788">
        <w:rPr>
          <w:bCs/>
        </w:rPr>
        <w:t xml:space="preserve">aprīļa Ministru prezidenta rīkojumu Nr.107 “Par darba grupu valsts un pašvaldību institūciju amatpersonu un darbinieku atlīdzības sistēmas pilnveidošanai” ir izveidota darba grupa, kuras uzdevums ir izstrādāt priekšlikumus valsts un pašvaldību institūciju amatpersonu un darbinieku atlīdzības sistēmas pilnveidošanai un noteiktā kārtībā līdz 2017.gada 1.decembrim iesniegt izskatīšanai </w:t>
      </w:r>
      <w:r>
        <w:rPr>
          <w:bCs/>
        </w:rPr>
        <w:t>MK</w:t>
      </w:r>
      <w:r w:rsidRPr="00365788">
        <w:rPr>
          <w:bCs/>
        </w:rPr>
        <w:t xml:space="preserve"> likumprojektu par valsts un pašvaldību institūciju amatpersonu un darbinieku atlīdzības sistēmas pilnveidošanu. Darba grupas sastāvā ir pārstāvji no VK, FM, AiM, IeM, TM, LM un VID. </w:t>
      </w:r>
    </w:p>
    <w:p w:rsidR="00394FF7" w:rsidRPr="00394FF7" w:rsidRDefault="00213EF4" w:rsidP="004D7DC0">
      <w:pPr>
        <w:jc w:val="both"/>
        <w:rPr>
          <w:rFonts w:eastAsia="Times New Roman" w:cs="Times New Roman"/>
          <w:szCs w:val="24"/>
        </w:rPr>
      </w:pPr>
      <w:r>
        <w:rPr>
          <w:bCs/>
        </w:rPr>
        <w:t>M</w:t>
      </w:r>
      <w:r w:rsidR="00394FF7" w:rsidRPr="00394FF7">
        <w:rPr>
          <w:bCs/>
        </w:rPr>
        <w:t>inistrijām</w:t>
      </w:r>
      <w:r w:rsidR="00394FF7" w:rsidRPr="00394FF7">
        <w:rPr>
          <w:rFonts w:eastAsia="Times New Roman" w:cs="Times New Roman"/>
          <w:szCs w:val="24"/>
        </w:rPr>
        <w:t xml:space="preserve"> pārskatīt līdzšinējo praksi un turpmāk nepieprasīt jaunas amata vietas, nepieciešamos cilvēkresursus rodot iekšējo procesu efektivizēšanā vai ministrijas ietvaros (izņemot pilnā apmērā no ārvalstu finanšu palīdzības finansētās amata vietas). Turpmāk virzot tiesību aktu projektus, politikas plānošanas dokumentus, kā arī sagatavojot līdzekļu pieprasījumu prioritārajiem pasākumiem, papildus finansējumu restrukturizētām amata vietām plānot kā starpību starp finansējumu esošajai amata vietai (tai skaitā arī vakancei) un amata vietai, kas būs nepieciešama konkrētā pasākuma īstenošanai. </w:t>
      </w:r>
    </w:p>
    <w:p w:rsidR="00394FF7" w:rsidRPr="00365788" w:rsidRDefault="00394FF7" w:rsidP="00365788">
      <w:pPr>
        <w:ind w:firstLine="720"/>
        <w:jc w:val="both"/>
        <w:rPr>
          <w:bCs/>
        </w:rPr>
      </w:pPr>
    </w:p>
    <w:p w:rsidR="006549CB" w:rsidRPr="00365788" w:rsidRDefault="007A30CA" w:rsidP="00365788">
      <w:pPr>
        <w:spacing w:before="240" w:after="120"/>
        <w:ind w:firstLine="720"/>
        <w:jc w:val="both"/>
        <w:rPr>
          <w:b/>
        </w:rPr>
      </w:pPr>
      <w:r w:rsidRPr="00365788">
        <w:rPr>
          <w:b/>
        </w:rPr>
        <w:t xml:space="preserve"> </w:t>
      </w:r>
      <w:r w:rsidR="006549CB" w:rsidRPr="00365788">
        <w:rPr>
          <w:b/>
        </w:rPr>
        <w:br w:type="page"/>
      </w:r>
    </w:p>
    <w:p w:rsidR="00F27902" w:rsidRPr="00FE3BAC" w:rsidRDefault="00466A08" w:rsidP="00FE3BAC">
      <w:pPr>
        <w:pStyle w:val="Heading1"/>
        <w:spacing w:after="240"/>
        <w:jc w:val="center"/>
        <w:rPr>
          <w:rFonts w:ascii="Times New Roman" w:hAnsi="Times New Roman" w:cs="Times New Roman"/>
          <w:color w:val="auto"/>
          <w:sz w:val="28"/>
          <w:szCs w:val="28"/>
        </w:rPr>
      </w:pPr>
      <w:bookmarkStart w:id="11" w:name="_Toc487036795"/>
      <w:r>
        <w:rPr>
          <w:rFonts w:ascii="Times New Roman" w:hAnsi="Times New Roman" w:cs="Times New Roman"/>
          <w:color w:val="auto"/>
          <w:sz w:val="28"/>
          <w:szCs w:val="28"/>
        </w:rPr>
        <w:lastRenderedPageBreak/>
        <w:t>3.</w:t>
      </w:r>
      <w:r w:rsidR="00F27902">
        <w:rPr>
          <w:rFonts w:ascii="Times New Roman" w:hAnsi="Times New Roman" w:cs="Times New Roman"/>
          <w:color w:val="auto"/>
          <w:sz w:val="28"/>
          <w:szCs w:val="28"/>
        </w:rPr>
        <w:t> </w:t>
      </w:r>
      <w:r w:rsidRPr="00616BDB">
        <w:rPr>
          <w:rFonts w:ascii="Times New Roman" w:hAnsi="Times New Roman" w:cs="Times New Roman"/>
          <w:color w:val="auto"/>
          <w:sz w:val="28"/>
          <w:szCs w:val="28"/>
        </w:rPr>
        <w:t>IZMAI</w:t>
      </w:r>
      <w:r w:rsidR="00F27902">
        <w:rPr>
          <w:rFonts w:ascii="Times New Roman" w:hAnsi="Times New Roman" w:cs="Times New Roman"/>
          <w:color w:val="auto"/>
          <w:sz w:val="28"/>
          <w:szCs w:val="28"/>
        </w:rPr>
        <w:t>ŅAS NOZARU FINANSĒŠANAS</w:t>
      </w:r>
      <w:r w:rsidRPr="00616BDB">
        <w:rPr>
          <w:rFonts w:ascii="Times New Roman" w:hAnsi="Times New Roman" w:cs="Times New Roman"/>
          <w:color w:val="auto"/>
          <w:sz w:val="28"/>
          <w:szCs w:val="28"/>
        </w:rPr>
        <w:t xml:space="preserve"> POLITIKĀ</w:t>
      </w:r>
      <w:bookmarkEnd w:id="11"/>
    </w:p>
    <w:p w:rsidR="00F27902" w:rsidRPr="00FE3BAC" w:rsidRDefault="00F27902" w:rsidP="00FE3BAC">
      <w:pPr>
        <w:pStyle w:val="Heading2"/>
        <w:spacing w:after="240"/>
        <w:jc w:val="center"/>
        <w:rPr>
          <w:rFonts w:ascii="Times New Roman" w:hAnsi="Times New Roman" w:cs="Times New Roman"/>
          <w:color w:val="auto"/>
          <w:sz w:val="28"/>
          <w:szCs w:val="28"/>
        </w:rPr>
      </w:pPr>
      <w:bookmarkStart w:id="12" w:name="_Toc487036796"/>
      <w:r>
        <w:rPr>
          <w:rFonts w:ascii="Times New Roman" w:hAnsi="Times New Roman" w:cs="Times New Roman"/>
          <w:color w:val="auto"/>
          <w:sz w:val="28"/>
          <w:szCs w:val="28"/>
        </w:rPr>
        <w:t>3.1. Līdzšinēji izstrādāto priekšlikumu aktualizācija</w:t>
      </w:r>
      <w:bookmarkEnd w:id="12"/>
    </w:p>
    <w:p w:rsidR="00F27902" w:rsidRPr="00FE3BAC" w:rsidRDefault="00F27902" w:rsidP="00C25FCF">
      <w:pPr>
        <w:spacing w:after="120"/>
        <w:rPr>
          <w:b/>
          <w:u w:val="single"/>
        </w:rPr>
      </w:pPr>
      <w:r>
        <w:rPr>
          <w:b/>
          <w:u w:val="single"/>
        </w:rPr>
        <w:t>Alternatīvie risinājumi kompensācijām par abonētās preses piegādi</w:t>
      </w:r>
    </w:p>
    <w:p w:rsidR="00453853" w:rsidRDefault="00C25FCF" w:rsidP="00453853">
      <w:pPr>
        <w:spacing w:after="120"/>
        <w:ind w:firstLine="720"/>
        <w:jc w:val="both"/>
      </w:pPr>
      <w:r>
        <w:t>MK</w:t>
      </w:r>
      <w:r w:rsidR="00453853">
        <w:t xml:space="preserve"> 2016.gada 31.mijā sēdē (prot. Nr.26 39.</w:t>
      </w:r>
      <w:r w:rsidR="00453853">
        <w:rPr>
          <w:rFonts w:cs="Times New Roman"/>
        </w:rPr>
        <w:t>§</w:t>
      </w:r>
      <w:r w:rsidR="00453853">
        <w:t xml:space="preserve"> 6.12.apakšpunkts) </w:t>
      </w:r>
      <w:r w:rsidR="00457041">
        <w:t>SM</w:t>
      </w:r>
      <w:r w:rsidR="00453853">
        <w:t xml:space="preserve"> tika dots uzdevums līdz 2017.gada 30.jūnijam sagatavot un iesniegt izskatīšanai </w:t>
      </w:r>
      <w:r w:rsidR="00457041">
        <w:t>MK</w:t>
      </w:r>
      <w:r w:rsidR="00453853">
        <w:t xml:space="preserve"> priekšlikumu par alternatīvu risinājumu, finansējuma samazinājumu vai avota maiņu attiecībā uz Pasta likumā noteikto pienākumu no valsts budžeta VAS “Latvijas Pasts” (turpmāk - Latvijas Pasts) segt zaudējumus par abonētās preses izdevumu piegādes pakalpojumiem, sākot ar periodu par abonētās preses piegādi par 2017.gadu.</w:t>
      </w:r>
    </w:p>
    <w:p w:rsidR="00453853" w:rsidRDefault="00457041" w:rsidP="00453853">
      <w:pPr>
        <w:spacing w:after="120"/>
        <w:ind w:firstLine="720"/>
        <w:jc w:val="both"/>
      </w:pPr>
      <w:r>
        <w:t>SM</w:t>
      </w:r>
      <w:r w:rsidR="00453853">
        <w:t xml:space="preserve"> ir sagatavojusi informatīvo ziņojumu “Par abonēto preses izdevumu piegādes pakalpojuma nodrošināšanu” (izsludināts Valsts sekretāru sanāksmē 2017.gada 13.aprīlī (protokols Nr.15 19.§)). </w:t>
      </w:r>
    </w:p>
    <w:p w:rsidR="009820DA" w:rsidRDefault="00453853" w:rsidP="00FE3BAC">
      <w:pPr>
        <w:spacing w:after="120"/>
        <w:ind w:firstLine="720"/>
        <w:jc w:val="both"/>
      </w:pPr>
      <w:r>
        <w:t xml:space="preserve">Priekšlikumus par alternatīvu risinājumu, finansējuma samazinājumu vai avota maiņu </w:t>
      </w:r>
      <w:r w:rsidR="00457041">
        <w:t>SM</w:t>
      </w:r>
      <w:r>
        <w:t xml:space="preserve"> nepiedāvā un secina, ka līdz 2019.gada 31.decembrim abonēto preses izdevumu piegādes pakalpojuma radīto zaudējumu kompensāciju jānodrošina esošā tiesiskā regulējuma ietvarā, savukārt abonēto preses izdevumu piegādes pakalpojuma nodrošināšanai sākot ar 2020.gada 1.janvāri nepieciešamā finansējuma izvērtējumu un turpmāko rīcību jāiekļauj </w:t>
      </w:r>
      <w:r w:rsidR="00C25FCF">
        <w:t>KM</w:t>
      </w:r>
      <w:r>
        <w:t xml:space="preserve"> 2017.gada 2.pusgadā sagatavojamajā valsts dotāciju programmas drukāto mediju atbalsta konceptuālajā ziņojumā.</w:t>
      </w:r>
      <w:r w:rsidR="009820DA">
        <w:t>      </w:t>
      </w:r>
    </w:p>
    <w:p w:rsidR="008B26EF" w:rsidRPr="00FE3BAC" w:rsidRDefault="008B26EF" w:rsidP="00FA0BEF">
      <w:pPr>
        <w:spacing w:after="120"/>
        <w:rPr>
          <w:b/>
          <w:u w:val="single"/>
        </w:rPr>
      </w:pPr>
      <w:r>
        <w:rPr>
          <w:b/>
          <w:u w:val="single"/>
        </w:rPr>
        <w:t>Kultūras nozarei piesaistītais privātais finansējums</w:t>
      </w:r>
    </w:p>
    <w:p w:rsidR="008B26EF" w:rsidRDefault="00457041" w:rsidP="00FE3BAC">
      <w:pPr>
        <w:spacing w:after="120"/>
        <w:ind w:firstLine="720"/>
        <w:jc w:val="both"/>
      </w:pPr>
      <w:r>
        <w:t>KM</w:t>
      </w:r>
      <w:r w:rsidR="009820DA" w:rsidRPr="009820DA">
        <w:t xml:space="preserve"> valsts nodokļu politikas sistēmas pārskatīšanas kontekstā aicina </w:t>
      </w:r>
      <w:r>
        <w:t>FM</w:t>
      </w:r>
      <w:r w:rsidR="009820DA" w:rsidRPr="009820DA">
        <w:t xml:space="preserve"> valsts budžeta iestādēm un kapitālsabiedrībām, kuras veic </w:t>
      </w:r>
      <w:r>
        <w:t>KM</w:t>
      </w:r>
      <w:r w:rsidR="009820DA" w:rsidRPr="009820DA">
        <w:t xml:space="preserve"> deleģētus valsts pārvaldes uzdevumus kultūras jomā, kā arī biedrībām un nodibinājumiem saglabāt tādus mecenātu un sponsoru piesaistes instrumentus, kas stimulē kultūras un pilsoniskās sabiedrības sektora attīstību un sekmē privātā sektora līdzdalību valstiski nozīmīgu kultūras produktu un pakalpojumu un pilsonisko iniciatīvu pieejamības nodrošināšanā.</w:t>
      </w:r>
    </w:p>
    <w:p w:rsidR="00611076" w:rsidRDefault="00EE094D" w:rsidP="00611076">
      <w:pPr>
        <w:spacing w:after="120"/>
        <w:ind w:firstLine="720"/>
        <w:jc w:val="both"/>
      </w:pPr>
      <w:r w:rsidRPr="00EE094D">
        <w:t xml:space="preserve">Atbilstoši </w:t>
      </w:r>
      <w:r w:rsidR="00611076" w:rsidRPr="00EE094D">
        <w:t>Uzņēmumu ienākuma nodokļa likum</w:t>
      </w:r>
      <w:r w:rsidRPr="00EE094D">
        <w:t xml:space="preserve">a grozījumiem, kuri izsludināti </w:t>
      </w:r>
      <w:r w:rsidRPr="00195837">
        <w:rPr>
          <w:bCs/>
        </w:rPr>
        <w:t xml:space="preserve">Latvijas Vēstnesī </w:t>
      </w:r>
      <w:r w:rsidRPr="00EE094D">
        <w:t>2017.gada 8.augustā</w:t>
      </w:r>
      <w:r w:rsidR="00611076" w:rsidRPr="00EE094D">
        <w:t xml:space="preserve"> </w:t>
      </w:r>
      <w:r w:rsidRPr="00EE094D">
        <w:t>nodokļu maksātājs, kas ziedojis sabiedriskā labuma organizācijai (kurai šāds statuss piešķirts saskaņā ar Sabiedriskā labuma organizāciju likumu), budžeta iestādei vai valsts kapitālsabiedrībai, kura veic Kultūras ministrijas deleģētas valsts kultūras funkcijas, ir tiesīgs pārskata gadā izvēlēties vienu no šādiem atvieglojumiem:</w:t>
      </w:r>
    </w:p>
    <w:p w:rsidR="00EE094D" w:rsidRDefault="00EE094D" w:rsidP="00EE094D">
      <w:pPr>
        <w:spacing w:after="120"/>
        <w:ind w:firstLine="720"/>
        <w:jc w:val="both"/>
      </w:pPr>
      <w:r>
        <w:t>1) neiekļaut taksācijas perioda ar uzņēmumu ienākuma nodokli apliekamajā bāzē ziedoto summu, bet ne vairāk kā piecu procentu apmērā no iepriekšējā pārskata gada peļņas pēc aprēķinātajiem nodokļiem;</w:t>
      </w:r>
    </w:p>
    <w:p w:rsidR="00EE094D" w:rsidRDefault="00EE094D" w:rsidP="00EE094D">
      <w:pPr>
        <w:spacing w:after="120"/>
        <w:ind w:firstLine="720"/>
        <w:jc w:val="both"/>
      </w:pPr>
      <w:r>
        <w:t>2) neiekļaut taksācijas perioda ar uzņēmumu ienākuma nodokli apliekamajā bāzē ziedoto summu, bet ne vairāk kā divus procentus no iepriekšējā pārskata gadā kopējās darba ņēmējiem aprēķinātās bruto darba samaksas, no kuras samaksāti valsts sociālās apdrošināšanas maksājumi;</w:t>
      </w:r>
    </w:p>
    <w:p w:rsidR="00611076" w:rsidRDefault="00EE094D" w:rsidP="00611076">
      <w:pPr>
        <w:spacing w:after="120"/>
        <w:ind w:firstLine="720"/>
        <w:jc w:val="both"/>
      </w:pPr>
      <w:r>
        <w:t>3) samazināt taksācijas periodā par pārskata gadā aprēķinātajām dividendēm aprēķināto uzņēmumu ienākuma nodokli par 75 procentiem no ziedotās summas, bet nepārsniedzot 20 procentus no aprēķinātās uzņēmumu ienākuma nodokļa summas par aprēķinātajām dividendēm.</w:t>
      </w:r>
    </w:p>
    <w:p w:rsidR="00611076" w:rsidRDefault="00611076" w:rsidP="00611076">
      <w:pPr>
        <w:spacing w:after="120"/>
        <w:ind w:firstLine="720"/>
        <w:jc w:val="both"/>
      </w:pPr>
      <w:r>
        <w:t xml:space="preserve">Līdz ar to tiek saglabāta nodokļu maksātāju motivācija veikt ziedojums, tai skaitā budžeta iestādei vai valsts kapitālsabiedrībai, kura veic Kultūras ministrijas deleģētas valsts kultūras funkcijas. Saskaņā ar jauno kārtību nodokļa atvieglojums par ziedojumiem ir </w:t>
      </w:r>
      <w:r>
        <w:lastRenderedPageBreak/>
        <w:t xml:space="preserve">piemērojams pat tad, ja nodokļu maksātājam neveidojas apliekamais ienākums, un vienlaikus tiek saglabāta iespēja uzmantot arī esošajam nodokļu atvieglojumam līdzīgu nodokļa atvieglojumu ziedotājiem.   </w:t>
      </w:r>
    </w:p>
    <w:p w:rsidR="008B26EF" w:rsidRPr="00FE3BAC" w:rsidRDefault="00457041" w:rsidP="00FA0BEF">
      <w:pPr>
        <w:spacing w:after="120"/>
        <w:rPr>
          <w:b/>
          <w:u w:val="single"/>
        </w:rPr>
      </w:pPr>
      <w:r>
        <w:rPr>
          <w:b/>
          <w:u w:val="single"/>
        </w:rPr>
        <w:t>KM</w:t>
      </w:r>
      <w:r w:rsidR="008B26EF">
        <w:rPr>
          <w:b/>
          <w:u w:val="single"/>
        </w:rPr>
        <w:t xml:space="preserve"> muzeju un bibliotēku pašu ieņēmumu kāpināšana</w:t>
      </w:r>
    </w:p>
    <w:p w:rsidR="0087444F" w:rsidRDefault="00457041" w:rsidP="009820DA">
      <w:pPr>
        <w:ind w:firstLine="720"/>
        <w:jc w:val="both"/>
      </w:pPr>
      <w:r>
        <w:t>KM</w:t>
      </w:r>
      <w:r w:rsidR="009820DA" w:rsidRPr="009820DA">
        <w:t xml:space="preserve"> padotības iestādes – muzeji, arhīvi, bibliotēkas un kultūras pieminekļu aizsardzības iestādes darbojas sabiedrības interesēs nemateriālā kultūras mantojuma aizsardzības, saglabāšanas un pieejamības nodrošināšanas nolūkā un to sniegtie publiskie maksas pakalpojumi nav vērsti uz peļņas gūšanu. </w:t>
      </w:r>
      <w:r>
        <w:t>KM</w:t>
      </w:r>
      <w:r w:rsidR="009820DA" w:rsidRPr="009820DA">
        <w:t xml:space="preserve"> padotībā esošo iestāžu – muzeju, bibliotēku un arhīvu publisko maksas pakalpojumu cenrāži tiek regulāri aktualizēti un nepieciešamības gadījumā to nosakošajos </w:t>
      </w:r>
      <w:r>
        <w:t>KM</w:t>
      </w:r>
      <w:r w:rsidR="009820DA" w:rsidRPr="009820DA">
        <w:t xml:space="preserve"> noteikumos tiek veikti grozījumi.</w:t>
      </w:r>
      <w:r w:rsidR="00CC0E99" w:rsidRPr="00CC0E99">
        <w:t xml:space="preserve"> 2017.gad</w:t>
      </w:r>
      <w:r w:rsidR="00CC0E99">
        <w:t>ā</w:t>
      </w:r>
      <w:r w:rsidR="00CC0E99" w:rsidRPr="00CC0E99">
        <w:t xml:space="preserve"> muzeji un bibliotēkas pašu ieņēmumus ir kāpinājušas par 1 195 506 </w:t>
      </w:r>
      <w:r w:rsidR="00CC0E99" w:rsidRPr="00CC0E99">
        <w:rPr>
          <w:i/>
        </w:rPr>
        <w:t>euro</w:t>
      </w:r>
      <w:r w:rsidR="00CC0E99" w:rsidRPr="00CC0E99">
        <w:t xml:space="preserve"> attiecībā pret 2016.gadu, kā arī šogad </w:t>
      </w:r>
      <w:r w:rsidR="00CC0E99">
        <w:t>KM</w:t>
      </w:r>
      <w:r w:rsidR="00CC0E99" w:rsidRPr="00CC0E99">
        <w:t xml:space="preserve"> 2017.gada 25.maija vēstulē Nr.4.4-10/1188 un 2017.gada 7.jūnija vēstulē Nr.4.4-10/1275 lūdza palielināt apropriāciju ieņēmumiem par sniegtajiem maksas pakalpojumiem un citiem pašu ieņēmumiem 275 474 </w:t>
      </w:r>
      <w:r w:rsidR="00CC0E99" w:rsidRPr="00CC0E99">
        <w:rPr>
          <w:i/>
        </w:rPr>
        <w:t>euro</w:t>
      </w:r>
      <w:r w:rsidR="00CC0E99" w:rsidRPr="00CC0E99">
        <w:t xml:space="preserve"> apmērā, kas tika atbalstīta Saeimas Budžeta un finanšu (nodokļu) komisijā.</w:t>
      </w:r>
    </w:p>
    <w:p w:rsidR="008B26EF" w:rsidRDefault="008B26EF" w:rsidP="00BA3D36">
      <w:pPr>
        <w:pStyle w:val="Heading2"/>
        <w:spacing w:before="360" w:after="240"/>
        <w:jc w:val="center"/>
        <w:rPr>
          <w:rFonts w:ascii="Times New Roman" w:hAnsi="Times New Roman" w:cs="Times New Roman"/>
          <w:color w:val="auto"/>
          <w:sz w:val="28"/>
          <w:szCs w:val="28"/>
        </w:rPr>
      </w:pPr>
      <w:bookmarkStart w:id="13" w:name="_Toc487036797"/>
      <w:r>
        <w:rPr>
          <w:rFonts w:ascii="Times New Roman" w:hAnsi="Times New Roman" w:cs="Times New Roman"/>
          <w:color w:val="auto"/>
          <w:sz w:val="28"/>
          <w:szCs w:val="28"/>
        </w:rPr>
        <w:t>3.2. Nulles budžeta principa ieviešana atsevišķu pilotprojektu veidā</w:t>
      </w:r>
      <w:bookmarkEnd w:id="13"/>
    </w:p>
    <w:p w:rsidR="007B5387" w:rsidRPr="008B7346" w:rsidRDefault="007B5387" w:rsidP="007B5387">
      <w:pPr>
        <w:rPr>
          <w:b/>
          <w:u w:val="single"/>
        </w:rPr>
      </w:pPr>
      <w:r>
        <w:rPr>
          <w:b/>
          <w:u w:val="single"/>
        </w:rPr>
        <w:t>Valsts kompensējamie medikamenti un materiāli</w:t>
      </w:r>
    </w:p>
    <w:p w:rsidR="007B5387" w:rsidRPr="00726B8F" w:rsidRDefault="007B5387" w:rsidP="007B5387">
      <w:pPr>
        <w:ind w:firstLine="709"/>
        <w:jc w:val="both"/>
      </w:pPr>
    </w:p>
    <w:p w:rsidR="007B5387" w:rsidRPr="00985733" w:rsidRDefault="007B5387" w:rsidP="007B5387">
      <w:pPr>
        <w:ind w:firstLine="720"/>
        <w:jc w:val="both"/>
      </w:pPr>
      <w:r w:rsidRPr="00703BC0">
        <w:t xml:space="preserve">Atbilstoši </w:t>
      </w:r>
      <w:r>
        <w:t>MK</w:t>
      </w:r>
      <w:r w:rsidRPr="00703BC0">
        <w:t xml:space="preserve"> r</w:t>
      </w:r>
      <w:r>
        <w:t>īkojuma</w:t>
      </w:r>
      <w:r w:rsidRPr="00703BC0">
        <w:t xml:space="preserve"> Nr.141 </w:t>
      </w:r>
      <w:r>
        <w:t xml:space="preserve">2.punktam, izstrādājot </w:t>
      </w:r>
      <w:r w:rsidRPr="0052001B">
        <w:t>budžeta likumprojektus, atbilstoši</w:t>
      </w:r>
      <w:r>
        <w:t xml:space="preserve"> </w:t>
      </w:r>
      <w:r w:rsidRPr="00985733">
        <w:t>LBFV 16.</w:t>
      </w:r>
      <w:r w:rsidRPr="007B5387">
        <w:rPr>
          <w:vertAlign w:val="superscript"/>
        </w:rPr>
        <w:t>3</w:t>
      </w:r>
      <w:r w:rsidRPr="00985733">
        <w:t> panta otrajai daļai jāpārskata valsts budžeta izdevumi un jāsagatavo priekšlikumi, t.sk. par nulles budžeta principa ieviešanu atsevišķu pilotprojektu veidā, pieaicinot LB ekspertus. Lai sagatavotu kompensējamo medikamentu nulles budžeta pilotprojektu, ir izveidota darba grupa, kuras sastāvā ir pārstāvji no LB, VM, NVD un FM.</w:t>
      </w:r>
    </w:p>
    <w:p w:rsidR="007B5387" w:rsidRPr="00985733" w:rsidRDefault="007B5387" w:rsidP="007B5387">
      <w:pPr>
        <w:ind w:firstLine="720"/>
        <w:jc w:val="both"/>
      </w:pPr>
      <w:r w:rsidRPr="00985733">
        <w:t>Laika posmā no 2017.gada 28.marta līdz 26.maijam organizētas 4 darba grupas sanāksmes, kurās:</w:t>
      </w:r>
    </w:p>
    <w:p w:rsidR="007B5387" w:rsidRDefault="007B5387" w:rsidP="008C25BB">
      <w:pPr>
        <w:pStyle w:val="ListParagraph"/>
        <w:numPr>
          <w:ilvl w:val="0"/>
          <w:numId w:val="126"/>
        </w:numPr>
        <w:ind w:left="0" w:firstLine="426"/>
        <w:jc w:val="both"/>
      </w:pPr>
      <w:r>
        <w:t>VM</w:t>
      </w:r>
      <w:r w:rsidRPr="00985733">
        <w:t xml:space="preserve"> iepazīstināja ar </w:t>
      </w:r>
      <w:r w:rsidRPr="00985733">
        <w:rPr>
          <w:bCs/>
        </w:rPr>
        <w:t>zāļu iegādes izdevumu kompensācijas sistēmu (turpmāk – ZIKS) Latvijā, LB informēja</w:t>
      </w:r>
      <w:r w:rsidRPr="00C67C9D">
        <w:rPr>
          <w:bCs/>
        </w:rPr>
        <w:t xml:space="preserve"> par nulles budžeta ieviešanas principiem, kā arī puses vienojās par sasniedzamo rezultātu, katras institūcijas atbildību un darba veikšanas termiņiem</w:t>
      </w:r>
      <w:r w:rsidRPr="00C67C9D">
        <w:t>;</w:t>
      </w:r>
    </w:p>
    <w:p w:rsidR="007B5387" w:rsidRPr="00C67C9D" w:rsidRDefault="007B5387" w:rsidP="008C25BB">
      <w:pPr>
        <w:pStyle w:val="ListParagraph"/>
        <w:numPr>
          <w:ilvl w:val="0"/>
          <w:numId w:val="126"/>
        </w:numPr>
        <w:ind w:left="0" w:firstLine="426"/>
        <w:jc w:val="both"/>
      </w:pPr>
      <w:r>
        <w:t>VM iepazīstināja ar citu valstu pieredzi saistībā  ar medikamentiem, kas tiek kompensēti no valsts budžeta;</w:t>
      </w:r>
    </w:p>
    <w:p w:rsidR="007B5387" w:rsidRPr="00C67C9D" w:rsidRDefault="007B5387" w:rsidP="008C25BB">
      <w:pPr>
        <w:pStyle w:val="ListParagraph"/>
        <w:numPr>
          <w:ilvl w:val="0"/>
          <w:numId w:val="126"/>
        </w:numPr>
        <w:ind w:left="0" w:firstLine="426"/>
        <w:jc w:val="both"/>
      </w:pPr>
      <w:r w:rsidRPr="00C67C9D">
        <w:t xml:space="preserve">diskutēja par </w:t>
      </w:r>
      <w:r>
        <w:t>VM</w:t>
      </w:r>
      <w:r w:rsidRPr="00C67C9D">
        <w:t xml:space="preserve"> sagatavotajām nulles budžeta matricām, nodefinēto virsmērķi un sasniedzamajiem rādītāji</w:t>
      </w:r>
      <w:r>
        <w:t>em;</w:t>
      </w:r>
    </w:p>
    <w:p w:rsidR="007B5387" w:rsidRPr="00FD181A" w:rsidRDefault="007B5387" w:rsidP="008C25BB">
      <w:pPr>
        <w:pStyle w:val="ListParagraph"/>
        <w:numPr>
          <w:ilvl w:val="0"/>
          <w:numId w:val="126"/>
        </w:numPr>
        <w:ind w:left="0" w:firstLine="426"/>
        <w:jc w:val="both"/>
      </w:pPr>
      <w:r w:rsidRPr="00FD181A">
        <w:t xml:space="preserve">tika nolemts izskatīt un izvērtēt četrus alternatīvos risinājumus, t.sk. alternatīvo risinājumus Nr.1 un </w:t>
      </w:r>
      <w:r>
        <w:t>Nr.</w:t>
      </w:r>
      <w:r w:rsidRPr="00FD181A">
        <w:t>2 izstrādāt detalizēti</w:t>
      </w:r>
      <w:r>
        <w:t>, bet</w:t>
      </w:r>
      <w:r w:rsidRPr="00FD181A">
        <w:t xml:space="preserve"> alternatīvo risinājumu Nr.3 un </w:t>
      </w:r>
      <w:r>
        <w:t>Nr.</w:t>
      </w:r>
      <w:r w:rsidRPr="00FD181A">
        <w:t>4 izstrādāt teorētiskā līmenī, kā arī veikt esošā risinājuma trīs scenāriju (minimālo, stand</w:t>
      </w:r>
      <w:r>
        <w:t>a</w:t>
      </w:r>
      <w:r w:rsidRPr="00FD181A">
        <w:t xml:space="preserve">rta un </w:t>
      </w:r>
      <w:r w:rsidRPr="007B5387">
        <w:rPr>
          <w:i/>
        </w:rPr>
        <w:t>premium</w:t>
      </w:r>
      <w:r w:rsidRPr="00FD181A">
        <w:t>) izvērtēšanu, izanalizējot katra risinājuma priekšrocības un trūkumus.</w:t>
      </w:r>
    </w:p>
    <w:p w:rsidR="007B5387" w:rsidRPr="00BE4C30" w:rsidRDefault="007B5387" w:rsidP="00BE4C30">
      <w:pPr>
        <w:spacing w:before="360" w:after="240"/>
        <w:rPr>
          <w:b/>
        </w:rPr>
      </w:pPr>
      <w:r w:rsidRPr="00BE4C30">
        <w:rPr>
          <w:b/>
        </w:rPr>
        <w:t>Zāļu iegādes izdevumu kompensācijas patreizējā sistēma</w:t>
      </w:r>
    </w:p>
    <w:p w:rsidR="007B5387" w:rsidRPr="00726B8F" w:rsidRDefault="007B5387" w:rsidP="007B5387">
      <w:pPr>
        <w:ind w:firstLine="709"/>
        <w:jc w:val="both"/>
      </w:pPr>
      <w:r w:rsidRPr="00726B8F">
        <w:t>Zāļu kompensāciju</w:t>
      </w:r>
      <w:r>
        <w:t xml:space="preserve"> Latvijā</w:t>
      </w:r>
      <w:r w:rsidRPr="00726B8F">
        <w:t xml:space="preserve"> regulē </w:t>
      </w:r>
      <w:r>
        <w:t>MK</w:t>
      </w:r>
      <w:r w:rsidRPr="00726B8F">
        <w:t xml:space="preserve"> 2006.gada 31.oktobra noteikumi Nr.899 “</w:t>
      </w:r>
      <w:r w:rsidRPr="00726B8F">
        <w:rPr>
          <w:iCs/>
        </w:rPr>
        <w:t>Ambulatorajai ārstēšanai paredzēto zāļu un medicīnisko ierīču iegādes izdevumu kompensācijas kārtība”</w:t>
      </w:r>
      <w:r>
        <w:rPr>
          <w:iCs/>
        </w:rPr>
        <w:t xml:space="preserve"> (turpmāk – MK noteikumi Nr.899)</w:t>
      </w:r>
      <w:r w:rsidRPr="00726B8F">
        <w:t>.</w:t>
      </w:r>
    </w:p>
    <w:p w:rsidR="007B5387" w:rsidRDefault="007B5387" w:rsidP="007B5387">
      <w:pPr>
        <w:ind w:firstLine="709"/>
        <w:jc w:val="both"/>
      </w:pPr>
      <w:r w:rsidRPr="00726B8F">
        <w:t xml:space="preserve">Kompensējamo zāļu </w:t>
      </w:r>
      <w:r w:rsidRPr="00AD2AFF">
        <w:t>sarakstā (turpmāk – KZS) iekļauto</w:t>
      </w:r>
      <w:r w:rsidRPr="00726B8F">
        <w:t xml:space="preserve"> zāļu iegādes izdevumus sedz, ņemot vērā slimības raksturu un smaguma pakāpi un ievērojot noteiktos kompensācijas ierobežojumus un izrakstīšanas nosacījumus, pacientiem, kuriem ir diagnosticēta kāda </w:t>
      </w:r>
      <w:r>
        <w:t xml:space="preserve">no </w:t>
      </w:r>
      <w:r>
        <w:rPr>
          <w:iCs/>
        </w:rPr>
        <w:t>MK noteikumu Nr.899</w:t>
      </w:r>
      <w:r w:rsidRPr="00726B8F">
        <w:t xml:space="preserve"> </w:t>
      </w:r>
      <w:hyperlink r:id="rId33" w:history="1">
        <w:r w:rsidRPr="007B5387">
          <w:rPr>
            <w:rStyle w:val="Hyperlink"/>
            <w:color w:val="auto"/>
            <w:u w:val="none"/>
          </w:rPr>
          <w:t>1.pielikumā</w:t>
        </w:r>
      </w:hyperlink>
      <w:r w:rsidRPr="00267DF0">
        <w:t xml:space="preserve"> </w:t>
      </w:r>
      <w:r w:rsidRPr="00726B8F">
        <w:t>minētajām slimībām</w:t>
      </w:r>
      <w:r>
        <w:t>.</w:t>
      </w:r>
    </w:p>
    <w:p w:rsidR="007B5387" w:rsidRPr="009F420E" w:rsidRDefault="007B5387" w:rsidP="009F420E">
      <w:pPr>
        <w:spacing w:after="240"/>
        <w:ind w:firstLine="709"/>
        <w:jc w:val="both"/>
      </w:pPr>
      <w:r>
        <w:t>ZIKS budžets tiek plānots VM budžeta apakšprogrammā 33.03.00 “Kompensējamo medikam</w:t>
      </w:r>
      <w:r w:rsidR="009F420E">
        <w:t>entu un materiālu apmaksāšana”.</w:t>
      </w:r>
    </w:p>
    <w:p w:rsidR="007B5387" w:rsidRPr="00BC459B" w:rsidRDefault="007B5387" w:rsidP="007B5387">
      <w:pPr>
        <w:pStyle w:val="ListParagraph"/>
        <w:tabs>
          <w:tab w:val="left" w:pos="993"/>
        </w:tabs>
        <w:ind w:left="0"/>
        <w:jc w:val="center"/>
        <w:rPr>
          <w:rFonts w:eastAsia="Calibri"/>
          <w:noProof/>
          <w:lang w:eastAsia="lv-LV"/>
        </w:rPr>
      </w:pPr>
      <w:r>
        <w:rPr>
          <w:noProof/>
          <w:lang w:eastAsia="lv-LV"/>
        </w:rPr>
        <w:lastRenderedPageBreak/>
        <w:drawing>
          <wp:inline distT="0" distB="0" distL="0" distR="0" wp14:anchorId="6E50A3F9" wp14:editId="26AF68A4">
            <wp:extent cx="5201285" cy="2772461"/>
            <wp:effectExtent l="0" t="0" r="18415" b="889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7B5387" w:rsidRPr="00B113B3" w:rsidRDefault="007B5387" w:rsidP="009F420E">
      <w:pPr>
        <w:spacing w:before="120"/>
        <w:jc w:val="center"/>
        <w:rPr>
          <w:rFonts w:eastAsia="Times New Roman" w:cs="Times New Roman"/>
          <w:b/>
          <w:bCs/>
          <w:i/>
          <w:sz w:val="22"/>
          <w:lang w:eastAsia="lv-LV"/>
        </w:rPr>
      </w:pPr>
      <w:r w:rsidRPr="00B113B3">
        <w:rPr>
          <w:i/>
          <w:sz w:val="22"/>
        </w:rPr>
        <w:t xml:space="preserve">3.1.att. </w:t>
      </w:r>
      <w:r w:rsidRPr="00B113B3">
        <w:rPr>
          <w:rFonts w:eastAsia="Times New Roman" w:cs="Times New Roman"/>
          <w:b/>
          <w:bCs/>
          <w:sz w:val="22"/>
          <w:lang w:eastAsia="lv-LV"/>
        </w:rPr>
        <w:t>Izdevumi kompensējamo medikamentu un materiālu nodrošināšanai</w:t>
      </w:r>
      <w:r w:rsidRPr="00B113B3">
        <w:rPr>
          <w:rStyle w:val="FootnoteReference"/>
          <w:rFonts w:eastAsia="Times New Roman" w:cs="Times New Roman"/>
          <w:b/>
          <w:bCs/>
          <w:sz w:val="22"/>
          <w:lang w:eastAsia="lv-LV"/>
        </w:rPr>
        <w:footnoteReference w:id="12"/>
      </w:r>
      <w:r w:rsidRPr="00B113B3">
        <w:rPr>
          <w:rFonts w:eastAsia="Times New Roman" w:cs="Times New Roman"/>
          <w:b/>
          <w:bCs/>
          <w:sz w:val="22"/>
          <w:lang w:eastAsia="lv-LV"/>
        </w:rPr>
        <w:t xml:space="preserve">, </w:t>
      </w:r>
      <w:r w:rsidR="001D4351">
        <w:rPr>
          <w:rFonts w:eastAsia="Times New Roman" w:cs="Times New Roman"/>
          <w:b/>
          <w:bCs/>
          <w:sz w:val="22"/>
          <w:lang w:eastAsia="lv-LV"/>
        </w:rPr>
        <w:t xml:space="preserve">milj. </w:t>
      </w:r>
      <w:r w:rsidRPr="00B113B3">
        <w:rPr>
          <w:rFonts w:eastAsia="Times New Roman" w:cs="Times New Roman"/>
          <w:b/>
          <w:bCs/>
          <w:i/>
          <w:sz w:val="22"/>
          <w:lang w:eastAsia="lv-LV"/>
        </w:rPr>
        <w:t>euro</w:t>
      </w:r>
    </w:p>
    <w:p w:rsidR="007B5387" w:rsidRPr="007B5387" w:rsidRDefault="007B5387" w:rsidP="007B5387">
      <w:pPr>
        <w:ind w:firstLine="709"/>
        <w:jc w:val="both"/>
        <w:rPr>
          <w:rFonts w:eastAsia="Calibri"/>
          <w:noProof/>
          <w:lang w:eastAsia="lv-LV"/>
        </w:rPr>
      </w:pPr>
    </w:p>
    <w:p w:rsidR="007B5387" w:rsidRDefault="007B5387" w:rsidP="007B5387">
      <w:pPr>
        <w:ind w:firstLine="709"/>
        <w:jc w:val="both"/>
        <w:rPr>
          <w:rFonts w:eastAsia="Calibri"/>
          <w:noProof/>
          <w:lang w:eastAsia="lv-LV"/>
        </w:rPr>
      </w:pPr>
      <w:r w:rsidRPr="007B5387">
        <w:rPr>
          <w:rFonts w:eastAsia="Calibri"/>
          <w:noProof/>
          <w:lang w:eastAsia="lv-LV"/>
        </w:rPr>
        <w:t>Kā redzams 3.1.attēlā, izdevumi kompensējamo medikamentu un materiālu</w:t>
      </w:r>
      <w:r w:rsidRPr="0049265A">
        <w:rPr>
          <w:rFonts w:eastAsia="Calibri"/>
          <w:noProof/>
          <w:lang w:eastAsia="lv-LV"/>
        </w:rPr>
        <w:t xml:space="preserve"> nodrošināšanai 2017.gadā salīdzinājumā ar 2014.gadu ir pieauguši par 25 milj. </w:t>
      </w:r>
      <w:r w:rsidRPr="0049265A">
        <w:rPr>
          <w:rFonts w:eastAsia="Calibri"/>
          <w:i/>
          <w:noProof/>
          <w:lang w:eastAsia="lv-LV"/>
        </w:rPr>
        <w:t>euro</w:t>
      </w:r>
      <w:r w:rsidRPr="0049265A">
        <w:rPr>
          <w:rFonts w:eastAsia="Calibri"/>
          <w:noProof/>
          <w:lang w:eastAsia="lv-LV"/>
        </w:rPr>
        <w:t xml:space="preserve">. Vislielākie izdevumi bijuši 2016.gadā, kad papildus budžetā apsiprinātajam, kompensējamo medikamentu apmaksai vēl papildus tika piešķirti valsts budžeta līdzekļi 19,8 milj. </w:t>
      </w:r>
      <w:r w:rsidRPr="0049265A">
        <w:rPr>
          <w:rFonts w:eastAsia="Calibri"/>
          <w:i/>
          <w:noProof/>
          <w:lang w:eastAsia="lv-LV"/>
        </w:rPr>
        <w:t>euro</w:t>
      </w:r>
      <w:r w:rsidRPr="0049265A">
        <w:rPr>
          <w:rFonts w:eastAsia="Calibri"/>
          <w:noProof/>
          <w:lang w:eastAsia="lv-LV"/>
        </w:rPr>
        <w:t xml:space="preserve"> apmērā. </w:t>
      </w:r>
    </w:p>
    <w:p w:rsidR="007B5387" w:rsidRPr="00532702" w:rsidRDefault="007B5387" w:rsidP="007B5387">
      <w:pPr>
        <w:tabs>
          <w:tab w:val="left" w:pos="709"/>
        </w:tabs>
        <w:jc w:val="both"/>
        <w:rPr>
          <w:rFonts w:eastAsia="Calibri"/>
          <w:noProof/>
          <w:lang w:eastAsia="lv-LV"/>
        </w:rPr>
      </w:pPr>
      <w:r>
        <w:rPr>
          <w:rFonts w:eastAsia="Calibri"/>
          <w:noProof/>
          <w:lang w:eastAsia="lv-LV"/>
        </w:rPr>
        <w:tab/>
        <w:t xml:space="preserve">Apakšprogrammas 33.03.00 mērķis ir </w:t>
      </w:r>
      <w:r w:rsidRPr="00532702">
        <w:rPr>
          <w:rFonts w:eastAsia="Calibri"/>
          <w:noProof/>
          <w:lang w:eastAsia="lv-LV"/>
        </w:rPr>
        <w:t>nodrošināt ambulatorajai ārstniecībai paredzēto zāļu, medicīnisko ierīču un preču iegādes izdevumu kompensāciju atbilstoši pacienta slimības diagnozei, raksturam un smaguma pakāpei</w:t>
      </w:r>
      <w:r w:rsidRPr="00532702">
        <w:rPr>
          <w:rFonts w:eastAsia="Calibri"/>
          <w:noProof/>
        </w:rPr>
        <w:t xml:space="preserve"> un </w:t>
      </w:r>
      <w:r w:rsidRPr="00532702">
        <w:rPr>
          <w:rFonts w:eastAsia="Calibri"/>
          <w:noProof/>
          <w:lang w:eastAsia="lv-LV"/>
        </w:rPr>
        <w:t>līgumu slēgšanu ar aptiekām</w:t>
      </w:r>
      <w:r w:rsidRPr="00532702">
        <w:rPr>
          <w:rFonts w:eastAsia="Calibri"/>
          <w:noProof/>
        </w:rPr>
        <w:t xml:space="preserve"> </w:t>
      </w:r>
      <w:r w:rsidRPr="00532702">
        <w:rPr>
          <w:rFonts w:eastAsia="Calibri"/>
          <w:noProof/>
          <w:lang w:eastAsia="lv-LV"/>
        </w:rPr>
        <w:t xml:space="preserve">par izdevumu kompensāciju </w:t>
      </w:r>
      <w:r w:rsidRPr="00532702">
        <w:rPr>
          <w:rFonts w:eastAsia="Calibri"/>
          <w:noProof/>
        </w:rPr>
        <w:t xml:space="preserve">saskaņā ar </w:t>
      </w:r>
      <w:r>
        <w:rPr>
          <w:rFonts w:eastAsia="Calibri"/>
          <w:noProof/>
          <w:lang w:eastAsia="lv-LV"/>
        </w:rPr>
        <w:t>MK noteikumiem Nr.899. Apakšprogrammas īstenotājs ir NVD.</w:t>
      </w:r>
    </w:p>
    <w:p w:rsidR="007B5387" w:rsidRPr="00C804B7" w:rsidRDefault="007B5387" w:rsidP="007B5387">
      <w:pPr>
        <w:jc w:val="both"/>
        <w:rPr>
          <w:rFonts w:eastAsia="Calibri"/>
          <w:noProof/>
          <w:lang w:eastAsia="lv-LV"/>
        </w:rPr>
      </w:pPr>
    </w:p>
    <w:p w:rsidR="007B5387" w:rsidRDefault="007B5387" w:rsidP="007B5387">
      <w:pPr>
        <w:ind w:firstLine="709"/>
        <w:jc w:val="both"/>
        <w:rPr>
          <w:rFonts w:eastAsia="Calibri"/>
          <w:noProof/>
          <w:lang w:eastAsia="lv-LV"/>
        </w:rPr>
      </w:pPr>
      <w:r>
        <w:rPr>
          <w:rFonts w:eastAsia="Calibri"/>
          <w:noProof/>
          <w:lang w:eastAsia="lv-LV"/>
        </w:rPr>
        <w:t>Savukārt kompensācijas kārtībā ietverto pasākumu mērķis ir kompensācijai piešķirto līdzekļu ietvaros:</w:t>
      </w:r>
    </w:p>
    <w:p w:rsidR="007B5387" w:rsidRPr="001205CC" w:rsidRDefault="007B5387" w:rsidP="008C25BB">
      <w:pPr>
        <w:pStyle w:val="ListParagraph"/>
        <w:numPr>
          <w:ilvl w:val="0"/>
          <w:numId w:val="127"/>
        </w:numPr>
        <w:tabs>
          <w:tab w:val="left" w:pos="993"/>
        </w:tabs>
        <w:ind w:left="0" w:firstLine="709"/>
        <w:jc w:val="both"/>
        <w:rPr>
          <w:rFonts w:eastAsia="Calibri"/>
          <w:noProof/>
          <w:lang w:eastAsia="lv-LV"/>
        </w:rPr>
      </w:pPr>
      <w:r w:rsidRPr="001205CC">
        <w:rPr>
          <w:rFonts w:eastAsia="Calibri"/>
          <w:noProof/>
          <w:lang w:eastAsia="lv-LV"/>
        </w:rPr>
        <w:t>nodrošināt zāles un medicīniskās ierīces iespējami plašākam pacientu lokam;</w:t>
      </w:r>
    </w:p>
    <w:p w:rsidR="007B5387" w:rsidRPr="001205CC" w:rsidRDefault="007B5387" w:rsidP="008C25BB">
      <w:pPr>
        <w:pStyle w:val="ListParagraph"/>
        <w:numPr>
          <w:ilvl w:val="0"/>
          <w:numId w:val="127"/>
        </w:numPr>
        <w:tabs>
          <w:tab w:val="left" w:pos="993"/>
        </w:tabs>
        <w:ind w:left="0" w:firstLine="709"/>
        <w:jc w:val="both"/>
        <w:rPr>
          <w:rFonts w:eastAsia="Calibri"/>
          <w:noProof/>
          <w:lang w:eastAsia="lv-LV"/>
        </w:rPr>
      </w:pPr>
      <w:r w:rsidRPr="001205CC">
        <w:rPr>
          <w:rFonts w:eastAsia="Calibri"/>
          <w:noProof/>
          <w:lang w:eastAsia="lv-LV"/>
        </w:rPr>
        <w:t>panākt kompensējamo zāļu un medicīnisko ierīču iespējami zemāko cenu;</w:t>
      </w:r>
    </w:p>
    <w:p w:rsidR="007B5387" w:rsidRPr="001205CC" w:rsidRDefault="007B5387" w:rsidP="008C25BB">
      <w:pPr>
        <w:pStyle w:val="ListParagraph"/>
        <w:numPr>
          <w:ilvl w:val="0"/>
          <w:numId w:val="127"/>
        </w:numPr>
        <w:tabs>
          <w:tab w:val="left" w:pos="993"/>
        </w:tabs>
        <w:ind w:left="0" w:firstLine="709"/>
        <w:jc w:val="both"/>
        <w:rPr>
          <w:rFonts w:eastAsia="Calibri"/>
          <w:noProof/>
          <w:lang w:eastAsia="lv-LV"/>
        </w:rPr>
      </w:pPr>
      <w:r w:rsidRPr="001205CC">
        <w:rPr>
          <w:rFonts w:eastAsia="Calibri"/>
          <w:noProof/>
          <w:lang w:eastAsia="lv-LV"/>
        </w:rPr>
        <w:t>ietaupījuma rezultātā iegūtos līdzekļus novirzīt pacientu veselīb</w:t>
      </w:r>
      <w:r>
        <w:rPr>
          <w:rFonts w:eastAsia="Calibri"/>
          <w:noProof/>
          <w:lang w:eastAsia="lv-LV"/>
        </w:rPr>
        <w:t>as uzlabošanai un ārstēšanas mēr</w:t>
      </w:r>
      <w:r w:rsidRPr="001205CC">
        <w:rPr>
          <w:rFonts w:eastAsia="Calibri"/>
          <w:noProof/>
          <w:lang w:eastAsia="lv-LV"/>
        </w:rPr>
        <w:t>ķu sasniegšanai.</w:t>
      </w:r>
    </w:p>
    <w:p w:rsidR="007B5387" w:rsidRDefault="007B5387" w:rsidP="007B5387">
      <w:pPr>
        <w:ind w:firstLine="709"/>
        <w:jc w:val="both"/>
        <w:rPr>
          <w:rFonts w:eastAsia="Calibri"/>
          <w:noProof/>
          <w:lang w:eastAsia="lv-LV"/>
        </w:rPr>
      </w:pPr>
      <w:r>
        <w:t xml:space="preserve">Kompensējamo zāļu iegādes izdevumus iedala trijās kategorijās pēc kompensācijas </w:t>
      </w:r>
      <w:r w:rsidRPr="0049265A">
        <w:t xml:space="preserve">apmēra </w:t>
      </w:r>
      <w:r w:rsidRPr="0049265A">
        <w:rPr>
          <w:rFonts w:eastAsia="Calibri"/>
          <w:noProof/>
          <w:lang w:eastAsia="lv-LV"/>
        </w:rPr>
        <w:t>(50%, 75%, 100%).</w:t>
      </w:r>
    </w:p>
    <w:p w:rsidR="007B5387" w:rsidRDefault="007B5387" w:rsidP="00455EE1">
      <w:pPr>
        <w:jc w:val="center"/>
      </w:pPr>
      <w:r w:rsidRPr="00ED5ED7">
        <w:rPr>
          <w:noProof/>
          <w:lang w:eastAsia="lv-LV"/>
        </w:rPr>
        <w:lastRenderedPageBreak/>
        <w:drawing>
          <wp:inline distT="0" distB="0" distL="0" distR="0" wp14:anchorId="324E25AF" wp14:editId="7B0876B3">
            <wp:extent cx="5659120" cy="26911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59120" cy="2691130"/>
                    </a:xfrm>
                    <a:prstGeom prst="rect">
                      <a:avLst/>
                    </a:prstGeom>
                    <a:noFill/>
                    <a:ln>
                      <a:noFill/>
                    </a:ln>
                  </pic:spPr>
                </pic:pic>
              </a:graphicData>
            </a:graphic>
          </wp:inline>
        </w:drawing>
      </w:r>
    </w:p>
    <w:p w:rsidR="007B5387" w:rsidRPr="00B113B3" w:rsidRDefault="008C25BB" w:rsidP="00455EE1">
      <w:pPr>
        <w:jc w:val="center"/>
        <w:rPr>
          <w:rFonts w:cs="Times New Roman"/>
          <w:b/>
          <w:sz w:val="22"/>
        </w:rPr>
      </w:pPr>
      <w:r w:rsidRPr="00B113B3">
        <w:rPr>
          <w:rFonts w:cs="Times New Roman"/>
          <w:i/>
          <w:sz w:val="22"/>
        </w:rPr>
        <w:t>3.2</w:t>
      </w:r>
      <w:r w:rsidR="007B5387" w:rsidRPr="00B113B3">
        <w:rPr>
          <w:rFonts w:cs="Times New Roman"/>
          <w:i/>
          <w:sz w:val="22"/>
        </w:rPr>
        <w:t xml:space="preserve">.att. </w:t>
      </w:r>
      <w:r w:rsidR="007B5387" w:rsidRPr="00B113B3">
        <w:rPr>
          <w:rFonts w:cs="Times New Roman"/>
          <w:b/>
          <w:sz w:val="22"/>
        </w:rPr>
        <w:t>Diagnožu/medikamentu grupēšana</w:t>
      </w:r>
    </w:p>
    <w:p w:rsidR="007B5387" w:rsidRDefault="007B5387" w:rsidP="007B5387">
      <w:pPr>
        <w:ind w:left="-993"/>
        <w:jc w:val="center"/>
        <w:rPr>
          <w:rFonts w:cs="Times New Roman"/>
          <w:b/>
          <w:szCs w:val="24"/>
        </w:rPr>
      </w:pPr>
    </w:p>
    <w:p w:rsidR="007B5387" w:rsidRDefault="007B5387" w:rsidP="007B5387">
      <w:pPr>
        <w:ind w:firstLine="709"/>
        <w:jc w:val="both"/>
        <w:rPr>
          <w:rFonts w:cs="Times New Roman"/>
          <w:szCs w:val="24"/>
        </w:rPr>
      </w:pPr>
      <w:r>
        <w:rPr>
          <w:rFonts w:cs="Times New Roman"/>
          <w:szCs w:val="24"/>
        </w:rPr>
        <w:t xml:space="preserve">Pēc </w:t>
      </w:r>
      <w:r w:rsidR="008C25BB">
        <w:rPr>
          <w:rFonts w:cs="Times New Roman"/>
          <w:szCs w:val="24"/>
        </w:rPr>
        <w:t>3.2</w:t>
      </w:r>
      <w:r>
        <w:rPr>
          <w:rFonts w:cs="Times New Roman"/>
          <w:szCs w:val="24"/>
        </w:rPr>
        <w:t xml:space="preserve">.attēla redzams, ka </w:t>
      </w:r>
      <w:r w:rsidRPr="008C25BB">
        <w:rPr>
          <w:rFonts w:cs="Times New Roman"/>
          <w:szCs w:val="24"/>
        </w:rPr>
        <w:t>KZS veids</w:t>
      </w:r>
      <w:r>
        <w:rPr>
          <w:rFonts w:cs="Times New Roman"/>
          <w:szCs w:val="24"/>
        </w:rPr>
        <w:t xml:space="preserve"> ir atkarīgs no konkrētā pacienta diagnozes, tāpat kā viena un tā paša medikamenta kompensācijas apmērs ir atkarīgs no konkrētā pacienta diagnozes </w:t>
      </w:r>
      <w:r w:rsidRPr="003F6A5E">
        <w:rPr>
          <w:rFonts w:cs="Times New Roman"/>
          <w:szCs w:val="24"/>
        </w:rPr>
        <w:t xml:space="preserve">un no saslimšanas </w:t>
      </w:r>
      <w:r w:rsidRPr="003F6A5E">
        <w:rPr>
          <w:rFonts w:cs="Times New Roman"/>
          <w:bCs/>
          <w:szCs w:val="24"/>
        </w:rPr>
        <w:t>smaguma pakāpes</w:t>
      </w:r>
      <w:r w:rsidRPr="003F6A5E">
        <w:rPr>
          <w:rFonts w:cs="Times New Roman"/>
          <w:szCs w:val="24"/>
        </w:rPr>
        <w:t>.</w:t>
      </w:r>
    </w:p>
    <w:p w:rsidR="007B5387" w:rsidRDefault="007B5387" w:rsidP="007B5387">
      <w:pPr>
        <w:ind w:left="-993"/>
        <w:jc w:val="center"/>
        <w:rPr>
          <w:rFonts w:cs="Times New Roman"/>
          <w:b/>
          <w:szCs w:val="24"/>
        </w:rPr>
      </w:pPr>
    </w:p>
    <w:p w:rsidR="007B5387" w:rsidRDefault="007B5387" w:rsidP="007B5387">
      <w:pPr>
        <w:ind w:firstLine="709"/>
        <w:jc w:val="both"/>
      </w:pPr>
      <w:r>
        <w:t xml:space="preserve">Savukārt </w:t>
      </w:r>
      <w:r w:rsidRPr="006E2587">
        <w:t>KZS</w:t>
      </w:r>
      <w:r>
        <w:t xml:space="preserve"> sastāv no trijiem sarakstiem – A sarakstā </w:t>
      </w:r>
      <w:r w:rsidRPr="00A164A5">
        <w:t>iekļauj līdzvērtīgas terapeitiskās efektivitātes zāles un medicīniskās ierīces ar vienādu lietošanas veidu</w:t>
      </w:r>
      <w:r>
        <w:t xml:space="preserve">, B sarakstā iekļauj </w:t>
      </w:r>
      <w:r w:rsidRPr="00A164A5">
        <w:t>tādas zāles, kurām sarakstā nav savstarpēji aizvietojamu zāļu</w:t>
      </w:r>
      <w:r>
        <w:t xml:space="preserve">, un C sarakstā </w:t>
      </w:r>
      <w:r w:rsidRPr="00A164A5">
        <w:t>iekļauj tādas zāles, kuru izmaksas viena pacienta ārstēšanai pārsniedz 4</w:t>
      </w:r>
      <w:r>
        <w:t xml:space="preserve"> </w:t>
      </w:r>
      <w:r w:rsidRPr="00A164A5">
        <w:t xml:space="preserve">268,62 </w:t>
      </w:r>
      <w:r w:rsidRPr="00A164A5">
        <w:rPr>
          <w:i/>
          <w:iCs/>
        </w:rPr>
        <w:t>euro</w:t>
      </w:r>
      <w:r w:rsidRPr="00A164A5">
        <w:t xml:space="preserve"> gadā un kurām izrakstīšanas nosacījumi nav pietiekami, lai ierobežotu pacientu skaitu atbilstoši kompensācijai piešķirtajiem </w:t>
      </w:r>
      <w:r w:rsidRPr="008C25BB">
        <w:t>līdzekļiem (sk</w:t>
      </w:r>
      <w:r w:rsidR="008C25BB" w:rsidRPr="008C25BB">
        <w:t>at</w:t>
      </w:r>
      <w:r w:rsidR="008C25BB">
        <w:t>.</w:t>
      </w:r>
      <w:r w:rsidR="008C25BB" w:rsidRPr="008C25BB">
        <w:t xml:space="preserve"> 3.3</w:t>
      </w:r>
      <w:r w:rsidRPr="008C25BB">
        <w:t>.attēlu).</w:t>
      </w:r>
    </w:p>
    <w:p w:rsidR="007B5387" w:rsidRDefault="007B5387" w:rsidP="007B5387">
      <w:pPr>
        <w:jc w:val="both"/>
      </w:pPr>
    </w:p>
    <w:p w:rsidR="007B5387" w:rsidRDefault="007B5387" w:rsidP="007B5387">
      <w:pPr>
        <w:ind w:firstLine="709"/>
        <w:jc w:val="center"/>
      </w:pPr>
      <w:r w:rsidRPr="00A164A5">
        <w:rPr>
          <w:noProof/>
          <w:lang w:eastAsia="lv-LV"/>
        </w:rPr>
        <w:drawing>
          <wp:inline distT="0" distB="0" distL="0" distR="0" wp14:anchorId="0EBE9FDA" wp14:editId="4207142F">
            <wp:extent cx="3586038" cy="1483452"/>
            <wp:effectExtent l="0" t="0" r="0" b="2540"/>
            <wp:docPr id="173" name="Picture 173" descr="C:\Users\bd-sinko\Desktop\KZ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d-sinko\Desktop\KZS.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67653" cy="1517214"/>
                    </a:xfrm>
                    <a:prstGeom prst="rect">
                      <a:avLst/>
                    </a:prstGeom>
                    <a:noFill/>
                    <a:ln>
                      <a:noFill/>
                    </a:ln>
                  </pic:spPr>
                </pic:pic>
              </a:graphicData>
            </a:graphic>
          </wp:inline>
        </w:drawing>
      </w:r>
    </w:p>
    <w:p w:rsidR="007B5387" w:rsidRPr="00B113B3" w:rsidRDefault="008C25BB" w:rsidP="007B5387">
      <w:pPr>
        <w:ind w:firstLine="709"/>
        <w:jc w:val="center"/>
        <w:rPr>
          <w:i/>
          <w:sz w:val="22"/>
        </w:rPr>
      </w:pPr>
      <w:r w:rsidRPr="00B113B3">
        <w:rPr>
          <w:i/>
          <w:sz w:val="22"/>
        </w:rPr>
        <w:t>3.3</w:t>
      </w:r>
      <w:r w:rsidR="007B5387" w:rsidRPr="00B113B3">
        <w:rPr>
          <w:i/>
          <w:sz w:val="22"/>
        </w:rPr>
        <w:t xml:space="preserve">.att. </w:t>
      </w:r>
      <w:r w:rsidR="007B5387" w:rsidRPr="00B113B3">
        <w:rPr>
          <w:b/>
          <w:sz w:val="22"/>
        </w:rPr>
        <w:t>KZS veidi</w:t>
      </w:r>
    </w:p>
    <w:p w:rsidR="007B5387" w:rsidRDefault="007B5387" w:rsidP="007B5387">
      <w:pPr>
        <w:ind w:firstLine="709"/>
        <w:jc w:val="both"/>
      </w:pPr>
    </w:p>
    <w:p w:rsidR="007B5387" w:rsidRDefault="007B5387" w:rsidP="008C25BB">
      <w:pPr>
        <w:pStyle w:val="justifyfull"/>
        <w:shd w:val="clear" w:color="auto" w:fill="FFFFFF"/>
        <w:spacing w:before="0" w:beforeAutospacing="0" w:after="0" w:afterAutospacing="0"/>
        <w:ind w:firstLine="720"/>
        <w:jc w:val="both"/>
        <w:textAlignment w:val="baseline"/>
      </w:pPr>
      <w:r>
        <w:t>Kompensējamo zāļu sistēmā ir arī M saraksts</w:t>
      </w:r>
      <w:r w:rsidRPr="00132E79">
        <w:t>, no kura ārsts var izvēlēties zāles grūtniecēm, sievietēm pēcdzemdību periodā līdz 42 dienām un bērniem līdz 24 mēnešu vecumam (stājās spēkā ar 2012.gada 1.septembr</w:t>
      </w:r>
      <w:r w:rsidR="008C25BB">
        <w:t>ī</w:t>
      </w:r>
      <w:r w:rsidRPr="00132E79">
        <w:t>). M sarakstā iekļautās zāles valsts kompensē bērniem līdz 24 mēnešu vecumam ar kompensācijas apmēru 50% un grūtniecēm un sievietēm līdz 42 pēcdzemdību perioda dienām ar kompensācijas apmēru 25%.</w:t>
      </w:r>
      <w:r>
        <w:rPr>
          <w:rStyle w:val="FootnoteReference"/>
        </w:rPr>
        <w:footnoteReference w:id="13"/>
      </w:r>
    </w:p>
    <w:p w:rsidR="00BA3D36" w:rsidRDefault="00BA3D36" w:rsidP="007B5387">
      <w:pPr>
        <w:jc w:val="right"/>
        <w:rPr>
          <w:szCs w:val="24"/>
        </w:rPr>
      </w:pPr>
    </w:p>
    <w:p w:rsidR="00BA3D36" w:rsidRDefault="00BA3D36" w:rsidP="007B5387">
      <w:pPr>
        <w:jc w:val="right"/>
        <w:rPr>
          <w:szCs w:val="24"/>
        </w:rPr>
      </w:pPr>
    </w:p>
    <w:p w:rsidR="00BA3D36" w:rsidRDefault="00BA3D36" w:rsidP="007B5387">
      <w:pPr>
        <w:jc w:val="right"/>
        <w:rPr>
          <w:szCs w:val="24"/>
        </w:rPr>
      </w:pPr>
    </w:p>
    <w:p w:rsidR="00BA3D36" w:rsidRDefault="00BA3D36" w:rsidP="007B5387">
      <w:pPr>
        <w:jc w:val="right"/>
        <w:rPr>
          <w:szCs w:val="24"/>
        </w:rPr>
      </w:pPr>
    </w:p>
    <w:p w:rsidR="00BA3D36" w:rsidRDefault="00BA3D36" w:rsidP="007B5387">
      <w:pPr>
        <w:jc w:val="right"/>
        <w:rPr>
          <w:szCs w:val="24"/>
        </w:rPr>
      </w:pPr>
    </w:p>
    <w:p w:rsidR="00BA3D36" w:rsidRDefault="00BA3D36" w:rsidP="007B5387">
      <w:pPr>
        <w:jc w:val="right"/>
        <w:rPr>
          <w:szCs w:val="24"/>
        </w:rPr>
      </w:pPr>
    </w:p>
    <w:p w:rsidR="007B5387" w:rsidRPr="006C7290" w:rsidRDefault="007B5387" w:rsidP="007B5387">
      <w:pPr>
        <w:jc w:val="right"/>
        <w:rPr>
          <w:szCs w:val="24"/>
        </w:rPr>
      </w:pPr>
      <w:r w:rsidRPr="006C7290">
        <w:rPr>
          <w:szCs w:val="24"/>
        </w:rPr>
        <w:lastRenderedPageBreak/>
        <w:t>Tabula Nr.</w:t>
      </w:r>
      <w:r w:rsidR="008C25BB">
        <w:rPr>
          <w:szCs w:val="24"/>
        </w:rPr>
        <w:t>3.1.</w:t>
      </w:r>
      <w:r w:rsidRPr="006C7290">
        <w:rPr>
          <w:szCs w:val="24"/>
        </w:rPr>
        <w:t xml:space="preserve"> </w:t>
      </w:r>
    </w:p>
    <w:p w:rsidR="007B5387" w:rsidRPr="00FE276A" w:rsidRDefault="007B5387" w:rsidP="007B5387">
      <w:pPr>
        <w:spacing w:before="120" w:after="120"/>
        <w:jc w:val="center"/>
        <w:rPr>
          <w:rFonts w:cs="Times New Roman"/>
          <w:b/>
          <w:szCs w:val="24"/>
        </w:rPr>
      </w:pPr>
      <w:r w:rsidRPr="006E2587">
        <w:rPr>
          <w:rFonts w:cs="Times New Roman"/>
          <w:b/>
          <w:szCs w:val="24"/>
        </w:rPr>
        <w:t>ZIKS diagnožu</w:t>
      </w:r>
      <w:r w:rsidRPr="00FE276A">
        <w:rPr>
          <w:rFonts w:cs="Times New Roman"/>
          <w:b/>
          <w:szCs w:val="24"/>
        </w:rPr>
        <w:t xml:space="preserve"> grupu un kompensācijas apmēr</w:t>
      </w:r>
      <w:r>
        <w:rPr>
          <w:rFonts w:cs="Times New Roman"/>
          <w:b/>
          <w:szCs w:val="24"/>
        </w:rPr>
        <w:t>a</w:t>
      </w:r>
      <w:r w:rsidRPr="00F47193">
        <w:rPr>
          <w:rFonts w:cs="Times New Roman"/>
          <w:b/>
          <w:szCs w:val="24"/>
        </w:rPr>
        <w:t xml:space="preserve"> </w:t>
      </w:r>
      <w:r w:rsidRPr="00FE276A">
        <w:rPr>
          <w:rFonts w:cs="Times New Roman"/>
          <w:b/>
          <w:szCs w:val="24"/>
        </w:rPr>
        <w:t>saraksts</w:t>
      </w:r>
    </w:p>
    <w:tbl>
      <w:tblPr>
        <w:tblW w:w="5000" w:type="pct"/>
        <w:tblLook w:val="04A0" w:firstRow="1" w:lastRow="0" w:firstColumn="1" w:lastColumn="0" w:noHBand="0" w:noVBand="1"/>
      </w:tblPr>
      <w:tblGrid>
        <w:gridCol w:w="6872"/>
        <w:gridCol w:w="2189"/>
      </w:tblGrid>
      <w:tr w:rsidR="007B5387" w:rsidRPr="00AC1485" w:rsidTr="008C25BB">
        <w:trPr>
          <w:trHeight w:val="675"/>
          <w:tblHeader/>
        </w:trPr>
        <w:tc>
          <w:tcPr>
            <w:tcW w:w="379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7B5387" w:rsidRPr="00AC1485" w:rsidRDefault="007B5387" w:rsidP="007B5387">
            <w:pPr>
              <w:jc w:val="center"/>
              <w:rPr>
                <w:rFonts w:eastAsia="Times New Roman" w:cs="Times New Roman"/>
                <w:b/>
                <w:bCs/>
                <w:sz w:val="20"/>
                <w:szCs w:val="20"/>
                <w:lang w:eastAsia="lv-LV"/>
              </w:rPr>
            </w:pPr>
            <w:r w:rsidRPr="00AC1485">
              <w:rPr>
                <w:rFonts w:eastAsia="Times New Roman" w:cs="Times New Roman"/>
                <w:b/>
                <w:bCs/>
                <w:sz w:val="20"/>
                <w:szCs w:val="20"/>
                <w:lang w:eastAsia="lv-LV"/>
              </w:rPr>
              <w:t>Diagnozes grupa</w:t>
            </w:r>
          </w:p>
        </w:tc>
        <w:tc>
          <w:tcPr>
            <w:tcW w:w="1208"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7B5387" w:rsidRPr="00AC1485" w:rsidRDefault="007B5387" w:rsidP="007B5387">
            <w:pPr>
              <w:jc w:val="center"/>
              <w:rPr>
                <w:rFonts w:eastAsia="Times New Roman" w:cs="Times New Roman"/>
                <w:b/>
                <w:bCs/>
                <w:sz w:val="20"/>
                <w:szCs w:val="20"/>
                <w:lang w:eastAsia="lv-LV"/>
              </w:rPr>
            </w:pPr>
            <w:r w:rsidRPr="00AC1485">
              <w:rPr>
                <w:rFonts w:eastAsia="Times New Roman" w:cs="Times New Roman"/>
                <w:b/>
                <w:bCs/>
                <w:sz w:val="20"/>
                <w:szCs w:val="20"/>
                <w:lang w:eastAsia="lv-LV"/>
              </w:rPr>
              <w:t>Kompensācijas apmērs</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 Acu un to palīg orgānu slimības</w:t>
            </w:r>
          </w:p>
        </w:tc>
        <w:tc>
          <w:tcPr>
            <w:tcW w:w="1208" w:type="pct"/>
            <w:tcBorders>
              <w:top w:val="nil"/>
              <w:left w:val="nil"/>
              <w:bottom w:val="single" w:sz="4" w:space="0" w:color="auto"/>
              <w:right w:val="single" w:sz="4" w:space="0" w:color="auto"/>
            </w:tcBorders>
            <w:shd w:val="clear" w:color="auto" w:fill="auto"/>
            <w:noWrap/>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2. Ausu un aizauss paugura slimības</w:t>
            </w:r>
          </w:p>
        </w:tc>
        <w:tc>
          <w:tcPr>
            <w:tcW w:w="1208" w:type="pct"/>
            <w:tcBorders>
              <w:top w:val="nil"/>
              <w:left w:val="nil"/>
              <w:bottom w:val="single" w:sz="4" w:space="0" w:color="auto"/>
              <w:right w:val="single" w:sz="4" w:space="0" w:color="auto"/>
            </w:tcBorders>
            <w:shd w:val="clear" w:color="auto" w:fill="auto"/>
            <w:noWrap/>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3. Asins un asinsradoši orgānu slimības un imūnsistēmas traucējumi</w:t>
            </w:r>
          </w:p>
        </w:tc>
        <w:tc>
          <w:tcPr>
            <w:tcW w:w="1208" w:type="pct"/>
            <w:tcBorders>
              <w:top w:val="nil"/>
              <w:left w:val="nil"/>
              <w:bottom w:val="single" w:sz="4" w:space="0" w:color="auto"/>
              <w:right w:val="single" w:sz="4" w:space="0" w:color="auto"/>
            </w:tcBorders>
            <w:shd w:val="clear" w:color="auto" w:fill="auto"/>
            <w:noWrap/>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4. Asinsrites sistēmas slimības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5. Audzēji</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6. Ādas un zemādas slimības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 xml:space="preserve">7. Elpošanas sistēmas slimības </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8. Endokrīnās, uzturēs un vielmaiņas slimības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 xml:space="preserve">9. Gremošanas sistēmas slimības </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10. Infekcijas un parazitārās slimības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11. Muskuļu, skeleta un saistaudu slimības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 xml:space="preserve">12. Noteikti perinatālā perioda stāvokļi </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13. Iedzimtas kroplības, deformācijas un hromosomu anomālijas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14. Nervu sistēmas slimības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 xml:space="preserve">15. Psihiski un uzvedības traucējumi </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100%</w:t>
            </w:r>
          </w:p>
        </w:tc>
      </w:tr>
      <w:tr w:rsidR="007B5387" w:rsidRPr="00AC1485" w:rsidTr="008C25BB">
        <w:trPr>
          <w:trHeight w:val="510"/>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 xml:space="preserve">16. Faktori, kas ietekmē veselību un saskari ar veselības aprūpes darbiniekiem </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17. Uroģentālās sistēmas slimības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18. Ievainojumi, saindēšanās un citas ārējās iedarbes sekas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50%; 75%; 100%</w:t>
            </w:r>
          </w:p>
        </w:tc>
      </w:tr>
      <w:tr w:rsidR="007B5387" w:rsidRPr="00AC1485" w:rsidTr="008C25BB">
        <w:trPr>
          <w:trHeight w:val="255"/>
        </w:trPr>
        <w:tc>
          <w:tcPr>
            <w:tcW w:w="3792" w:type="pct"/>
            <w:tcBorders>
              <w:top w:val="nil"/>
              <w:left w:val="single" w:sz="4" w:space="0" w:color="auto"/>
              <w:bottom w:val="single" w:sz="4" w:space="0" w:color="auto"/>
              <w:right w:val="single" w:sz="4" w:space="0" w:color="auto"/>
            </w:tcBorders>
            <w:shd w:val="clear" w:color="auto" w:fill="auto"/>
            <w:vAlign w:val="center"/>
            <w:hideMark/>
          </w:tcPr>
          <w:p w:rsidR="007B5387" w:rsidRPr="00AC1485" w:rsidRDefault="007B5387" w:rsidP="007B5387">
            <w:pPr>
              <w:rPr>
                <w:rFonts w:eastAsia="Times New Roman" w:cs="Times New Roman"/>
                <w:color w:val="000000"/>
                <w:sz w:val="20"/>
                <w:szCs w:val="20"/>
                <w:lang w:eastAsia="lv-LV"/>
              </w:rPr>
            </w:pPr>
            <w:r w:rsidRPr="00AC1485">
              <w:rPr>
                <w:rFonts w:eastAsia="Times New Roman" w:cs="Times New Roman"/>
                <w:color w:val="000000"/>
                <w:sz w:val="20"/>
                <w:szCs w:val="20"/>
                <w:lang w:eastAsia="lv-LV"/>
              </w:rPr>
              <w:t>19. Grūtniecība, dzemdības un pēcdzemdību periods</w:t>
            </w:r>
          </w:p>
        </w:tc>
        <w:tc>
          <w:tcPr>
            <w:tcW w:w="1208" w:type="pct"/>
            <w:tcBorders>
              <w:top w:val="nil"/>
              <w:left w:val="nil"/>
              <w:bottom w:val="single" w:sz="4" w:space="0" w:color="auto"/>
              <w:right w:val="single" w:sz="4" w:space="0" w:color="auto"/>
            </w:tcBorders>
            <w:shd w:val="clear" w:color="auto" w:fill="auto"/>
            <w:vAlign w:val="center"/>
            <w:hideMark/>
          </w:tcPr>
          <w:p w:rsidR="007B5387" w:rsidRPr="00AC1485" w:rsidRDefault="007B5387" w:rsidP="007B5387">
            <w:pPr>
              <w:jc w:val="right"/>
              <w:rPr>
                <w:rFonts w:eastAsia="Times New Roman" w:cs="Times New Roman"/>
                <w:color w:val="000000"/>
                <w:sz w:val="20"/>
                <w:szCs w:val="20"/>
                <w:lang w:eastAsia="lv-LV"/>
              </w:rPr>
            </w:pPr>
            <w:r w:rsidRPr="00AC1485">
              <w:rPr>
                <w:rFonts w:eastAsia="Times New Roman" w:cs="Times New Roman"/>
                <w:color w:val="000000"/>
                <w:sz w:val="20"/>
                <w:szCs w:val="20"/>
                <w:lang w:eastAsia="lv-LV"/>
              </w:rPr>
              <w:t>75%; 100%</w:t>
            </w:r>
          </w:p>
        </w:tc>
      </w:tr>
    </w:tbl>
    <w:p w:rsidR="007B5387" w:rsidRPr="0090624C" w:rsidRDefault="007B5387" w:rsidP="007B5387">
      <w:pPr>
        <w:ind w:firstLine="709"/>
        <w:jc w:val="both"/>
        <w:rPr>
          <w:rFonts w:cs="Times New Roman"/>
          <w:szCs w:val="24"/>
        </w:rPr>
      </w:pPr>
    </w:p>
    <w:p w:rsidR="007B5387" w:rsidRDefault="007B5387" w:rsidP="007B5387">
      <w:pPr>
        <w:pStyle w:val="ListParagraph"/>
        <w:tabs>
          <w:tab w:val="left" w:pos="993"/>
        </w:tabs>
        <w:ind w:left="0" w:firstLine="709"/>
        <w:jc w:val="both"/>
      </w:pPr>
      <w:r w:rsidRPr="006E2587">
        <w:rPr>
          <w:rFonts w:cs="Times New Roman"/>
          <w:szCs w:val="24"/>
        </w:rPr>
        <w:t xml:space="preserve">Visas ZIKS </w:t>
      </w:r>
      <w:r w:rsidRPr="006E2587">
        <w:t>diagnožu grupu</w:t>
      </w:r>
      <w:r>
        <w:t xml:space="preserve"> slimības </w:t>
      </w:r>
      <w:r w:rsidRPr="008C25BB">
        <w:t>(sk</w:t>
      </w:r>
      <w:r w:rsidR="008C25BB" w:rsidRPr="008C25BB">
        <w:t>at</w:t>
      </w:r>
      <w:r w:rsidRPr="008C25BB">
        <w:t>.</w:t>
      </w:r>
      <w:r w:rsidR="008C25BB" w:rsidRPr="008C25BB">
        <w:t xml:space="preserve"> </w:t>
      </w:r>
      <w:r w:rsidRPr="008C25BB">
        <w:t>tabulu Nr.</w:t>
      </w:r>
      <w:r w:rsidR="008C25BB" w:rsidRPr="008C25BB">
        <w:t>3.1.</w:t>
      </w:r>
      <w:r w:rsidRPr="008C25BB">
        <w:t>),</w:t>
      </w:r>
      <w:r>
        <w:t xml:space="preserve"> izņemot HIV (infekcijas un parazitārās slimības diagnožu grupa) un auss un aizauss paugura slimības, ir hroniskas, kuras nevar izārstēt, bet ar medikamentu palīdzību var tikai palielināt pacienta dzīvildzi un kvalitatīvi nodzīvotos gadus.</w:t>
      </w:r>
    </w:p>
    <w:p w:rsidR="007B5387" w:rsidRDefault="007B5387" w:rsidP="007B5387">
      <w:pPr>
        <w:ind w:firstLine="709"/>
        <w:jc w:val="both"/>
        <w:rPr>
          <w:rFonts w:cs="Times New Roman"/>
          <w:szCs w:val="24"/>
        </w:rPr>
      </w:pPr>
      <w:r w:rsidRPr="006146FB">
        <w:rPr>
          <w:rFonts w:cs="Times New Roman"/>
          <w:szCs w:val="24"/>
        </w:rPr>
        <w:t>No valsts budžeta līdzekļiem pilnībā tiek apmaksāti kompensējamie medikamenti, kuri ir lētākie līdzvērtīgu medikamentu grupā. Ja pacientam nozīmēts kāda cita ražotāja līdzvērtīgas efektivitātes medikaments, kas nav noteiktais lētākais grupas medikaments, tad starpība pacientam ir jāpiemaksā. Pie noteiktas diagnozes ir vairāki medikamenti, kuriem pamatā ir viena aktīvā viela, kas ārstē konkrēto saslimšanu. Līdz ar to medikamenti atšķiras ar krāsu, formu, ražotāju, iespējamām blakusparādībām, bet kopumā ir līdzvērtīgi, un paredzēti konkrētas saslimšanas ārstēšanai. Mainoties šīm atšķirīgajām īpašībām, svārstās arī medikamentu cena.</w:t>
      </w:r>
      <w:r w:rsidRPr="006146FB">
        <w:rPr>
          <w:rStyle w:val="FootnoteReference"/>
          <w:rFonts w:cs="Times New Roman"/>
          <w:szCs w:val="24"/>
        </w:rPr>
        <w:footnoteReference w:id="14"/>
      </w:r>
    </w:p>
    <w:p w:rsidR="007B5387" w:rsidRPr="00A70038" w:rsidRDefault="007B5387" w:rsidP="007B5387">
      <w:pPr>
        <w:spacing w:before="240" w:after="240"/>
        <w:jc w:val="both"/>
        <w:rPr>
          <w:rFonts w:cs="Times New Roman"/>
          <w:b/>
          <w:szCs w:val="24"/>
        </w:rPr>
      </w:pPr>
      <w:r w:rsidRPr="00A43CC2">
        <w:rPr>
          <w:rFonts w:cs="Times New Roman"/>
          <w:b/>
          <w:szCs w:val="24"/>
        </w:rPr>
        <w:t>KZS aktualizēšana</w:t>
      </w:r>
    </w:p>
    <w:p w:rsidR="007B5387" w:rsidRPr="00353668" w:rsidRDefault="007B5387" w:rsidP="00A43CC2">
      <w:pPr>
        <w:pStyle w:val="justifyfull"/>
        <w:shd w:val="clear" w:color="auto" w:fill="FFFFFF"/>
        <w:spacing w:before="0" w:beforeAutospacing="0" w:after="0" w:afterAutospacing="0"/>
        <w:ind w:firstLine="720"/>
        <w:jc w:val="both"/>
        <w:textAlignment w:val="baseline"/>
      </w:pPr>
      <w:r w:rsidRPr="00353668">
        <w:t xml:space="preserve">Veidojot </w:t>
      </w:r>
      <w:r>
        <w:t>KZS,</w:t>
      </w:r>
      <w:r w:rsidRPr="00353668">
        <w:t xml:space="preserve"> tiek ievērots princips, ka sarakstā tiek iekļautas terapeitiski un izmaksu efektīvas zāles, kas atbilst starptautiskām ārstēšanas vadlī</w:t>
      </w:r>
      <w:r>
        <w:t>nijām. Medikamentu iekļaušanai KZS</w:t>
      </w:r>
      <w:r w:rsidRPr="00353668">
        <w:t xml:space="preserve"> var pieteikt ikviens zāļu ražotājs vai izplatītājs, norādot arī attiecīgā medikamenta cenu. </w:t>
      </w:r>
      <w:r>
        <w:t>NVD</w:t>
      </w:r>
      <w:r w:rsidRPr="00353668">
        <w:t xml:space="preserve"> izvērtē katra kompensējamo medikamentu sarakstam pieteiktā medikamenta:</w:t>
      </w:r>
    </w:p>
    <w:p w:rsidR="007B5387" w:rsidRPr="00BC459B" w:rsidRDefault="007B5387" w:rsidP="00A43CC2">
      <w:pPr>
        <w:pStyle w:val="ListParagraph"/>
        <w:numPr>
          <w:ilvl w:val="0"/>
          <w:numId w:val="139"/>
        </w:numPr>
        <w:tabs>
          <w:tab w:val="left" w:pos="993"/>
        </w:tabs>
        <w:jc w:val="both"/>
        <w:textAlignment w:val="baseline"/>
        <w:rPr>
          <w:rFonts w:eastAsia="Times New Roman" w:cs="Times New Roman"/>
          <w:szCs w:val="24"/>
          <w:lang w:eastAsia="lv-LV"/>
        </w:rPr>
      </w:pPr>
      <w:r w:rsidRPr="00C953C1">
        <w:rPr>
          <w:rFonts w:eastAsia="Times New Roman" w:cs="Times New Roman"/>
          <w:szCs w:val="24"/>
          <w:lang w:eastAsia="lv-LV"/>
        </w:rPr>
        <w:t xml:space="preserve">salīdzinošo efektivitāti </w:t>
      </w:r>
      <w:r>
        <w:rPr>
          <w:rFonts w:eastAsia="Times New Roman" w:cs="Times New Roman"/>
          <w:szCs w:val="24"/>
          <w:lang w:eastAsia="lv-LV"/>
        </w:rPr>
        <w:t>–</w:t>
      </w:r>
      <w:r w:rsidRPr="00BC459B">
        <w:rPr>
          <w:rFonts w:eastAsia="Times New Roman" w:cs="Times New Roman"/>
          <w:szCs w:val="24"/>
          <w:lang w:eastAsia="lv-LV"/>
        </w:rPr>
        <w:t xml:space="preserve"> </w:t>
      </w:r>
      <w:r>
        <w:rPr>
          <w:rFonts w:eastAsia="Times New Roman" w:cs="Times New Roman"/>
          <w:szCs w:val="24"/>
          <w:lang w:eastAsia="lv-LV"/>
        </w:rPr>
        <w:t>t</w:t>
      </w:r>
      <w:r w:rsidRPr="00BC459B">
        <w:rPr>
          <w:rFonts w:eastAsia="Times New Roman" w:cs="Times New Roman"/>
          <w:szCs w:val="24"/>
          <w:lang w:eastAsia="lv-LV"/>
        </w:rPr>
        <w:t>iek salīdzināta efektivitāte ar citu konkrētas slimības ārstēšanā izmantoto medikamentu efektivitāti (balstoties uz zinātnisko pētījumu datiem, kā arī vietējām un starptautiskām ārstēšanas vadlīnijām);</w:t>
      </w:r>
    </w:p>
    <w:p w:rsidR="007B5387" w:rsidRPr="00AD2AFF" w:rsidRDefault="007B5387" w:rsidP="00A43CC2">
      <w:pPr>
        <w:pStyle w:val="ListParagraph"/>
        <w:numPr>
          <w:ilvl w:val="0"/>
          <w:numId w:val="139"/>
        </w:numPr>
        <w:tabs>
          <w:tab w:val="left" w:pos="993"/>
        </w:tabs>
        <w:jc w:val="both"/>
        <w:textAlignment w:val="baseline"/>
        <w:rPr>
          <w:rFonts w:eastAsia="Times New Roman" w:cs="Times New Roman"/>
          <w:szCs w:val="24"/>
          <w:lang w:eastAsia="lv-LV"/>
        </w:rPr>
      </w:pPr>
      <w:r w:rsidRPr="00C953C1">
        <w:rPr>
          <w:rFonts w:eastAsia="Times New Roman" w:cs="Times New Roman"/>
          <w:szCs w:val="24"/>
          <w:lang w:eastAsia="lv-LV"/>
        </w:rPr>
        <w:lastRenderedPageBreak/>
        <w:t>cenu</w:t>
      </w:r>
      <w:r>
        <w:rPr>
          <w:rFonts w:eastAsia="Times New Roman" w:cs="Times New Roman"/>
          <w:szCs w:val="24"/>
          <w:lang w:eastAsia="lv-LV"/>
        </w:rPr>
        <w:t xml:space="preserve"> – t</w:t>
      </w:r>
      <w:r w:rsidRPr="00BC459B">
        <w:rPr>
          <w:rFonts w:eastAsia="Times New Roman" w:cs="Times New Roman"/>
          <w:szCs w:val="24"/>
          <w:lang w:eastAsia="lv-LV"/>
        </w:rPr>
        <w:t xml:space="preserve">iek izvērtēta medikamenta cena, salīdzinot ar cenām citās </w:t>
      </w:r>
      <w:r w:rsidR="00A43CC2">
        <w:rPr>
          <w:rFonts w:eastAsia="Times New Roman" w:cs="Times New Roman"/>
          <w:szCs w:val="24"/>
          <w:lang w:eastAsia="lv-LV"/>
        </w:rPr>
        <w:t>ES</w:t>
      </w:r>
      <w:r w:rsidRPr="00BC459B">
        <w:rPr>
          <w:rFonts w:eastAsia="Times New Roman" w:cs="Times New Roman"/>
          <w:szCs w:val="24"/>
          <w:lang w:eastAsia="lv-LV"/>
        </w:rPr>
        <w:t xml:space="preserve"> valstīs. </w:t>
      </w:r>
      <w:r w:rsidRPr="00AD2AFF">
        <w:t>KZS</w:t>
      </w:r>
      <w:r w:rsidRPr="00AD2AFF">
        <w:rPr>
          <w:rFonts w:eastAsia="Times New Roman" w:cs="Times New Roman"/>
          <w:szCs w:val="24"/>
          <w:lang w:eastAsia="lv-LV"/>
        </w:rPr>
        <w:t xml:space="preserve"> iekļaujamo zāļu cenai jābūt ne augstākai kā trešajai zemākajai starp </w:t>
      </w:r>
      <w:r w:rsidR="00A43CC2">
        <w:rPr>
          <w:rFonts w:eastAsia="Times New Roman" w:cs="Times New Roman"/>
          <w:szCs w:val="24"/>
          <w:lang w:eastAsia="lv-LV"/>
        </w:rPr>
        <w:t>ES</w:t>
      </w:r>
      <w:r w:rsidRPr="00AD2AFF">
        <w:rPr>
          <w:rFonts w:eastAsia="Times New Roman" w:cs="Times New Roman"/>
          <w:szCs w:val="24"/>
          <w:lang w:eastAsia="lv-LV"/>
        </w:rPr>
        <w:t xml:space="preserve"> valstīm un ne augstākai kā Igaunijā un Lietuvā. Turklāt cena tiek salīdzināta ar medikamenta terapeitiskajiem ieguvumiem.</w:t>
      </w:r>
      <w:r w:rsidRPr="00AD2AFF">
        <w:rPr>
          <w:rStyle w:val="FootnoteReference"/>
          <w:rFonts w:eastAsia="Times New Roman" w:cs="Times New Roman"/>
          <w:szCs w:val="24"/>
          <w:lang w:eastAsia="lv-LV"/>
        </w:rPr>
        <w:footnoteReference w:id="15"/>
      </w:r>
    </w:p>
    <w:p w:rsidR="007B5387" w:rsidRPr="00AD2AFF" w:rsidRDefault="007B5387" w:rsidP="00A43CC2">
      <w:pPr>
        <w:spacing w:before="120"/>
        <w:ind w:firstLine="720"/>
        <w:jc w:val="both"/>
        <w:rPr>
          <w:rFonts w:cs="Times New Roman"/>
          <w:szCs w:val="24"/>
        </w:rPr>
      </w:pPr>
      <w:r w:rsidRPr="00AD2AFF">
        <w:rPr>
          <w:rFonts w:cs="Times New Roman"/>
          <w:szCs w:val="24"/>
        </w:rPr>
        <w:t>Pirms konkrēta medikamenta iekļaušanas KZS tiek vērtēti klīniskie aspekti, t.i., kā samazināsies mirstība, kāda būs saslimstība (komplikācijas, blakusparādības, simptomu kontrole, hospitalizāciju samazinājums) un kāda būs ietekme uz dzīves kvalitāti un ekonomiskie aspekti, t.i., izmaksu minimizēšana (līdzvērtīga efektivitāte), izmaksu efektivitāte, kad tiek vērtēta atšķirīga efektivitāte, kā arī veic izmaksu lietderīguma analīzi (dzīves kvalitātes apsvērumi).</w:t>
      </w:r>
    </w:p>
    <w:p w:rsidR="007B5387" w:rsidRPr="00345D6E" w:rsidRDefault="007B5387" w:rsidP="00A43CC2">
      <w:pPr>
        <w:shd w:val="clear" w:color="auto" w:fill="FFFFFF"/>
        <w:ind w:firstLine="720"/>
        <w:jc w:val="both"/>
        <w:textAlignment w:val="baseline"/>
        <w:rPr>
          <w:rFonts w:cs="Times New Roman"/>
          <w:szCs w:val="24"/>
        </w:rPr>
      </w:pPr>
      <w:r w:rsidRPr="00AD2AFF">
        <w:rPr>
          <w:rFonts w:cs="Times New Roman"/>
          <w:szCs w:val="24"/>
        </w:rPr>
        <w:t>Regulāri veicot KZS aktualizēšanu, tiek panākts cenu samazinājums KZS jau iekļautajām zālēm, samazinot arī pacienta līdzmaksājumu, tiek nodrošināta iespēja pacientiem saņemt citu izmaksu un terapeitiski efektīvāku zāļu kompensāciju, kā arī tiek samazināti izdevumi KZS iekļauto zāļu kompensācijai, nodrošinot zāļu kompensāciju lielākam pacientu skaitam.</w:t>
      </w:r>
      <w:r w:rsidRPr="00AD2AFF">
        <w:rPr>
          <w:rStyle w:val="FootnoteReference"/>
          <w:rFonts w:cs="Times New Roman"/>
          <w:szCs w:val="24"/>
        </w:rPr>
        <w:footnoteReference w:id="16"/>
      </w:r>
      <w:r w:rsidRPr="00345D6E">
        <w:rPr>
          <w:rFonts w:cs="Times New Roman"/>
          <w:szCs w:val="24"/>
        </w:rPr>
        <w:t xml:space="preserve">            </w:t>
      </w:r>
    </w:p>
    <w:p w:rsidR="007B5387" w:rsidRPr="00345D6E" w:rsidRDefault="007B5387" w:rsidP="00A43CC2">
      <w:pPr>
        <w:shd w:val="clear" w:color="auto" w:fill="FFFFFF"/>
        <w:ind w:firstLine="720"/>
        <w:jc w:val="both"/>
        <w:textAlignment w:val="baseline"/>
        <w:rPr>
          <w:rFonts w:cs="Times New Roman"/>
          <w:szCs w:val="24"/>
        </w:rPr>
      </w:pPr>
      <w:r w:rsidRPr="00345D6E">
        <w:rPr>
          <w:rFonts w:cs="Times New Roman"/>
          <w:szCs w:val="24"/>
        </w:rPr>
        <w:t>Pacientu vidējais vecums, kuri saņem kompensējamās zāles</w:t>
      </w:r>
      <w:r>
        <w:rPr>
          <w:rFonts w:cs="Times New Roman"/>
          <w:szCs w:val="24"/>
        </w:rPr>
        <w:t>,</w:t>
      </w:r>
      <w:r w:rsidRPr="00345D6E">
        <w:rPr>
          <w:rFonts w:cs="Times New Roman"/>
          <w:szCs w:val="24"/>
        </w:rPr>
        <w:t xml:space="preserve"> ik gadu palielinās no 69,5 gadiem 1990.gadā līdz 74,7 gadiem 2015.</w:t>
      </w:r>
      <w:r w:rsidRPr="00225754">
        <w:rPr>
          <w:rFonts w:cs="Times New Roman"/>
          <w:szCs w:val="24"/>
        </w:rPr>
        <w:t>gadā (sk</w:t>
      </w:r>
      <w:r w:rsidR="00225754" w:rsidRPr="00225754">
        <w:rPr>
          <w:rFonts w:cs="Times New Roman"/>
          <w:szCs w:val="24"/>
        </w:rPr>
        <w:t>at</w:t>
      </w:r>
      <w:r w:rsidRPr="00225754">
        <w:rPr>
          <w:rFonts w:cs="Times New Roman"/>
          <w:szCs w:val="24"/>
        </w:rPr>
        <w:t>.</w:t>
      </w:r>
      <w:r w:rsidR="00225754" w:rsidRPr="00225754">
        <w:rPr>
          <w:rFonts w:cs="Times New Roman"/>
          <w:szCs w:val="24"/>
        </w:rPr>
        <w:t xml:space="preserve"> 3.4</w:t>
      </w:r>
      <w:r w:rsidRPr="00225754">
        <w:rPr>
          <w:rFonts w:cs="Times New Roman"/>
          <w:szCs w:val="24"/>
        </w:rPr>
        <w:t>.att.).</w:t>
      </w:r>
    </w:p>
    <w:p w:rsidR="007B5387" w:rsidRDefault="007B5387" w:rsidP="007B5387">
      <w:pPr>
        <w:shd w:val="clear" w:color="auto" w:fill="FFFFFF"/>
        <w:jc w:val="both"/>
        <w:textAlignment w:val="baseline"/>
        <w:rPr>
          <w:noProof/>
          <w:lang w:eastAsia="lv-LV"/>
        </w:rPr>
      </w:pPr>
    </w:p>
    <w:p w:rsidR="007B5387" w:rsidRPr="00461269" w:rsidRDefault="007B5387" w:rsidP="007B5387">
      <w:pPr>
        <w:shd w:val="clear" w:color="auto" w:fill="FFFFFF"/>
        <w:jc w:val="center"/>
        <w:textAlignment w:val="baseline"/>
        <w:rPr>
          <w:i/>
          <w:noProof/>
          <w:sz w:val="20"/>
          <w:szCs w:val="20"/>
        </w:rPr>
      </w:pPr>
      <w:r>
        <w:rPr>
          <w:noProof/>
          <w:sz w:val="20"/>
          <w:szCs w:val="20"/>
        </w:rPr>
        <w:t xml:space="preserve">                                                                                                                                              </w:t>
      </w:r>
    </w:p>
    <w:p w:rsidR="007B5387" w:rsidRDefault="007B5387" w:rsidP="007B5387">
      <w:pPr>
        <w:shd w:val="clear" w:color="auto" w:fill="FFFFFF"/>
        <w:jc w:val="both"/>
        <w:textAlignment w:val="baseline"/>
        <w:rPr>
          <w:rFonts w:cs="Times New Roman"/>
          <w:szCs w:val="24"/>
        </w:rPr>
      </w:pPr>
      <w:r>
        <w:rPr>
          <w:noProof/>
          <w:lang w:eastAsia="lv-LV"/>
        </w:rPr>
        <w:drawing>
          <wp:inline distT="0" distB="0" distL="0" distR="0" wp14:anchorId="249E2C70" wp14:editId="631B8499">
            <wp:extent cx="5490845" cy="1975104"/>
            <wp:effectExtent l="0" t="0" r="14605" b="6350"/>
            <wp:docPr id="175" name="Chart 17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B5387" w:rsidRPr="00B113B3" w:rsidRDefault="00225754" w:rsidP="00BA3D36">
      <w:pPr>
        <w:shd w:val="clear" w:color="auto" w:fill="FFFFFF"/>
        <w:spacing w:before="120"/>
        <w:jc w:val="center"/>
        <w:textAlignment w:val="baseline"/>
        <w:rPr>
          <w:rFonts w:cs="Times New Roman"/>
          <w:b/>
          <w:sz w:val="22"/>
        </w:rPr>
      </w:pPr>
      <w:r w:rsidRPr="00B113B3">
        <w:rPr>
          <w:rFonts w:cs="Times New Roman"/>
          <w:i/>
          <w:sz w:val="22"/>
        </w:rPr>
        <w:t>3.4</w:t>
      </w:r>
      <w:r w:rsidR="007B5387" w:rsidRPr="00B113B3">
        <w:rPr>
          <w:rFonts w:cs="Times New Roman"/>
          <w:i/>
          <w:sz w:val="22"/>
        </w:rPr>
        <w:t>.att.</w:t>
      </w:r>
      <w:r w:rsidR="007B5387" w:rsidRPr="00B113B3">
        <w:rPr>
          <w:rFonts w:cs="Times New Roman"/>
          <w:sz w:val="22"/>
        </w:rPr>
        <w:t xml:space="preserve"> </w:t>
      </w:r>
      <w:r w:rsidR="007B5387" w:rsidRPr="00B113B3">
        <w:rPr>
          <w:b/>
          <w:noProof/>
          <w:sz w:val="22"/>
        </w:rPr>
        <w:t>Pacientu vidējais vecums, kuri saņem kompensējamās zāles, gadi</w:t>
      </w:r>
      <w:r w:rsidR="00455EE1" w:rsidRPr="00B113B3">
        <w:rPr>
          <w:rStyle w:val="FootnoteReference"/>
          <w:b/>
          <w:noProof/>
          <w:sz w:val="22"/>
        </w:rPr>
        <w:footnoteReference w:id="17"/>
      </w:r>
    </w:p>
    <w:p w:rsidR="007B5387" w:rsidRDefault="007B5387" w:rsidP="007B5387">
      <w:pPr>
        <w:shd w:val="clear" w:color="auto" w:fill="FFFFFF"/>
        <w:ind w:firstLine="720"/>
        <w:jc w:val="right"/>
        <w:textAlignment w:val="baseline"/>
        <w:rPr>
          <w:rFonts w:cs="Times New Roman"/>
          <w:szCs w:val="24"/>
        </w:rPr>
      </w:pPr>
      <w:r>
        <w:rPr>
          <w:b/>
          <w:noProof/>
          <w:sz w:val="20"/>
          <w:szCs w:val="20"/>
        </w:rPr>
        <w:t xml:space="preserve">         </w:t>
      </w:r>
      <w:r>
        <w:rPr>
          <w:rFonts w:cs="Times New Roman"/>
          <w:szCs w:val="24"/>
        </w:rPr>
        <w:t xml:space="preserve"> </w:t>
      </w:r>
    </w:p>
    <w:p w:rsidR="007B5387" w:rsidRPr="00BE4C30" w:rsidRDefault="007B5387" w:rsidP="00BA3D36">
      <w:pPr>
        <w:spacing w:before="120" w:after="120"/>
        <w:rPr>
          <w:b/>
        </w:rPr>
      </w:pPr>
      <w:r w:rsidRPr="00BE4C30">
        <w:rPr>
          <w:b/>
        </w:rPr>
        <w:t>Ārvalstu pieredze saistībā ar medikamentiem, kas tiek kompensēti no valsts budžeta</w:t>
      </w:r>
    </w:p>
    <w:p w:rsidR="007B5387" w:rsidRDefault="007B5387" w:rsidP="00225754">
      <w:pPr>
        <w:ind w:firstLine="720"/>
        <w:jc w:val="both"/>
        <w:rPr>
          <w:rFonts w:eastAsia="Times New Roman" w:cs="Times New Roman"/>
          <w:color w:val="000000"/>
          <w:szCs w:val="24"/>
          <w:lang w:eastAsia="lv-LV"/>
        </w:rPr>
      </w:pPr>
      <w:r w:rsidRPr="00A87763">
        <w:rPr>
          <w:rFonts w:eastAsia="Times New Roman" w:cs="Times New Roman"/>
          <w:color w:val="000000"/>
          <w:szCs w:val="24"/>
          <w:lang w:eastAsia="lv-LV"/>
        </w:rPr>
        <w:t>Analīze veikta par regulējumu un politiku zāļu izdevumu atlīdzināšanā Eiropas reģiona valstīs</w:t>
      </w:r>
      <w:r w:rsidR="00E95C30">
        <w:rPr>
          <w:rFonts w:eastAsia="Times New Roman" w:cs="Times New Roman"/>
          <w:color w:val="000000"/>
          <w:szCs w:val="24"/>
          <w:lang w:eastAsia="lv-LV"/>
        </w:rPr>
        <w:t xml:space="preserve"> (skat. tabulu Nr.3.2.)</w:t>
      </w:r>
      <w:r w:rsidRPr="00A87763">
        <w:rPr>
          <w:rFonts w:eastAsia="Times New Roman" w:cs="Times New Roman"/>
          <w:color w:val="000000"/>
          <w:szCs w:val="24"/>
          <w:lang w:eastAsia="lv-LV"/>
        </w:rPr>
        <w:t xml:space="preserve">. Īpaša uzmanība pievērsta līdzmaksājuma politikai. </w:t>
      </w:r>
    </w:p>
    <w:p w:rsidR="007B5387" w:rsidRDefault="007B5387" w:rsidP="00E95C30">
      <w:pPr>
        <w:spacing w:before="120" w:after="80"/>
        <w:ind w:firstLine="720"/>
        <w:jc w:val="both"/>
        <w:rPr>
          <w:rFonts w:eastAsia="Times New Roman" w:cs="Times New Roman"/>
          <w:color w:val="000000"/>
          <w:szCs w:val="24"/>
          <w:lang w:eastAsia="lv-LV"/>
        </w:rPr>
      </w:pPr>
      <w:r w:rsidRPr="00A87763">
        <w:rPr>
          <w:rFonts w:eastAsia="Times New Roman" w:cs="Times New Roman"/>
          <w:color w:val="000000"/>
          <w:szCs w:val="24"/>
          <w:lang w:eastAsia="lv-LV"/>
        </w:rPr>
        <w:t xml:space="preserve">Tiek pielietoti četri galvenie </w:t>
      </w:r>
      <w:r w:rsidRPr="00C75835">
        <w:rPr>
          <w:rFonts w:eastAsia="Times New Roman" w:cs="Times New Roman"/>
          <w:color w:val="000000"/>
          <w:szCs w:val="24"/>
          <w:lang w:eastAsia="lv-LV"/>
        </w:rPr>
        <w:t>kompensācijas principi</w:t>
      </w:r>
      <w:r>
        <w:rPr>
          <w:rFonts w:eastAsia="Times New Roman" w:cs="Times New Roman"/>
          <w:color w:val="000000"/>
          <w:szCs w:val="24"/>
          <w:lang w:eastAsia="lv-LV"/>
        </w:rPr>
        <w:t>:</w:t>
      </w:r>
    </w:p>
    <w:p w:rsidR="007B5387" w:rsidRDefault="007B5387" w:rsidP="008C25BB">
      <w:pPr>
        <w:pStyle w:val="ListParagraph"/>
        <w:numPr>
          <w:ilvl w:val="0"/>
          <w:numId w:val="128"/>
        </w:numPr>
        <w:tabs>
          <w:tab w:val="left" w:pos="993"/>
        </w:tabs>
        <w:spacing w:after="240"/>
        <w:ind w:left="0" w:firstLine="709"/>
        <w:jc w:val="both"/>
        <w:rPr>
          <w:rFonts w:eastAsia="Times New Roman" w:cs="Times New Roman"/>
          <w:color w:val="000000"/>
          <w:szCs w:val="24"/>
          <w:lang w:eastAsia="lv-LV"/>
        </w:rPr>
      </w:pPr>
      <w:r w:rsidRPr="00A87763">
        <w:rPr>
          <w:rFonts w:eastAsia="Times New Roman" w:cs="Times New Roman"/>
          <w:color w:val="000000"/>
          <w:szCs w:val="24"/>
          <w:lang w:eastAsia="lv-LV"/>
        </w:rPr>
        <w:t xml:space="preserve">no produkta (zālēm) atkarīgā kompensācija: tiesības atlīdzināt izdevumus izriet no zālēm </w:t>
      </w:r>
      <w:r>
        <w:rPr>
          <w:rFonts w:eastAsia="Times New Roman" w:cs="Times New Roman"/>
          <w:color w:val="000000"/>
          <w:szCs w:val="24"/>
          <w:lang w:eastAsia="lv-LV"/>
        </w:rPr>
        <w:t>–</w:t>
      </w:r>
      <w:r w:rsidRPr="00A87763">
        <w:rPr>
          <w:rFonts w:eastAsia="Times New Roman" w:cs="Times New Roman"/>
          <w:color w:val="000000"/>
          <w:szCs w:val="24"/>
          <w:lang w:eastAsia="lv-LV"/>
        </w:rPr>
        <w:t xml:space="preserve"> zāles tiek uzskatītas par a</w:t>
      </w:r>
      <w:r>
        <w:rPr>
          <w:rFonts w:eastAsia="Times New Roman" w:cs="Times New Roman"/>
          <w:color w:val="000000"/>
          <w:szCs w:val="24"/>
          <w:lang w:eastAsia="lv-LV"/>
        </w:rPr>
        <w:t>pmaksājamām vai neatmaksājamām;</w:t>
      </w:r>
    </w:p>
    <w:p w:rsidR="007B5387" w:rsidRDefault="007B5387" w:rsidP="008C25BB">
      <w:pPr>
        <w:pStyle w:val="ListParagraph"/>
        <w:numPr>
          <w:ilvl w:val="0"/>
          <w:numId w:val="128"/>
        </w:numPr>
        <w:tabs>
          <w:tab w:val="left" w:pos="993"/>
        </w:tabs>
        <w:spacing w:after="240"/>
        <w:ind w:left="0" w:firstLine="709"/>
        <w:jc w:val="both"/>
        <w:rPr>
          <w:rFonts w:eastAsia="Times New Roman" w:cs="Times New Roman"/>
          <w:color w:val="000000"/>
          <w:szCs w:val="24"/>
          <w:lang w:eastAsia="lv-LV"/>
        </w:rPr>
      </w:pPr>
      <w:r w:rsidRPr="00A87763">
        <w:rPr>
          <w:rFonts w:eastAsia="Times New Roman" w:cs="Times New Roman"/>
          <w:color w:val="000000"/>
          <w:szCs w:val="24"/>
          <w:lang w:eastAsia="lv-LV"/>
        </w:rPr>
        <w:t>kompensācija atbilstoši slimībai (diagnozei): tiesības atlīdzināšanai ir saistītas ar pamatslimību, kas tiek ārstēta. Zāles var tikt atlīdzinātas ar atšķirīgu kompensācijas l</w:t>
      </w:r>
      <w:r>
        <w:rPr>
          <w:rFonts w:eastAsia="Times New Roman" w:cs="Times New Roman"/>
          <w:color w:val="000000"/>
          <w:szCs w:val="24"/>
          <w:lang w:eastAsia="lv-LV"/>
        </w:rPr>
        <w:t>ikmi dažādu slimību ārstēšanai;</w:t>
      </w:r>
    </w:p>
    <w:p w:rsidR="007B5387" w:rsidRPr="00A72DAF" w:rsidRDefault="007B5387" w:rsidP="008C25BB">
      <w:pPr>
        <w:pStyle w:val="ListParagraph"/>
        <w:numPr>
          <w:ilvl w:val="0"/>
          <w:numId w:val="128"/>
        </w:numPr>
        <w:tabs>
          <w:tab w:val="left" w:pos="993"/>
        </w:tabs>
        <w:ind w:left="0" w:firstLine="709"/>
        <w:jc w:val="both"/>
      </w:pPr>
      <w:r>
        <w:rPr>
          <w:rFonts w:eastAsia="Times New Roman" w:cs="Times New Roman"/>
          <w:color w:val="000000"/>
          <w:szCs w:val="24"/>
          <w:lang w:eastAsia="lv-LV"/>
        </w:rPr>
        <w:t>k</w:t>
      </w:r>
      <w:r w:rsidRPr="00A87763">
        <w:rPr>
          <w:rFonts w:eastAsia="Times New Roman" w:cs="Times New Roman"/>
          <w:color w:val="000000"/>
          <w:szCs w:val="24"/>
          <w:lang w:eastAsia="lv-LV"/>
        </w:rPr>
        <w:t>ompensācija īpašām iedzīvotāju grupām: konkrētām iedzīvotāju grupām (piemēram, bērniem, vecuma pensionāriem) ir tiesības uz bezmaksas medikamentiem, vai tiesības pēc augstāk</w:t>
      </w:r>
      <w:r>
        <w:rPr>
          <w:rFonts w:eastAsia="Times New Roman" w:cs="Times New Roman"/>
          <w:color w:val="000000"/>
          <w:szCs w:val="24"/>
          <w:lang w:eastAsia="lv-LV"/>
        </w:rPr>
        <w:t>ām atlīdzināšanas likmēm zālēm;</w:t>
      </w:r>
    </w:p>
    <w:p w:rsidR="007B5387" w:rsidRDefault="007B5387" w:rsidP="008C25BB">
      <w:pPr>
        <w:pStyle w:val="ListParagraph"/>
        <w:numPr>
          <w:ilvl w:val="0"/>
          <w:numId w:val="128"/>
        </w:numPr>
        <w:tabs>
          <w:tab w:val="left" w:pos="993"/>
        </w:tabs>
        <w:ind w:left="0" w:firstLine="709"/>
        <w:jc w:val="both"/>
        <w:rPr>
          <w:rFonts w:eastAsia="Times New Roman" w:cs="Times New Roman"/>
          <w:color w:val="000000"/>
          <w:szCs w:val="24"/>
          <w:lang w:eastAsia="lv-LV"/>
        </w:rPr>
      </w:pPr>
      <w:r w:rsidRPr="00D74A6B">
        <w:rPr>
          <w:rFonts w:eastAsia="Times New Roman" w:cs="Times New Roman"/>
          <w:color w:val="000000"/>
          <w:szCs w:val="24"/>
          <w:lang w:eastAsia="lv-LV"/>
        </w:rPr>
        <w:lastRenderedPageBreak/>
        <w:t>uz patēriņu balstīta atlīdzība: kompensācijas apjoms ir atkarīgs no izdevumiem par zālēm pacientam noteiktā laikā periodā.</w:t>
      </w:r>
    </w:p>
    <w:p w:rsidR="007B5387" w:rsidRPr="00D74A6B" w:rsidRDefault="007B5387" w:rsidP="00E95C30">
      <w:pPr>
        <w:tabs>
          <w:tab w:val="left" w:pos="993"/>
        </w:tabs>
        <w:spacing w:before="120"/>
        <w:ind w:firstLine="709"/>
        <w:jc w:val="both"/>
        <w:rPr>
          <w:rFonts w:eastAsia="Times New Roman" w:cs="Times New Roman"/>
          <w:color w:val="000000"/>
          <w:szCs w:val="24"/>
          <w:lang w:eastAsia="lv-LV"/>
        </w:rPr>
      </w:pPr>
      <w:r w:rsidRPr="00D74A6B">
        <w:rPr>
          <w:rFonts w:eastAsia="Times New Roman" w:cs="Times New Roman"/>
          <w:color w:val="000000"/>
          <w:szCs w:val="24"/>
          <w:lang w:eastAsia="lv-LV"/>
        </w:rPr>
        <w:t>Šie kompensācijas pamatprincipi nav strikti atdalāmi, jo lielākoties visās valstīs tiek pielietoti kombinētie varianti.</w:t>
      </w:r>
    </w:p>
    <w:p w:rsidR="007B5387" w:rsidRDefault="007B5387" w:rsidP="00E95C30">
      <w:pPr>
        <w:pStyle w:val="ListParagraph"/>
        <w:tabs>
          <w:tab w:val="left" w:pos="993"/>
        </w:tabs>
        <w:spacing w:before="120"/>
        <w:ind w:left="709"/>
        <w:contextualSpacing w:val="0"/>
        <w:jc w:val="both"/>
        <w:rPr>
          <w:rFonts w:eastAsia="Times New Roman" w:cs="Times New Roman"/>
          <w:color w:val="000000"/>
          <w:szCs w:val="24"/>
          <w:lang w:eastAsia="lv-LV"/>
        </w:rPr>
      </w:pPr>
      <w:r w:rsidRPr="00C75835">
        <w:rPr>
          <w:rFonts w:eastAsia="Times New Roman" w:cs="Times New Roman"/>
          <w:color w:val="000000"/>
          <w:szCs w:val="24"/>
          <w:lang w:eastAsia="lv-LV"/>
        </w:rPr>
        <w:t>Līdzmaksājuma</w:t>
      </w:r>
      <w:r w:rsidRPr="00A72DAF">
        <w:rPr>
          <w:rFonts w:eastAsia="Times New Roman" w:cs="Times New Roman"/>
          <w:color w:val="000000"/>
          <w:szCs w:val="24"/>
          <w:lang w:eastAsia="lv-LV"/>
        </w:rPr>
        <w:t xml:space="preserve"> pielietošanas principi</w:t>
      </w:r>
      <w:r>
        <w:rPr>
          <w:rFonts w:eastAsia="Times New Roman" w:cs="Times New Roman"/>
          <w:color w:val="000000"/>
          <w:szCs w:val="24"/>
          <w:lang w:eastAsia="lv-LV"/>
        </w:rPr>
        <w:t xml:space="preserve"> par kompensējamajām zālēm: </w:t>
      </w:r>
    </w:p>
    <w:p w:rsidR="007B5387" w:rsidRDefault="007B5387" w:rsidP="00E95C30">
      <w:pPr>
        <w:pStyle w:val="ListParagraph"/>
        <w:numPr>
          <w:ilvl w:val="0"/>
          <w:numId w:val="140"/>
        </w:numPr>
        <w:tabs>
          <w:tab w:val="left" w:pos="993"/>
        </w:tabs>
        <w:jc w:val="both"/>
        <w:rPr>
          <w:rFonts w:eastAsia="Times New Roman" w:cs="Times New Roman"/>
          <w:color w:val="000000"/>
          <w:szCs w:val="24"/>
          <w:lang w:eastAsia="lv-LV"/>
        </w:rPr>
      </w:pPr>
      <w:r w:rsidRPr="00946806">
        <w:rPr>
          <w:rFonts w:eastAsia="Times New Roman" w:cs="Times New Roman"/>
          <w:color w:val="000000"/>
          <w:szCs w:val="24"/>
          <w:lang w:eastAsia="lv-LV"/>
        </w:rPr>
        <w:t xml:space="preserve">fiksēts līdzmaksājums – piemēram, līdzmaksājums par recepti; </w:t>
      </w:r>
    </w:p>
    <w:p w:rsidR="007B5387" w:rsidRDefault="007B5387" w:rsidP="00E95C30">
      <w:pPr>
        <w:pStyle w:val="ListParagraph"/>
        <w:numPr>
          <w:ilvl w:val="0"/>
          <w:numId w:val="140"/>
        </w:numPr>
        <w:tabs>
          <w:tab w:val="left" w:pos="993"/>
        </w:tabs>
        <w:jc w:val="both"/>
        <w:rPr>
          <w:rFonts w:eastAsia="Times New Roman" w:cs="Times New Roman"/>
          <w:color w:val="000000"/>
          <w:szCs w:val="24"/>
          <w:lang w:eastAsia="lv-LV"/>
        </w:rPr>
      </w:pPr>
      <w:r w:rsidRPr="00946806">
        <w:rPr>
          <w:rFonts w:eastAsia="Times New Roman" w:cs="Times New Roman"/>
          <w:color w:val="000000"/>
          <w:szCs w:val="24"/>
          <w:lang w:eastAsia="lv-LV"/>
        </w:rPr>
        <w:t xml:space="preserve">procentu līdzmaksājums, ja kompensācijai noteiktas atšķirīgas likmes; </w:t>
      </w:r>
    </w:p>
    <w:p w:rsidR="007B5387" w:rsidRPr="00E023FA" w:rsidRDefault="007B5387" w:rsidP="00E95C30">
      <w:pPr>
        <w:pStyle w:val="ListParagraph"/>
        <w:numPr>
          <w:ilvl w:val="0"/>
          <w:numId w:val="140"/>
        </w:numPr>
        <w:tabs>
          <w:tab w:val="left" w:pos="993"/>
        </w:tabs>
        <w:jc w:val="both"/>
        <w:rPr>
          <w:rFonts w:eastAsia="Times New Roman" w:cs="Times New Roman"/>
          <w:color w:val="000000"/>
          <w:szCs w:val="24"/>
          <w:lang w:eastAsia="lv-LV"/>
        </w:rPr>
      </w:pPr>
      <w:r w:rsidRPr="00946806">
        <w:rPr>
          <w:rFonts w:eastAsia="Times New Roman" w:cs="Times New Roman"/>
          <w:color w:val="000000"/>
          <w:szCs w:val="24"/>
          <w:lang w:eastAsia="lv-LV"/>
        </w:rPr>
        <w:t>pašrisks: sākotnējie izd</w:t>
      </w:r>
      <w:r>
        <w:rPr>
          <w:rFonts w:eastAsia="Times New Roman" w:cs="Times New Roman"/>
          <w:color w:val="000000"/>
          <w:szCs w:val="24"/>
          <w:lang w:eastAsia="lv-LV"/>
        </w:rPr>
        <w:t>evumi, kas līdz fiksētai summai</w:t>
      </w:r>
      <w:r w:rsidRPr="00946806">
        <w:rPr>
          <w:rFonts w:eastAsia="Times New Roman" w:cs="Times New Roman"/>
          <w:color w:val="000000"/>
          <w:szCs w:val="24"/>
          <w:lang w:eastAsia="lv-LV"/>
        </w:rPr>
        <w:t xml:space="preserve"> ir jāmaksā par pakalpojumu vai noteiktā laika posmā, ko sedz pati apdrošinātā persona, tad visas pārējās izmaksas vai procentuālo daļu sedz trešās puses maksātājs.</w:t>
      </w:r>
    </w:p>
    <w:p w:rsidR="007B5387" w:rsidRPr="006C7290" w:rsidRDefault="007B5387" w:rsidP="007B5387">
      <w:pPr>
        <w:jc w:val="right"/>
        <w:rPr>
          <w:szCs w:val="24"/>
        </w:rPr>
      </w:pPr>
      <w:r w:rsidRPr="006C7290">
        <w:rPr>
          <w:szCs w:val="24"/>
        </w:rPr>
        <w:t>Tabula Nr.</w:t>
      </w:r>
      <w:r w:rsidR="00E95C30">
        <w:rPr>
          <w:szCs w:val="24"/>
        </w:rPr>
        <w:t>3.2.</w:t>
      </w:r>
    </w:p>
    <w:p w:rsidR="007B5387" w:rsidRPr="00345D6E" w:rsidRDefault="007B5387" w:rsidP="007B5387">
      <w:pPr>
        <w:spacing w:before="120" w:after="120"/>
        <w:jc w:val="center"/>
        <w:rPr>
          <w:b/>
          <w:sz w:val="20"/>
          <w:szCs w:val="20"/>
        </w:rPr>
      </w:pPr>
      <w:r w:rsidRPr="006C7290">
        <w:rPr>
          <w:b/>
          <w:szCs w:val="24"/>
        </w:rPr>
        <w:t>Ārvalstu piemēri saistībā ar medikamentiem, kas tiek kompensēti no budžeta</w:t>
      </w:r>
    </w:p>
    <w:tbl>
      <w:tblPr>
        <w:tblStyle w:val="TableGrid"/>
        <w:tblW w:w="5000" w:type="pct"/>
        <w:tblLook w:val="04A0" w:firstRow="1" w:lastRow="0" w:firstColumn="1" w:lastColumn="0" w:noHBand="0" w:noVBand="1"/>
      </w:tblPr>
      <w:tblGrid>
        <w:gridCol w:w="876"/>
        <w:gridCol w:w="2948"/>
        <w:gridCol w:w="2689"/>
        <w:gridCol w:w="2548"/>
      </w:tblGrid>
      <w:tr w:rsidR="007B5387" w:rsidTr="00E95C30">
        <w:trPr>
          <w:tblHeader/>
        </w:trPr>
        <w:tc>
          <w:tcPr>
            <w:tcW w:w="483" w:type="pct"/>
            <w:shd w:val="clear" w:color="auto" w:fill="C5E0B3" w:themeFill="accent6" w:themeFillTint="66"/>
            <w:vAlign w:val="center"/>
          </w:tcPr>
          <w:p w:rsidR="007B5387" w:rsidRPr="00C92B97" w:rsidRDefault="007B5387" w:rsidP="007B5387">
            <w:pPr>
              <w:jc w:val="center"/>
              <w:rPr>
                <w:rFonts w:eastAsia="Times New Roman" w:cs="Times New Roman"/>
                <w:b/>
                <w:bCs/>
                <w:color w:val="000000"/>
                <w:sz w:val="18"/>
                <w:szCs w:val="18"/>
                <w:lang w:eastAsia="lv-LV"/>
              </w:rPr>
            </w:pPr>
            <w:r w:rsidRPr="00C92B97">
              <w:rPr>
                <w:rFonts w:eastAsia="Times New Roman" w:cs="Times New Roman"/>
                <w:b/>
                <w:bCs/>
                <w:color w:val="000000"/>
                <w:sz w:val="18"/>
                <w:szCs w:val="18"/>
                <w:lang w:eastAsia="lv-LV"/>
              </w:rPr>
              <w:t>Valsts</w:t>
            </w:r>
          </w:p>
        </w:tc>
        <w:tc>
          <w:tcPr>
            <w:tcW w:w="1627" w:type="pct"/>
            <w:shd w:val="clear" w:color="auto" w:fill="C5E0B3" w:themeFill="accent6" w:themeFillTint="66"/>
            <w:vAlign w:val="center"/>
          </w:tcPr>
          <w:p w:rsidR="007B5387" w:rsidRPr="00C92B97" w:rsidRDefault="007B5387" w:rsidP="007B5387">
            <w:pPr>
              <w:jc w:val="center"/>
              <w:rPr>
                <w:rFonts w:eastAsia="Times New Roman" w:cs="Times New Roman"/>
                <w:b/>
                <w:bCs/>
                <w:color w:val="000000"/>
                <w:sz w:val="18"/>
                <w:szCs w:val="18"/>
                <w:lang w:eastAsia="lv-LV"/>
              </w:rPr>
            </w:pPr>
            <w:r w:rsidRPr="00C92B97">
              <w:rPr>
                <w:rFonts w:eastAsia="Times New Roman" w:cs="Times New Roman"/>
                <w:b/>
                <w:bCs/>
                <w:color w:val="000000"/>
                <w:sz w:val="18"/>
                <w:szCs w:val="18"/>
                <w:lang w:eastAsia="lv-LV"/>
              </w:rPr>
              <w:t>Kompensācijas apmēra skaidrojums</w:t>
            </w:r>
          </w:p>
        </w:tc>
        <w:tc>
          <w:tcPr>
            <w:tcW w:w="1484" w:type="pct"/>
            <w:shd w:val="clear" w:color="auto" w:fill="C5E0B3" w:themeFill="accent6" w:themeFillTint="66"/>
            <w:vAlign w:val="center"/>
          </w:tcPr>
          <w:p w:rsidR="007B5387" w:rsidRPr="00C92B97" w:rsidRDefault="007B5387" w:rsidP="007B5387">
            <w:pPr>
              <w:jc w:val="center"/>
              <w:rPr>
                <w:rFonts w:eastAsia="Times New Roman" w:cs="Times New Roman"/>
                <w:b/>
                <w:bCs/>
                <w:color w:val="000000"/>
                <w:sz w:val="18"/>
                <w:szCs w:val="18"/>
                <w:lang w:eastAsia="lv-LV"/>
              </w:rPr>
            </w:pPr>
            <w:r w:rsidRPr="00C92B97">
              <w:rPr>
                <w:rFonts w:eastAsia="Times New Roman" w:cs="Times New Roman"/>
                <w:b/>
                <w:bCs/>
                <w:color w:val="000000"/>
                <w:sz w:val="18"/>
                <w:szCs w:val="18"/>
                <w:lang w:eastAsia="lv-LV"/>
              </w:rPr>
              <w:t>Pacienta līdzmaksājuma nosacījumi un ierobežojumi</w:t>
            </w:r>
          </w:p>
        </w:tc>
        <w:tc>
          <w:tcPr>
            <w:tcW w:w="1406" w:type="pct"/>
            <w:shd w:val="clear" w:color="auto" w:fill="C5E0B3" w:themeFill="accent6" w:themeFillTint="66"/>
            <w:vAlign w:val="center"/>
          </w:tcPr>
          <w:p w:rsidR="007B5387" w:rsidRPr="00C92B97" w:rsidRDefault="007B5387" w:rsidP="007B5387">
            <w:pPr>
              <w:jc w:val="center"/>
              <w:rPr>
                <w:rFonts w:eastAsia="Times New Roman" w:cs="Times New Roman"/>
                <w:b/>
                <w:bCs/>
                <w:color w:val="000000"/>
                <w:sz w:val="18"/>
                <w:szCs w:val="18"/>
                <w:lang w:eastAsia="lv-LV"/>
              </w:rPr>
            </w:pPr>
            <w:r>
              <w:rPr>
                <w:rFonts w:eastAsia="Times New Roman" w:cs="Times New Roman"/>
                <w:b/>
                <w:bCs/>
                <w:color w:val="000000"/>
                <w:sz w:val="18"/>
                <w:szCs w:val="18"/>
                <w:lang w:eastAsia="lv-LV"/>
              </w:rPr>
              <w:t>Līdzmaksājums par recepti</w:t>
            </w:r>
          </w:p>
        </w:tc>
      </w:tr>
      <w:tr w:rsidR="007B5387" w:rsidTr="00E95C30">
        <w:trPr>
          <w:trHeight w:val="852"/>
        </w:trPr>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Lietuva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Kompensācijas apmērs atkarīgs no slimības smaguma pakāpes (jo smagāka slimība, jo lielāks kompensācijas apmērs)</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Igaunija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b/>
                <w:bCs/>
                <w:color w:val="000000"/>
                <w:sz w:val="18"/>
                <w:szCs w:val="18"/>
                <w:lang w:eastAsia="lv-LV"/>
              </w:rPr>
              <w:t xml:space="preserve">100% </w:t>
            </w:r>
            <w:r w:rsidRPr="00C92B97">
              <w:rPr>
                <w:rFonts w:eastAsia="Times New Roman" w:cs="Times New Roman"/>
                <w:color w:val="000000"/>
                <w:sz w:val="18"/>
                <w:szCs w:val="18"/>
                <w:lang w:eastAsia="lv-LV"/>
              </w:rPr>
              <w:t xml:space="preserve">kompensācija tiek piemērota smagu vai epidēmisku slimību gadījumā, </w:t>
            </w:r>
            <w:r w:rsidRPr="00C92B97">
              <w:rPr>
                <w:rFonts w:eastAsia="Times New Roman" w:cs="Times New Roman"/>
                <w:b/>
                <w:bCs/>
                <w:color w:val="000000"/>
                <w:sz w:val="18"/>
                <w:szCs w:val="18"/>
                <w:lang w:eastAsia="lv-LV"/>
              </w:rPr>
              <w:t>75%</w:t>
            </w:r>
            <w:r w:rsidRPr="00C92B97">
              <w:rPr>
                <w:rFonts w:eastAsia="Times New Roman" w:cs="Times New Roman"/>
                <w:color w:val="000000"/>
                <w:sz w:val="18"/>
                <w:szCs w:val="18"/>
                <w:lang w:eastAsia="lv-LV"/>
              </w:rPr>
              <w:t xml:space="preserve"> (vai </w:t>
            </w:r>
            <w:r w:rsidRPr="00C92B97">
              <w:rPr>
                <w:rFonts w:eastAsia="Times New Roman" w:cs="Times New Roman"/>
                <w:b/>
                <w:bCs/>
                <w:color w:val="000000"/>
                <w:sz w:val="18"/>
                <w:szCs w:val="18"/>
                <w:lang w:eastAsia="lv-LV"/>
              </w:rPr>
              <w:t xml:space="preserve">90% </w:t>
            </w:r>
            <w:r w:rsidRPr="00C92B97">
              <w:rPr>
                <w:rFonts w:eastAsia="Times New Roman" w:cs="Times New Roman"/>
                <w:color w:val="000000"/>
                <w:sz w:val="18"/>
                <w:szCs w:val="18"/>
                <w:lang w:eastAsia="lv-LV"/>
              </w:rPr>
              <w:t xml:space="preserve">mazāk aizsargātām pacientu grupām) hronisku slimību ārstēšanai, </w:t>
            </w:r>
            <w:r w:rsidRPr="00C92B97">
              <w:rPr>
                <w:rFonts w:eastAsia="Times New Roman" w:cs="Times New Roman"/>
                <w:b/>
                <w:bCs/>
                <w:color w:val="000000"/>
                <w:sz w:val="18"/>
                <w:szCs w:val="18"/>
                <w:lang w:eastAsia="lv-LV"/>
              </w:rPr>
              <w:t xml:space="preserve">50% </w:t>
            </w:r>
            <w:r w:rsidRPr="00C92B97">
              <w:rPr>
                <w:rFonts w:eastAsia="Times New Roman" w:cs="Times New Roman"/>
                <w:color w:val="000000"/>
                <w:sz w:val="18"/>
                <w:szCs w:val="18"/>
                <w:lang w:eastAsia="lv-LV"/>
              </w:rPr>
              <w:t>vispārīgu saslimšanu gadījumā</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xml:space="preserve">Līdzmaksājums hronisku slimību gadījumā 10, 25, 50%. Bērni līdz 4 gadu vecumam no līdzmaksājuma ir atbrīvoti. Zemāki līdzmaksājumi invalīdiem, pensionāriem, līdz 16 gadu vecumam un virs 63 gadu vecumam. Maksimālais līdzmaksājums gadā - 300 </w:t>
            </w:r>
            <w:r w:rsidRPr="006E03A8">
              <w:rPr>
                <w:rFonts w:eastAsia="Times New Roman" w:cs="Times New Roman"/>
                <w:i/>
                <w:color w:val="000000"/>
                <w:sz w:val="18"/>
                <w:szCs w:val="18"/>
                <w:lang w:eastAsia="lv-LV"/>
              </w:rPr>
              <w:t>euro</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Tiek piemērots 1,27</w:t>
            </w:r>
            <w:r>
              <w:rPr>
                <w:rFonts w:eastAsia="Times New Roman" w:cs="Times New Roman"/>
                <w:color w:val="000000"/>
                <w:sz w:val="18"/>
                <w:szCs w:val="18"/>
                <w:lang w:eastAsia="lv-LV"/>
              </w:rPr>
              <w:t xml:space="preserve"> </w:t>
            </w:r>
            <w:r w:rsidRPr="00F16095">
              <w:rPr>
                <w:rFonts w:eastAsia="Times New Roman" w:cs="Times New Roman"/>
                <w:i/>
                <w:color w:val="000000"/>
                <w:sz w:val="18"/>
                <w:szCs w:val="18"/>
                <w:lang w:eastAsia="lv-LV"/>
              </w:rPr>
              <w:t>euro</w:t>
            </w:r>
            <w:r w:rsidRPr="00C92B97">
              <w:rPr>
                <w:rFonts w:eastAsia="Times New Roman" w:cs="Times New Roman"/>
                <w:color w:val="000000"/>
                <w:sz w:val="18"/>
                <w:szCs w:val="18"/>
                <w:lang w:eastAsia="lv-LV"/>
              </w:rPr>
              <w:t xml:space="preserve"> par 100, 90 un 75% kompensējamo recepti; 3,19 </w:t>
            </w:r>
            <w:r w:rsidRPr="00F16095">
              <w:rPr>
                <w:rFonts w:eastAsia="Times New Roman" w:cs="Times New Roman"/>
                <w:i/>
                <w:color w:val="000000"/>
                <w:sz w:val="18"/>
                <w:szCs w:val="18"/>
                <w:lang w:eastAsia="lv-LV"/>
              </w:rPr>
              <w:t>euro</w:t>
            </w:r>
            <w:r w:rsidRPr="00C92B97">
              <w:rPr>
                <w:rFonts w:eastAsia="Times New Roman" w:cs="Times New Roman"/>
                <w:color w:val="000000"/>
                <w:sz w:val="18"/>
                <w:szCs w:val="18"/>
                <w:lang w:eastAsia="lv-LV"/>
              </w:rPr>
              <w:t xml:space="preserve"> - 50% kompensācijas gadījumā</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Spānija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b/>
                <w:bCs/>
                <w:color w:val="000000"/>
                <w:sz w:val="18"/>
                <w:szCs w:val="18"/>
                <w:lang w:eastAsia="lv-LV"/>
              </w:rPr>
              <w:t>100%</w:t>
            </w:r>
            <w:r w:rsidRPr="00C92B97">
              <w:rPr>
                <w:rFonts w:eastAsia="Times New Roman" w:cs="Times New Roman"/>
                <w:color w:val="000000"/>
                <w:sz w:val="18"/>
                <w:szCs w:val="18"/>
                <w:lang w:eastAsia="lv-LV"/>
              </w:rPr>
              <w:t xml:space="preserve"> kompensācijas apjoms noteikts bezdarbniekiem, iedzīvotājiem ar zemām sociālām pensijām, arodslimniekiem, </w:t>
            </w:r>
            <w:r w:rsidRPr="00C92B97">
              <w:rPr>
                <w:rFonts w:eastAsia="Times New Roman" w:cs="Times New Roman"/>
                <w:b/>
                <w:bCs/>
                <w:color w:val="000000"/>
                <w:sz w:val="18"/>
                <w:szCs w:val="18"/>
                <w:lang w:eastAsia="lv-LV"/>
              </w:rPr>
              <w:t>90%</w:t>
            </w:r>
            <w:r w:rsidRPr="00C92B97">
              <w:rPr>
                <w:rFonts w:eastAsia="Times New Roman" w:cs="Times New Roman"/>
                <w:color w:val="000000"/>
                <w:sz w:val="18"/>
                <w:szCs w:val="18"/>
                <w:lang w:eastAsia="lv-LV"/>
              </w:rPr>
              <w:t xml:space="preserve"> - hronisku slimību gadījumā līdz noteiktam maksimālam līdzmaksājumam, </w:t>
            </w:r>
            <w:r w:rsidRPr="00C92B97">
              <w:rPr>
                <w:rFonts w:eastAsia="Times New Roman" w:cs="Times New Roman"/>
                <w:b/>
                <w:bCs/>
                <w:color w:val="000000"/>
                <w:sz w:val="18"/>
                <w:szCs w:val="18"/>
                <w:lang w:eastAsia="lv-LV"/>
              </w:rPr>
              <w:t>40-60%</w:t>
            </w:r>
            <w:r w:rsidRPr="00C92B97">
              <w:rPr>
                <w:rFonts w:eastAsia="Times New Roman" w:cs="Times New Roman"/>
                <w:color w:val="000000"/>
                <w:sz w:val="18"/>
                <w:szCs w:val="18"/>
                <w:lang w:eastAsia="lv-LV"/>
              </w:rPr>
              <w:t xml:space="preserve"> pamatlikme ir saistīta ar ienākumiem</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c>
          <w:tcPr>
            <w:tcW w:w="1406" w:type="pct"/>
          </w:tcPr>
          <w:p w:rsidR="007B5387" w:rsidRPr="00C92B97" w:rsidRDefault="007B5387" w:rsidP="007B5387">
            <w:pPr>
              <w:ind w:left="43"/>
              <w:rPr>
                <w:rFonts w:cs="Times New Roman"/>
              </w:rPr>
            </w:pPr>
            <w:r w:rsidRPr="00C92B97">
              <w:rPr>
                <w:rFonts w:eastAsia="Times New Roman" w:cs="Times New Roman"/>
                <w:color w:val="000000"/>
                <w:sz w:val="18"/>
                <w:szCs w:val="18"/>
                <w:lang w:eastAsia="lv-LV"/>
              </w:rPr>
              <w:t> </w:t>
            </w:r>
          </w:p>
          <w:p w:rsidR="007B5387" w:rsidRPr="00C92B97" w:rsidRDefault="007B5387" w:rsidP="007B5387">
            <w:pPr>
              <w:ind w:left="43"/>
              <w:rPr>
                <w:rFonts w:eastAsia="Times New Roman" w:cs="Times New Roman"/>
                <w:color w:val="000000"/>
                <w:sz w:val="18"/>
                <w:szCs w:val="18"/>
                <w:lang w:eastAsia="lv-LV"/>
              </w:rPr>
            </w:pP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Polija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b/>
                <w:bCs/>
                <w:color w:val="000000"/>
                <w:sz w:val="18"/>
                <w:szCs w:val="18"/>
                <w:lang w:eastAsia="lv-LV"/>
              </w:rPr>
              <w:t xml:space="preserve">100% </w:t>
            </w:r>
            <w:r w:rsidRPr="00C92B97">
              <w:rPr>
                <w:rFonts w:eastAsia="Times New Roman" w:cs="Times New Roman"/>
                <w:color w:val="000000"/>
                <w:sz w:val="18"/>
                <w:szCs w:val="18"/>
                <w:lang w:eastAsia="lv-LV"/>
              </w:rPr>
              <w:t>kompensācija zālēm ar konkrētām indikācijām (ļaundabīgo audzēju ārstēšanai, infekcijas slimību, epidēmijas apdraudējumu gadījumā), onkoloģijas ķī</w:t>
            </w:r>
            <w:r>
              <w:rPr>
                <w:rFonts w:eastAsia="Times New Roman" w:cs="Times New Roman"/>
                <w:color w:val="000000"/>
                <w:sz w:val="18"/>
                <w:szCs w:val="18"/>
                <w:lang w:eastAsia="lv-LV"/>
              </w:rPr>
              <w:t>mijterapijai un kara veterāniem,</w:t>
            </w:r>
            <w:r w:rsidRPr="00C92B97">
              <w:rPr>
                <w:rFonts w:eastAsia="Times New Roman" w:cs="Times New Roman"/>
                <w:color w:val="000000"/>
                <w:sz w:val="18"/>
                <w:szCs w:val="18"/>
                <w:lang w:eastAsia="lv-LV"/>
              </w:rPr>
              <w:t xml:space="preserve"> </w:t>
            </w:r>
            <w:r w:rsidRPr="00C92B97">
              <w:rPr>
                <w:rFonts w:eastAsia="Times New Roman" w:cs="Times New Roman"/>
                <w:b/>
                <w:bCs/>
                <w:color w:val="000000"/>
                <w:sz w:val="18"/>
                <w:szCs w:val="18"/>
                <w:lang w:eastAsia="lv-LV"/>
              </w:rPr>
              <w:t>50, 70%</w:t>
            </w:r>
            <w:r w:rsidRPr="00C92B97">
              <w:rPr>
                <w:rFonts w:eastAsia="Times New Roman" w:cs="Times New Roman"/>
                <w:color w:val="000000"/>
                <w:sz w:val="18"/>
                <w:szCs w:val="18"/>
                <w:lang w:eastAsia="lv-LV"/>
              </w:rPr>
              <w:t xml:space="preserve"> likme ir atkarīga no slimības ilguma (līdz 30 dienām vai ilgāk par 30 dienām) ar korelāciju starp ārstē</w:t>
            </w:r>
            <w:r w:rsidR="00821163">
              <w:rPr>
                <w:rFonts w:eastAsia="Times New Roman" w:cs="Times New Roman"/>
                <w:color w:val="000000"/>
                <w:sz w:val="18"/>
                <w:szCs w:val="18"/>
                <w:lang w:eastAsia="lv-LV"/>
              </w:rPr>
              <w:t>šanās izmaksām un min</w:t>
            </w:r>
            <w:r>
              <w:rPr>
                <w:rFonts w:eastAsia="Times New Roman" w:cs="Times New Roman"/>
                <w:color w:val="000000"/>
                <w:sz w:val="18"/>
                <w:szCs w:val="18"/>
                <w:lang w:eastAsia="lv-LV"/>
              </w:rPr>
              <w:t>imālo algu</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Līdzmaksājums nedrīkst pārsniegt 5% no minimālās algas</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Tiek piemērots</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Zviedrija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b/>
                <w:bCs/>
                <w:color w:val="000000"/>
                <w:sz w:val="18"/>
                <w:szCs w:val="18"/>
                <w:lang w:eastAsia="lv-LV"/>
              </w:rPr>
              <w:t xml:space="preserve">100% </w:t>
            </w:r>
            <w:r w:rsidRPr="00C92B97">
              <w:rPr>
                <w:rFonts w:eastAsia="Times New Roman" w:cs="Times New Roman"/>
                <w:color w:val="000000"/>
                <w:sz w:val="18"/>
                <w:szCs w:val="18"/>
                <w:lang w:eastAsia="lv-LV"/>
              </w:rPr>
              <w:t>kompensācija insulīnam un zālēm, kas izmantojamas infekcijas slimību, pie</w:t>
            </w:r>
            <w:r>
              <w:rPr>
                <w:rFonts w:eastAsia="Times New Roman" w:cs="Times New Roman"/>
                <w:color w:val="000000"/>
                <w:sz w:val="18"/>
                <w:szCs w:val="18"/>
                <w:lang w:eastAsia="lv-LV"/>
              </w:rPr>
              <w:t>mēram, HIV, hepatīta ārstēšanai,</w:t>
            </w:r>
            <w:r w:rsidRPr="00C92B97">
              <w:rPr>
                <w:rFonts w:eastAsia="Times New Roman" w:cs="Times New Roman"/>
                <w:color w:val="000000"/>
                <w:sz w:val="18"/>
                <w:szCs w:val="18"/>
                <w:lang w:eastAsia="lv-LV"/>
              </w:rPr>
              <w:t xml:space="preserve"> </w:t>
            </w:r>
            <w:r w:rsidRPr="00C92B97">
              <w:rPr>
                <w:rFonts w:eastAsia="Times New Roman" w:cs="Times New Roman"/>
                <w:b/>
                <w:bCs/>
                <w:color w:val="000000"/>
                <w:sz w:val="18"/>
                <w:szCs w:val="18"/>
                <w:lang w:eastAsia="lv-LV"/>
              </w:rPr>
              <w:t>0, 50, 75, 90 un 100%</w:t>
            </w:r>
            <w:r w:rsidRPr="00C92B97">
              <w:rPr>
                <w:rFonts w:eastAsia="Times New Roman" w:cs="Times New Roman"/>
                <w:color w:val="000000"/>
                <w:sz w:val="18"/>
                <w:szCs w:val="18"/>
                <w:lang w:eastAsia="lv-LV"/>
              </w:rPr>
              <w:t xml:space="preserve"> kompensācijas likme ir atkarīga no zāļu izdevumiem (lielāki izdevumi nozīm</w:t>
            </w:r>
            <w:r>
              <w:rPr>
                <w:rFonts w:eastAsia="Times New Roman" w:cs="Times New Roman"/>
                <w:color w:val="000000"/>
                <w:sz w:val="18"/>
                <w:szCs w:val="18"/>
                <w:lang w:eastAsia="lv-LV"/>
              </w:rPr>
              <w:t>ē augstāku kompensācijas likmi)</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Pamatmodelis - uz patēriņa balstīta atlīdzība: jo lielāki izdevumi, jo augstāka kompensācijas likme.  Maksimālais pacienta līdzmaksājums gadā ir SEK 2200 (240</w:t>
            </w:r>
            <w:r>
              <w:rPr>
                <w:rFonts w:eastAsia="Times New Roman" w:cs="Times New Roman"/>
                <w:color w:val="000000"/>
                <w:sz w:val="18"/>
                <w:szCs w:val="18"/>
                <w:lang w:eastAsia="lv-LV"/>
              </w:rPr>
              <w:t xml:space="preserve"> </w:t>
            </w:r>
            <w:r w:rsidRPr="00F16095">
              <w:rPr>
                <w:rFonts w:eastAsia="Times New Roman" w:cs="Times New Roman"/>
                <w:i/>
                <w:color w:val="000000"/>
                <w:sz w:val="18"/>
                <w:szCs w:val="18"/>
                <w:lang w:eastAsia="lv-LV"/>
              </w:rPr>
              <w:t>euro</w:t>
            </w:r>
            <w:r w:rsidRPr="00C92B97">
              <w:rPr>
                <w:rFonts w:eastAsia="Times New Roman" w:cs="Times New Roman"/>
                <w:color w:val="000000"/>
                <w:sz w:val="18"/>
                <w:szCs w:val="18"/>
                <w:lang w:eastAsia="lv-LV"/>
              </w:rPr>
              <w:t>)</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Dānija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Apmērs ir atkarīgs no pacienta izdevumiem par kompensējamām zālēm gada laikā</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Pamatmodelis - uz patēriņa balstīta atlīdzība. Tiek piemērots 15, 25, 50% līdzmaksājums no zāļu cenas atkarībā no pacienta izdevumiem gadā</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Islande</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Maksimālais līdzmaksājums gada laikā:</w:t>
            </w:r>
            <w:r w:rsidRPr="00C92B97">
              <w:rPr>
                <w:rFonts w:eastAsia="Times New Roman" w:cs="Times New Roman"/>
                <w:color w:val="000000"/>
                <w:sz w:val="18"/>
                <w:szCs w:val="18"/>
                <w:lang w:eastAsia="lv-LV"/>
              </w:rPr>
              <w:br/>
              <w:t xml:space="preserve"> pieaugušiem- 445</w:t>
            </w:r>
            <w:r w:rsidRPr="008F517D">
              <w:rPr>
                <w:rFonts w:eastAsia="Times New Roman" w:cs="Times New Roman"/>
                <w:i/>
                <w:color w:val="000000"/>
                <w:sz w:val="18"/>
                <w:szCs w:val="18"/>
                <w:lang w:eastAsia="lv-LV"/>
              </w:rPr>
              <w:t xml:space="preserve"> euro</w:t>
            </w:r>
            <w:r w:rsidRPr="00C92B97">
              <w:rPr>
                <w:rFonts w:eastAsia="Times New Roman" w:cs="Times New Roman"/>
                <w:color w:val="000000"/>
                <w:sz w:val="18"/>
                <w:szCs w:val="18"/>
                <w:lang w:eastAsia="lv-LV"/>
              </w:rPr>
              <w:t xml:space="preserve">, </w:t>
            </w:r>
            <w:r w:rsidRPr="00C92B97">
              <w:rPr>
                <w:rFonts w:eastAsia="Times New Roman" w:cs="Times New Roman"/>
                <w:color w:val="000000"/>
                <w:sz w:val="18"/>
                <w:szCs w:val="18"/>
                <w:lang w:eastAsia="lv-LV"/>
              </w:rPr>
              <w:lastRenderedPageBreak/>
              <w:t xml:space="preserve">senioriem, bērniem, invalīdiem - 296 </w:t>
            </w:r>
            <w:r w:rsidRPr="00F16095">
              <w:rPr>
                <w:rFonts w:eastAsia="Times New Roman" w:cs="Times New Roman"/>
                <w:i/>
                <w:color w:val="000000"/>
                <w:sz w:val="18"/>
                <w:szCs w:val="18"/>
                <w:lang w:eastAsia="lv-LV"/>
              </w:rPr>
              <w:t>euro</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lastRenderedPageBreak/>
              <w:t> </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Austrija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 xml:space="preserve">Tiek piemērots fiksēts līdzmaksājums: maksa pa vienu vienību receptē - 5,85 </w:t>
            </w:r>
            <w:r w:rsidRPr="008F517D">
              <w:rPr>
                <w:rFonts w:eastAsia="Times New Roman" w:cs="Times New Roman"/>
                <w:i/>
                <w:color w:val="000000"/>
                <w:sz w:val="18"/>
                <w:szCs w:val="18"/>
                <w:lang w:eastAsia="lv-LV"/>
              </w:rPr>
              <w:t>euro</w:t>
            </w:r>
            <w:r w:rsidRPr="00C92B97">
              <w:rPr>
                <w:rFonts w:eastAsia="Times New Roman" w:cs="Times New Roman"/>
                <w:color w:val="000000"/>
                <w:sz w:val="18"/>
                <w:szCs w:val="18"/>
                <w:lang w:eastAsia="lv-LV"/>
              </w:rPr>
              <w:t>. Atbrīvojums no maksas tiek piemērots pa</w:t>
            </w:r>
            <w:r>
              <w:rPr>
                <w:rFonts w:eastAsia="Times New Roman" w:cs="Times New Roman"/>
                <w:color w:val="000000"/>
                <w:sz w:val="18"/>
                <w:szCs w:val="18"/>
                <w:lang w:eastAsia="lv-LV"/>
              </w:rPr>
              <w:t>cientiem ar neto ienākumiem līdz 889,</w:t>
            </w:r>
            <w:r w:rsidRPr="00C92B97">
              <w:rPr>
                <w:rFonts w:eastAsia="Times New Roman" w:cs="Times New Roman"/>
                <w:color w:val="000000"/>
                <w:sz w:val="18"/>
                <w:szCs w:val="18"/>
                <w:lang w:eastAsia="lv-LV"/>
              </w:rPr>
              <w:t xml:space="preserve">84 </w:t>
            </w:r>
            <w:r w:rsidRPr="00F16095">
              <w:rPr>
                <w:rFonts w:eastAsia="Times New Roman" w:cs="Times New Roman"/>
                <w:i/>
                <w:color w:val="000000"/>
                <w:sz w:val="18"/>
                <w:szCs w:val="18"/>
                <w:lang w:eastAsia="lv-LV"/>
              </w:rPr>
              <w:t>euro</w:t>
            </w:r>
            <w:r w:rsidRPr="00C92B97">
              <w:rPr>
                <w:rFonts w:eastAsia="Times New Roman" w:cs="Times New Roman"/>
                <w:color w:val="000000"/>
                <w:sz w:val="18"/>
                <w:szCs w:val="18"/>
                <w:lang w:eastAsia="lv-LV"/>
              </w:rPr>
              <w:t>/mēn.</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Šveice</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Līdzmaksājums ir 10% no zāļu cenas, sasniedzot noteiktu līmeni, kuru izvēlas apdrošinātājs un saskaņā ar kuru tiek  aprēķināts ikmēneša piemaksas līmenis</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r>
      <w:tr w:rsidR="007B5387" w:rsidTr="00E95C30">
        <w:tc>
          <w:tcPr>
            <w:tcW w:w="483" w:type="pct"/>
          </w:tcPr>
          <w:p w:rsidR="007B5387" w:rsidRPr="00C92B97" w:rsidRDefault="007B5387" w:rsidP="007B5387">
            <w:pPr>
              <w:jc w:val="center"/>
              <w:rPr>
                <w:rFonts w:eastAsia="Times New Roman" w:cs="Times New Roman"/>
                <w:color w:val="000000"/>
                <w:sz w:val="18"/>
                <w:szCs w:val="18"/>
                <w:lang w:eastAsia="lv-LV"/>
              </w:rPr>
            </w:pPr>
            <w:r w:rsidRPr="00C92B97">
              <w:rPr>
                <w:rFonts w:eastAsia="Times New Roman" w:cs="Times New Roman"/>
                <w:color w:val="000000"/>
                <w:sz w:val="18"/>
                <w:szCs w:val="18"/>
                <w:lang w:eastAsia="lv-LV"/>
              </w:rPr>
              <w:t>Itālija</w:t>
            </w:r>
          </w:p>
        </w:tc>
        <w:tc>
          <w:tcPr>
            <w:tcW w:w="1627"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w:t>
            </w:r>
          </w:p>
        </w:tc>
        <w:tc>
          <w:tcPr>
            <w:tcW w:w="1484" w:type="pct"/>
          </w:tcPr>
          <w:p w:rsidR="007B5387" w:rsidRPr="00C92B97" w:rsidRDefault="007B5387" w:rsidP="007B5387">
            <w:pPr>
              <w:rPr>
                <w:rFonts w:eastAsia="Times New Roman" w:cs="Times New Roman"/>
                <w:color w:val="000000"/>
                <w:sz w:val="18"/>
                <w:szCs w:val="18"/>
                <w:lang w:eastAsia="lv-LV"/>
              </w:rPr>
            </w:pPr>
            <w:r w:rsidRPr="00C92B97">
              <w:rPr>
                <w:rFonts w:eastAsia="Times New Roman" w:cs="Times New Roman"/>
                <w:color w:val="000000"/>
                <w:sz w:val="18"/>
                <w:szCs w:val="18"/>
                <w:lang w:eastAsia="lv-LV"/>
              </w:rPr>
              <w:t xml:space="preserve">Līdzmaksājumi atšķiras starp reģioniem (1-8 </w:t>
            </w:r>
            <w:r w:rsidRPr="00F16095">
              <w:rPr>
                <w:rFonts w:eastAsia="Times New Roman" w:cs="Times New Roman"/>
                <w:i/>
                <w:color w:val="000000"/>
                <w:sz w:val="18"/>
                <w:szCs w:val="18"/>
                <w:lang w:eastAsia="lv-LV"/>
              </w:rPr>
              <w:t>euro</w:t>
            </w:r>
            <w:r w:rsidRPr="00C92B97">
              <w:rPr>
                <w:rFonts w:eastAsia="Times New Roman" w:cs="Times New Roman"/>
                <w:color w:val="000000"/>
                <w:sz w:val="18"/>
                <w:szCs w:val="18"/>
                <w:lang w:eastAsia="lv-LV"/>
              </w:rPr>
              <w:t xml:space="preserve"> par recepti vai zāļu iepakojumu)</w:t>
            </w:r>
          </w:p>
        </w:tc>
        <w:tc>
          <w:tcPr>
            <w:tcW w:w="1406" w:type="pct"/>
          </w:tcPr>
          <w:p w:rsidR="007B5387" w:rsidRPr="00C92B97" w:rsidRDefault="007B5387" w:rsidP="007B5387">
            <w:pPr>
              <w:ind w:left="43"/>
              <w:rPr>
                <w:rFonts w:eastAsia="Times New Roman" w:cs="Times New Roman"/>
                <w:color w:val="000000"/>
                <w:sz w:val="18"/>
                <w:szCs w:val="18"/>
                <w:lang w:eastAsia="lv-LV"/>
              </w:rPr>
            </w:pPr>
            <w:r w:rsidRPr="00C92B97">
              <w:rPr>
                <w:rFonts w:eastAsia="Times New Roman" w:cs="Times New Roman"/>
                <w:color w:val="000000"/>
                <w:sz w:val="18"/>
                <w:szCs w:val="18"/>
                <w:lang w:eastAsia="lv-LV"/>
              </w:rPr>
              <w:t>Tiek piemērots</w:t>
            </w:r>
          </w:p>
        </w:tc>
      </w:tr>
    </w:tbl>
    <w:p w:rsidR="007B5387" w:rsidRPr="00B113B3" w:rsidRDefault="007B5387" w:rsidP="007B5387">
      <w:pPr>
        <w:shd w:val="clear" w:color="auto" w:fill="FFFFFF"/>
        <w:spacing w:before="120" w:after="120"/>
        <w:jc w:val="both"/>
        <w:textAlignment w:val="baseline"/>
        <w:rPr>
          <w:rFonts w:cs="Times New Roman"/>
          <w:b/>
          <w:sz w:val="22"/>
        </w:rPr>
      </w:pPr>
      <w:r w:rsidRPr="00B113B3">
        <w:rPr>
          <w:rFonts w:cs="Times New Roman"/>
          <w:b/>
          <w:sz w:val="22"/>
        </w:rPr>
        <w:t>Esošais risinājums Nr.1</w:t>
      </w:r>
    </w:p>
    <w:p w:rsidR="007B5387" w:rsidRPr="003C3966" w:rsidRDefault="007B5387" w:rsidP="00B113B3">
      <w:pPr>
        <w:shd w:val="clear" w:color="auto" w:fill="FFFFFF"/>
        <w:spacing w:before="120" w:after="120"/>
        <w:jc w:val="center"/>
        <w:textAlignment w:val="baseline"/>
        <w:rPr>
          <w:rFonts w:cs="Times New Roman"/>
          <w:b/>
          <w:szCs w:val="24"/>
        </w:rPr>
      </w:pPr>
      <w:r>
        <w:rPr>
          <w:noProof/>
          <w:lang w:eastAsia="lv-LV"/>
        </w:rPr>
        <w:drawing>
          <wp:inline distT="0" distB="0" distL="0" distR="0" wp14:anchorId="31BADF76" wp14:editId="691B91B3">
            <wp:extent cx="5805577" cy="4459547"/>
            <wp:effectExtent l="0" t="0" r="508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9545" t="20868" r="12345" b="16097"/>
                    <a:stretch/>
                  </pic:blipFill>
                  <pic:spPr bwMode="auto">
                    <a:xfrm>
                      <a:off x="0" y="0"/>
                      <a:ext cx="5857404" cy="4499358"/>
                    </a:xfrm>
                    <a:prstGeom prst="rect">
                      <a:avLst/>
                    </a:prstGeom>
                    <a:ln>
                      <a:noFill/>
                    </a:ln>
                    <a:extLst>
                      <a:ext uri="{53640926-AAD7-44D8-BBD7-CCE9431645EC}">
                        <a14:shadowObscured xmlns:a14="http://schemas.microsoft.com/office/drawing/2010/main"/>
                      </a:ext>
                    </a:extLst>
                  </pic:spPr>
                </pic:pic>
              </a:graphicData>
            </a:graphic>
          </wp:inline>
        </w:drawing>
      </w:r>
    </w:p>
    <w:p w:rsidR="007B5387" w:rsidRPr="00B113B3" w:rsidRDefault="000C0589" w:rsidP="00BE4C30">
      <w:pPr>
        <w:jc w:val="center"/>
        <w:rPr>
          <w:sz w:val="22"/>
        </w:rPr>
      </w:pPr>
      <w:r w:rsidRPr="00B113B3">
        <w:rPr>
          <w:i/>
          <w:sz w:val="22"/>
        </w:rPr>
        <w:t>3.5</w:t>
      </w:r>
      <w:r w:rsidR="007B5387" w:rsidRPr="00B113B3">
        <w:rPr>
          <w:i/>
          <w:sz w:val="22"/>
        </w:rPr>
        <w:t>.att.</w:t>
      </w:r>
      <w:r w:rsidR="007B5387" w:rsidRPr="00B113B3">
        <w:rPr>
          <w:sz w:val="22"/>
        </w:rPr>
        <w:t xml:space="preserve"> </w:t>
      </w:r>
      <w:r w:rsidR="007B5387" w:rsidRPr="00B113B3">
        <w:rPr>
          <w:b/>
          <w:sz w:val="22"/>
        </w:rPr>
        <w:t>Valsts kompensējamo medikamentu un materiālu nulles budžeta shēma</w:t>
      </w:r>
    </w:p>
    <w:p w:rsidR="007B5387" w:rsidRPr="00410F87" w:rsidRDefault="007B5387" w:rsidP="00BA3D36">
      <w:pPr>
        <w:spacing w:before="240"/>
        <w:ind w:firstLine="709"/>
        <w:jc w:val="both"/>
        <w:rPr>
          <w:rFonts w:cs="Times New Roman"/>
          <w:szCs w:val="24"/>
        </w:rPr>
      </w:pPr>
      <w:r>
        <w:rPr>
          <w:rFonts w:cs="Times New Roman"/>
          <w:szCs w:val="24"/>
        </w:rPr>
        <w:t xml:space="preserve">Kā redzams </w:t>
      </w:r>
      <w:r w:rsidR="000C0589" w:rsidRPr="000C0589">
        <w:rPr>
          <w:rFonts w:cs="Times New Roman"/>
          <w:szCs w:val="24"/>
        </w:rPr>
        <w:t>3.5</w:t>
      </w:r>
      <w:r w:rsidRPr="000C0589">
        <w:rPr>
          <w:rFonts w:cs="Times New Roman"/>
          <w:szCs w:val="24"/>
        </w:rPr>
        <w:t>.attēlā, valsts</w:t>
      </w:r>
      <w:r>
        <w:rPr>
          <w:rFonts w:cs="Times New Roman"/>
          <w:szCs w:val="24"/>
        </w:rPr>
        <w:t xml:space="preserve"> veidotās veselības aprūpes sistēmas </w:t>
      </w:r>
      <w:r w:rsidRPr="00A70038">
        <w:rPr>
          <w:rFonts w:cs="Times New Roman"/>
          <w:szCs w:val="24"/>
        </w:rPr>
        <w:t xml:space="preserve">virsmērķis </w:t>
      </w:r>
      <w:r>
        <w:rPr>
          <w:rFonts w:cs="Times New Roman"/>
          <w:szCs w:val="24"/>
        </w:rPr>
        <w:t xml:space="preserve">ir </w:t>
      </w:r>
      <w:r w:rsidRPr="00731442">
        <w:rPr>
          <w:rFonts w:cs="Times New Roman"/>
          <w:szCs w:val="24"/>
        </w:rPr>
        <w:t>veselības stāvokļa un dzīvības funkciju saglabāšana</w:t>
      </w:r>
      <w:r w:rsidRPr="00410F87">
        <w:rPr>
          <w:rFonts w:cs="Times New Roman"/>
          <w:szCs w:val="24"/>
        </w:rPr>
        <w:t>.</w:t>
      </w:r>
    </w:p>
    <w:p w:rsidR="007B5387" w:rsidRDefault="007B5387" w:rsidP="000C0589">
      <w:pPr>
        <w:ind w:firstLine="720"/>
        <w:jc w:val="both"/>
        <w:rPr>
          <w:rFonts w:cs="Times New Roman"/>
          <w:szCs w:val="24"/>
        </w:rPr>
      </w:pPr>
      <w:r w:rsidRPr="00410F87">
        <w:t>K</w:t>
      </w:r>
      <w:r w:rsidRPr="00410F87">
        <w:rPr>
          <w:rFonts w:cs="Times New Roman"/>
          <w:szCs w:val="24"/>
        </w:rPr>
        <w:t xml:space="preserve">atrai diagnožu grupai tiek </w:t>
      </w:r>
      <w:r>
        <w:rPr>
          <w:rFonts w:cs="Times New Roman"/>
          <w:szCs w:val="24"/>
        </w:rPr>
        <w:t>izstrādāts</w:t>
      </w:r>
      <w:r w:rsidRPr="00410F87">
        <w:rPr>
          <w:rFonts w:cs="Times New Roman"/>
          <w:szCs w:val="24"/>
        </w:rPr>
        <w:t xml:space="preserve"> esošā risinājuma minimālais, standarta un </w:t>
      </w:r>
      <w:r w:rsidRPr="000C0589">
        <w:rPr>
          <w:rFonts w:cs="Times New Roman"/>
          <w:i/>
          <w:szCs w:val="24"/>
        </w:rPr>
        <w:t>premium</w:t>
      </w:r>
      <w:r w:rsidRPr="00410F87">
        <w:rPr>
          <w:rFonts w:cs="Times New Roman"/>
          <w:szCs w:val="24"/>
        </w:rPr>
        <w:t xml:space="preserve"> scenārijs, kā arī </w:t>
      </w:r>
      <w:r>
        <w:rPr>
          <w:rFonts w:cs="Times New Roman"/>
          <w:szCs w:val="24"/>
        </w:rPr>
        <w:t xml:space="preserve">noteikti </w:t>
      </w:r>
      <w:r w:rsidRPr="00410F87">
        <w:rPr>
          <w:rFonts w:cs="Times New Roman"/>
          <w:szCs w:val="24"/>
        </w:rPr>
        <w:t>sasniedzamie rezultāti –</w:t>
      </w:r>
      <w:r>
        <w:rPr>
          <w:rFonts w:cs="Times New Roman"/>
          <w:szCs w:val="24"/>
        </w:rPr>
        <w:t xml:space="preserve"> </w:t>
      </w:r>
      <w:r w:rsidRPr="00761A74">
        <w:rPr>
          <w:rFonts w:cs="Times New Roman"/>
          <w:szCs w:val="24"/>
        </w:rPr>
        <w:t xml:space="preserve">stacionētie ZIKS lietotāji/no ZIKS zāles saņēmušo </w:t>
      </w:r>
      <w:r>
        <w:rPr>
          <w:rFonts w:cs="Times New Roman"/>
          <w:szCs w:val="24"/>
        </w:rPr>
        <w:t xml:space="preserve">unikālo </w:t>
      </w:r>
      <w:r w:rsidRPr="00761A74">
        <w:rPr>
          <w:rFonts w:cs="Times New Roman"/>
          <w:szCs w:val="24"/>
        </w:rPr>
        <w:t>pacientu proporcija un ZIKS rezultātā nezaudētie/zaudētie mūža gadi.</w:t>
      </w:r>
      <w:r>
        <w:rPr>
          <w:rFonts w:cs="Times New Roman"/>
          <w:szCs w:val="24"/>
        </w:rPr>
        <w:t xml:space="preserve"> Rādītāju analīzei jāņem vērā, ka </w:t>
      </w:r>
      <w:r w:rsidRPr="00E8585A">
        <w:rPr>
          <w:rFonts w:cs="Times New Roman"/>
          <w:szCs w:val="24"/>
        </w:rPr>
        <w:t>“zaļais koridors”, kurš tika ieviests 2016.gadā</w:t>
      </w:r>
      <w:r>
        <w:rPr>
          <w:rFonts w:cs="Times New Roman"/>
          <w:szCs w:val="24"/>
        </w:rPr>
        <w:t>, var ietekmēt mūža gadu un hospitalizāciju skaita rādītāju</w:t>
      </w:r>
      <w:r w:rsidR="0024268B">
        <w:rPr>
          <w:rFonts w:cs="Times New Roman"/>
          <w:szCs w:val="24"/>
        </w:rPr>
        <w:t xml:space="preserve"> (skat. 3.6.attēlu)</w:t>
      </w:r>
      <w:r>
        <w:rPr>
          <w:rFonts w:cs="Times New Roman"/>
          <w:szCs w:val="24"/>
        </w:rPr>
        <w:t>.</w:t>
      </w:r>
    </w:p>
    <w:p w:rsidR="007B5387" w:rsidRDefault="007B5387" w:rsidP="007B5387">
      <w:pPr>
        <w:ind w:firstLine="709"/>
        <w:jc w:val="both"/>
        <w:rPr>
          <w:rFonts w:cs="Times New Roman"/>
          <w:szCs w:val="24"/>
        </w:rPr>
      </w:pPr>
    </w:p>
    <w:p w:rsidR="007B5387" w:rsidRPr="005E1C38" w:rsidRDefault="00B113B3" w:rsidP="007B5387">
      <w:pPr>
        <w:jc w:val="both"/>
        <w:rPr>
          <w:rFonts w:cs="Times New Roman"/>
          <w:szCs w:val="24"/>
        </w:rPr>
      </w:pPr>
      <w:r>
        <w:object w:dxaOrig="11686" w:dyaOrig="146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6pt;height:569.3pt" o:ole="">
            <v:imagedata r:id="rId39" o:title=""/>
          </v:shape>
          <o:OLEObject Type="Embed" ProgID="Visio.Drawing.15" ShapeID="_x0000_i1025" DrawAspect="Content" ObjectID="_1564901170" r:id="rId40"/>
        </w:object>
      </w:r>
    </w:p>
    <w:p w:rsidR="007B5387" w:rsidRPr="00BA3D36" w:rsidRDefault="007B5387" w:rsidP="00BA3D36">
      <w:pPr>
        <w:spacing w:before="120" w:after="240"/>
        <w:jc w:val="center"/>
        <w:rPr>
          <w:b/>
          <w:sz w:val="22"/>
        </w:rPr>
      </w:pPr>
      <w:r w:rsidRPr="00B113B3">
        <w:rPr>
          <w:sz w:val="22"/>
        </w:rPr>
        <w:tab/>
      </w:r>
      <w:r w:rsidR="000C0589" w:rsidRPr="00B113B3">
        <w:rPr>
          <w:sz w:val="22"/>
        </w:rPr>
        <w:t>3.6.</w:t>
      </w:r>
      <w:r w:rsidRPr="00B113B3">
        <w:rPr>
          <w:i/>
          <w:sz w:val="22"/>
        </w:rPr>
        <w:t>att.</w:t>
      </w:r>
      <w:r w:rsidRPr="00B113B3">
        <w:rPr>
          <w:sz w:val="22"/>
        </w:rPr>
        <w:t xml:space="preserve"> </w:t>
      </w:r>
      <w:r w:rsidR="00BA3D36">
        <w:rPr>
          <w:b/>
          <w:sz w:val="22"/>
        </w:rPr>
        <w:t>Esošā risinājuma scenāriji</w:t>
      </w:r>
    </w:p>
    <w:p w:rsidR="007B5387" w:rsidRPr="00811AD8" w:rsidRDefault="007B5387" w:rsidP="007B5387">
      <w:pPr>
        <w:spacing w:before="120" w:after="120"/>
        <w:rPr>
          <w:b/>
        </w:rPr>
      </w:pPr>
      <w:r w:rsidRPr="00811AD8">
        <w:rPr>
          <w:b/>
        </w:rPr>
        <w:t>M</w:t>
      </w:r>
      <w:r w:rsidRPr="00811AD8">
        <w:rPr>
          <w:rFonts w:cs="Times New Roman"/>
          <w:b/>
          <w:szCs w:val="24"/>
        </w:rPr>
        <w:t>inimālais scenārijs</w:t>
      </w:r>
    </w:p>
    <w:p w:rsidR="007B5387" w:rsidRDefault="007B5387" w:rsidP="007B5387">
      <w:pPr>
        <w:ind w:firstLine="720"/>
        <w:jc w:val="both"/>
        <w:rPr>
          <w:rFonts w:cs="Times New Roman"/>
          <w:szCs w:val="24"/>
        </w:rPr>
      </w:pPr>
      <w:r w:rsidRPr="00811AD8">
        <w:rPr>
          <w:rFonts w:cs="Times New Roman"/>
          <w:szCs w:val="24"/>
        </w:rPr>
        <w:t xml:space="preserve">Esošā risinājuma minimālais scenārijs paredz samazināt kompensācijas apmēru visām diagnozēm uz 50%, līdz ar to valsts budžetā paredzamais ZIKS finansējums samazinātos vismaz 64 milj. </w:t>
      </w:r>
      <w:r w:rsidRPr="00811AD8">
        <w:rPr>
          <w:rFonts w:cs="Times New Roman"/>
          <w:i/>
          <w:szCs w:val="24"/>
        </w:rPr>
        <w:t>euro</w:t>
      </w:r>
      <w:r w:rsidRPr="00811AD8">
        <w:rPr>
          <w:rFonts w:cs="Times New Roman"/>
          <w:szCs w:val="24"/>
        </w:rPr>
        <w:t xml:space="preserve"> apmērā (sk</w:t>
      </w:r>
      <w:r w:rsidR="000C0589" w:rsidRPr="00811AD8">
        <w:rPr>
          <w:rFonts w:cs="Times New Roman"/>
          <w:szCs w:val="24"/>
        </w:rPr>
        <w:t>at</w:t>
      </w:r>
      <w:r w:rsidRPr="00811AD8">
        <w:rPr>
          <w:rFonts w:cs="Times New Roman"/>
          <w:szCs w:val="24"/>
        </w:rPr>
        <w:t>.</w:t>
      </w:r>
      <w:r w:rsidR="000C0589" w:rsidRPr="00811AD8">
        <w:rPr>
          <w:rFonts w:cs="Times New Roman"/>
          <w:szCs w:val="24"/>
        </w:rPr>
        <w:t xml:space="preserve"> </w:t>
      </w:r>
      <w:r w:rsidR="00811AD8" w:rsidRPr="00811AD8">
        <w:rPr>
          <w:rFonts w:cs="Times New Roman"/>
          <w:szCs w:val="24"/>
        </w:rPr>
        <w:t>tabulu Nr.3.3.</w:t>
      </w:r>
      <w:r w:rsidRPr="00811AD8">
        <w:rPr>
          <w:rFonts w:cs="Times New Roman"/>
          <w:szCs w:val="24"/>
        </w:rPr>
        <w:t>).</w:t>
      </w:r>
      <w:r>
        <w:rPr>
          <w:rFonts w:cs="Times New Roman"/>
          <w:szCs w:val="24"/>
        </w:rPr>
        <w:t xml:space="preserve"> </w:t>
      </w:r>
    </w:p>
    <w:p w:rsidR="007B5387" w:rsidRDefault="007B5387" w:rsidP="007B5387">
      <w:pPr>
        <w:ind w:firstLine="720"/>
        <w:jc w:val="both"/>
        <w:rPr>
          <w:rFonts w:cs="Times New Roman"/>
          <w:szCs w:val="24"/>
        </w:rPr>
      </w:pPr>
      <w:r>
        <w:rPr>
          <w:rFonts w:cs="Times New Roman"/>
          <w:szCs w:val="24"/>
        </w:rPr>
        <w:t xml:space="preserve">Šāda scenārija rezultātā stacionēto ZIKS lietotāju/no ZIKS zāles saņēmušajiem unikālajiem pacientiem proporcija būs 15,09, kas ir par 1,32 stacionētajiem ZIKS lietotājiem </w:t>
      </w:r>
      <w:r>
        <w:rPr>
          <w:rFonts w:cs="Times New Roman"/>
          <w:szCs w:val="24"/>
        </w:rPr>
        <w:lastRenderedPageBreak/>
        <w:t>vairāk nekā standarta scenārijā. Savukārt ZIKS rezultātā zaudētie mūža gadi palielināsies par 5,88 gadiem.</w:t>
      </w:r>
    </w:p>
    <w:p w:rsidR="007B5387" w:rsidRPr="006C7290" w:rsidRDefault="007B5387" w:rsidP="00B113B3">
      <w:pPr>
        <w:spacing w:before="120"/>
        <w:jc w:val="right"/>
        <w:rPr>
          <w:szCs w:val="24"/>
        </w:rPr>
      </w:pPr>
      <w:r w:rsidRPr="006C7290">
        <w:rPr>
          <w:szCs w:val="24"/>
        </w:rPr>
        <w:t>Tabula Nr.</w:t>
      </w:r>
      <w:r w:rsidR="00811AD8">
        <w:rPr>
          <w:szCs w:val="24"/>
        </w:rPr>
        <w:t>3.3</w:t>
      </w:r>
      <w:r w:rsidR="008B457B">
        <w:rPr>
          <w:szCs w:val="24"/>
        </w:rPr>
        <w:t>.</w:t>
      </w:r>
      <w:r w:rsidRPr="006C7290">
        <w:rPr>
          <w:szCs w:val="24"/>
        </w:rPr>
        <w:t xml:space="preserve"> </w:t>
      </w:r>
    </w:p>
    <w:p w:rsidR="007B5387" w:rsidRPr="00FD48F3" w:rsidRDefault="007B5387" w:rsidP="007B5387">
      <w:pPr>
        <w:spacing w:before="120" w:after="120"/>
        <w:jc w:val="center"/>
        <w:rPr>
          <w:b/>
          <w:sz w:val="20"/>
          <w:szCs w:val="20"/>
        </w:rPr>
      </w:pPr>
      <w:r>
        <w:rPr>
          <w:b/>
          <w:szCs w:val="24"/>
        </w:rPr>
        <w:t>Minimālā scenārija ieguvumi un riski</w:t>
      </w:r>
    </w:p>
    <w:tbl>
      <w:tblPr>
        <w:tblStyle w:val="TableGrid"/>
        <w:tblW w:w="5000" w:type="pct"/>
        <w:tblLook w:val="04A0" w:firstRow="1" w:lastRow="0" w:firstColumn="1" w:lastColumn="0" w:noHBand="0" w:noVBand="1"/>
      </w:tblPr>
      <w:tblGrid>
        <w:gridCol w:w="4530"/>
        <w:gridCol w:w="4531"/>
      </w:tblGrid>
      <w:tr w:rsidR="007B5387" w:rsidRPr="00B113B3" w:rsidTr="008B457B">
        <w:trPr>
          <w:trHeight w:val="226"/>
          <w:tblHeader/>
        </w:trPr>
        <w:tc>
          <w:tcPr>
            <w:tcW w:w="2500" w:type="pct"/>
            <w:shd w:val="clear" w:color="auto" w:fill="C5E0B3" w:themeFill="accent6" w:themeFillTint="66"/>
          </w:tcPr>
          <w:p w:rsidR="007B5387" w:rsidRPr="00B113B3" w:rsidRDefault="007B5387" w:rsidP="007B5387">
            <w:pPr>
              <w:jc w:val="center"/>
              <w:rPr>
                <w:rFonts w:cs="Times New Roman"/>
                <w:b/>
                <w:sz w:val="22"/>
              </w:rPr>
            </w:pPr>
            <w:r w:rsidRPr="00B113B3">
              <w:rPr>
                <w:rFonts w:cs="Times New Roman"/>
                <w:b/>
                <w:sz w:val="22"/>
              </w:rPr>
              <w:t>Ieguvumi</w:t>
            </w:r>
          </w:p>
        </w:tc>
        <w:tc>
          <w:tcPr>
            <w:tcW w:w="2500" w:type="pct"/>
            <w:shd w:val="clear" w:color="auto" w:fill="C5E0B3" w:themeFill="accent6" w:themeFillTint="66"/>
          </w:tcPr>
          <w:p w:rsidR="007B5387" w:rsidRPr="00B113B3" w:rsidRDefault="007B5387" w:rsidP="007B5387">
            <w:pPr>
              <w:jc w:val="center"/>
              <w:rPr>
                <w:rFonts w:cs="Times New Roman"/>
                <w:b/>
                <w:sz w:val="22"/>
              </w:rPr>
            </w:pPr>
            <w:r w:rsidRPr="00B113B3">
              <w:rPr>
                <w:rFonts w:cs="Times New Roman"/>
                <w:b/>
                <w:sz w:val="22"/>
              </w:rPr>
              <w:t>Riski</w:t>
            </w:r>
          </w:p>
        </w:tc>
      </w:tr>
      <w:tr w:rsidR="007B5387" w:rsidRPr="00B113B3" w:rsidTr="008B457B">
        <w:tc>
          <w:tcPr>
            <w:tcW w:w="2500" w:type="pct"/>
          </w:tcPr>
          <w:p w:rsidR="007B5387" w:rsidRPr="00B113B3" w:rsidRDefault="007B5387" w:rsidP="008C25BB">
            <w:pPr>
              <w:pStyle w:val="ListParagraph"/>
              <w:numPr>
                <w:ilvl w:val="0"/>
                <w:numId w:val="129"/>
              </w:numPr>
              <w:tabs>
                <w:tab w:val="left" w:pos="313"/>
              </w:tabs>
              <w:spacing w:after="160"/>
              <w:ind w:left="29" w:firstLine="0"/>
              <w:jc w:val="both"/>
              <w:rPr>
                <w:rFonts w:cs="Times New Roman"/>
                <w:sz w:val="22"/>
              </w:rPr>
            </w:pPr>
            <w:r w:rsidRPr="00B113B3">
              <w:rPr>
                <w:rFonts w:cs="Times New Roman"/>
                <w:sz w:val="22"/>
              </w:rPr>
              <w:t xml:space="preserve">paredzamais ZIKS izdevumu samazinājums būs ne mazāks kā 64 milj. </w:t>
            </w:r>
            <w:r w:rsidRPr="00B113B3">
              <w:rPr>
                <w:rFonts w:cs="Times New Roman"/>
                <w:i/>
                <w:sz w:val="22"/>
              </w:rPr>
              <w:t>euro</w:t>
            </w:r>
            <w:r w:rsidRPr="00B113B3">
              <w:rPr>
                <w:rFonts w:cs="Times New Roman"/>
                <w:sz w:val="22"/>
              </w:rPr>
              <w:t>, bet realitātē tas būs lielāks, jo pacienti nevarēs piemaksāt par zālēm un nelietos tās vispār.</w:t>
            </w:r>
          </w:p>
          <w:p w:rsidR="007B5387" w:rsidRPr="00B113B3" w:rsidRDefault="007B5387" w:rsidP="007B5387">
            <w:pPr>
              <w:tabs>
                <w:tab w:val="left" w:pos="313"/>
              </w:tabs>
              <w:spacing w:after="160"/>
              <w:ind w:left="29"/>
              <w:jc w:val="both"/>
              <w:rPr>
                <w:rFonts w:cs="Times New Roman"/>
                <w:sz w:val="22"/>
              </w:rPr>
            </w:pPr>
          </w:p>
        </w:tc>
        <w:tc>
          <w:tcPr>
            <w:tcW w:w="2500" w:type="pct"/>
          </w:tcPr>
          <w:p w:rsidR="007B5387" w:rsidRPr="00B113B3" w:rsidRDefault="007B5387" w:rsidP="008C25BB">
            <w:pPr>
              <w:pStyle w:val="ListParagraph"/>
              <w:numPr>
                <w:ilvl w:val="0"/>
                <w:numId w:val="129"/>
              </w:numPr>
              <w:tabs>
                <w:tab w:val="left" w:pos="313"/>
              </w:tabs>
              <w:spacing w:after="160"/>
              <w:ind w:left="29" w:firstLine="0"/>
              <w:jc w:val="both"/>
              <w:rPr>
                <w:rFonts w:cs="Times New Roman"/>
                <w:sz w:val="22"/>
              </w:rPr>
            </w:pPr>
            <w:r w:rsidRPr="00B113B3">
              <w:rPr>
                <w:rFonts w:cs="Times New Roman"/>
                <w:sz w:val="22"/>
              </w:rPr>
              <w:t xml:space="preserve">pieaugs neatliekamās hospitalizācijas un nāves riski nepilnvērtīgas terapijas lietošanas rezultātā (pasliktināsies finansiālā pieejamība), t.sk. arī bērniem un pacientiem, kas līdz šim saņēma zāles ar 100% kompensāciju (onkoloģija, bīstamās infekcijas, diabēts utt.). </w:t>
            </w:r>
          </w:p>
        </w:tc>
      </w:tr>
    </w:tbl>
    <w:p w:rsidR="007B5387" w:rsidRDefault="007B5387" w:rsidP="00BA3D36">
      <w:pPr>
        <w:spacing w:before="120" w:after="120"/>
        <w:jc w:val="both"/>
        <w:rPr>
          <w:rFonts w:cs="Times New Roman"/>
          <w:b/>
          <w:szCs w:val="24"/>
        </w:rPr>
      </w:pPr>
      <w:r w:rsidRPr="000077EB">
        <w:rPr>
          <w:rFonts w:cs="Times New Roman"/>
          <w:szCs w:val="24"/>
        </w:rPr>
        <w:t xml:space="preserve"> </w:t>
      </w:r>
      <w:r w:rsidRPr="009374AF">
        <w:rPr>
          <w:rFonts w:cs="Times New Roman"/>
          <w:b/>
          <w:szCs w:val="24"/>
        </w:rPr>
        <w:t>Standarta scenārijs</w:t>
      </w:r>
      <w:r>
        <w:rPr>
          <w:rFonts w:cs="Times New Roman"/>
          <w:b/>
          <w:szCs w:val="24"/>
        </w:rPr>
        <w:t xml:space="preserve"> </w:t>
      </w:r>
    </w:p>
    <w:p w:rsidR="007B5387" w:rsidRDefault="007B5387" w:rsidP="007B5387">
      <w:pPr>
        <w:ind w:firstLine="720"/>
        <w:jc w:val="both"/>
        <w:rPr>
          <w:rFonts w:cs="Times New Roman"/>
          <w:szCs w:val="24"/>
        </w:rPr>
      </w:pPr>
      <w:r w:rsidRPr="00FD48F3">
        <w:rPr>
          <w:rFonts w:cs="Times New Roman"/>
          <w:szCs w:val="24"/>
        </w:rPr>
        <w:t>Esošā risinājuma stand</w:t>
      </w:r>
      <w:r>
        <w:rPr>
          <w:rFonts w:cs="Times New Roman"/>
          <w:szCs w:val="24"/>
        </w:rPr>
        <w:t>ar</w:t>
      </w:r>
      <w:r w:rsidRPr="00FD48F3">
        <w:rPr>
          <w:rFonts w:cs="Times New Roman"/>
          <w:szCs w:val="24"/>
        </w:rPr>
        <w:t xml:space="preserve">ta scenārijs </w:t>
      </w:r>
      <w:r>
        <w:rPr>
          <w:rFonts w:cs="Times New Roman"/>
          <w:szCs w:val="24"/>
        </w:rPr>
        <w:t xml:space="preserve">paredz </w:t>
      </w:r>
      <w:r w:rsidRPr="00FD48F3">
        <w:rPr>
          <w:rFonts w:cs="Times New Roman"/>
          <w:szCs w:val="24"/>
        </w:rPr>
        <w:t xml:space="preserve">turpināt esošo </w:t>
      </w:r>
      <w:r>
        <w:rPr>
          <w:rFonts w:cs="Times New Roman"/>
          <w:szCs w:val="24"/>
        </w:rPr>
        <w:t>ZIKS</w:t>
      </w:r>
      <w:r w:rsidRPr="00FD48F3">
        <w:rPr>
          <w:rFonts w:cs="Times New Roman"/>
          <w:szCs w:val="24"/>
        </w:rPr>
        <w:t xml:space="preserve"> ar 50%, 75% un 100% kompensācijas apmēru atkarībā no slimības sm</w:t>
      </w:r>
      <w:r>
        <w:rPr>
          <w:rFonts w:cs="Times New Roman"/>
          <w:szCs w:val="24"/>
        </w:rPr>
        <w:t>aguma un pacienta sociālās grupa</w:t>
      </w:r>
      <w:r w:rsidRPr="00FD48F3">
        <w:rPr>
          <w:rFonts w:cs="Times New Roman"/>
          <w:szCs w:val="24"/>
        </w:rPr>
        <w:t>s (bērniem - 100% kompensācija visu kompensācijas sistēmā iekļauto diagnožu gadījumā)</w:t>
      </w:r>
      <w:r>
        <w:rPr>
          <w:rFonts w:cs="Times New Roman"/>
          <w:szCs w:val="24"/>
        </w:rPr>
        <w:t>.</w:t>
      </w:r>
    </w:p>
    <w:p w:rsidR="007B5387" w:rsidRPr="002B6650" w:rsidRDefault="007B5387" w:rsidP="007B5387">
      <w:pPr>
        <w:ind w:firstLine="720"/>
        <w:jc w:val="both"/>
        <w:rPr>
          <w:rFonts w:cs="Times New Roman"/>
          <w:szCs w:val="24"/>
        </w:rPr>
      </w:pPr>
      <w:r w:rsidRPr="003B4C5F">
        <w:rPr>
          <w:rFonts w:cs="Times New Roman"/>
          <w:szCs w:val="24"/>
        </w:rPr>
        <w:t xml:space="preserve">Pie standarta scenārija (patreizējās situācijas) </w:t>
      </w:r>
      <w:r>
        <w:rPr>
          <w:rFonts w:cs="Times New Roman"/>
          <w:szCs w:val="24"/>
        </w:rPr>
        <w:t>stacionēto ZIKS lietotāju/no ZIKS zāles saņēmušajiem unikālajiem pacientiem proporcija ir 13,77 stacionēto lietotāju, savukārt ZIKS rezultātā nezaudētie mūža gadi ir 15,86 gadi.</w:t>
      </w:r>
    </w:p>
    <w:p w:rsidR="007B5387" w:rsidRPr="006C7290" w:rsidRDefault="007B5387" w:rsidP="007B5387">
      <w:pPr>
        <w:jc w:val="right"/>
        <w:rPr>
          <w:szCs w:val="24"/>
        </w:rPr>
      </w:pPr>
      <w:r w:rsidRPr="006C7290">
        <w:rPr>
          <w:szCs w:val="24"/>
        </w:rPr>
        <w:t>Tabula Nr.</w:t>
      </w:r>
      <w:r w:rsidR="00811AD8">
        <w:rPr>
          <w:szCs w:val="24"/>
        </w:rPr>
        <w:t>3.4.</w:t>
      </w:r>
      <w:r w:rsidRPr="006C7290">
        <w:rPr>
          <w:szCs w:val="24"/>
        </w:rPr>
        <w:t xml:space="preserve"> </w:t>
      </w:r>
    </w:p>
    <w:p w:rsidR="007B5387" w:rsidRPr="00FD48F3" w:rsidRDefault="007B5387" w:rsidP="007B5387">
      <w:pPr>
        <w:spacing w:before="120" w:after="120"/>
        <w:jc w:val="center"/>
        <w:rPr>
          <w:b/>
          <w:sz w:val="20"/>
          <w:szCs w:val="20"/>
        </w:rPr>
      </w:pPr>
      <w:r>
        <w:rPr>
          <w:b/>
          <w:szCs w:val="24"/>
        </w:rPr>
        <w:t>Standarta scenārija ieguvumi un riski</w:t>
      </w:r>
    </w:p>
    <w:tbl>
      <w:tblPr>
        <w:tblStyle w:val="TableGrid"/>
        <w:tblW w:w="0" w:type="auto"/>
        <w:tblLook w:val="04A0" w:firstRow="1" w:lastRow="0" w:firstColumn="1" w:lastColumn="0" w:noHBand="0" w:noVBand="1"/>
      </w:tblPr>
      <w:tblGrid>
        <w:gridCol w:w="4481"/>
        <w:gridCol w:w="4482"/>
      </w:tblGrid>
      <w:tr w:rsidR="007B5387" w:rsidRPr="00811AD8" w:rsidTr="007B5387">
        <w:trPr>
          <w:trHeight w:val="226"/>
          <w:tblHeader/>
        </w:trPr>
        <w:tc>
          <w:tcPr>
            <w:tcW w:w="4481" w:type="dxa"/>
            <w:shd w:val="clear" w:color="auto" w:fill="C5E0B3" w:themeFill="accent6" w:themeFillTint="66"/>
          </w:tcPr>
          <w:p w:rsidR="007B5387" w:rsidRPr="00811AD8" w:rsidRDefault="007B5387" w:rsidP="007B5387">
            <w:pPr>
              <w:jc w:val="center"/>
              <w:rPr>
                <w:rFonts w:cs="Times New Roman"/>
                <w:b/>
                <w:sz w:val="22"/>
              </w:rPr>
            </w:pPr>
            <w:r w:rsidRPr="00811AD8">
              <w:rPr>
                <w:rFonts w:cs="Times New Roman"/>
                <w:b/>
                <w:sz w:val="22"/>
              </w:rPr>
              <w:t>Ieguvumi</w:t>
            </w:r>
          </w:p>
        </w:tc>
        <w:tc>
          <w:tcPr>
            <w:tcW w:w="4482" w:type="dxa"/>
            <w:shd w:val="clear" w:color="auto" w:fill="C5E0B3" w:themeFill="accent6" w:themeFillTint="66"/>
          </w:tcPr>
          <w:p w:rsidR="007B5387" w:rsidRPr="00811AD8" w:rsidRDefault="007B5387" w:rsidP="007B5387">
            <w:pPr>
              <w:jc w:val="center"/>
              <w:rPr>
                <w:rFonts w:cs="Times New Roman"/>
                <w:b/>
                <w:sz w:val="22"/>
              </w:rPr>
            </w:pPr>
            <w:r w:rsidRPr="00811AD8">
              <w:rPr>
                <w:rFonts w:cs="Times New Roman"/>
                <w:b/>
                <w:sz w:val="22"/>
              </w:rPr>
              <w:t>Riski</w:t>
            </w:r>
          </w:p>
        </w:tc>
      </w:tr>
      <w:tr w:rsidR="007B5387" w:rsidRPr="00811AD8" w:rsidTr="00811AD8">
        <w:trPr>
          <w:trHeight w:val="2092"/>
        </w:trPr>
        <w:tc>
          <w:tcPr>
            <w:tcW w:w="4481" w:type="dxa"/>
          </w:tcPr>
          <w:p w:rsidR="007B5387" w:rsidRPr="00811AD8" w:rsidRDefault="007B5387" w:rsidP="008C25BB">
            <w:pPr>
              <w:pStyle w:val="ListParagraph"/>
              <w:numPr>
                <w:ilvl w:val="0"/>
                <w:numId w:val="129"/>
              </w:numPr>
              <w:tabs>
                <w:tab w:val="left" w:pos="313"/>
              </w:tabs>
              <w:spacing w:after="160"/>
              <w:ind w:left="29" w:firstLine="0"/>
              <w:jc w:val="both"/>
              <w:rPr>
                <w:rFonts w:cs="Times New Roman"/>
                <w:sz w:val="22"/>
              </w:rPr>
            </w:pPr>
            <w:r w:rsidRPr="00811AD8">
              <w:rPr>
                <w:rFonts w:cs="Times New Roman"/>
                <w:sz w:val="22"/>
              </w:rPr>
              <w:t xml:space="preserve">ņemot vērā iepriekšējos gados uzkrātos datus, sistēma ir prognozējama; </w:t>
            </w:r>
          </w:p>
          <w:p w:rsidR="007B5387" w:rsidRPr="00811AD8" w:rsidRDefault="007B5387" w:rsidP="00811AD8">
            <w:pPr>
              <w:pStyle w:val="ListParagraph"/>
              <w:numPr>
                <w:ilvl w:val="0"/>
                <w:numId w:val="129"/>
              </w:numPr>
              <w:tabs>
                <w:tab w:val="left" w:pos="313"/>
              </w:tabs>
              <w:spacing w:after="160"/>
              <w:ind w:left="29" w:firstLine="0"/>
              <w:jc w:val="both"/>
              <w:rPr>
                <w:rFonts w:cs="Times New Roman"/>
                <w:b/>
                <w:sz w:val="22"/>
              </w:rPr>
            </w:pPr>
            <w:r w:rsidRPr="00811AD8">
              <w:rPr>
                <w:rFonts w:cs="Times New Roman"/>
                <w:sz w:val="22"/>
              </w:rPr>
              <w:t>pacientiem un ārstniecības personām esošā kārtība ir zināma un saprotama.</w:t>
            </w:r>
          </w:p>
        </w:tc>
        <w:tc>
          <w:tcPr>
            <w:tcW w:w="4482" w:type="dxa"/>
          </w:tcPr>
          <w:p w:rsidR="007B5387" w:rsidRPr="00811AD8" w:rsidRDefault="007B5387" w:rsidP="008C25BB">
            <w:pPr>
              <w:pStyle w:val="ListParagraph"/>
              <w:numPr>
                <w:ilvl w:val="0"/>
                <w:numId w:val="129"/>
              </w:numPr>
              <w:tabs>
                <w:tab w:val="left" w:pos="313"/>
              </w:tabs>
              <w:spacing w:after="160"/>
              <w:ind w:left="29" w:firstLine="0"/>
              <w:jc w:val="both"/>
              <w:rPr>
                <w:rFonts w:cs="Times New Roman"/>
                <w:sz w:val="22"/>
              </w:rPr>
            </w:pPr>
            <w:r w:rsidRPr="00811AD8">
              <w:rPr>
                <w:rFonts w:cs="Times New Roman"/>
                <w:sz w:val="22"/>
              </w:rPr>
              <w:t>nepieciešams regulārs papildu finansējums sistēmas darbības nodrošināšanai, ņemot vērā ikgadējo pacientu skaita pieaugumu (vidēji 5% gadā) un līdzšinējās nenosegtās vajadzības (jaunu zāļu ar ievērojamām izmaksām ienākšanu tirgū, zāļu iegādes izdevumu kompensāciju diagnozēm, kurām līdz šim zā</w:t>
            </w:r>
            <w:r w:rsidR="00811AD8">
              <w:rPr>
                <w:rFonts w:cs="Times New Roman"/>
                <w:sz w:val="22"/>
              </w:rPr>
              <w:t xml:space="preserve">les nav tikušas nodrošinātas). </w:t>
            </w:r>
          </w:p>
        </w:tc>
      </w:tr>
    </w:tbl>
    <w:p w:rsidR="007B5387" w:rsidRDefault="007B5387" w:rsidP="007B5387">
      <w:pPr>
        <w:ind w:firstLine="720"/>
        <w:jc w:val="both"/>
        <w:rPr>
          <w:rFonts w:cs="Times New Roman"/>
          <w:szCs w:val="24"/>
        </w:rPr>
      </w:pPr>
    </w:p>
    <w:p w:rsidR="00203E8C" w:rsidRPr="00FD48F3" w:rsidRDefault="00203E8C" w:rsidP="00203E8C">
      <w:pPr>
        <w:ind w:firstLine="720"/>
        <w:jc w:val="both"/>
        <w:rPr>
          <w:rFonts w:cs="Times New Roman"/>
          <w:szCs w:val="24"/>
        </w:rPr>
      </w:pPr>
      <w:r w:rsidRPr="00203E8C">
        <w:rPr>
          <w:rFonts w:cs="Times New Roman"/>
          <w:szCs w:val="24"/>
        </w:rPr>
        <w:t>Kā redzams tabulā</w:t>
      </w:r>
      <w:r w:rsidR="008B457B">
        <w:rPr>
          <w:rFonts w:cs="Times New Roman"/>
          <w:szCs w:val="24"/>
        </w:rPr>
        <w:t xml:space="preserve"> Nr.3.4.</w:t>
      </w:r>
      <w:r w:rsidRPr="00203E8C">
        <w:rPr>
          <w:rFonts w:cs="Times New Roman"/>
          <w:szCs w:val="24"/>
        </w:rPr>
        <w:t xml:space="preserve">, standarta scenārija galvenais trūkums ir nepietiekamais finansējums sistēmas nodrošināšanai, kas </w:t>
      </w:r>
      <w:r w:rsidRPr="00203E8C">
        <w:t>rada budžeta deficītu kārtējam budžeta gadam, atstājot negatīvu ietekmi uz nākamo budžeta gadu, jo paliek neapmaksāti aptieku rēķini.</w:t>
      </w:r>
    </w:p>
    <w:p w:rsidR="007B5387" w:rsidRDefault="007B5387" w:rsidP="007B5387">
      <w:pPr>
        <w:spacing w:before="120" w:after="120"/>
        <w:jc w:val="both"/>
        <w:rPr>
          <w:rFonts w:cs="Times New Roman"/>
          <w:b/>
          <w:szCs w:val="24"/>
        </w:rPr>
      </w:pPr>
      <w:r w:rsidRPr="00811AD8">
        <w:rPr>
          <w:rFonts w:cs="Times New Roman"/>
          <w:b/>
          <w:i/>
          <w:szCs w:val="24"/>
        </w:rPr>
        <w:t>Premium</w:t>
      </w:r>
      <w:r w:rsidRPr="009374AF">
        <w:rPr>
          <w:rFonts w:cs="Times New Roman"/>
          <w:b/>
          <w:szCs w:val="24"/>
        </w:rPr>
        <w:t xml:space="preserve"> scenārijs</w:t>
      </w:r>
    </w:p>
    <w:p w:rsidR="007B5387" w:rsidRDefault="007B5387" w:rsidP="007B5387">
      <w:pPr>
        <w:ind w:firstLine="709"/>
        <w:jc w:val="both"/>
        <w:rPr>
          <w:rFonts w:cs="Times New Roman"/>
          <w:szCs w:val="24"/>
        </w:rPr>
      </w:pPr>
      <w:r w:rsidRPr="00811AD8">
        <w:rPr>
          <w:rFonts w:cs="Times New Roman"/>
          <w:i/>
          <w:szCs w:val="24"/>
        </w:rPr>
        <w:t>Premium</w:t>
      </w:r>
      <w:r>
        <w:rPr>
          <w:rFonts w:cs="Times New Roman"/>
          <w:szCs w:val="24"/>
        </w:rPr>
        <w:t xml:space="preserve"> scenārijs paredz </w:t>
      </w:r>
      <w:r w:rsidRPr="00EA0BF9">
        <w:rPr>
          <w:rFonts w:cs="Times New Roman"/>
          <w:szCs w:val="24"/>
        </w:rPr>
        <w:t>zāļ</w:t>
      </w:r>
      <w:r>
        <w:rPr>
          <w:rFonts w:cs="Times New Roman"/>
          <w:szCs w:val="24"/>
        </w:rPr>
        <w:t>u iegādes izdevumu kompensāciju</w:t>
      </w:r>
      <w:r w:rsidRPr="00EA0BF9">
        <w:rPr>
          <w:rFonts w:cs="Times New Roman"/>
          <w:szCs w:val="24"/>
        </w:rPr>
        <w:t xml:space="preserve"> 100% apmērā</w:t>
      </w:r>
      <w:r>
        <w:rPr>
          <w:rFonts w:cs="Times New Roman"/>
          <w:szCs w:val="24"/>
        </w:rPr>
        <w:t>, neierobežotu medikamentu pieejamību</w:t>
      </w:r>
      <w:r w:rsidRPr="00EA0BF9">
        <w:rPr>
          <w:rFonts w:cs="Times New Roman"/>
          <w:szCs w:val="24"/>
        </w:rPr>
        <w:t xml:space="preserve"> jebkuram pacientam.</w:t>
      </w:r>
    </w:p>
    <w:p w:rsidR="007B5387" w:rsidRPr="00D94BCC" w:rsidRDefault="007B5387" w:rsidP="007B5387">
      <w:pPr>
        <w:spacing w:after="160"/>
        <w:ind w:firstLine="709"/>
        <w:jc w:val="both"/>
        <w:rPr>
          <w:rFonts w:cs="Times New Roman"/>
          <w:b/>
          <w:color w:val="FF0000"/>
          <w:szCs w:val="24"/>
        </w:rPr>
      </w:pPr>
      <w:r w:rsidRPr="00811AD8">
        <w:rPr>
          <w:rFonts w:cs="Times New Roman"/>
          <w:i/>
          <w:szCs w:val="24"/>
        </w:rPr>
        <w:t>Premium</w:t>
      </w:r>
      <w:r>
        <w:rPr>
          <w:rFonts w:cs="Times New Roman"/>
          <w:szCs w:val="24"/>
        </w:rPr>
        <w:t xml:space="preserve"> scenārija rezultātā stacionēto ZIKS lietotāju/no ZIKS zāles saņēmušajiem unikālajiem pacientiem proporcija būs 12,9, kas ir par 0,87 stacionētajiem ZIKS lietotājiem mazāk nekā standarta scenārijā. Savukārt ZIKS rezultātā nezaudētie mūža gadi palielināsies par 7,9 gadiem.</w:t>
      </w:r>
    </w:p>
    <w:p w:rsidR="007B5387" w:rsidRPr="005B5FAE" w:rsidRDefault="007B5387" w:rsidP="007B5387">
      <w:pPr>
        <w:ind w:firstLine="720"/>
        <w:jc w:val="both"/>
        <w:rPr>
          <w:rFonts w:cs="Times New Roman"/>
          <w:szCs w:val="24"/>
        </w:rPr>
      </w:pPr>
      <w:r>
        <w:rPr>
          <w:rFonts w:cs="Times New Roman"/>
          <w:szCs w:val="24"/>
        </w:rPr>
        <w:t>Atbilstoši 2016. – 2017.gadā veiktajiem</w:t>
      </w:r>
      <w:r w:rsidRPr="005B5FAE">
        <w:rPr>
          <w:rFonts w:cs="Times New Roman"/>
          <w:szCs w:val="24"/>
        </w:rPr>
        <w:t xml:space="preserve"> aprēķini</w:t>
      </w:r>
      <w:r>
        <w:rPr>
          <w:rFonts w:cs="Times New Roman"/>
          <w:szCs w:val="24"/>
        </w:rPr>
        <w:t>em</w:t>
      </w:r>
      <w:r w:rsidRPr="005B5FAE">
        <w:rPr>
          <w:rFonts w:cs="Times New Roman"/>
          <w:szCs w:val="24"/>
        </w:rPr>
        <w:t xml:space="preserve"> par šī brīža nenosegtajām un attīstības vajadzībām </w:t>
      </w:r>
      <w:r>
        <w:rPr>
          <w:rFonts w:cs="Times New Roman"/>
          <w:szCs w:val="24"/>
        </w:rPr>
        <w:t>ZIKS</w:t>
      </w:r>
      <w:r w:rsidRPr="005B5FAE">
        <w:rPr>
          <w:rFonts w:cs="Times New Roman"/>
          <w:szCs w:val="24"/>
        </w:rPr>
        <w:t xml:space="preserve"> attiecībā uz pacientu skaita pieaugumu, kompensācijas apmēra palielinājumu, kompensācijas paplašināšanu ar jaunām zālēm un medicīniskajām ierīcēm </w:t>
      </w:r>
      <w:r>
        <w:rPr>
          <w:rFonts w:cs="Times New Roman"/>
          <w:szCs w:val="24"/>
        </w:rPr>
        <w:t>KZS</w:t>
      </w:r>
      <w:r w:rsidRPr="005B5FAE">
        <w:rPr>
          <w:rFonts w:cs="Times New Roman"/>
          <w:szCs w:val="24"/>
        </w:rPr>
        <w:t xml:space="preserve"> jau iekļautajām diagnozēm, kā arī atsevišķ</w:t>
      </w:r>
      <w:r>
        <w:rPr>
          <w:rFonts w:cs="Times New Roman"/>
          <w:szCs w:val="24"/>
        </w:rPr>
        <w:t xml:space="preserve">u jaunu diagnožu iekļaušanai, 1.gadā papildu nepieciešams finasējums 86 milj. </w:t>
      </w:r>
      <w:r w:rsidRPr="00A977AA">
        <w:rPr>
          <w:rFonts w:cs="Times New Roman"/>
          <w:i/>
          <w:szCs w:val="24"/>
        </w:rPr>
        <w:t>euro</w:t>
      </w:r>
      <w:r>
        <w:rPr>
          <w:rFonts w:cs="Times New Roman"/>
          <w:szCs w:val="24"/>
        </w:rPr>
        <w:t xml:space="preserve"> apmērā </w:t>
      </w:r>
      <w:r w:rsidRPr="00811AD8">
        <w:rPr>
          <w:rFonts w:cs="Times New Roman"/>
          <w:szCs w:val="24"/>
        </w:rPr>
        <w:t>(sk</w:t>
      </w:r>
      <w:r w:rsidR="00811AD8" w:rsidRPr="00811AD8">
        <w:rPr>
          <w:rFonts w:cs="Times New Roman"/>
          <w:szCs w:val="24"/>
        </w:rPr>
        <w:t>at</w:t>
      </w:r>
      <w:r w:rsidRPr="00811AD8">
        <w:rPr>
          <w:rFonts w:cs="Times New Roman"/>
          <w:szCs w:val="24"/>
        </w:rPr>
        <w:t>.</w:t>
      </w:r>
      <w:r w:rsidR="00811AD8" w:rsidRPr="00811AD8">
        <w:rPr>
          <w:rFonts w:cs="Times New Roman"/>
          <w:szCs w:val="24"/>
        </w:rPr>
        <w:t xml:space="preserve"> </w:t>
      </w:r>
      <w:r w:rsidR="008B457B" w:rsidRPr="00811AD8">
        <w:rPr>
          <w:rFonts w:cs="Times New Roman"/>
          <w:szCs w:val="24"/>
        </w:rPr>
        <w:t xml:space="preserve">tabulu </w:t>
      </w:r>
      <w:r w:rsidR="008B457B">
        <w:rPr>
          <w:rFonts w:cs="Times New Roman"/>
          <w:szCs w:val="24"/>
        </w:rPr>
        <w:t>Nr.</w:t>
      </w:r>
      <w:r w:rsidR="00811AD8" w:rsidRPr="00811AD8">
        <w:rPr>
          <w:rFonts w:cs="Times New Roman"/>
          <w:szCs w:val="24"/>
        </w:rPr>
        <w:t>3.5.</w:t>
      </w:r>
      <w:r w:rsidRPr="00811AD8">
        <w:rPr>
          <w:rFonts w:cs="Times New Roman"/>
          <w:szCs w:val="24"/>
        </w:rPr>
        <w:t>)</w:t>
      </w:r>
      <w:r w:rsidR="00811AD8">
        <w:rPr>
          <w:rFonts w:cs="Times New Roman"/>
          <w:szCs w:val="24"/>
        </w:rPr>
        <w:t>.</w:t>
      </w:r>
    </w:p>
    <w:p w:rsidR="00811AD8" w:rsidRDefault="00811AD8" w:rsidP="007B5387">
      <w:pPr>
        <w:jc w:val="right"/>
        <w:rPr>
          <w:szCs w:val="24"/>
        </w:rPr>
      </w:pPr>
    </w:p>
    <w:p w:rsidR="00BA3D36" w:rsidRDefault="00BA3D36" w:rsidP="007B5387">
      <w:pPr>
        <w:jc w:val="right"/>
        <w:rPr>
          <w:szCs w:val="24"/>
        </w:rPr>
      </w:pPr>
    </w:p>
    <w:p w:rsidR="007B5387" w:rsidRPr="006C7290" w:rsidRDefault="007B5387" w:rsidP="007B5387">
      <w:pPr>
        <w:jc w:val="right"/>
        <w:rPr>
          <w:szCs w:val="24"/>
        </w:rPr>
      </w:pPr>
      <w:r w:rsidRPr="006C7290">
        <w:rPr>
          <w:szCs w:val="24"/>
        </w:rPr>
        <w:lastRenderedPageBreak/>
        <w:t>Tabula Nr.</w:t>
      </w:r>
      <w:r w:rsidR="00811AD8">
        <w:rPr>
          <w:szCs w:val="24"/>
        </w:rPr>
        <w:t>3.5.</w:t>
      </w:r>
    </w:p>
    <w:p w:rsidR="007B5387" w:rsidRPr="00937765" w:rsidRDefault="007B5387" w:rsidP="007B5387">
      <w:pPr>
        <w:spacing w:before="120" w:after="120"/>
        <w:jc w:val="center"/>
        <w:rPr>
          <w:b/>
          <w:sz w:val="20"/>
          <w:szCs w:val="20"/>
        </w:rPr>
      </w:pPr>
      <w:r w:rsidRPr="00811AD8">
        <w:rPr>
          <w:b/>
          <w:i/>
          <w:szCs w:val="24"/>
        </w:rPr>
        <w:t>Premium</w:t>
      </w:r>
      <w:r>
        <w:rPr>
          <w:b/>
          <w:szCs w:val="24"/>
        </w:rPr>
        <w:t xml:space="preserve"> scenārija ieviešanai papildu nepieciešamais fi</w:t>
      </w:r>
      <w:r w:rsidR="00061CA2">
        <w:rPr>
          <w:b/>
          <w:szCs w:val="24"/>
        </w:rPr>
        <w:t>n</w:t>
      </w:r>
      <w:r>
        <w:rPr>
          <w:b/>
          <w:szCs w:val="24"/>
        </w:rPr>
        <w:t xml:space="preserve">ansējums, </w:t>
      </w:r>
      <w:r w:rsidRPr="008E527B">
        <w:rPr>
          <w:b/>
          <w:i/>
          <w:szCs w:val="24"/>
        </w:rPr>
        <w:t>euro</w:t>
      </w:r>
    </w:p>
    <w:tbl>
      <w:tblPr>
        <w:tblStyle w:val="TableGrid"/>
        <w:tblW w:w="5000" w:type="pct"/>
        <w:tblLook w:val="04A0" w:firstRow="1" w:lastRow="0" w:firstColumn="1" w:lastColumn="0" w:noHBand="0" w:noVBand="1"/>
      </w:tblPr>
      <w:tblGrid>
        <w:gridCol w:w="7479"/>
        <w:gridCol w:w="1582"/>
      </w:tblGrid>
      <w:tr w:rsidR="007B5387" w:rsidRPr="00811AD8" w:rsidTr="00811AD8">
        <w:tc>
          <w:tcPr>
            <w:tcW w:w="4127" w:type="pct"/>
            <w:shd w:val="clear" w:color="auto" w:fill="C5E0B3" w:themeFill="accent6" w:themeFillTint="66"/>
          </w:tcPr>
          <w:p w:rsidR="007B5387" w:rsidRPr="00811AD8" w:rsidRDefault="007B5387" w:rsidP="007B5387">
            <w:pPr>
              <w:pStyle w:val="ListParagraph"/>
              <w:ind w:left="0"/>
              <w:jc w:val="center"/>
              <w:rPr>
                <w:rFonts w:cs="Times New Roman"/>
                <w:b/>
                <w:sz w:val="22"/>
              </w:rPr>
            </w:pPr>
            <w:r w:rsidRPr="00811AD8">
              <w:rPr>
                <w:rFonts w:cs="Times New Roman"/>
                <w:b/>
                <w:sz w:val="22"/>
              </w:rPr>
              <w:t>Mērķis</w:t>
            </w:r>
          </w:p>
        </w:tc>
        <w:tc>
          <w:tcPr>
            <w:tcW w:w="873" w:type="pct"/>
            <w:shd w:val="clear" w:color="auto" w:fill="C5E0B3" w:themeFill="accent6" w:themeFillTint="66"/>
          </w:tcPr>
          <w:p w:rsidR="007B5387" w:rsidRPr="00811AD8" w:rsidRDefault="007B5387" w:rsidP="007B5387">
            <w:pPr>
              <w:pStyle w:val="ListParagraph"/>
              <w:ind w:left="0"/>
              <w:jc w:val="center"/>
              <w:rPr>
                <w:rFonts w:cs="Times New Roman"/>
                <w:b/>
                <w:sz w:val="22"/>
              </w:rPr>
            </w:pPr>
            <w:r w:rsidRPr="00811AD8">
              <w:rPr>
                <w:rFonts w:cs="Times New Roman"/>
                <w:b/>
                <w:sz w:val="22"/>
              </w:rPr>
              <w:t>Finansējums</w:t>
            </w:r>
          </w:p>
        </w:tc>
      </w:tr>
      <w:tr w:rsidR="007B5387" w:rsidRPr="00811AD8" w:rsidTr="00811AD8">
        <w:tc>
          <w:tcPr>
            <w:tcW w:w="4127" w:type="pct"/>
          </w:tcPr>
          <w:p w:rsidR="007B5387" w:rsidRPr="00811AD8" w:rsidRDefault="007B5387" w:rsidP="007B5387">
            <w:pPr>
              <w:jc w:val="both"/>
              <w:rPr>
                <w:rFonts w:cs="Times New Roman"/>
                <w:sz w:val="22"/>
              </w:rPr>
            </w:pPr>
            <w:r w:rsidRPr="00811AD8">
              <w:rPr>
                <w:rFonts w:cs="Times New Roman"/>
                <w:sz w:val="22"/>
              </w:rPr>
              <w:t>Unikālo pacientu skaita pieauguma nosegšanai (4%)</w:t>
            </w:r>
          </w:p>
        </w:tc>
        <w:tc>
          <w:tcPr>
            <w:tcW w:w="873" w:type="pct"/>
          </w:tcPr>
          <w:p w:rsidR="007B5387" w:rsidRPr="00811AD8" w:rsidRDefault="007B5387" w:rsidP="005210D4">
            <w:pPr>
              <w:pStyle w:val="ListParagraph"/>
              <w:ind w:left="0"/>
              <w:jc w:val="right"/>
              <w:rPr>
                <w:rFonts w:cs="Times New Roman"/>
                <w:sz w:val="22"/>
              </w:rPr>
            </w:pPr>
            <w:r w:rsidRPr="00811AD8">
              <w:rPr>
                <w:rFonts w:cs="Times New Roman"/>
                <w:sz w:val="22"/>
              </w:rPr>
              <w:t>5 062 917</w:t>
            </w:r>
            <w:r w:rsidR="005210D4">
              <w:rPr>
                <w:rStyle w:val="FootnoteReference"/>
                <w:rFonts w:cs="Times New Roman"/>
                <w:sz w:val="22"/>
              </w:rPr>
              <w:footnoteReference w:id="18"/>
            </w:r>
          </w:p>
        </w:tc>
      </w:tr>
      <w:tr w:rsidR="007B5387" w:rsidRPr="00811AD8" w:rsidTr="00811AD8">
        <w:tc>
          <w:tcPr>
            <w:tcW w:w="4127" w:type="pct"/>
          </w:tcPr>
          <w:p w:rsidR="007B5387" w:rsidRPr="00811AD8" w:rsidRDefault="007B5387" w:rsidP="007B5387">
            <w:pPr>
              <w:pStyle w:val="ListParagraph"/>
              <w:ind w:left="0"/>
              <w:jc w:val="both"/>
              <w:rPr>
                <w:rFonts w:cs="Times New Roman"/>
                <w:sz w:val="22"/>
              </w:rPr>
            </w:pPr>
            <w:r w:rsidRPr="00811AD8">
              <w:rPr>
                <w:rFonts w:cs="Times New Roman"/>
                <w:sz w:val="22"/>
              </w:rPr>
              <w:t>Kompensācijas apmēra paaugstināšanai līdz 100% visām sarakstā esošām diagnozēm</w:t>
            </w:r>
            <w:r w:rsidRPr="00811AD8">
              <w:rPr>
                <w:rFonts w:cs="Times New Roman"/>
                <w:sz w:val="22"/>
              </w:rPr>
              <w:tab/>
            </w:r>
          </w:p>
        </w:tc>
        <w:tc>
          <w:tcPr>
            <w:tcW w:w="873" w:type="pct"/>
          </w:tcPr>
          <w:p w:rsidR="007B5387" w:rsidRPr="00811AD8" w:rsidRDefault="005210D4" w:rsidP="005210D4">
            <w:pPr>
              <w:pStyle w:val="ListParagraph"/>
              <w:ind w:left="0"/>
              <w:jc w:val="right"/>
              <w:rPr>
                <w:rFonts w:cs="Times New Roman"/>
                <w:sz w:val="22"/>
              </w:rPr>
            </w:pPr>
            <w:r>
              <w:rPr>
                <w:rFonts w:cs="Times New Roman"/>
                <w:sz w:val="22"/>
              </w:rPr>
              <w:t>12 959 254</w:t>
            </w:r>
            <w:r w:rsidRPr="005210D4">
              <w:rPr>
                <w:rFonts w:cs="Times New Roman"/>
                <w:sz w:val="22"/>
                <w:vertAlign w:val="superscript"/>
              </w:rPr>
              <w:t>1</w:t>
            </w:r>
          </w:p>
        </w:tc>
      </w:tr>
      <w:tr w:rsidR="007B5387" w:rsidRPr="00811AD8" w:rsidTr="00811AD8">
        <w:tc>
          <w:tcPr>
            <w:tcW w:w="4127" w:type="pct"/>
          </w:tcPr>
          <w:p w:rsidR="007B5387" w:rsidRPr="00811AD8" w:rsidRDefault="007B5387" w:rsidP="007B5387">
            <w:pPr>
              <w:pStyle w:val="ListParagraph"/>
              <w:ind w:left="0"/>
              <w:jc w:val="both"/>
              <w:rPr>
                <w:rFonts w:cs="Times New Roman"/>
                <w:sz w:val="22"/>
              </w:rPr>
            </w:pPr>
            <w:r w:rsidRPr="00811AD8">
              <w:rPr>
                <w:rFonts w:cs="Times New Roman"/>
                <w:sz w:val="22"/>
              </w:rPr>
              <w:t>Kompensācijas paplašināšana sarakstā esošām ar jaunām zālēm un medicīniskajām ierīcēm</w:t>
            </w:r>
          </w:p>
        </w:tc>
        <w:tc>
          <w:tcPr>
            <w:tcW w:w="873" w:type="pct"/>
          </w:tcPr>
          <w:p w:rsidR="007B5387" w:rsidRPr="00811AD8" w:rsidRDefault="007B5387" w:rsidP="005210D4">
            <w:pPr>
              <w:pStyle w:val="ListParagraph"/>
              <w:ind w:left="0"/>
              <w:jc w:val="right"/>
              <w:rPr>
                <w:rFonts w:cs="Times New Roman"/>
                <w:sz w:val="22"/>
              </w:rPr>
            </w:pPr>
            <w:r w:rsidRPr="00811AD8">
              <w:rPr>
                <w:rFonts w:cs="Times New Roman"/>
                <w:sz w:val="22"/>
              </w:rPr>
              <w:t>61 423 600</w:t>
            </w:r>
            <w:r w:rsidR="005210D4">
              <w:rPr>
                <w:rStyle w:val="FootnoteReference"/>
                <w:rFonts w:cs="Times New Roman"/>
                <w:sz w:val="22"/>
              </w:rPr>
              <w:footnoteReference w:id="19"/>
            </w:r>
          </w:p>
        </w:tc>
      </w:tr>
      <w:tr w:rsidR="007B5387" w:rsidRPr="00811AD8" w:rsidTr="00811AD8">
        <w:tc>
          <w:tcPr>
            <w:tcW w:w="4127" w:type="pct"/>
          </w:tcPr>
          <w:p w:rsidR="007B5387" w:rsidRPr="00811AD8" w:rsidRDefault="007B5387" w:rsidP="007B5387">
            <w:pPr>
              <w:pStyle w:val="ListParagraph"/>
              <w:ind w:left="0"/>
              <w:jc w:val="both"/>
              <w:rPr>
                <w:rFonts w:cs="Times New Roman"/>
                <w:sz w:val="22"/>
              </w:rPr>
            </w:pPr>
            <w:r w:rsidRPr="00811AD8">
              <w:rPr>
                <w:rFonts w:cs="Times New Roman"/>
                <w:sz w:val="22"/>
              </w:rPr>
              <w:t>Atsevišķu jaunu diagnožu iekļaušana</w:t>
            </w:r>
          </w:p>
        </w:tc>
        <w:tc>
          <w:tcPr>
            <w:tcW w:w="873" w:type="pct"/>
          </w:tcPr>
          <w:p w:rsidR="007B5387" w:rsidRPr="00811AD8" w:rsidRDefault="005210D4" w:rsidP="005210D4">
            <w:pPr>
              <w:pStyle w:val="ListParagraph"/>
              <w:ind w:left="0"/>
              <w:jc w:val="right"/>
              <w:rPr>
                <w:rFonts w:cs="Times New Roman"/>
                <w:sz w:val="22"/>
              </w:rPr>
            </w:pPr>
            <w:r>
              <w:rPr>
                <w:rFonts w:cs="Times New Roman"/>
                <w:sz w:val="22"/>
              </w:rPr>
              <w:t>6 816 115</w:t>
            </w:r>
            <w:r w:rsidRPr="005210D4">
              <w:rPr>
                <w:rFonts w:cs="Times New Roman"/>
                <w:sz w:val="22"/>
                <w:vertAlign w:val="superscript"/>
              </w:rPr>
              <w:t>2</w:t>
            </w:r>
          </w:p>
        </w:tc>
      </w:tr>
      <w:tr w:rsidR="007B5387" w:rsidRPr="00811AD8" w:rsidTr="00811AD8">
        <w:tc>
          <w:tcPr>
            <w:tcW w:w="4127" w:type="pct"/>
          </w:tcPr>
          <w:p w:rsidR="007B5387" w:rsidRPr="00811AD8" w:rsidRDefault="007B5387" w:rsidP="007B5387">
            <w:pPr>
              <w:pStyle w:val="ListParagraph"/>
              <w:ind w:left="0"/>
              <w:jc w:val="right"/>
              <w:rPr>
                <w:rFonts w:cs="Times New Roman"/>
                <w:b/>
                <w:sz w:val="22"/>
              </w:rPr>
            </w:pPr>
            <w:r w:rsidRPr="00811AD8">
              <w:rPr>
                <w:rFonts w:cs="Times New Roman"/>
                <w:b/>
                <w:sz w:val="22"/>
              </w:rPr>
              <w:t>Kopā:</w:t>
            </w:r>
          </w:p>
        </w:tc>
        <w:tc>
          <w:tcPr>
            <w:tcW w:w="873" w:type="pct"/>
          </w:tcPr>
          <w:p w:rsidR="007B5387" w:rsidRPr="00811AD8" w:rsidRDefault="007B5387" w:rsidP="005210D4">
            <w:pPr>
              <w:pStyle w:val="ListParagraph"/>
              <w:ind w:left="0"/>
              <w:jc w:val="right"/>
              <w:rPr>
                <w:rFonts w:cs="Times New Roman"/>
                <w:b/>
                <w:sz w:val="22"/>
              </w:rPr>
            </w:pPr>
            <w:r w:rsidRPr="00811AD8">
              <w:rPr>
                <w:rFonts w:cs="Times New Roman"/>
                <w:b/>
                <w:sz w:val="22"/>
              </w:rPr>
              <w:t>86 261 886</w:t>
            </w:r>
          </w:p>
        </w:tc>
      </w:tr>
    </w:tbl>
    <w:p w:rsidR="00811AD8" w:rsidRDefault="00811AD8" w:rsidP="007B5387">
      <w:pPr>
        <w:jc w:val="right"/>
        <w:rPr>
          <w:szCs w:val="24"/>
        </w:rPr>
      </w:pPr>
    </w:p>
    <w:p w:rsidR="007B5387" w:rsidRPr="006C7290" w:rsidRDefault="007B5387" w:rsidP="007B5387">
      <w:pPr>
        <w:jc w:val="right"/>
        <w:rPr>
          <w:szCs w:val="24"/>
        </w:rPr>
      </w:pPr>
      <w:r w:rsidRPr="006C7290">
        <w:rPr>
          <w:szCs w:val="24"/>
        </w:rPr>
        <w:t>Tabula Nr.</w:t>
      </w:r>
      <w:r w:rsidR="00811AD8">
        <w:rPr>
          <w:szCs w:val="24"/>
        </w:rPr>
        <w:t>3.6.</w:t>
      </w:r>
    </w:p>
    <w:p w:rsidR="007B5387" w:rsidRPr="00FD48F3" w:rsidRDefault="007B5387" w:rsidP="007B5387">
      <w:pPr>
        <w:spacing w:before="120" w:after="120"/>
        <w:jc w:val="center"/>
        <w:rPr>
          <w:b/>
          <w:sz w:val="20"/>
          <w:szCs w:val="20"/>
        </w:rPr>
      </w:pPr>
      <w:r w:rsidRPr="00811AD8">
        <w:rPr>
          <w:b/>
          <w:i/>
          <w:szCs w:val="24"/>
        </w:rPr>
        <w:t>Premium</w:t>
      </w:r>
      <w:r>
        <w:rPr>
          <w:b/>
          <w:szCs w:val="24"/>
        </w:rPr>
        <w:t xml:space="preserve"> scenārija ieguvumi un riski</w:t>
      </w:r>
    </w:p>
    <w:tbl>
      <w:tblPr>
        <w:tblStyle w:val="TableGrid"/>
        <w:tblW w:w="5000" w:type="pct"/>
        <w:tblLook w:val="04A0" w:firstRow="1" w:lastRow="0" w:firstColumn="1" w:lastColumn="0" w:noHBand="0" w:noVBand="1"/>
      </w:tblPr>
      <w:tblGrid>
        <w:gridCol w:w="4530"/>
        <w:gridCol w:w="4531"/>
      </w:tblGrid>
      <w:tr w:rsidR="007B5387" w:rsidRPr="005210D4" w:rsidTr="005210D4">
        <w:trPr>
          <w:trHeight w:val="226"/>
          <w:tblHeader/>
        </w:trPr>
        <w:tc>
          <w:tcPr>
            <w:tcW w:w="2500" w:type="pct"/>
            <w:shd w:val="clear" w:color="auto" w:fill="C5E0B3" w:themeFill="accent6" w:themeFillTint="66"/>
          </w:tcPr>
          <w:p w:rsidR="007B5387" w:rsidRPr="005210D4" w:rsidRDefault="007B5387" w:rsidP="007B5387">
            <w:pPr>
              <w:jc w:val="center"/>
              <w:rPr>
                <w:rFonts w:cs="Times New Roman"/>
                <w:b/>
                <w:sz w:val="22"/>
              </w:rPr>
            </w:pPr>
            <w:r w:rsidRPr="005210D4">
              <w:rPr>
                <w:rFonts w:cs="Times New Roman"/>
                <w:b/>
                <w:sz w:val="22"/>
              </w:rPr>
              <w:t>Ieguvumi</w:t>
            </w:r>
          </w:p>
        </w:tc>
        <w:tc>
          <w:tcPr>
            <w:tcW w:w="2500" w:type="pct"/>
            <w:shd w:val="clear" w:color="auto" w:fill="C5E0B3" w:themeFill="accent6" w:themeFillTint="66"/>
          </w:tcPr>
          <w:p w:rsidR="007B5387" w:rsidRPr="005210D4" w:rsidRDefault="007B5387" w:rsidP="007B5387">
            <w:pPr>
              <w:jc w:val="center"/>
              <w:rPr>
                <w:rFonts w:cs="Times New Roman"/>
                <w:b/>
                <w:sz w:val="22"/>
              </w:rPr>
            </w:pPr>
            <w:r w:rsidRPr="005210D4">
              <w:rPr>
                <w:rFonts w:cs="Times New Roman"/>
                <w:b/>
                <w:sz w:val="22"/>
              </w:rPr>
              <w:t>Riski</w:t>
            </w:r>
          </w:p>
        </w:tc>
      </w:tr>
      <w:tr w:rsidR="007B5387" w:rsidRPr="005210D4" w:rsidTr="005210D4">
        <w:tc>
          <w:tcPr>
            <w:tcW w:w="2500" w:type="pct"/>
          </w:tcPr>
          <w:p w:rsidR="007B5387" w:rsidRPr="005210D4" w:rsidRDefault="007B5387" w:rsidP="008C25BB">
            <w:pPr>
              <w:pStyle w:val="ListParagraph"/>
              <w:numPr>
                <w:ilvl w:val="0"/>
                <w:numId w:val="129"/>
              </w:numPr>
              <w:tabs>
                <w:tab w:val="left" w:pos="313"/>
              </w:tabs>
              <w:spacing w:after="160"/>
              <w:ind w:left="29" w:firstLine="0"/>
              <w:jc w:val="both"/>
              <w:rPr>
                <w:rFonts w:cs="Times New Roman"/>
                <w:sz w:val="22"/>
              </w:rPr>
            </w:pPr>
            <w:r w:rsidRPr="005210D4">
              <w:rPr>
                <w:rFonts w:cs="Times New Roman"/>
                <w:sz w:val="22"/>
              </w:rPr>
              <w:t>pacientu ārstēšanas nodrošināšana atbilstoši starptautiskiem standartiem (vadlīnijām, labai praksei);</w:t>
            </w:r>
          </w:p>
          <w:p w:rsidR="007B5387" w:rsidRPr="005210D4" w:rsidRDefault="007B5387" w:rsidP="008C25BB">
            <w:pPr>
              <w:pStyle w:val="ListParagraph"/>
              <w:numPr>
                <w:ilvl w:val="0"/>
                <w:numId w:val="129"/>
              </w:numPr>
              <w:tabs>
                <w:tab w:val="left" w:pos="313"/>
              </w:tabs>
              <w:spacing w:after="160"/>
              <w:ind w:left="29" w:firstLine="0"/>
              <w:jc w:val="both"/>
              <w:rPr>
                <w:rFonts w:cs="Times New Roman"/>
                <w:sz w:val="22"/>
              </w:rPr>
            </w:pPr>
            <w:r w:rsidRPr="005210D4">
              <w:rPr>
                <w:rFonts w:cs="Times New Roman"/>
                <w:sz w:val="22"/>
              </w:rPr>
              <w:t>neatliekamo hospitalizāciju samazinājums regulāras un līdzestīgas zāļu lietošanas rezultātā;</w:t>
            </w:r>
          </w:p>
          <w:p w:rsidR="007B5387" w:rsidRPr="005210D4" w:rsidRDefault="007B5387" w:rsidP="008C25BB">
            <w:pPr>
              <w:pStyle w:val="ListParagraph"/>
              <w:numPr>
                <w:ilvl w:val="0"/>
                <w:numId w:val="129"/>
              </w:numPr>
              <w:tabs>
                <w:tab w:val="left" w:pos="313"/>
              </w:tabs>
              <w:spacing w:after="160"/>
              <w:ind w:left="29" w:firstLine="0"/>
              <w:jc w:val="both"/>
              <w:rPr>
                <w:rFonts w:cs="Times New Roman"/>
                <w:sz w:val="22"/>
              </w:rPr>
            </w:pPr>
            <w:r w:rsidRPr="005210D4">
              <w:rPr>
                <w:rFonts w:cs="Times New Roman"/>
                <w:sz w:val="22"/>
              </w:rPr>
              <w:t>iedzīvotāju dzīves kvalitātes, darbaspēju un dzīvildzes rādītāju uzlabošanās (ilgtermiņā);</w:t>
            </w:r>
          </w:p>
          <w:p w:rsidR="007B5387" w:rsidRPr="005210D4" w:rsidRDefault="007B5387" w:rsidP="008C25BB">
            <w:pPr>
              <w:pStyle w:val="ListParagraph"/>
              <w:numPr>
                <w:ilvl w:val="0"/>
                <w:numId w:val="129"/>
              </w:numPr>
              <w:tabs>
                <w:tab w:val="left" w:pos="313"/>
              </w:tabs>
              <w:spacing w:after="160"/>
              <w:ind w:left="29" w:firstLine="0"/>
              <w:jc w:val="both"/>
              <w:rPr>
                <w:rFonts w:cs="Times New Roman"/>
                <w:sz w:val="22"/>
              </w:rPr>
            </w:pPr>
            <w:r w:rsidRPr="005210D4">
              <w:rPr>
                <w:rFonts w:cs="Times New Roman"/>
                <w:sz w:val="22"/>
              </w:rPr>
              <w:t xml:space="preserve">iedzīvotāju apmierinātības ar veselības aprūpes sistēmu pieaugums. </w:t>
            </w:r>
          </w:p>
        </w:tc>
        <w:tc>
          <w:tcPr>
            <w:tcW w:w="2500" w:type="pct"/>
          </w:tcPr>
          <w:p w:rsidR="007B5387" w:rsidRPr="005210D4" w:rsidRDefault="007B5387" w:rsidP="008C25BB">
            <w:pPr>
              <w:pStyle w:val="ListParagraph"/>
              <w:numPr>
                <w:ilvl w:val="0"/>
                <w:numId w:val="129"/>
              </w:numPr>
              <w:tabs>
                <w:tab w:val="left" w:pos="313"/>
              </w:tabs>
              <w:spacing w:after="160"/>
              <w:ind w:left="29" w:firstLine="0"/>
              <w:jc w:val="both"/>
              <w:rPr>
                <w:rFonts w:cs="Times New Roman"/>
                <w:sz w:val="22"/>
              </w:rPr>
            </w:pPr>
            <w:r w:rsidRPr="005210D4">
              <w:rPr>
                <w:rFonts w:cs="Times New Roman"/>
                <w:sz w:val="22"/>
              </w:rPr>
              <w:t>ņemot vērā straujo jauno medikamentu attīstību un ienākšanu tirgū, ieilgušās nenosegtās vajadzības zāļu kompensācijā, finansējuma nepieciešamība var pieaugt neprognozējami.</w:t>
            </w:r>
          </w:p>
        </w:tc>
      </w:tr>
    </w:tbl>
    <w:p w:rsidR="007B5387" w:rsidRDefault="007B5387" w:rsidP="007B5387">
      <w:pPr>
        <w:jc w:val="both"/>
        <w:rPr>
          <w:rFonts w:cs="Times New Roman"/>
          <w:szCs w:val="24"/>
        </w:rPr>
      </w:pPr>
    </w:p>
    <w:p w:rsidR="007B5387" w:rsidRPr="00BA3D36" w:rsidRDefault="007B5387" w:rsidP="00BA3D36">
      <w:pPr>
        <w:ind w:firstLine="720"/>
        <w:jc w:val="both"/>
        <w:rPr>
          <w:rFonts w:cs="Times New Roman"/>
          <w:szCs w:val="24"/>
        </w:rPr>
      </w:pPr>
      <w:r>
        <w:rPr>
          <w:rFonts w:cs="Times New Roman"/>
          <w:szCs w:val="24"/>
        </w:rPr>
        <w:t xml:space="preserve">Atbilstoši </w:t>
      </w:r>
      <w:r w:rsidR="008B457B" w:rsidRPr="00811AD8">
        <w:rPr>
          <w:rFonts w:cs="Times New Roman"/>
          <w:szCs w:val="24"/>
        </w:rPr>
        <w:t>tabulai</w:t>
      </w:r>
      <w:r w:rsidR="008B457B">
        <w:rPr>
          <w:rFonts w:cs="Times New Roman"/>
          <w:szCs w:val="24"/>
        </w:rPr>
        <w:t xml:space="preserve"> Nr.</w:t>
      </w:r>
      <w:r w:rsidR="00811AD8" w:rsidRPr="00811AD8">
        <w:rPr>
          <w:rFonts w:cs="Times New Roman"/>
          <w:szCs w:val="24"/>
        </w:rPr>
        <w:t>3.6.</w:t>
      </w:r>
      <w:r>
        <w:rPr>
          <w:rFonts w:cs="Times New Roman"/>
          <w:szCs w:val="24"/>
        </w:rPr>
        <w:t xml:space="preserve"> ZIKS lietotājiem </w:t>
      </w:r>
      <w:r w:rsidRPr="00811AD8">
        <w:rPr>
          <w:rFonts w:cs="Times New Roman"/>
          <w:i/>
          <w:szCs w:val="24"/>
        </w:rPr>
        <w:t>premium</w:t>
      </w:r>
      <w:r>
        <w:rPr>
          <w:rFonts w:cs="Times New Roman"/>
          <w:szCs w:val="24"/>
        </w:rPr>
        <w:t xml:space="preserve"> scenārija</w:t>
      </w:r>
      <w:r w:rsidR="00BA3D36">
        <w:rPr>
          <w:rFonts w:cs="Times New Roman"/>
          <w:szCs w:val="24"/>
        </w:rPr>
        <w:t xml:space="preserve"> īstenošanai ir tikai ieguvumi.</w:t>
      </w:r>
    </w:p>
    <w:p w:rsidR="007B5387" w:rsidRPr="00B149D9" w:rsidRDefault="007B5387" w:rsidP="007B5387">
      <w:pPr>
        <w:pStyle w:val="ListParagraph"/>
        <w:tabs>
          <w:tab w:val="left" w:pos="993"/>
        </w:tabs>
        <w:spacing w:before="120" w:after="120"/>
        <w:ind w:left="0"/>
        <w:jc w:val="both"/>
        <w:rPr>
          <w:rFonts w:cs="Times New Roman"/>
          <w:b/>
          <w:szCs w:val="24"/>
        </w:rPr>
      </w:pPr>
      <w:r w:rsidRPr="002C7C38">
        <w:rPr>
          <w:rFonts w:cs="Times New Roman"/>
          <w:b/>
          <w:szCs w:val="24"/>
        </w:rPr>
        <w:t xml:space="preserve">Alternatīvais risinājums Nr.1 – </w:t>
      </w:r>
      <w:r w:rsidRPr="002C7C38">
        <w:rPr>
          <w:b/>
        </w:rPr>
        <w:t>finansējuma pārdalīšana starp esošām diagnožu grupām</w:t>
      </w:r>
    </w:p>
    <w:p w:rsidR="007B5387" w:rsidRDefault="007B5387" w:rsidP="007B5387">
      <w:pPr>
        <w:ind w:firstLine="709"/>
        <w:jc w:val="both"/>
        <w:rPr>
          <w:rFonts w:cs="Times New Roman"/>
          <w:szCs w:val="24"/>
        </w:rPr>
      </w:pPr>
      <w:r>
        <w:rPr>
          <w:rFonts w:cs="Times New Roman"/>
          <w:szCs w:val="24"/>
        </w:rPr>
        <w:t xml:space="preserve">Pirmais alternatīvā risinājuma variants paredz </w:t>
      </w:r>
      <w:r w:rsidRPr="000017F1">
        <w:rPr>
          <w:rFonts w:cs="Times New Roman"/>
          <w:szCs w:val="24"/>
        </w:rPr>
        <w:t>visai sirds un asinsrites slimību grupai samazināt kom</w:t>
      </w:r>
      <w:r>
        <w:rPr>
          <w:rFonts w:cs="Times New Roman"/>
          <w:szCs w:val="24"/>
        </w:rPr>
        <w:t xml:space="preserve">pensācijas apmēru no </w:t>
      </w:r>
      <w:r w:rsidRPr="00721EA8">
        <w:rPr>
          <w:rFonts w:cs="Times New Roman"/>
          <w:szCs w:val="24"/>
        </w:rPr>
        <w:t xml:space="preserve">75% </w:t>
      </w:r>
      <w:r>
        <w:rPr>
          <w:rFonts w:cs="Times New Roman"/>
          <w:szCs w:val="24"/>
        </w:rPr>
        <w:t>uz 50%. Iegūto finansējumu novirzot</w:t>
      </w:r>
      <w:r w:rsidRPr="00037292">
        <w:rPr>
          <w:rFonts w:cs="Times New Roman"/>
          <w:szCs w:val="24"/>
        </w:rPr>
        <w:t xml:space="preserve"> inovatīviem medikamentiem onkoloģijā, kompensācijas apmēra palielināšanai Krona slimībai, čūlainam kolītam un psoriāzei</w:t>
      </w:r>
      <w:r>
        <w:rPr>
          <w:rFonts w:cs="Times New Roman"/>
          <w:szCs w:val="24"/>
        </w:rPr>
        <w:t>,</w:t>
      </w:r>
      <w:r w:rsidRPr="00037292">
        <w:rPr>
          <w:rFonts w:cs="Times New Roman"/>
          <w:szCs w:val="24"/>
        </w:rPr>
        <w:t xml:space="preserve"> </w:t>
      </w:r>
      <w:r>
        <w:rPr>
          <w:rFonts w:cs="Times New Roman"/>
          <w:szCs w:val="24"/>
        </w:rPr>
        <w:t xml:space="preserve">kompensācijas apmēru palielinot </w:t>
      </w:r>
      <w:r w:rsidRPr="00037292">
        <w:rPr>
          <w:rFonts w:cs="Times New Roman"/>
          <w:szCs w:val="24"/>
        </w:rPr>
        <w:t>no 75% uz 100%, t.sk. arī bioloģiskās terapijas apmaksa</w:t>
      </w:r>
      <w:r>
        <w:rPr>
          <w:rFonts w:cs="Times New Roman"/>
          <w:szCs w:val="24"/>
        </w:rPr>
        <w:t>i.</w:t>
      </w:r>
      <w:r w:rsidRPr="00037292">
        <w:rPr>
          <w:rFonts w:cs="Times New Roman"/>
          <w:szCs w:val="24"/>
        </w:rPr>
        <w:t xml:space="preserve"> </w:t>
      </w:r>
    </w:p>
    <w:p w:rsidR="0065117E" w:rsidRPr="009F420E" w:rsidRDefault="007B5387" w:rsidP="009F420E">
      <w:pPr>
        <w:spacing w:before="60" w:after="120"/>
        <w:ind w:firstLine="709"/>
        <w:jc w:val="both"/>
        <w:rPr>
          <w:rFonts w:cs="Times New Roman"/>
          <w:szCs w:val="24"/>
        </w:rPr>
      </w:pPr>
      <w:r>
        <w:rPr>
          <w:rFonts w:cs="Times New Roman"/>
          <w:szCs w:val="24"/>
        </w:rPr>
        <w:t>2016.</w:t>
      </w:r>
      <w:r w:rsidRPr="00BC24FE">
        <w:rPr>
          <w:rFonts w:cs="Times New Roman"/>
          <w:szCs w:val="24"/>
        </w:rPr>
        <w:t xml:space="preserve">gadā no ZIKS budžeta līdzekļiem sirds un asinsrites sistēmas slimību ārstēšanai ir izlietoti 20 650 186 </w:t>
      </w:r>
      <w:r w:rsidRPr="00BC24FE">
        <w:rPr>
          <w:rFonts w:cs="Times New Roman"/>
          <w:i/>
          <w:szCs w:val="24"/>
        </w:rPr>
        <w:t>euro</w:t>
      </w:r>
      <w:r w:rsidRPr="00BC24FE">
        <w:rPr>
          <w:rFonts w:cs="Times New Roman"/>
          <w:szCs w:val="24"/>
        </w:rPr>
        <w:t>. Samazinot kompensācijas apmēru par 25%, finansējumu 6</w:t>
      </w:r>
      <w:r w:rsidRPr="00BC24FE">
        <w:rPr>
          <w:rFonts w:cs="Times New Roman"/>
        </w:rPr>
        <w:t> 447 985</w:t>
      </w:r>
      <w:r w:rsidRPr="00BC24FE">
        <w:rPr>
          <w:rFonts w:cs="Times New Roman"/>
          <w:szCs w:val="24"/>
        </w:rPr>
        <w:t xml:space="preserve"> </w:t>
      </w:r>
      <w:r w:rsidRPr="00BC24FE">
        <w:rPr>
          <w:rFonts w:cs="Times New Roman"/>
          <w:i/>
          <w:szCs w:val="24"/>
        </w:rPr>
        <w:t>euro</w:t>
      </w:r>
      <w:r w:rsidRPr="00BC24FE">
        <w:rPr>
          <w:rFonts w:cs="Times New Roman"/>
          <w:szCs w:val="24"/>
        </w:rPr>
        <w:t xml:space="preserve"> apmērā varētu novirzīt citu diagnožu grupu apmaksai</w:t>
      </w:r>
      <w:r w:rsidR="00EA3393">
        <w:rPr>
          <w:rFonts w:cs="Times New Roman"/>
          <w:szCs w:val="24"/>
        </w:rPr>
        <w:t xml:space="preserve"> (skat. tabulu Nr.3.7.)</w:t>
      </w:r>
      <w:r w:rsidRPr="00BC24FE">
        <w:rPr>
          <w:rFonts w:cs="Times New Roman"/>
          <w:szCs w:val="24"/>
        </w:rPr>
        <w:t>,</w:t>
      </w:r>
      <w:r w:rsidR="00811AD8">
        <w:rPr>
          <w:rFonts w:cs="Times New Roman"/>
          <w:szCs w:val="24"/>
        </w:rPr>
        <w:t xml:space="preserve"> </w:t>
      </w:r>
      <w:r w:rsidRPr="00BC24FE">
        <w:rPr>
          <w:rFonts w:cs="Times New Roman"/>
          <w:szCs w:val="24"/>
        </w:rPr>
        <w:t xml:space="preserve">t.i., psoriāzes ārstēšanai 612 145 </w:t>
      </w:r>
      <w:r w:rsidRPr="00BC24FE">
        <w:rPr>
          <w:rFonts w:cs="Times New Roman"/>
          <w:i/>
          <w:szCs w:val="24"/>
        </w:rPr>
        <w:t>euro</w:t>
      </w:r>
      <w:r w:rsidRPr="00BC24FE">
        <w:rPr>
          <w:rFonts w:cs="Times New Roman"/>
          <w:szCs w:val="24"/>
        </w:rPr>
        <w:t xml:space="preserve"> apmērā, Krona slimības un čūlainā kolīta ārstēšanai 596 641 </w:t>
      </w:r>
      <w:r w:rsidRPr="00BC24FE">
        <w:rPr>
          <w:rFonts w:cs="Times New Roman"/>
          <w:i/>
          <w:szCs w:val="24"/>
        </w:rPr>
        <w:t xml:space="preserve">euro </w:t>
      </w:r>
      <w:r w:rsidR="00061CA2">
        <w:rPr>
          <w:rFonts w:cs="Times New Roman"/>
          <w:szCs w:val="24"/>
        </w:rPr>
        <w:t xml:space="preserve">apmērā, kā arī </w:t>
      </w:r>
      <w:r w:rsidRPr="00BC24FE">
        <w:rPr>
          <w:rFonts w:cs="Times New Roman"/>
          <w:szCs w:val="24"/>
        </w:rPr>
        <w:t xml:space="preserve">onkoloģijai 5 239 199 </w:t>
      </w:r>
      <w:r w:rsidRPr="00BC24FE">
        <w:rPr>
          <w:rFonts w:cs="Times New Roman"/>
          <w:i/>
          <w:szCs w:val="24"/>
        </w:rPr>
        <w:t>euro</w:t>
      </w:r>
      <w:r w:rsidRPr="00BC24FE">
        <w:rPr>
          <w:rFonts w:cs="Times New Roman"/>
          <w:szCs w:val="24"/>
        </w:rPr>
        <w:t xml:space="preserve"> apmērā.</w:t>
      </w:r>
      <w:r w:rsidRPr="00037292">
        <w:rPr>
          <w:rFonts w:cs="Times New Roman"/>
          <w:szCs w:val="24"/>
        </w:rPr>
        <w:t xml:space="preserve"> </w:t>
      </w:r>
    </w:p>
    <w:p w:rsidR="007B5387" w:rsidRPr="006C7290" w:rsidRDefault="007B5387" w:rsidP="009F420E">
      <w:pPr>
        <w:jc w:val="right"/>
        <w:rPr>
          <w:szCs w:val="24"/>
        </w:rPr>
      </w:pPr>
      <w:r w:rsidRPr="006C7290">
        <w:rPr>
          <w:szCs w:val="24"/>
        </w:rPr>
        <w:t>Tabula Nr.</w:t>
      </w:r>
      <w:r w:rsidR="00061CA2">
        <w:rPr>
          <w:szCs w:val="24"/>
        </w:rPr>
        <w:t>3.7.</w:t>
      </w:r>
    </w:p>
    <w:p w:rsidR="007B5387" w:rsidRPr="00FD48F3" w:rsidRDefault="007B5387" w:rsidP="0065117E">
      <w:pPr>
        <w:spacing w:before="240" w:after="120"/>
        <w:jc w:val="center"/>
        <w:rPr>
          <w:b/>
          <w:sz w:val="20"/>
          <w:szCs w:val="20"/>
        </w:rPr>
      </w:pPr>
      <w:r>
        <w:rPr>
          <w:b/>
          <w:szCs w:val="24"/>
        </w:rPr>
        <w:t>Alternatīvā risinājuma Nr.1 ieguvumi un riski</w:t>
      </w:r>
    </w:p>
    <w:tbl>
      <w:tblPr>
        <w:tblStyle w:val="TableGrid"/>
        <w:tblW w:w="5000" w:type="pct"/>
        <w:tblLook w:val="04A0" w:firstRow="1" w:lastRow="0" w:firstColumn="1" w:lastColumn="0" w:noHBand="0" w:noVBand="1"/>
      </w:tblPr>
      <w:tblGrid>
        <w:gridCol w:w="4530"/>
        <w:gridCol w:w="4531"/>
      </w:tblGrid>
      <w:tr w:rsidR="007B5387" w:rsidRPr="00811AD8" w:rsidTr="00811AD8">
        <w:trPr>
          <w:trHeight w:val="226"/>
          <w:tblHeader/>
        </w:trPr>
        <w:tc>
          <w:tcPr>
            <w:tcW w:w="2500" w:type="pct"/>
            <w:shd w:val="clear" w:color="auto" w:fill="C5E0B3" w:themeFill="accent6" w:themeFillTint="66"/>
          </w:tcPr>
          <w:p w:rsidR="007B5387" w:rsidRPr="00811AD8" w:rsidRDefault="007B5387" w:rsidP="007B5387">
            <w:pPr>
              <w:jc w:val="center"/>
              <w:rPr>
                <w:rFonts w:cs="Times New Roman"/>
                <w:b/>
                <w:sz w:val="22"/>
              </w:rPr>
            </w:pPr>
            <w:r w:rsidRPr="00811AD8">
              <w:rPr>
                <w:rFonts w:cs="Times New Roman"/>
                <w:b/>
                <w:sz w:val="22"/>
              </w:rPr>
              <w:t>Ieguvumi</w:t>
            </w:r>
          </w:p>
        </w:tc>
        <w:tc>
          <w:tcPr>
            <w:tcW w:w="2500" w:type="pct"/>
            <w:shd w:val="clear" w:color="auto" w:fill="C5E0B3" w:themeFill="accent6" w:themeFillTint="66"/>
          </w:tcPr>
          <w:p w:rsidR="007B5387" w:rsidRPr="00811AD8" w:rsidRDefault="007B5387" w:rsidP="007B5387">
            <w:pPr>
              <w:jc w:val="center"/>
              <w:rPr>
                <w:rFonts w:cs="Times New Roman"/>
                <w:b/>
                <w:sz w:val="22"/>
              </w:rPr>
            </w:pPr>
            <w:r w:rsidRPr="00811AD8">
              <w:rPr>
                <w:rFonts w:cs="Times New Roman"/>
                <w:b/>
                <w:sz w:val="22"/>
              </w:rPr>
              <w:t>Riski</w:t>
            </w:r>
          </w:p>
        </w:tc>
      </w:tr>
      <w:tr w:rsidR="007B5387" w:rsidRPr="00811AD8" w:rsidTr="00811AD8">
        <w:tc>
          <w:tcPr>
            <w:tcW w:w="2500" w:type="pct"/>
          </w:tcPr>
          <w:p w:rsidR="007B5387" w:rsidRPr="00811AD8" w:rsidRDefault="007B5387" w:rsidP="008C25BB">
            <w:pPr>
              <w:pStyle w:val="ListParagraph"/>
              <w:numPr>
                <w:ilvl w:val="0"/>
                <w:numId w:val="129"/>
              </w:numPr>
              <w:tabs>
                <w:tab w:val="left" w:pos="313"/>
              </w:tabs>
              <w:spacing w:after="160"/>
              <w:ind w:left="29" w:firstLine="0"/>
              <w:jc w:val="both"/>
              <w:rPr>
                <w:rFonts w:cs="Times New Roman"/>
                <w:sz w:val="22"/>
              </w:rPr>
            </w:pPr>
            <w:r w:rsidRPr="00811AD8">
              <w:rPr>
                <w:rFonts w:cs="Times New Roman"/>
                <w:sz w:val="22"/>
              </w:rPr>
              <w:t xml:space="preserve">onkoloģiskie pacienti saņems jaunākas paaudzes terapiju, kas varētu palielināt kopējo dzīvildzi un uzlabot dzīves kvalitāti, palielināsies pacientu vidējais vecums un samazināsies hospitalizācijas; </w:t>
            </w:r>
          </w:p>
          <w:p w:rsidR="007B5387" w:rsidRPr="00811AD8" w:rsidRDefault="007B5387" w:rsidP="008C25BB">
            <w:pPr>
              <w:pStyle w:val="ListParagraph"/>
              <w:numPr>
                <w:ilvl w:val="0"/>
                <w:numId w:val="129"/>
              </w:numPr>
              <w:tabs>
                <w:tab w:val="left" w:pos="313"/>
              </w:tabs>
              <w:spacing w:after="160"/>
              <w:ind w:left="29" w:firstLine="0"/>
              <w:jc w:val="both"/>
              <w:rPr>
                <w:rFonts w:cs="Times New Roman"/>
                <w:sz w:val="22"/>
              </w:rPr>
            </w:pPr>
            <w:r w:rsidRPr="00811AD8">
              <w:rPr>
                <w:rFonts w:cs="Times New Roman"/>
                <w:sz w:val="22"/>
              </w:rPr>
              <w:lastRenderedPageBreak/>
              <w:t xml:space="preserve">psoriāzes, Krona slimības un čūlainā kolīta slimnieki saņems bioloģisko terapiju, kas uzlabos viņu dzīves kvalitāti, saglabās darbaspējas, palielināsies pacientu vidējais vecums un samazināsies hospitalizācijas. </w:t>
            </w:r>
          </w:p>
        </w:tc>
        <w:tc>
          <w:tcPr>
            <w:tcW w:w="2500" w:type="pct"/>
          </w:tcPr>
          <w:p w:rsidR="007B5387" w:rsidRPr="00811AD8" w:rsidRDefault="007B5387" w:rsidP="008C25BB">
            <w:pPr>
              <w:pStyle w:val="ListParagraph"/>
              <w:numPr>
                <w:ilvl w:val="0"/>
                <w:numId w:val="129"/>
              </w:numPr>
              <w:tabs>
                <w:tab w:val="left" w:pos="313"/>
              </w:tabs>
              <w:spacing w:after="160"/>
              <w:ind w:left="29" w:firstLine="0"/>
              <w:jc w:val="both"/>
              <w:rPr>
                <w:rFonts w:cs="Times New Roman"/>
                <w:sz w:val="22"/>
              </w:rPr>
            </w:pPr>
            <w:r w:rsidRPr="00811AD8">
              <w:rPr>
                <w:rFonts w:cs="Times New Roman"/>
                <w:sz w:val="22"/>
              </w:rPr>
              <w:lastRenderedPageBreak/>
              <w:t>pieaugs neatliekamās hospitalizācijas un nāves riski kardioloģiskajiem pacientiem nepilnvērtīgas terapijas lietošanas rezultātā (pasliktināsies finansiālā pieejamība);</w:t>
            </w:r>
          </w:p>
          <w:p w:rsidR="007B5387" w:rsidRPr="00811AD8" w:rsidRDefault="007B5387" w:rsidP="008C25BB">
            <w:pPr>
              <w:pStyle w:val="ListParagraph"/>
              <w:numPr>
                <w:ilvl w:val="0"/>
                <w:numId w:val="129"/>
              </w:numPr>
              <w:tabs>
                <w:tab w:val="left" w:pos="313"/>
              </w:tabs>
              <w:spacing w:after="160"/>
              <w:ind w:left="29" w:firstLine="0"/>
              <w:jc w:val="both"/>
              <w:rPr>
                <w:rFonts w:cs="Times New Roman"/>
                <w:color w:val="000000"/>
                <w:sz w:val="22"/>
              </w:rPr>
            </w:pPr>
            <w:r w:rsidRPr="00811AD8">
              <w:rPr>
                <w:rFonts w:cs="Times New Roman"/>
                <w:sz w:val="22"/>
              </w:rPr>
              <w:lastRenderedPageBreak/>
              <w:t>lielai daļai pacientu ir vairākas kardioloģiskās diagnozes, līdz ar to var pieaugt pacienta līdzmaksājuma daļa, kas pasliktinās zāļu finansiālo pieejamību un līdz ar to arī pacienta līdzestību terapijai.</w:t>
            </w:r>
            <w:r w:rsidRPr="00811AD8">
              <w:rPr>
                <w:rFonts w:cs="Times New Roman"/>
                <w:color w:val="000000"/>
                <w:sz w:val="22"/>
              </w:rPr>
              <w:t xml:space="preserve">  </w:t>
            </w:r>
          </w:p>
        </w:tc>
      </w:tr>
    </w:tbl>
    <w:p w:rsidR="007B5387" w:rsidRPr="00BA3D36" w:rsidRDefault="007B5387" w:rsidP="00BA3D36">
      <w:pPr>
        <w:spacing w:before="160"/>
        <w:ind w:firstLine="720"/>
        <w:jc w:val="both"/>
        <w:rPr>
          <w:rFonts w:cs="Times New Roman"/>
          <w:b/>
          <w:szCs w:val="24"/>
        </w:rPr>
      </w:pPr>
      <w:r w:rsidRPr="00D772B8">
        <w:rPr>
          <w:rFonts w:cs="Times New Roman"/>
          <w:szCs w:val="24"/>
        </w:rPr>
        <w:lastRenderedPageBreak/>
        <w:t xml:space="preserve">Pirmā alternatīvā risinājuma īstenošanas rezultātā stacionēto ZIKS lietotāju/no ZIKS zāles saņēmušajiem </w:t>
      </w:r>
      <w:r>
        <w:rPr>
          <w:rFonts w:cs="Times New Roman"/>
          <w:szCs w:val="24"/>
        </w:rPr>
        <w:t xml:space="preserve">unikālajiem </w:t>
      </w:r>
      <w:r w:rsidRPr="00D772B8">
        <w:rPr>
          <w:rFonts w:cs="Times New Roman"/>
          <w:szCs w:val="24"/>
        </w:rPr>
        <w:t xml:space="preserve">pacientiem proporcija būs 13,68, kas ir par 0,09 stacionētajiem ZIKS lietotājiem mazāk nekā standarta scenārijā. Savukārt ZIKS rezultātā zaudētie </w:t>
      </w:r>
      <w:r w:rsidR="00DC27A9">
        <w:rPr>
          <w:rFonts w:cs="Times New Roman"/>
          <w:szCs w:val="24"/>
        </w:rPr>
        <w:t>mūža gadi palielināsies par 0,45</w:t>
      </w:r>
      <w:r w:rsidRPr="00D772B8">
        <w:rPr>
          <w:rFonts w:cs="Times New Roman"/>
          <w:szCs w:val="24"/>
        </w:rPr>
        <w:t xml:space="preserve"> gadiem.</w:t>
      </w:r>
      <w:r>
        <w:rPr>
          <w:rFonts w:cs="Times New Roman"/>
          <w:szCs w:val="24"/>
        </w:rPr>
        <w:t xml:space="preserve"> </w:t>
      </w:r>
    </w:p>
    <w:p w:rsidR="007B5387" w:rsidRDefault="007B5387" w:rsidP="007B5387">
      <w:pPr>
        <w:pStyle w:val="ListParagraph"/>
        <w:tabs>
          <w:tab w:val="left" w:pos="993"/>
        </w:tabs>
        <w:spacing w:before="120" w:after="120"/>
        <w:ind w:left="0"/>
        <w:jc w:val="both"/>
        <w:rPr>
          <w:rFonts w:cs="Times New Roman"/>
          <w:b/>
          <w:szCs w:val="24"/>
        </w:rPr>
      </w:pPr>
      <w:r w:rsidRPr="00531429">
        <w:rPr>
          <w:rFonts w:cs="Times New Roman"/>
          <w:b/>
          <w:szCs w:val="24"/>
        </w:rPr>
        <w:t>Alternatīvais risinājums Nr.2 – izmainīts pacientu maksājums aptiekai par 100% kompensējamo recepti</w:t>
      </w:r>
    </w:p>
    <w:p w:rsidR="007B5387" w:rsidRDefault="007B5387" w:rsidP="007B5387">
      <w:pPr>
        <w:ind w:right="-58" w:firstLine="709"/>
        <w:jc w:val="both"/>
        <w:rPr>
          <w:rFonts w:cs="Times New Roman"/>
          <w:szCs w:val="24"/>
        </w:rPr>
      </w:pPr>
      <w:r w:rsidRPr="00C83E21">
        <w:rPr>
          <w:rFonts w:cs="Times New Roman"/>
          <w:szCs w:val="24"/>
        </w:rPr>
        <w:t xml:space="preserve">Pašlaik pacients, saņemot aptiekā zāles ar 100% kompensācijas apmēru, veic obligāto līdzmaksājumu 0,71 </w:t>
      </w:r>
      <w:r w:rsidRPr="00E944A4">
        <w:rPr>
          <w:rFonts w:cs="Times New Roman"/>
          <w:i/>
          <w:szCs w:val="24"/>
        </w:rPr>
        <w:t>euro</w:t>
      </w:r>
      <w:r w:rsidRPr="00C83E21">
        <w:rPr>
          <w:rFonts w:cs="Times New Roman"/>
          <w:szCs w:val="24"/>
        </w:rPr>
        <w:t xml:space="preserve"> apmērā par katru recepti (bērni, trūcīgie un patvēruma meklēt</w:t>
      </w:r>
      <w:r>
        <w:rPr>
          <w:rFonts w:cs="Times New Roman"/>
          <w:szCs w:val="24"/>
        </w:rPr>
        <w:t>āji no tās ir atbrīvoti). 2016.</w:t>
      </w:r>
      <w:r w:rsidRPr="00C83E21">
        <w:rPr>
          <w:rFonts w:cs="Times New Roman"/>
          <w:szCs w:val="24"/>
        </w:rPr>
        <w:t xml:space="preserve">gadā pacientu samaksātais līdzmaksājums par 100% kompensētu recepti bija </w:t>
      </w:r>
      <w:r>
        <w:rPr>
          <w:rFonts w:cs="Times New Roman"/>
          <w:color w:val="000000"/>
          <w:szCs w:val="24"/>
        </w:rPr>
        <w:t>770 847</w:t>
      </w:r>
      <w:r w:rsidRPr="00C83E21">
        <w:rPr>
          <w:rFonts w:cs="Times New Roman"/>
          <w:color w:val="000000"/>
          <w:szCs w:val="24"/>
        </w:rPr>
        <w:t xml:space="preserve"> </w:t>
      </w:r>
      <w:r w:rsidRPr="00E944A4">
        <w:rPr>
          <w:rFonts w:cs="Times New Roman"/>
          <w:i/>
          <w:color w:val="000000"/>
          <w:szCs w:val="24"/>
        </w:rPr>
        <w:t>euro</w:t>
      </w:r>
      <w:r w:rsidRPr="00C83E21">
        <w:rPr>
          <w:rFonts w:cs="Times New Roman"/>
          <w:color w:val="000000"/>
          <w:szCs w:val="24"/>
        </w:rPr>
        <w:t xml:space="preserve">. Šī summa </w:t>
      </w:r>
      <w:r w:rsidRPr="00C83E21">
        <w:rPr>
          <w:rFonts w:cs="Times New Roman"/>
          <w:szCs w:val="24"/>
        </w:rPr>
        <w:t xml:space="preserve">ir iekļauta zāļu cenā. </w:t>
      </w:r>
      <w:r>
        <w:rPr>
          <w:rFonts w:cs="Times New Roman"/>
          <w:szCs w:val="24"/>
        </w:rPr>
        <w:t>NVD</w:t>
      </w:r>
      <w:r w:rsidRPr="00C83E21">
        <w:rPr>
          <w:rFonts w:cs="Times New Roman"/>
          <w:szCs w:val="24"/>
        </w:rPr>
        <w:t>, veicot norēķinus ar aptieku, samazina atmaksājamo summu par pacienta veiktā maksājuma apmēru</w:t>
      </w:r>
      <w:r>
        <w:rPr>
          <w:rFonts w:cs="Times New Roman"/>
          <w:szCs w:val="24"/>
        </w:rPr>
        <w:t>.</w:t>
      </w:r>
    </w:p>
    <w:p w:rsidR="007B5387" w:rsidRPr="00E944A4" w:rsidRDefault="007B5387" w:rsidP="00A77EE1">
      <w:pPr>
        <w:pStyle w:val="ListParagraph"/>
        <w:spacing w:before="120"/>
        <w:ind w:left="0" w:right="-57" w:firstLine="720"/>
        <w:contextualSpacing w:val="0"/>
        <w:jc w:val="both"/>
        <w:rPr>
          <w:rFonts w:cs="Times New Roman"/>
          <w:color w:val="000000"/>
          <w:szCs w:val="24"/>
        </w:rPr>
      </w:pPr>
      <w:r w:rsidRPr="00B56142">
        <w:t>L</w:t>
      </w:r>
      <w:r>
        <w:t xml:space="preserve">īdzmaksājums par recepti </w:t>
      </w:r>
      <w:r w:rsidRPr="00B56142">
        <w:t>netiek piemērots:</w:t>
      </w:r>
    </w:p>
    <w:p w:rsidR="007B5387" w:rsidRPr="00B56142" w:rsidRDefault="007B5387" w:rsidP="00A77EE1">
      <w:pPr>
        <w:pStyle w:val="tv213"/>
        <w:numPr>
          <w:ilvl w:val="0"/>
          <w:numId w:val="141"/>
        </w:numPr>
        <w:tabs>
          <w:tab w:val="left" w:pos="993"/>
        </w:tabs>
        <w:spacing w:before="0" w:beforeAutospacing="0" w:after="0" w:afterAutospacing="0"/>
        <w:jc w:val="both"/>
      </w:pPr>
      <w:r>
        <w:t>p</w:t>
      </w:r>
      <w:r w:rsidRPr="00B56142">
        <w:t>acientam, kas normatīvajos aktos noteiktajā kārtībā atzīts par trūcīgu vai patvēruma meklētāju un kuram saskaņā ar šiem noteikumiem pienākas zāļu vai medicīnisko ierīču iegādes izdevumu kompensācija, zāļu un medicīnisko ierīču iegādes izdevumus sedz pilnā apmērā no kompensācijai piešķirtajiem līdzekļiem minētajiem pacientiem izrakstītajām receptēm;</w:t>
      </w:r>
    </w:p>
    <w:p w:rsidR="007B5387" w:rsidRPr="00B56142" w:rsidRDefault="007B5387" w:rsidP="00A77EE1">
      <w:pPr>
        <w:pStyle w:val="tv213"/>
        <w:numPr>
          <w:ilvl w:val="0"/>
          <w:numId w:val="141"/>
        </w:numPr>
        <w:tabs>
          <w:tab w:val="left" w:pos="993"/>
        </w:tabs>
        <w:spacing w:before="0" w:beforeAutospacing="0" w:after="0" w:afterAutospacing="0"/>
        <w:jc w:val="both"/>
      </w:pPr>
      <w:r w:rsidRPr="00B56142">
        <w:t>bērniem līdz 18 gadu vecumam izrakstītajām receptēm;</w:t>
      </w:r>
    </w:p>
    <w:p w:rsidR="007B5387" w:rsidRDefault="007B5387" w:rsidP="00A77EE1">
      <w:pPr>
        <w:pStyle w:val="tv213"/>
        <w:numPr>
          <w:ilvl w:val="0"/>
          <w:numId w:val="141"/>
        </w:numPr>
        <w:tabs>
          <w:tab w:val="left" w:pos="993"/>
        </w:tabs>
        <w:spacing w:before="0" w:beforeAutospacing="0" w:after="0" w:afterAutospacing="0"/>
        <w:jc w:val="both"/>
      </w:pPr>
      <w:r w:rsidRPr="00B56142">
        <w:t xml:space="preserve">receptēm, uz kurām ir izrakstītas zāles vai medicīniskās ierīces, kuru </w:t>
      </w:r>
      <w:r w:rsidR="00A77EE1">
        <w:t>NVD</w:t>
      </w:r>
      <w:r w:rsidRPr="00B56142">
        <w:t xml:space="preserve"> notei</w:t>
      </w:r>
      <w:r>
        <w:t>ktā aptiekas cena nepārsniedz 4,</w:t>
      </w:r>
      <w:r w:rsidRPr="00B56142">
        <w:t xml:space="preserve">27 </w:t>
      </w:r>
      <w:r w:rsidRPr="00B56142">
        <w:rPr>
          <w:i/>
          <w:iCs/>
        </w:rPr>
        <w:t>euro</w:t>
      </w:r>
      <w:r w:rsidRPr="00B56142">
        <w:t>.</w:t>
      </w:r>
    </w:p>
    <w:p w:rsidR="007B5387" w:rsidRDefault="007B5387" w:rsidP="00A77EE1">
      <w:pPr>
        <w:pStyle w:val="tv213"/>
        <w:spacing w:before="120" w:beforeAutospacing="0" w:after="0" w:afterAutospacing="0"/>
        <w:ind w:firstLine="709"/>
        <w:jc w:val="both"/>
      </w:pPr>
      <w:r>
        <w:t>Minētais līdzmaksājums par recepti tika ieviests, lai veicinātu pacientu līdzatbildību, saņemot 100% kompensējamās zāles vai medicīnas ierīces (ir novēroti gadījumi, kad pacienti mājās veido uzkrājumus ar 100% kompensētām zālēm, tās atbildīgi neizlietojot savai ārstēšanai).</w:t>
      </w:r>
    </w:p>
    <w:p w:rsidR="007B5387" w:rsidRPr="008D5740" w:rsidRDefault="007B5387" w:rsidP="007B5387">
      <w:pPr>
        <w:ind w:right="-57" w:firstLine="709"/>
        <w:jc w:val="both"/>
        <w:rPr>
          <w:rFonts w:cs="Times New Roman"/>
          <w:color w:val="000000"/>
          <w:szCs w:val="24"/>
        </w:rPr>
      </w:pPr>
      <w:r>
        <w:rPr>
          <w:rFonts w:cs="Times New Roman"/>
          <w:szCs w:val="24"/>
        </w:rPr>
        <w:t>Otrais</w:t>
      </w:r>
      <w:r w:rsidRPr="008D5740">
        <w:rPr>
          <w:rFonts w:cs="Times New Roman"/>
          <w:szCs w:val="24"/>
        </w:rPr>
        <w:t xml:space="preserve"> alternatīvā risinājuma variants paredz </w:t>
      </w:r>
      <w:r>
        <w:rPr>
          <w:rFonts w:cs="Times New Roman"/>
          <w:szCs w:val="24"/>
        </w:rPr>
        <w:t xml:space="preserve">pacientu veikto obligāto līdzmaksājumu par 100% kompensējamu zāļu recepti palielināt no 0,71 </w:t>
      </w:r>
      <w:r w:rsidRPr="008D5740">
        <w:rPr>
          <w:rFonts w:cs="Times New Roman"/>
          <w:i/>
          <w:szCs w:val="24"/>
        </w:rPr>
        <w:t>euro</w:t>
      </w:r>
      <w:r>
        <w:rPr>
          <w:rFonts w:cs="Times New Roman"/>
          <w:szCs w:val="24"/>
        </w:rPr>
        <w:t xml:space="preserve"> uz</w:t>
      </w:r>
      <w:r>
        <w:rPr>
          <w:rFonts w:cs="Times New Roman"/>
          <w:color w:val="000000"/>
          <w:szCs w:val="24"/>
        </w:rPr>
        <w:t xml:space="preserve"> 2</w:t>
      </w:r>
      <w:r w:rsidRPr="008D5740">
        <w:rPr>
          <w:rFonts w:cs="Times New Roman"/>
          <w:color w:val="000000"/>
          <w:szCs w:val="24"/>
        </w:rPr>
        <w:t xml:space="preserve"> </w:t>
      </w:r>
      <w:r w:rsidRPr="008D5740">
        <w:rPr>
          <w:rFonts w:cs="Times New Roman"/>
          <w:i/>
          <w:color w:val="000000"/>
          <w:szCs w:val="24"/>
        </w:rPr>
        <w:t>euro</w:t>
      </w:r>
      <w:r>
        <w:rPr>
          <w:rFonts w:cs="Times New Roman"/>
          <w:color w:val="000000"/>
          <w:szCs w:val="24"/>
        </w:rPr>
        <w:t xml:space="preserve">, līdz </w:t>
      </w:r>
      <w:r w:rsidRPr="003B77F5">
        <w:rPr>
          <w:rFonts w:cs="Times New Roman"/>
          <w:color w:val="000000"/>
          <w:szCs w:val="24"/>
        </w:rPr>
        <w:t xml:space="preserve">ar to rodot iespēju 1 400 554 </w:t>
      </w:r>
      <w:r w:rsidRPr="003B77F5">
        <w:rPr>
          <w:rFonts w:cs="Times New Roman"/>
          <w:i/>
          <w:color w:val="000000"/>
          <w:szCs w:val="24"/>
        </w:rPr>
        <w:t>euro</w:t>
      </w:r>
      <w:r w:rsidRPr="003B77F5">
        <w:rPr>
          <w:rFonts w:cs="Times New Roman"/>
          <w:color w:val="000000"/>
          <w:szCs w:val="24"/>
        </w:rPr>
        <w:t xml:space="preserve"> apmērā ik gadu novirzīt jaunu</w:t>
      </w:r>
      <w:r>
        <w:rPr>
          <w:rFonts w:cs="Times New Roman"/>
          <w:color w:val="000000"/>
          <w:szCs w:val="24"/>
        </w:rPr>
        <w:t xml:space="preserve"> kardioloģisku medikamentu kompensācijai, kas varētu novērst neatliekamās hospitalizācijas un samazināt nāves risku pacientiem ar sirds ritma traucējumiem.</w:t>
      </w:r>
    </w:p>
    <w:p w:rsidR="007B5387" w:rsidRDefault="007B5387" w:rsidP="007B5387">
      <w:pPr>
        <w:ind w:right="84" w:firstLine="709"/>
        <w:jc w:val="both"/>
        <w:rPr>
          <w:rFonts w:cs="Times New Roman"/>
          <w:color w:val="000000"/>
          <w:szCs w:val="24"/>
        </w:rPr>
      </w:pPr>
      <w:r w:rsidRPr="00304718">
        <w:rPr>
          <w:rFonts w:cs="Times New Roman"/>
          <w:color w:val="000000"/>
          <w:szCs w:val="24"/>
        </w:rPr>
        <w:t xml:space="preserve">Vislielākais izrakstīto recepšu skaits ar 100% kompensāciju un attiecīgi pacienta līdzmaksājums par šo recepti ir diagnožu grupā </w:t>
      </w:r>
      <w:r w:rsidRPr="00304718">
        <w:rPr>
          <w:rFonts w:cs="Times New Roman"/>
          <w:i/>
          <w:color w:val="000000"/>
          <w:szCs w:val="24"/>
        </w:rPr>
        <w:t xml:space="preserve">Endokrīnās, uztures un vielmaiņas slimības </w:t>
      </w:r>
      <w:r w:rsidRPr="00304718">
        <w:rPr>
          <w:rFonts w:cs="Times New Roman"/>
          <w:color w:val="000000"/>
          <w:szCs w:val="24"/>
        </w:rPr>
        <w:t xml:space="preserve">pacientiem ar </w:t>
      </w:r>
      <w:r>
        <w:rPr>
          <w:rFonts w:cs="Times New Roman"/>
          <w:color w:val="000000"/>
          <w:szCs w:val="24"/>
        </w:rPr>
        <w:t>cukura diabētu. Pacienti 2016.</w:t>
      </w:r>
      <w:r w:rsidRPr="00304718">
        <w:rPr>
          <w:rFonts w:cs="Times New Roman"/>
          <w:color w:val="000000"/>
          <w:szCs w:val="24"/>
        </w:rPr>
        <w:t>gada laikā līdzmaksājumā ir</w:t>
      </w:r>
      <w:r>
        <w:rPr>
          <w:rFonts w:cs="Times New Roman"/>
          <w:color w:val="000000"/>
          <w:szCs w:val="24"/>
        </w:rPr>
        <w:t xml:space="preserve"> samaksājuši aptiekās 322 620</w:t>
      </w:r>
      <w:r w:rsidRPr="00304718">
        <w:rPr>
          <w:rFonts w:cs="Times New Roman"/>
          <w:color w:val="000000"/>
          <w:szCs w:val="24"/>
        </w:rPr>
        <w:t xml:space="preserve"> </w:t>
      </w:r>
      <w:r w:rsidRPr="00304718">
        <w:rPr>
          <w:rFonts w:cs="Times New Roman"/>
          <w:i/>
          <w:color w:val="000000"/>
          <w:szCs w:val="24"/>
        </w:rPr>
        <w:t>euro</w:t>
      </w:r>
      <w:r w:rsidRPr="00304718">
        <w:rPr>
          <w:rFonts w:cs="Times New Roman"/>
          <w:color w:val="000000"/>
          <w:szCs w:val="24"/>
        </w:rPr>
        <w:t>. Nos</w:t>
      </w:r>
      <w:r>
        <w:rPr>
          <w:rFonts w:cs="Times New Roman"/>
          <w:color w:val="000000"/>
          <w:szCs w:val="24"/>
        </w:rPr>
        <w:t>akot obligāto līdzmaksājumu 2</w:t>
      </w:r>
      <w:r w:rsidRPr="00304718">
        <w:rPr>
          <w:rFonts w:cs="Times New Roman"/>
          <w:color w:val="000000"/>
          <w:szCs w:val="24"/>
        </w:rPr>
        <w:t xml:space="preserve"> </w:t>
      </w:r>
      <w:r w:rsidRPr="00304718">
        <w:rPr>
          <w:rFonts w:cs="Times New Roman"/>
          <w:i/>
          <w:color w:val="000000"/>
          <w:szCs w:val="24"/>
        </w:rPr>
        <w:t>euro</w:t>
      </w:r>
      <w:r>
        <w:rPr>
          <w:rFonts w:cs="Times New Roman"/>
          <w:color w:val="000000"/>
          <w:szCs w:val="24"/>
        </w:rPr>
        <w:t xml:space="preserve"> apmērā, pacientu līdzmaksājumi aptiekām sasniegs 586 170</w:t>
      </w:r>
      <w:r w:rsidRPr="00304718">
        <w:rPr>
          <w:rFonts w:cs="Times New Roman"/>
          <w:color w:val="000000"/>
          <w:szCs w:val="24"/>
        </w:rPr>
        <w:t xml:space="preserve"> </w:t>
      </w:r>
      <w:r w:rsidRPr="00304718">
        <w:rPr>
          <w:rFonts w:cs="Times New Roman"/>
          <w:i/>
          <w:color w:val="000000"/>
          <w:szCs w:val="24"/>
        </w:rPr>
        <w:t>euro</w:t>
      </w:r>
      <w:r>
        <w:rPr>
          <w:rFonts w:cs="Times New Roman"/>
          <w:color w:val="000000"/>
          <w:szCs w:val="24"/>
        </w:rPr>
        <w:t>.</w:t>
      </w:r>
      <w:r w:rsidRPr="00304718">
        <w:rPr>
          <w:rFonts w:cs="Times New Roman"/>
          <w:color w:val="000000"/>
          <w:szCs w:val="24"/>
        </w:rPr>
        <w:t xml:space="preserve"> </w:t>
      </w:r>
    </w:p>
    <w:p w:rsidR="007B5387" w:rsidRPr="006C7290" w:rsidRDefault="007B5387" w:rsidP="007B5387">
      <w:pPr>
        <w:ind w:right="-199" w:firstLine="709"/>
        <w:jc w:val="both"/>
        <w:rPr>
          <w:rFonts w:cs="Times New Roman"/>
          <w:color w:val="000000"/>
          <w:szCs w:val="24"/>
        </w:rPr>
      </w:pPr>
      <w:r w:rsidRPr="006C7290">
        <w:rPr>
          <w:rFonts w:cs="Times New Roman"/>
          <w:color w:val="000000"/>
          <w:szCs w:val="24"/>
        </w:rPr>
        <w:t>Pirms veikt pacientu līdzmaksājuma palielinājumu, nepieciešams izvērtēt iespējamos zāļu pieejamības riskus. Jāņem vērā, ka vienam pacientam var būt noteiktas vairākas hroniskas diagnozes ar atšķirīgiem kompensācijas apmēriem, kas būtiski ietekmēs pacienta kopējā līdzmaksājuma apmēru un attiecīgi arī zāļu finansiālo pieejamību.</w:t>
      </w:r>
    </w:p>
    <w:p w:rsidR="007B5387" w:rsidRDefault="007B5387" w:rsidP="007B5387">
      <w:pPr>
        <w:ind w:right="-199" w:firstLine="720"/>
        <w:jc w:val="both"/>
        <w:rPr>
          <w:rFonts w:cs="Times New Roman"/>
          <w:color w:val="000000"/>
          <w:szCs w:val="24"/>
        </w:rPr>
      </w:pPr>
      <w:r w:rsidRPr="006C7290">
        <w:rPr>
          <w:rFonts w:cs="Times New Roman"/>
          <w:color w:val="000000"/>
          <w:szCs w:val="24"/>
        </w:rPr>
        <w:t>Pašreizējā likumdošana pieļauj uz vienas kompensējamās receptes izrakstīt zāles līdz 3 mēnešus ilgam ārstēšanas kursam. Šāda regulējuma priekšrocība noteikti ir pacientiem, kuriem ilgstoši i</w:t>
      </w:r>
      <w:r>
        <w:rPr>
          <w:rFonts w:cs="Times New Roman"/>
          <w:color w:val="000000"/>
          <w:szCs w:val="24"/>
        </w:rPr>
        <w:t>r jāsaņem stabila zāļu terapija</w:t>
      </w:r>
      <w:r w:rsidRPr="006C7290">
        <w:rPr>
          <w:rFonts w:cs="Times New Roman"/>
          <w:color w:val="000000"/>
          <w:szCs w:val="24"/>
        </w:rPr>
        <w:t xml:space="preserve"> un to deva. Šādos gadījumos novēro nevienmērīgu zāļu patēriņu (izsniegšanu aptiekās) dažādos mēnešos. Savukārt pacientiem, kuriem nepieciešama regulāra ikmēneša uzraudzība un attiecīgi ar</w:t>
      </w:r>
      <w:r w:rsidR="00A77EE1">
        <w:rPr>
          <w:rFonts w:cs="Times New Roman"/>
          <w:color w:val="000000"/>
          <w:szCs w:val="24"/>
        </w:rPr>
        <w:t xml:space="preserve">ī nepieciešamo zāļu korekcija, </w:t>
      </w:r>
      <w:r w:rsidRPr="006C7290">
        <w:rPr>
          <w:rFonts w:cs="Times New Roman"/>
          <w:color w:val="000000"/>
          <w:szCs w:val="24"/>
        </w:rPr>
        <w:t xml:space="preserve">zāles tiks izrakstītas </w:t>
      </w:r>
      <w:r w:rsidRPr="006C7290">
        <w:rPr>
          <w:rFonts w:cs="Times New Roman"/>
          <w:color w:val="000000"/>
          <w:szCs w:val="24"/>
        </w:rPr>
        <w:lastRenderedPageBreak/>
        <w:t>īsākam ārstēšanas kursam un biežāk, līdz ar to līdzmaksājuma paaugstināšana var ietekmēt zāļu finansiālo pieejamību</w:t>
      </w:r>
      <w:r>
        <w:rPr>
          <w:rFonts w:cs="Times New Roman"/>
          <w:color w:val="000000"/>
          <w:szCs w:val="24"/>
        </w:rPr>
        <w:t>.</w:t>
      </w:r>
    </w:p>
    <w:p w:rsidR="007B5387" w:rsidRDefault="007B5387" w:rsidP="007B5387">
      <w:pPr>
        <w:ind w:firstLine="709"/>
        <w:jc w:val="both"/>
        <w:rPr>
          <w:rFonts w:cs="Times New Roman"/>
          <w:szCs w:val="24"/>
        </w:rPr>
      </w:pPr>
      <w:r>
        <w:rPr>
          <w:rFonts w:cs="Times New Roman"/>
          <w:szCs w:val="24"/>
        </w:rPr>
        <w:t>Otrā</w:t>
      </w:r>
      <w:r w:rsidRPr="00D152B2">
        <w:rPr>
          <w:rFonts w:cs="Times New Roman"/>
          <w:szCs w:val="24"/>
        </w:rPr>
        <w:t xml:space="preserve"> alternatīvā risinājuma īstenošanas rezultātā stacionēto ZIKS lietotāju/no ZIKS zāles saņēmušajiem</w:t>
      </w:r>
      <w:r>
        <w:rPr>
          <w:rFonts w:cs="Times New Roman"/>
          <w:szCs w:val="24"/>
        </w:rPr>
        <w:t xml:space="preserve"> unikālajiem</w:t>
      </w:r>
      <w:r w:rsidRPr="00D152B2">
        <w:rPr>
          <w:rFonts w:cs="Times New Roman"/>
          <w:szCs w:val="24"/>
        </w:rPr>
        <w:t xml:space="preserve"> pacientiem proporcija būs 13,74, kas ir par 0,03 stacionētajiem ZIKS lietotājiem mazāk nekā standarta scenārijā. Savukārt ZIKS rezultātā zaudētie mūža gadi palielināsies par 0,21 gadiem.</w:t>
      </w:r>
    </w:p>
    <w:p w:rsidR="007B5387" w:rsidRDefault="007B5387" w:rsidP="007B5387">
      <w:pPr>
        <w:pStyle w:val="ListParagraph"/>
        <w:ind w:left="0" w:right="-58" w:firstLine="720"/>
        <w:jc w:val="both"/>
        <w:rPr>
          <w:rFonts w:cs="Times New Roman"/>
          <w:color w:val="000000"/>
          <w:szCs w:val="24"/>
        </w:rPr>
      </w:pPr>
      <w:r w:rsidRPr="005677C0">
        <w:rPr>
          <w:rFonts w:cs="Times New Roman"/>
          <w:szCs w:val="24"/>
        </w:rPr>
        <w:t>Tomēr</w:t>
      </w:r>
      <w:r>
        <w:rPr>
          <w:rFonts w:cs="Times New Roman"/>
          <w:color w:val="000000"/>
          <w:szCs w:val="24"/>
        </w:rPr>
        <w:t xml:space="preserve"> lielākais alternatīvas risks saistās ar to, ka lielai daļai pacientu ir vairākas diagnozes ar dažādu kompensācijas apmēru, līdz ar to var pieaugt pacienta līdzmaksājuma daļa, kas pasliktinās zāļu finansiālo pieejamību un līdz ar to arī pacienta līdzestību terapijai.  </w:t>
      </w:r>
    </w:p>
    <w:p w:rsidR="007B5387" w:rsidRPr="006E210F" w:rsidRDefault="007B5387" w:rsidP="007B5387">
      <w:pPr>
        <w:pStyle w:val="ListParagraph"/>
        <w:ind w:left="0" w:right="-58" w:firstLine="720"/>
        <w:jc w:val="both"/>
        <w:rPr>
          <w:rFonts w:cs="Times New Roman"/>
          <w:color w:val="000000"/>
          <w:szCs w:val="24"/>
        </w:rPr>
      </w:pPr>
    </w:p>
    <w:p w:rsidR="007B5387" w:rsidRPr="00B56142" w:rsidRDefault="007B5387" w:rsidP="007B5387">
      <w:pPr>
        <w:pStyle w:val="ListParagraph"/>
        <w:tabs>
          <w:tab w:val="left" w:pos="993"/>
        </w:tabs>
        <w:spacing w:before="120" w:after="120"/>
        <w:ind w:left="0"/>
        <w:jc w:val="both"/>
        <w:rPr>
          <w:rFonts w:cs="Times New Roman"/>
          <w:szCs w:val="24"/>
        </w:rPr>
      </w:pPr>
      <w:r w:rsidRPr="000E71F1">
        <w:rPr>
          <w:rFonts w:cs="Times New Roman"/>
          <w:b/>
          <w:szCs w:val="24"/>
        </w:rPr>
        <w:t>Alternatīvais risinājums Nr.3 – kompensācijas apmērs noteikts diferencēti atbilstoši vecuma grupām</w:t>
      </w:r>
      <w:r>
        <w:rPr>
          <w:rFonts w:cs="Times New Roman"/>
          <w:b/>
          <w:szCs w:val="24"/>
        </w:rPr>
        <w:t xml:space="preserve"> </w:t>
      </w:r>
    </w:p>
    <w:p w:rsidR="007B5387" w:rsidRDefault="007B5387" w:rsidP="007B5387">
      <w:pPr>
        <w:ind w:right="-58" w:firstLine="720"/>
        <w:jc w:val="both"/>
        <w:rPr>
          <w:rFonts w:cs="Times New Roman"/>
          <w:color w:val="000000"/>
          <w:szCs w:val="24"/>
        </w:rPr>
      </w:pPr>
      <w:r>
        <w:rPr>
          <w:rFonts w:cs="Times New Roman"/>
          <w:szCs w:val="24"/>
        </w:rPr>
        <w:t>Trešais</w:t>
      </w:r>
      <w:r w:rsidRPr="008D5740">
        <w:rPr>
          <w:rFonts w:cs="Times New Roman"/>
          <w:szCs w:val="24"/>
        </w:rPr>
        <w:t xml:space="preserve"> alternatīvā risinājuma variants paredz</w:t>
      </w:r>
      <w:r>
        <w:rPr>
          <w:rFonts w:cs="Times New Roman"/>
          <w:color w:val="000000"/>
          <w:szCs w:val="24"/>
        </w:rPr>
        <w:t xml:space="preserve"> </w:t>
      </w:r>
      <w:r w:rsidRPr="0026682D">
        <w:rPr>
          <w:rFonts w:cs="Times New Roman"/>
          <w:color w:val="000000"/>
          <w:szCs w:val="24"/>
        </w:rPr>
        <w:t>zāļu kompensāciju esoš</w:t>
      </w:r>
      <w:r>
        <w:rPr>
          <w:rFonts w:cs="Times New Roman"/>
          <w:color w:val="000000"/>
          <w:szCs w:val="24"/>
        </w:rPr>
        <w:t>ā</w:t>
      </w:r>
      <w:r w:rsidRPr="0026682D">
        <w:rPr>
          <w:rFonts w:cs="Times New Roman"/>
          <w:color w:val="000000"/>
          <w:szCs w:val="24"/>
        </w:rPr>
        <w:t xml:space="preserve"> apmērā nodrošināt tikai bērniem līdz 18 gadu vecumam un senioriem (pensionāriem) pēc 63 gadu vecuma, kā arī tādas izmaksu ietilpīgas diagnozes kā HIV/AIDS un C hepatīts, kur lielākā daļa pacientu ir vecuma grupā starp 19 un 62 gadiem. </w:t>
      </w:r>
    </w:p>
    <w:p w:rsidR="007B5387" w:rsidRPr="006C7290" w:rsidRDefault="007B5387" w:rsidP="007B5387">
      <w:pPr>
        <w:shd w:val="clear" w:color="auto" w:fill="FFFFFF"/>
        <w:ind w:firstLine="720"/>
        <w:jc w:val="right"/>
        <w:textAlignment w:val="baseline"/>
        <w:rPr>
          <w:rFonts w:cs="Times New Roman"/>
          <w:noProof/>
          <w:szCs w:val="24"/>
        </w:rPr>
      </w:pPr>
      <w:r w:rsidRPr="00A77EE1">
        <w:rPr>
          <w:rFonts w:cs="Times New Roman"/>
          <w:noProof/>
          <w:szCs w:val="24"/>
        </w:rPr>
        <w:t>Tabula Nr.</w:t>
      </w:r>
      <w:r w:rsidR="00A77EE1" w:rsidRPr="00A77EE1">
        <w:rPr>
          <w:rFonts w:cs="Times New Roman"/>
          <w:noProof/>
          <w:szCs w:val="24"/>
        </w:rPr>
        <w:t>3.8.</w:t>
      </w:r>
    </w:p>
    <w:p w:rsidR="007B5387" w:rsidRDefault="007B5387" w:rsidP="007B5387">
      <w:pPr>
        <w:shd w:val="clear" w:color="auto" w:fill="FFFFFF"/>
        <w:spacing w:before="120" w:after="120"/>
        <w:ind w:firstLine="720"/>
        <w:textAlignment w:val="baseline"/>
        <w:rPr>
          <w:rFonts w:cs="Times New Roman"/>
          <w:b/>
          <w:noProof/>
          <w:szCs w:val="24"/>
        </w:rPr>
      </w:pPr>
      <w:r w:rsidRPr="006C7290">
        <w:rPr>
          <w:rFonts w:cs="Times New Roman"/>
          <w:b/>
          <w:noProof/>
          <w:szCs w:val="24"/>
        </w:rPr>
        <w:t>Zāļu iegādes izdevumu kompensācija pacientiem pēc vecuma grupām</w:t>
      </w:r>
      <w:r w:rsidR="00501744">
        <w:rPr>
          <w:rStyle w:val="FootnoteReference"/>
          <w:rFonts w:cs="Times New Roman"/>
          <w:b/>
          <w:noProof/>
          <w:szCs w:val="24"/>
        </w:rPr>
        <w:footnoteReference w:id="20"/>
      </w:r>
    </w:p>
    <w:tbl>
      <w:tblPr>
        <w:tblStyle w:val="TableGrid"/>
        <w:tblW w:w="5000" w:type="pct"/>
        <w:jc w:val="center"/>
        <w:tblLook w:val="04A0" w:firstRow="1" w:lastRow="0" w:firstColumn="1" w:lastColumn="0" w:noHBand="0" w:noVBand="1"/>
      </w:tblPr>
      <w:tblGrid>
        <w:gridCol w:w="5133"/>
        <w:gridCol w:w="1964"/>
        <w:gridCol w:w="1964"/>
      </w:tblGrid>
      <w:tr w:rsidR="006420D0" w:rsidRPr="00061CA2" w:rsidTr="00E60672">
        <w:trPr>
          <w:trHeight w:val="20"/>
          <w:tblHeader/>
          <w:jc w:val="center"/>
        </w:trPr>
        <w:tc>
          <w:tcPr>
            <w:tcW w:w="2832" w:type="pct"/>
            <w:vMerge w:val="restart"/>
            <w:shd w:val="clear" w:color="auto" w:fill="C5E0B3" w:themeFill="accent6" w:themeFillTint="66"/>
          </w:tcPr>
          <w:p w:rsidR="006420D0" w:rsidRPr="00061CA2" w:rsidRDefault="006420D0" w:rsidP="00E60672">
            <w:pPr>
              <w:jc w:val="both"/>
              <w:rPr>
                <w:rFonts w:cs="Times New Roman"/>
                <w:b/>
                <w:sz w:val="22"/>
              </w:rPr>
            </w:pPr>
          </w:p>
        </w:tc>
        <w:tc>
          <w:tcPr>
            <w:tcW w:w="2168" w:type="pct"/>
            <w:gridSpan w:val="2"/>
            <w:shd w:val="clear" w:color="auto" w:fill="C5E0B3" w:themeFill="accent6" w:themeFillTint="66"/>
          </w:tcPr>
          <w:p w:rsidR="006420D0" w:rsidRPr="00061CA2" w:rsidRDefault="006420D0" w:rsidP="00E60672">
            <w:pPr>
              <w:jc w:val="center"/>
              <w:rPr>
                <w:rFonts w:cs="Times New Roman"/>
                <w:b/>
                <w:sz w:val="22"/>
              </w:rPr>
            </w:pPr>
            <w:r w:rsidRPr="00061CA2">
              <w:rPr>
                <w:rFonts w:cs="Times New Roman"/>
                <w:b/>
                <w:sz w:val="22"/>
              </w:rPr>
              <w:t>2016.gada budžeta izlietojums kompensējamiem medikamentiem</w:t>
            </w:r>
          </w:p>
        </w:tc>
      </w:tr>
      <w:tr w:rsidR="006420D0" w:rsidRPr="00061CA2" w:rsidTr="00E60672">
        <w:trPr>
          <w:trHeight w:val="20"/>
          <w:tblHeader/>
          <w:jc w:val="center"/>
        </w:trPr>
        <w:tc>
          <w:tcPr>
            <w:tcW w:w="2832" w:type="pct"/>
            <w:vMerge/>
            <w:shd w:val="clear" w:color="auto" w:fill="C5E0B3" w:themeFill="accent6" w:themeFillTint="66"/>
          </w:tcPr>
          <w:p w:rsidR="006420D0" w:rsidRPr="00061CA2" w:rsidRDefault="006420D0" w:rsidP="00E60672">
            <w:pPr>
              <w:jc w:val="both"/>
              <w:rPr>
                <w:rFonts w:cs="Times New Roman"/>
                <w:b/>
                <w:sz w:val="22"/>
              </w:rPr>
            </w:pPr>
          </w:p>
        </w:tc>
        <w:tc>
          <w:tcPr>
            <w:tcW w:w="1084" w:type="pct"/>
            <w:shd w:val="clear" w:color="auto" w:fill="C5E0B3" w:themeFill="accent6" w:themeFillTint="66"/>
          </w:tcPr>
          <w:p w:rsidR="006420D0" w:rsidRPr="00061CA2" w:rsidRDefault="006420D0" w:rsidP="00E60672">
            <w:pPr>
              <w:jc w:val="center"/>
              <w:rPr>
                <w:rFonts w:cs="Times New Roman"/>
                <w:b/>
                <w:sz w:val="22"/>
              </w:rPr>
            </w:pPr>
            <w:r w:rsidRPr="00061CA2">
              <w:rPr>
                <w:rFonts w:cs="Times New Roman"/>
                <w:b/>
                <w:sz w:val="22"/>
              </w:rPr>
              <w:t xml:space="preserve">milj. </w:t>
            </w:r>
            <w:r w:rsidRPr="00061CA2">
              <w:rPr>
                <w:rFonts w:cs="Times New Roman"/>
                <w:b/>
                <w:i/>
                <w:sz w:val="22"/>
              </w:rPr>
              <w:t>euro</w:t>
            </w:r>
          </w:p>
        </w:tc>
        <w:tc>
          <w:tcPr>
            <w:tcW w:w="1084" w:type="pct"/>
            <w:shd w:val="clear" w:color="auto" w:fill="C5E0B3" w:themeFill="accent6" w:themeFillTint="66"/>
          </w:tcPr>
          <w:p w:rsidR="006420D0" w:rsidRPr="00061CA2" w:rsidRDefault="006420D0" w:rsidP="00E60672">
            <w:pPr>
              <w:jc w:val="center"/>
              <w:rPr>
                <w:rFonts w:cs="Times New Roman"/>
                <w:b/>
                <w:sz w:val="22"/>
              </w:rPr>
            </w:pPr>
            <w:r w:rsidRPr="00061CA2">
              <w:rPr>
                <w:rFonts w:cs="Times New Roman"/>
                <w:b/>
                <w:sz w:val="22"/>
              </w:rPr>
              <w:t>%</w:t>
            </w:r>
          </w:p>
        </w:tc>
      </w:tr>
      <w:tr w:rsidR="006420D0" w:rsidRPr="00061CA2" w:rsidTr="00E60672">
        <w:trPr>
          <w:trHeight w:val="528"/>
          <w:jc w:val="center"/>
        </w:trPr>
        <w:tc>
          <w:tcPr>
            <w:tcW w:w="2832" w:type="pct"/>
          </w:tcPr>
          <w:p w:rsidR="006420D0" w:rsidRPr="00061CA2" w:rsidRDefault="006420D0" w:rsidP="00E60672">
            <w:pPr>
              <w:jc w:val="both"/>
              <w:rPr>
                <w:rFonts w:cs="Times New Roman"/>
                <w:b/>
                <w:sz w:val="22"/>
              </w:rPr>
            </w:pPr>
            <w:r w:rsidRPr="00061CA2">
              <w:rPr>
                <w:rFonts w:cs="Times New Roman"/>
                <w:b/>
                <w:sz w:val="22"/>
              </w:rPr>
              <w:t>Bērni līdz 18 gadu vecumam,</w:t>
            </w:r>
          </w:p>
          <w:p w:rsidR="006420D0" w:rsidRPr="00061CA2" w:rsidRDefault="006420D0" w:rsidP="00E60672">
            <w:pPr>
              <w:jc w:val="both"/>
              <w:rPr>
                <w:rFonts w:cs="Times New Roman"/>
                <w:b/>
                <w:sz w:val="22"/>
              </w:rPr>
            </w:pPr>
            <w:r w:rsidRPr="00061CA2">
              <w:rPr>
                <w:rFonts w:cs="Times New Roman"/>
                <w:b/>
                <w:sz w:val="22"/>
              </w:rPr>
              <w:t>(unikālo pacientu īpatsvars 13%)</w:t>
            </w:r>
          </w:p>
        </w:tc>
        <w:tc>
          <w:tcPr>
            <w:tcW w:w="1084" w:type="pct"/>
            <w:vAlign w:val="center"/>
          </w:tcPr>
          <w:p w:rsidR="006420D0" w:rsidRPr="00061CA2" w:rsidRDefault="006420D0" w:rsidP="00E60672">
            <w:pPr>
              <w:jc w:val="right"/>
              <w:rPr>
                <w:rFonts w:cs="Times New Roman"/>
                <w:b/>
                <w:sz w:val="22"/>
              </w:rPr>
            </w:pPr>
            <w:r w:rsidRPr="00061CA2">
              <w:rPr>
                <w:rFonts w:cs="Times New Roman"/>
                <w:b/>
                <w:sz w:val="22"/>
              </w:rPr>
              <w:t xml:space="preserve">6,83 </w:t>
            </w:r>
          </w:p>
        </w:tc>
        <w:tc>
          <w:tcPr>
            <w:tcW w:w="1084" w:type="pct"/>
            <w:vAlign w:val="center"/>
          </w:tcPr>
          <w:p w:rsidR="006420D0" w:rsidRPr="00061CA2" w:rsidRDefault="006420D0" w:rsidP="00E60672">
            <w:pPr>
              <w:jc w:val="right"/>
              <w:rPr>
                <w:rFonts w:cs="Times New Roman"/>
                <w:b/>
                <w:sz w:val="22"/>
              </w:rPr>
            </w:pPr>
            <w:r w:rsidRPr="00061CA2">
              <w:rPr>
                <w:rFonts w:cs="Times New Roman"/>
                <w:b/>
                <w:sz w:val="22"/>
              </w:rPr>
              <w:t>5</w:t>
            </w:r>
          </w:p>
        </w:tc>
      </w:tr>
      <w:tr w:rsidR="006420D0" w:rsidRPr="00061CA2" w:rsidTr="00E60672">
        <w:trPr>
          <w:trHeight w:val="322"/>
          <w:jc w:val="center"/>
        </w:trPr>
        <w:tc>
          <w:tcPr>
            <w:tcW w:w="2832" w:type="pct"/>
          </w:tcPr>
          <w:p w:rsidR="006420D0" w:rsidRPr="00061CA2" w:rsidRDefault="006420D0" w:rsidP="00E60672">
            <w:pPr>
              <w:rPr>
                <w:rFonts w:cs="Times New Roman"/>
                <w:sz w:val="22"/>
              </w:rPr>
            </w:pPr>
            <w:r w:rsidRPr="00061CA2">
              <w:rPr>
                <w:rFonts w:cs="Times New Roman"/>
                <w:sz w:val="22"/>
              </w:rPr>
              <w:t>elpošanas sistēmas slimības</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 xml:space="preserve">2,28 </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33</w:t>
            </w:r>
          </w:p>
        </w:tc>
      </w:tr>
      <w:tr w:rsidR="006420D0" w:rsidRPr="00061CA2" w:rsidTr="00E60672">
        <w:trPr>
          <w:trHeight w:val="258"/>
          <w:jc w:val="center"/>
        </w:trPr>
        <w:tc>
          <w:tcPr>
            <w:tcW w:w="2832" w:type="pct"/>
          </w:tcPr>
          <w:p w:rsidR="006420D0" w:rsidRPr="00061CA2" w:rsidRDefault="006420D0" w:rsidP="00E60672">
            <w:pPr>
              <w:rPr>
                <w:rFonts w:cs="Times New Roman"/>
                <w:sz w:val="22"/>
              </w:rPr>
            </w:pPr>
            <w:r w:rsidRPr="00061CA2">
              <w:rPr>
                <w:rFonts w:cs="Times New Roman"/>
                <w:sz w:val="22"/>
              </w:rPr>
              <w:t>vielmaiņas slimības</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 xml:space="preserve">1,38 </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20</w:t>
            </w:r>
          </w:p>
        </w:tc>
      </w:tr>
      <w:tr w:rsidR="006420D0" w:rsidRPr="00061CA2" w:rsidTr="00E60672">
        <w:trPr>
          <w:trHeight w:val="274"/>
          <w:jc w:val="center"/>
        </w:trPr>
        <w:tc>
          <w:tcPr>
            <w:tcW w:w="2832" w:type="pct"/>
          </w:tcPr>
          <w:p w:rsidR="006420D0" w:rsidRPr="00061CA2" w:rsidRDefault="006420D0" w:rsidP="00E60672">
            <w:pPr>
              <w:rPr>
                <w:rFonts w:cs="Times New Roman"/>
                <w:sz w:val="22"/>
              </w:rPr>
            </w:pPr>
            <w:r w:rsidRPr="00061CA2">
              <w:rPr>
                <w:rFonts w:cs="Times New Roman"/>
                <w:sz w:val="22"/>
              </w:rPr>
              <w:t>muskuļu, skeleta un saistaudu slimības</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 xml:space="preserve">  1,07 </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16</w:t>
            </w:r>
          </w:p>
        </w:tc>
      </w:tr>
      <w:tr w:rsidR="006420D0" w:rsidRPr="00061CA2" w:rsidTr="00E60672">
        <w:trPr>
          <w:trHeight w:val="241"/>
          <w:jc w:val="center"/>
        </w:trPr>
        <w:tc>
          <w:tcPr>
            <w:tcW w:w="2832" w:type="pct"/>
          </w:tcPr>
          <w:p w:rsidR="006420D0" w:rsidRPr="00061CA2" w:rsidRDefault="006420D0" w:rsidP="00E60672">
            <w:pPr>
              <w:rPr>
                <w:rFonts w:cs="Times New Roman"/>
                <w:sz w:val="22"/>
              </w:rPr>
            </w:pPr>
            <w:r w:rsidRPr="00061CA2">
              <w:rPr>
                <w:rFonts w:cs="Times New Roman"/>
                <w:sz w:val="22"/>
              </w:rPr>
              <w:t>citas slimības</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2,1</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31</w:t>
            </w:r>
          </w:p>
        </w:tc>
      </w:tr>
      <w:tr w:rsidR="006420D0" w:rsidRPr="00061CA2" w:rsidTr="00E60672">
        <w:trPr>
          <w:trHeight w:val="524"/>
          <w:jc w:val="center"/>
        </w:trPr>
        <w:tc>
          <w:tcPr>
            <w:tcW w:w="2832" w:type="pct"/>
          </w:tcPr>
          <w:p w:rsidR="006420D0" w:rsidRPr="00061CA2" w:rsidRDefault="006420D0" w:rsidP="00E60672">
            <w:pPr>
              <w:jc w:val="both"/>
              <w:rPr>
                <w:rFonts w:cs="Times New Roman"/>
                <w:b/>
                <w:sz w:val="22"/>
              </w:rPr>
            </w:pPr>
            <w:r w:rsidRPr="00061CA2">
              <w:rPr>
                <w:rFonts w:cs="Times New Roman"/>
                <w:b/>
                <w:sz w:val="22"/>
              </w:rPr>
              <w:t>Darbaspējīgie iedzīvotāji 19 – 62 gadu vecumam (unikālo pacientu īpatsvars 38%)</w:t>
            </w:r>
          </w:p>
        </w:tc>
        <w:tc>
          <w:tcPr>
            <w:tcW w:w="1084" w:type="pct"/>
            <w:vAlign w:val="center"/>
          </w:tcPr>
          <w:p w:rsidR="006420D0" w:rsidRPr="00061CA2" w:rsidRDefault="006420D0" w:rsidP="00E60672">
            <w:pPr>
              <w:jc w:val="right"/>
              <w:rPr>
                <w:rFonts w:cs="Times New Roman"/>
                <w:b/>
                <w:sz w:val="22"/>
              </w:rPr>
            </w:pPr>
            <w:r w:rsidRPr="00061CA2">
              <w:rPr>
                <w:rFonts w:cs="Times New Roman"/>
                <w:b/>
                <w:sz w:val="22"/>
              </w:rPr>
              <w:t>77,1</w:t>
            </w:r>
          </w:p>
        </w:tc>
        <w:tc>
          <w:tcPr>
            <w:tcW w:w="1084" w:type="pct"/>
            <w:vAlign w:val="center"/>
          </w:tcPr>
          <w:p w:rsidR="006420D0" w:rsidRPr="00061CA2" w:rsidRDefault="006420D0" w:rsidP="00E60672">
            <w:pPr>
              <w:jc w:val="right"/>
              <w:rPr>
                <w:rFonts w:cs="Times New Roman"/>
                <w:b/>
                <w:sz w:val="22"/>
              </w:rPr>
            </w:pPr>
            <w:r w:rsidRPr="00061CA2">
              <w:rPr>
                <w:rFonts w:cs="Times New Roman"/>
                <w:b/>
                <w:sz w:val="22"/>
              </w:rPr>
              <w:t>53</w:t>
            </w:r>
          </w:p>
        </w:tc>
      </w:tr>
      <w:tr w:rsidR="006420D0" w:rsidRPr="00061CA2" w:rsidTr="00E60672">
        <w:trPr>
          <w:trHeight w:val="200"/>
          <w:jc w:val="center"/>
        </w:trPr>
        <w:tc>
          <w:tcPr>
            <w:tcW w:w="2832" w:type="pct"/>
          </w:tcPr>
          <w:p w:rsidR="006420D0" w:rsidRPr="00061CA2" w:rsidRDefault="006420D0" w:rsidP="00E60672">
            <w:pPr>
              <w:jc w:val="both"/>
              <w:rPr>
                <w:rFonts w:cs="Times New Roman"/>
                <w:sz w:val="22"/>
              </w:rPr>
            </w:pPr>
            <w:r w:rsidRPr="00061CA2">
              <w:rPr>
                <w:rFonts w:cs="Times New Roman"/>
                <w:sz w:val="22"/>
              </w:rPr>
              <w:t>C vīrushepatīts un HIV/AIDS</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21,4</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28</w:t>
            </w:r>
          </w:p>
        </w:tc>
      </w:tr>
      <w:tr w:rsidR="006420D0" w:rsidRPr="00061CA2" w:rsidTr="00E60672">
        <w:trPr>
          <w:trHeight w:val="269"/>
          <w:jc w:val="center"/>
        </w:trPr>
        <w:tc>
          <w:tcPr>
            <w:tcW w:w="2832" w:type="pct"/>
          </w:tcPr>
          <w:p w:rsidR="006420D0" w:rsidRPr="00061CA2" w:rsidRDefault="006420D0" w:rsidP="00E60672">
            <w:pPr>
              <w:jc w:val="both"/>
              <w:rPr>
                <w:rFonts w:cs="Times New Roman"/>
                <w:sz w:val="22"/>
              </w:rPr>
            </w:pPr>
            <w:r w:rsidRPr="00061CA2">
              <w:rPr>
                <w:rFonts w:cs="Times New Roman"/>
                <w:sz w:val="22"/>
              </w:rPr>
              <w:t xml:space="preserve">audzējs  </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10,6</w:t>
            </w:r>
          </w:p>
        </w:tc>
        <w:tc>
          <w:tcPr>
            <w:tcW w:w="1084" w:type="pct"/>
            <w:vAlign w:val="center"/>
          </w:tcPr>
          <w:p w:rsidR="006420D0" w:rsidRPr="00061CA2" w:rsidRDefault="006420D0" w:rsidP="00E60672">
            <w:pPr>
              <w:jc w:val="right"/>
              <w:rPr>
                <w:rFonts w:cs="Times New Roman"/>
                <w:sz w:val="22"/>
              </w:rPr>
            </w:pPr>
            <w:r w:rsidRPr="00061CA2">
              <w:rPr>
                <w:rFonts w:cs="Times New Roman"/>
                <w:sz w:val="22"/>
              </w:rPr>
              <w:t>14</w:t>
            </w:r>
          </w:p>
        </w:tc>
      </w:tr>
      <w:tr w:rsidR="006420D0" w:rsidRPr="00061CA2" w:rsidTr="00E60672">
        <w:trPr>
          <w:trHeight w:val="253"/>
          <w:jc w:val="center"/>
        </w:trPr>
        <w:tc>
          <w:tcPr>
            <w:tcW w:w="2832" w:type="pct"/>
          </w:tcPr>
          <w:p w:rsidR="006420D0" w:rsidRPr="00061CA2" w:rsidRDefault="006420D0" w:rsidP="00E60672">
            <w:pPr>
              <w:jc w:val="both"/>
              <w:rPr>
                <w:rFonts w:cs="Times New Roman"/>
                <w:sz w:val="22"/>
              </w:rPr>
            </w:pPr>
            <w:r w:rsidRPr="00061CA2">
              <w:rPr>
                <w:rFonts w:cs="Times New Roman"/>
                <w:sz w:val="22"/>
              </w:rPr>
              <w:t>cukura diabēts</w:t>
            </w:r>
          </w:p>
        </w:tc>
        <w:tc>
          <w:tcPr>
            <w:tcW w:w="1084" w:type="pct"/>
          </w:tcPr>
          <w:p w:rsidR="006420D0" w:rsidRPr="00061CA2" w:rsidRDefault="006420D0" w:rsidP="00E60672">
            <w:pPr>
              <w:jc w:val="right"/>
              <w:rPr>
                <w:rFonts w:cs="Times New Roman"/>
                <w:sz w:val="22"/>
              </w:rPr>
            </w:pPr>
            <w:r w:rsidRPr="00061CA2">
              <w:rPr>
                <w:rFonts w:cs="Times New Roman"/>
                <w:sz w:val="22"/>
              </w:rPr>
              <w:t>10,9</w:t>
            </w:r>
          </w:p>
        </w:tc>
        <w:tc>
          <w:tcPr>
            <w:tcW w:w="1084" w:type="pct"/>
          </w:tcPr>
          <w:p w:rsidR="006420D0" w:rsidRPr="00061CA2" w:rsidRDefault="006420D0" w:rsidP="00E60672">
            <w:pPr>
              <w:jc w:val="right"/>
              <w:rPr>
                <w:rFonts w:cs="Times New Roman"/>
                <w:sz w:val="22"/>
              </w:rPr>
            </w:pPr>
            <w:r w:rsidRPr="00061CA2">
              <w:rPr>
                <w:rFonts w:cs="Times New Roman"/>
                <w:sz w:val="22"/>
              </w:rPr>
              <w:t>14</w:t>
            </w:r>
          </w:p>
        </w:tc>
      </w:tr>
      <w:tr w:rsidR="006420D0" w:rsidRPr="00061CA2" w:rsidTr="00E60672">
        <w:trPr>
          <w:trHeight w:val="253"/>
          <w:jc w:val="center"/>
        </w:trPr>
        <w:tc>
          <w:tcPr>
            <w:tcW w:w="2832" w:type="pct"/>
          </w:tcPr>
          <w:p w:rsidR="006420D0" w:rsidRPr="00061CA2" w:rsidRDefault="006420D0" w:rsidP="00E60672">
            <w:pPr>
              <w:jc w:val="both"/>
              <w:rPr>
                <w:rFonts w:cs="Times New Roman"/>
                <w:sz w:val="22"/>
              </w:rPr>
            </w:pPr>
            <w:r w:rsidRPr="00061CA2">
              <w:rPr>
                <w:rFonts w:cs="Times New Roman"/>
                <w:sz w:val="22"/>
              </w:rPr>
              <w:t>citas slimības</w:t>
            </w:r>
          </w:p>
        </w:tc>
        <w:tc>
          <w:tcPr>
            <w:tcW w:w="1084" w:type="pct"/>
          </w:tcPr>
          <w:p w:rsidR="006420D0" w:rsidRPr="00061CA2" w:rsidRDefault="006420D0" w:rsidP="00E60672">
            <w:pPr>
              <w:jc w:val="right"/>
              <w:rPr>
                <w:rFonts w:cs="Times New Roman"/>
                <w:sz w:val="22"/>
              </w:rPr>
            </w:pPr>
            <w:r w:rsidRPr="00061CA2">
              <w:rPr>
                <w:rFonts w:cs="Times New Roman"/>
                <w:sz w:val="22"/>
              </w:rPr>
              <w:t>34,1</w:t>
            </w:r>
          </w:p>
        </w:tc>
        <w:tc>
          <w:tcPr>
            <w:tcW w:w="1084" w:type="pct"/>
          </w:tcPr>
          <w:p w:rsidR="006420D0" w:rsidRPr="00061CA2" w:rsidRDefault="006420D0" w:rsidP="00E60672">
            <w:pPr>
              <w:jc w:val="right"/>
              <w:rPr>
                <w:rFonts w:cs="Times New Roman"/>
                <w:sz w:val="22"/>
              </w:rPr>
            </w:pPr>
            <w:r w:rsidRPr="00061CA2">
              <w:rPr>
                <w:rFonts w:cs="Times New Roman"/>
                <w:sz w:val="22"/>
              </w:rPr>
              <w:t>44</w:t>
            </w:r>
          </w:p>
        </w:tc>
      </w:tr>
      <w:tr w:rsidR="006420D0" w:rsidRPr="00061CA2" w:rsidTr="00E60672">
        <w:trPr>
          <w:trHeight w:val="253"/>
          <w:jc w:val="center"/>
        </w:trPr>
        <w:tc>
          <w:tcPr>
            <w:tcW w:w="2832" w:type="pct"/>
          </w:tcPr>
          <w:p w:rsidR="006420D0" w:rsidRPr="00061CA2" w:rsidRDefault="006420D0" w:rsidP="00E60672">
            <w:pPr>
              <w:jc w:val="both"/>
              <w:rPr>
                <w:rFonts w:cs="Times New Roman"/>
                <w:b/>
                <w:sz w:val="22"/>
              </w:rPr>
            </w:pPr>
            <w:r w:rsidRPr="00061CA2">
              <w:rPr>
                <w:rFonts w:cs="Times New Roman"/>
                <w:b/>
                <w:sz w:val="22"/>
              </w:rPr>
              <w:t>Seniori no 63 gadu vecuma (unikālo pacientu īpatsvars 38%)</w:t>
            </w:r>
          </w:p>
        </w:tc>
        <w:tc>
          <w:tcPr>
            <w:tcW w:w="1084" w:type="pct"/>
          </w:tcPr>
          <w:p w:rsidR="006420D0" w:rsidRPr="00061CA2" w:rsidRDefault="006420D0" w:rsidP="00E60672">
            <w:pPr>
              <w:jc w:val="right"/>
              <w:rPr>
                <w:rFonts w:cs="Times New Roman"/>
                <w:b/>
                <w:sz w:val="22"/>
              </w:rPr>
            </w:pPr>
            <w:r w:rsidRPr="00061CA2">
              <w:rPr>
                <w:rFonts w:cs="Times New Roman"/>
                <w:b/>
                <w:sz w:val="22"/>
              </w:rPr>
              <w:t>61,02</w:t>
            </w:r>
          </w:p>
        </w:tc>
        <w:tc>
          <w:tcPr>
            <w:tcW w:w="1084" w:type="pct"/>
          </w:tcPr>
          <w:p w:rsidR="006420D0" w:rsidRPr="00061CA2" w:rsidRDefault="006420D0" w:rsidP="00E60672">
            <w:pPr>
              <w:jc w:val="right"/>
              <w:rPr>
                <w:rFonts w:cs="Times New Roman"/>
                <w:b/>
                <w:sz w:val="22"/>
              </w:rPr>
            </w:pPr>
            <w:r w:rsidRPr="00061CA2">
              <w:rPr>
                <w:rFonts w:cs="Times New Roman"/>
                <w:b/>
                <w:sz w:val="22"/>
              </w:rPr>
              <w:t>42</w:t>
            </w:r>
          </w:p>
        </w:tc>
      </w:tr>
      <w:tr w:rsidR="006420D0" w:rsidRPr="00061CA2" w:rsidTr="00E60672">
        <w:trPr>
          <w:trHeight w:val="265"/>
          <w:jc w:val="center"/>
        </w:trPr>
        <w:tc>
          <w:tcPr>
            <w:tcW w:w="2832" w:type="pct"/>
          </w:tcPr>
          <w:p w:rsidR="006420D0" w:rsidRPr="00061CA2" w:rsidRDefault="006420D0" w:rsidP="00E60672">
            <w:pPr>
              <w:jc w:val="both"/>
              <w:rPr>
                <w:rFonts w:cs="Times New Roman"/>
                <w:sz w:val="22"/>
              </w:rPr>
            </w:pPr>
            <w:r w:rsidRPr="00061CA2">
              <w:rPr>
                <w:rFonts w:cs="Times New Roman"/>
                <w:sz w:val="22"/>
              </w:rPr>
              <w:t>asinsrites sistēmas slimībām</w:t>
            </w:r>
          </w:p>
        </w:tc>
        <w:tc>
          <w:tcPr>
            <w:tcW w:w="1084" w:type="pct"/>
          </w:tcPr>
          <w:p w:rsidR="006420D0" w:rsidRPr="00061CA2" w:rsidRDefault="006420D0" w:rsidP="00E60672">
            <w:pPr>
              <w:jc w:val="right"/>
              <w:rPr>
                <w:rFonts w:cs="Times New Roman"/>
                <w:sz w:val="22"/>
              </w:rPr>
            </w:pPr>
            <w:r w:rsidRPr="00061CA2">
              <w:rPr>
                <w:rFonts w:cs="Times New Roman"/>
                <w:sz w:val="22"/>
              </w:rPr>
              <w:t>15,02</w:t>
            </w:r>
          </w:p>
        </w:tc>
        <w:tc>
          <w:tcPr>
            <w:tcW w:w="1084" w:type="pct"/>
          </w:tcPr>
          <w:p w:rsidR="006420D0" w:rsidRPr="00061CA2" w:rsidRDefault="006420D0" w:rsidP="00E60672">
            <w:pPr>
              <w:jc w:val="right"/>
              <w:rPr>
                <w:rFonts w:cs="Times New Roman"/>
                <w:sz w:val="22"/>
              </w:rPr>
            </w:pPr>
            <w:r w:rsidRPr="00061CA2">
              <w:rPr>
                <w:rFonts w:cs="Times New Roman"/>
                <w:sz w:val="22"/>
              </w:rPr>
              <w:t>25</w:t>
            </w:r>
          </w:p>
        </w:tc>
      </w:tr>
      <w:tr w:rsidR="006420D0" w:rsidRPr="00061CA2" w:rsidTr="00E60672">
        <w:trPr>
          <w:trHeight w:val="253"/>
          <w:jc w:val="center"/>
        </w:trPr>
        <w:tc>
          <w:tcPr>
            <w:tcW w:w="2832" w:type="pct"/>
          </w:tcPr>
          <w:p w:rsidR="006420D0" w:rsidRPr="00061CA2" w:rsidRDefault="006420D0" w:rsidP="00E60672">
            <w:pPr>
              <w:jc w:val="both"/>
              <w:rPr>
                <w:rFonts w:cs="Times New Roman"/>
                <w:sz w:val="22"/>
              </w:rPr>
            </w:pPr>
            <w:r w:rsidRPr="00061CA2">
              <w:rPr>
                <w:rFonts w:cs="Times New Roman"/>
                <w:sz w:val="22"/>
              </w:rPr>
              <w:t>cukura diabēts</w:t>
            </w:r>
          </w:p>
        </w:tc>
        <w:tc>
          <w:tcPr>
            <w:tcW w:w="1084" w:type="pct"/>
          </w:tcPr>
          <w:p w:rsidR="006420D0" w:rsidRPr="00061CA2" w:rsidRDefault="006420D0" w:rsidP="00E60672">
            <w:pPr>
              <w:jc w:val="right"/>
              <w:rPr>
                <w:rFonts w:cs="Times New Roman"/>
                <w:sz w:val="22"/>
              </w:rPr>
            </w:pPr>
            <w:r w:rsidRPr="00061CA2">
              <w:rPr>
                <w:rFonts w:cs="Times New Roman"/>
                <w:sz w:val="22"/>
              </w:rPr>
              <w:t>15,24</w:t>
            </w:r>
          </w:p>
        </w:tc>
        <w:tc>
          <w:tcPr>
            <w:tcW w:w="1084" w:type="pct"/>
          </w:tcPr>
          <w:p w:rsidR="006420D0" w:rsidRPr="00061CA2" w:rsidRDefault="006420D0" w:rsidP="00E60672">
            <w:pPr>
              <w:jc w:val="right"/>
              <w:rPr>
                <w:rFonts w:cs="Times New Roman"/>
                <w:sz w:val="22"/>
              </w:rPr>
            </w:pPr>
            <w:r w:rsidRPr="00061CA2">
              <w:rPr>
                <w:rFonts w:cs="Times New Roman"/>
                <w:sz w:val="22"/>
              </w:rPr>
              <w:t>25</w:t>
            </w:r>
          </w:p>
        </w:tc>
      </w:tr>
      <w:tr w:rsidR="006420D0" w:rsidRPr="00061CA2" w:rsidTr="00E60672">
        <w:trPr>
          <w:trHeight w:val="253"/>
          <w:jc w:val="center"/>
        </w:trPr>
        <w:tc>
          <w:tcPr>
            <w:tcW w:w="2832" w:type="pct"/>
          </w:tcPr>
          <w:p w:rsidR="006420D0" w:rsidRPr="00061CA2" w:rsidRDefault="006420D0" w:rsidP="00E60672">
            <w:pPr>
              <w:jc w:val="both"/>
              <w:rPr>
                <w:rFonts w:cs="Times New Roman"/>
                <w:sz w:val="22"/>
              </w:rPr>
            </w:pPr>
            <w:r w:rsidRPr="00061CA2">
              <w:rPr>
                <w:rFonts w:cs="Times New Roman"/>
                <w:sz w:val="22"/>
              </w:rPr>
              <w:t>audzējs</w:t>
            </w:r>
          </w:p>
        </w:tc>
        <w:tc>
          <w:tcPr>
            <w:tcW w:w="1084" w:type="pct"/>
          </w:tcPr>
          <w:p w:rsidR="006420D0" w:rsidRPr="00061CA2" w:rsidRDefault="006420D0" w:rsidP="00E60672">
            <w:pPr>
              <w:jc w:val="right"/>
              <w:rPr>
                <w:rFonts w:cs="Times New Roman"/>
                <w:sz w:val="22"/>
              </w:rPr>
            </w:pPr>
            <w:r w:rsidRPr="00061CA2">
              <w:rPr>
                <w:rFonts w:cs="Times New Roman"/>
                <w:sz w:val="22"/>
              </w:rPr>
              <w:t>11,23</w:t>
            </w:r>
          </w:p>
        </w:tc>
        <w:tc>
          <w:tcPr>
            <w:tcW w:w="1084" w:type="pct"/>
          </w:tcPr>
          <w:p w:rsidR="006420D0" w:rsidRPr="00061CA2" w:rsidRDefault="006420D0" w:rsidP="00E60672">
            <w:pPr>
              <w:jc w:val="right"/>
              <w:rPr>
                <w:rFonts w:cs="Times New Roman"/>
                <w:sz w:val="22"/>
              </w:rPr>
            </w:pPr>
            <w:r w:rsidRPr="00061CA2">
              <w:rPr>
                <w:rFonts w:cs="Times New Roman"/>
                <w:sz w:val="22"/>
              </w:rPr>
              <w:t>18</w:t>
            </w:r>
          </w:p>
        </w:tc>
      </w:tr>
      <w:tr w:rsidR="006420D0" w:rsidRPr="00061CA2" w:rsidTr="00E60672">
        <w:trPr>
          <w:trHeight w:val="253"/>
          <w:jc w:val="center"/>
        </w:trPr>
        <w:tc>
          <w:tcPr>
            <w:tcW w:w="2832" w:type="pct"/>
          </w:tcPr>
          <w:p w:rsidR="006420D0" w:rsidRPr="00061CA2" w:rsidRDefault="006420D0" w:rsidP="00E60672">
            <w:pPr>
              <w:jc w:val="both"/>
              <w:rPr>
                <w:rFonts w:cs="Times New Roman"/>
                <w:sz w:val="22"/>
              </w:rPr>
            </w:pPr>
            <w:r w:rsidRPr="00061CA2">
              <w:rPr>
                <w:rFonts w:cs="Times New Roman"/>
                <w:sz w:val="22"/>
              </w:rPr>
              <w:t>citas slimības</w:t>
            </w:r>
          </w:p>
        </w:tc>
        <w:tc>
          <w:tcPr>
            <w:tcW w:w="1084" w:type="pct"/>
          </w:tcPr>
          <w:p w:rsidR="006420D0" w:rsidRPr="00061CA2" w:rsidRDefault="006420D0" w:rsidP="00E60672">
            <w:pPr>
              <w:jc w:val="right"/>
              <w:rPr>
                <w:rFonts w:cs="Times New Roman"/>
                <w:sz w:val="22"/>
              </w:rPr>
            </w:pPr>
            <w:r w:rsidRPr="00061CA2">
              <w:rPr>
                <w:rFonts w:cs="Times New Roman"/>
                <w:sz w:val="22"/>
              </w:rPr>
              <w:t>19,53</w:t>
            </w:r>
          </w:p>
        </w:tc>
        <w:tc>
          <w:tcPr>
            <w:tcW w:w="1084" w:type="pct"/>
          </w:tcPr>
          <w:p w:rsidR="006420D0" w:rsidRPr="00061CA2" w:rsidRDefault="006420D0" w:rsidP="00E60672">
            <w:pPr>
              <w:jc w:val="right"/>
              <w:rPr>
                <w:rFonts w:cs="Times New Roman"/>
                <w:sz w:val="22"/>
              </w:rPr>
            </w:pPr>
            <w:r w:rsidRPr="00061CA2">
              <w:rPr>
                <w:rFonts w:cs="Times New Roman"/>
                <w:sz w:val="22"/>
              </w:rPr>
              <w:t>32</w:t>
            </w:r>
          </w:p>
        </w:tc>
      </w:tr>
    </w:tbl>
    <w:p w:rsidR="007B5387" w:rsidRPr="0092359A" w:rsidRDefault="007B5387" w:rsidP="00A77EE1">
      <w:pPr>
        <w:spacing w:before="120"/>
        <w:ind w:firstLine="709"/>
        <w:jc w:val="both"/>
        <w:rPr>
          <w:rFonts w:cs="Times New Roman"/>
          <w:szCs w:val="24"/>
        </w:rPr>
      </w:pPr>
      <w:r w:rsidRPr="00A77EE1">
        <w:rPr>
          <w:rFonts w:cs="Times New Roman"/>
          <w:szCs w:val="24"/>
        </w:rPr>
        <w:t xml:space="preserve">Atbilstoši </w:t>
      </w:r>
      <w:r w:rsidR="008B457B" w:rsidRPr="00A77EE1">
        <w:rPr>
          <w:rFonts w:cs="Times New Roman"/>
          <w:szCs w:val="24"/>
        </w:rPr>
        <w:t xml:space="preserve">tabulai </w:t>
      </w:r>
      <w:r w:rsidR="008B457B">
        <w:rPr>
          <w:rFonts w:cs="Times New Roman"/>
          <w:szCs w:val="24"/>
        </w:rPr>
        <w:t>Nr.</w:t>
      </w:r>
      <w:r w:rsidR="00A77EE1" w:rsidRPr="00A77EE1">
        <w:rPr>
          <w:rFonts w:cs="Times New Roman"/>
          <w:szCs w:val="24"/>
        </w:rPr>
        <w:t>3.8</w:t>
      </w:r>
      <w:r w:rsidRPr="00A77EE1">
        <w:rPr>
          <w:rFonts w:cs="Times New Roman"/>
          <w:szCs w:val="24"/>
        </w:rPr>
        <w:t>. no</w:t>
      </w:r>
      <w:r w:rsidRPr="009152ED">
        <w:rPr>
          <w:rFonts w:cs="Times New Roman"/>
          <w:szCs w:val="24"/>
        </w:rPr>
        <w:t xml:space="preserve"> kopējā zāļu iegādes kompe</w:t>
      </w:r>
      <w:r>
        <w:rPr>
          <w:rFonts w:cs="Times New Roman"/>
          <w:szCs w:val="24"/>
        </w:rPr>
        <w:t>nsācijas sistēmas budžeta 2016.</w:t>
      </w:r>
      <w:r w:rsidRPr="009152ED">
        <w:rPr>
          <w:rFonts w:cs="Times New Roman"/>
          <w:szCs w:val="24"/>
        </w:rPr>
        <w:t xml:space="preserve">gadā bērnu līdz 18 gadu vecumam ārstēšanai ir izlietoti 5% </w:t>
      </w:r>
      <w:r>
        <w:rPr>
          <w:rFonts w:cs="Times New Roman"/>
          <w:szCs w:val="24"/>
        </w:rPr>
        <w:t xml:space="preserve">no kopējā ZIKS finansējuma, darbaspējīgiem iedzīvotājiem </w:t>
      </w:r>
      <w:r w:rsidRPr="009152ED">
        <w:rPr>
          <w:rFonts w:cs="Times New Roman"/>
          <w:szCs w:val="24"/>
        </w:rPr>
        <w:t>53%, savukārt senioriem</w:t>
      </w:r>
      <w:r>
        <w:rPr>
          <w:rFonts w:cs="Times New Roman"/>
          <w:szCs w:val="24"/>
        </w:rPr>
        <w:t xml:space="preserve"> </w:t>
      </w:r>
      <w:r w:rsidRPr="009152ED">
        <w:rPr>
          <w:rFonts w:cs="Times New Roman"/>
          <w:szCs w:val="24"/>
        </w:rPr>
        <w:t xml:space="preserve"> 42%</w:t>
      </w:r>
      <w:r>
        <w:rPr>
          <w:rFonts w:cs="Times New Roman"/>
          <w:szCs w:val="24"/>
        </w:rPr>
        <w:t>. Savukārt u</w:t>
      </w:r>
      <w:r w:rsidRPr="0092359A">
        <w:rPr>
          <w:rFonts w:cs="Times New Roman"/>
          <w:szCs w:val="24"/>
        </w:rPr>
        <w:t>nikālie pacienti pa vecuma grupām ir sadalījušies sekojoši -  bērni līdz 18 gadu vecumam 13%, kamēr darbspējīgie iedzīvotāji aizņem 38%, bet seniori – 49%</w:t>
      </w:r>
      <w:r>
        <w:rPr>
          <w:rFonts w:cs="Times New Roman"/>
          <w:szCs w:val="24"/>
        </w:rPr>
        <w:t>.</w:t>
      </w:r>
    </w:p>
    <w:p w:rsidR="00BA3D36" w:rsidRDefault="00BA3D36" w:rsidP="007B5387">
      <w:pPr>
        <w:jc w:val="right"/>
        <w:rPr>
          <w:szCs w:val="24"/>
        </w:rPr>
      </w:pPr>
    </w:p>
    <w:p w:rsidR="00BA3D36" w:rsidRDefault="00BA3D36" w:rsidP="007B5387">
      <w:pPr>
        <w:jc w:val="right"/>
        <w:rPr>
          <w:szCs w:val="24"/>
        </w:rPr>
      </w:pPr>
    </w:p>
    <w:p w:rsidR="00BA3D36" w:rsidRDefault="00BA3D36" w:rsidP="007B5387">
      <w:pPr>
        <w:jc w:val="right"/>
        <w:rPr>
          <w:szCs w:val="24"/>
        </w:rPr>
      </w:pPr>
    </w:p>
    <w:p w:rsidR="00BA3D36" w:rsidRDefault="00BA3D36" w:rsidP="007B5387">
      <w:pPr>
        <w:jc w:val="right"/>
        <w:rPr>
          <w:szCs w:val="24"/>
        </w:rPr>
      </w:pPr>
    </w:p>
    <w:p w:rsidR="007B5387" w:rsidRPr="006C7290" w:rsidRDefault="007B5387" w:rsidP="007B5387">
      <w:pPr>
        <w:jc w:val="right"/>
        <w:rPr>
          <w:szCs w:val="24"/>
        </w:rPr>
      </w:pPr>
      <w:r w:rsidRPr="006C7290">
        <w:rPr>
          <w:szCs w:val="24"/>
        </w:rPr>
        <w:lastRenderedPageBreak/>
        <w:t>Tabula Nr.</w:t>
      </w:r>
      <w:r w:rsidR="00A77EE1">
        <w:rPr>
          <w:szCs w:val="24"/>
        </w:rPr>
        <w:t>3.9.</w:t>
      </w:r>
    </w:p>
    <w:p w:rsidR="007B5387" w:rsidRPr="00FD48F3" w:rsidRDefault="007B5387" w:rsidP="007B5387">
      <w:pPr>
        <w:spacing w:before="120" w:after="120"/>
        <w:jc w:val="center"/>
        <w:rPr>
          <w:b/>
          <w:sz w:val="20"/>
          <w:szCs w:val="20"/>
        </w:rPr>
      </w:pPr>
      <w:r>
        <w:rPr>
          <w:b/>
          <w:szCs w:val="24"/>
        </w:rPr>
        <w:t>Alternatīvā risinājuma Nr.3 ieguvumi un riski</w:t>
      </w:r>
    </w:p>
    <w:tbl>
      <w:tblPr>
        <w:tblStyle w:val="TableGrid"/>
        <w:tblW w:w="5000" w:type="pct"/>
        <w:tblLook w:val="04A0" w:firstRow="1" w:lastRow="0" w:firstColumn="1" w:lastColumn="0" w:noHBand="0" w:noVBand="1"/>
      </w:tblPr>
      <w:tblGrid>
        <w:gridCol w:w="4530"/>
        <w:gridCol w:w="4531"/>
      </w:tblGrid>
      <w:tr w:rsidR="007B5387" w:rsidRPr="00A77EE1" w:rsidTr="00A77EE1">
        <w:trPr>
          <w:trHeight w:val="226"/>
          <w:tblHeader/>
        </w:trPr>
        <w:tc>
          <w:tcPr>
            <w:tcW w:w="2500" w:type="pct"/>
            <w:shd w:val="clear" w:color="auto" w:fill="C5E0B3" w:themeFill="accent6" w:themeFillTint="66"/>
          </w:tcPr>
          <w:p w:rsidR="007B5387" w:rsidRPr="00A77EE1" w:rsidRDefault="007B5387" w:rsidP="007B5387">
            <w:pPr>
              <w:jc w:val="center"/>
              <w:rPr>
                <w:rFonts w:cs="Times New Roman"/>
                <w:b/>
                <w:sz w:val="22"/>
              </w:rPr>
            </w:pPr>
            <w:r w:rsidRPr="00A77EE1">
              <w:rPr>
                <w:rFonts w:cs="Times New Roman"/>
                <w:b/>
                <w:sz w:val="22"/>
              </w:rPr>
              <w:t>Ieguvumi</w:t>
            </w:r>
          </w:p>
        </w:tc>
        <w:tc>
          <w:tcPr>
            <w:tcW w:w="2500" w:type="pct"/>
            <w:shd w:val="clear" w:color="auto" w:fill="C5E0B3" w:themeFill="accent6" w:themeFillTint="66"/>
          </w:tcPr>
          <w:p w:rsidR="007B5387" w:rsidRPr="00A77EE1" w:rsidRDefault="007B5387" w:rsidP="007B5387">
            <w:pPr>
              <w:jc w:val="center"/>
              <w:rPr>
                <w:rFonts w:cs="Times New Roman"/>
                <w:b/>
                <w:sz w:val="22"/>
              </w:rPr>
            </w:pPr>
            <w:r w:rsidRPr="00A77EE1">
              <w:rPr>
                <w:rFonts w:cs="Times New Roman"/>
                <w:b/>
                <w:sz w:val="22"/>
              </w:rPr>
              <w:t>Riski</w:t>
            </w:r>
          </w:p>
        </w:tc>
      </w:tr>
      <w:tr w:rsidR="007B5387" w:rsidRPr="00A77EE1" w:rsidTr="00A77EE1">
        <w:tc>
          <w:tcPr>
            <w:tcW w:w="2500" w:type="pct"/>
          </w:tcPr>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turpinās valsts rūpes par sociāli neaizsargātām iedzīvotāju kategorijām;</w:t>
            </w:r>
          </w:p>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 xml:space="preserve">ierobežotas plaši izplatītas smagas infekciju slimības- C hepatīts un HIV/AIDS. </w:t>
            </w:r>
          </w:p>
          <w:p w:rsidR="007B5387" w:rsidRPr="00A77EE1" w:rsidRDefault="007B5387" w:rsidP="007B5387">
            <w:pPr>
              <w:tabs>
                <w:tab w:val="left" w:pos="313"/>
              </w:tabs>
              <w:spacing w:after="160"/>
              <w:ind w:left="29"/>
              <w:jc w:val="both"/>
              <w:rPr>
                <w:rFonts w:cs="Times New Roman"/>
                <w:sz w:val="22"/>
              </w:rPr>
            </w:pPr>
          </w:p>
        </w:tc>
        <w:tc>
          <w:tcPr>
            <w:tcW w:w="2500" w:type="pct"/>
          </w:tcPr>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 xml:space="preserve"> darbspējīgo iedzīvotāju vidū 14% no finanšu līdzekļiem tika tērēti gan audzēju, gan cukura diabēta ārstēšanai, attiecīgi 10 644 438 </w:t>
            </w:r>
            <w:r w:rsidRPr="00821163">
              <w:rPr>
                <w:rFonts w:cs="Times New Roman"/>
                <w:i/>
                <w:sz w:val="22"/>
              </w:rPr>
              <w:t>euro</w:t>
            </w:r>
            <w:r w:rsidRPr="00A77EE1">
              <w:rPr>
                <w:rFonts w:cs="Times New Roman"/>
                <w:sz w:val="22"/>
              </w:rPr>
              <w:t xml:space="preserve"> un 10 896 878 </w:t>
            </w:r>
            <w:r w:rsidRPr="00821163">
              <w:rPr>
                <w:rFonts w:cs="Times New Roman"/>
                <w:i/>
                <w:sz w:val="22"/>
              </w:rPr>
              <w:t>euro</w:t>
            </w:r>
            <w:r w:rsidRPr="00A77EE1">
              <w:rPr>
                <w:rFonts w:cs="Times New Roman"/>
                <w:sz w:val="22"/>
              </w:rPr>
              <w:t>, muskuļu un skeleta (galvenokārt reim</w:t>
            </w:r>
            <w:r w:rsidR="00821163">
              <w:rPr>
                <w:rFonts w:cs="Times New Roman"/>
                <w:sz w:val="22"/>
              </w:rPr>
              <w:t>a</w:t>
            </w:r>
            <w:r w:rsidRPr="00A77EE1">
              <w:rPr>
                <w:rFonts w:cs="Times New Roman"/>
                <w:sz w:val="22"/>
              </w:rPr>
              <w:t>toīdo) slimību ārstēšanai izlietoti 6 912 270 euro, šī slimības ir vadošās invaliditātes un darba nespējas gadījumu ziņā. Šīm diagnozēm zāļu iegādes izdevumi tiek kompensēti 100% apmērā, jo zāļu izmaksas ievērojami pārsniedz pacientu pirktspēju;</w:t>
            </w:r>
          </w:p>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arī atsevišķu diagnožu gadījumā, kad kompensācijas apmērs ir 75% vai 50%, pacienta līdzmaksājums par valsts nekompensēto daļu var pārsniegt konkrētā pacienta finansiālās iespējas, tādejādi pasliktinot pacienta līdzestību un regulāru zāļu lietošanu;</w:t>
            </w:r>
          </w:p>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 xml:space="preserve">pieaugs neatliekamās hospitalizācijas un nāves riski nepilnvērtīgas terapijas rezultātā (finansiālā pieejamība). </w:t>
            </w:r>
          </w:p>
        </w:tc>
      </w:tr>
    </w:tbl>
    <w:p w:rsidR="007B5387" w:rsidRPr="0092359A" w:rsidRDefault="007B5387" w:rsidP="00A77EE1">
      <w:pPr>
        <w:spacing w:before="160"/>
        <w:ind w:firstLine="709"/>
        <w:jc w:val="both"/>
        <w:rPr>
          <w:rFonts w:cs="Times New Roman"/>
          <w:szCs w:val="24"/>
        </w:rPr>
      </w:pPr>
      <w:r w:rsidRPr="00A77EE1">
        <w:rPr>
          <w:rFonts w:cs="Times New Roman"/>
          <w:szCs w:val="24"/>
        </w:rPr>
        <w:t xml:space="preserve">Atbilstoši </w:t>
      </w:r>
      <w:r w:rsidR="008B457B" w:rsidRPr="00A77EE1">
        <w:rPr>
          <w:rFonts w:cs="Times New Roman"/>
          <w:szCs w:val="24"/>
        </w:rPr>
        <w:t xml:space="preserve">tabulai </w:t>
      </w:r>
      <w:r w:rsidR="008B457B">
        <w:rPr>
          <w:rFonts w:cs="Times New Roman"/>
          <w:szCs w:val="24"/>
        </w:rPr>
        <w:t>Nr.</w:t>
      </w:r>
      <w:r w:rsidR="00A77EE1" w:rsidRPr="00A77EE1">
        <w:rPr>
          <w:rFonts w:cs="Times New Roman"/>
          <w:szCs w:val="24"/>
        </w:rPr>
        <w:t>3.9.</w:t>
      </w:r>
      <w:r w:rsidRPr="00A77EE1">
        <w:rPr>
          <w:rFonts w:cs="Times New Roman"/>
          <w:szCs w:val="24"/>
        </w:rPr>
        <w:t xml:space="preserve"> alternatīvajam risinājumam Nr.3 ir vairāk risku nekā ieguvumu,</w:t>
      </w:r>
      <w:r>
        <w:rPr>
          <w:rFonts w:cs="Times New Roman"/>
          <w:szCs w:val="24"/>
        </w:rPr>
        <w:t xml:space="preserve"> kā arī jāņem vērā arī tas, ka lielākajai daļai no finansiāli ietilpīgākajām diagnozēm zāļu iegādes izdevumi tiek kompensēti 100% apmērā, jo zāļu izmaksas ievērojami pārsniedz pacientu pirktspēju. </w:t>
      </w:r>
    </w:p>
    <w:p w:rsidR="007B5387" w:rsidRPr="00BA3D36" w:rsidRDefault="007B5387" w:rsidP="00BA3D36">
      <w:pPr>
        <w:ind w:firstLine="709"/>
        <w:jc w:val="both"/>
        <w:rPr>
          <w:rFonts w:cs="Times New Roman"/>
          <w:szCs w:val="24"/>
        </w:rPr>
      </w:pPr>
      <w:r>
        <w:rPr>
          <w:rFonts w:cs="Times New Roman"/>
          <w:szCs w:val="24"/>
        </w:rPr>
        <w:t xml:space="preserve">Pieejamie dati nedod iespēju analizēt katra individuālā pacienta izlietotos līdzekļus, kā arī tos pacientus, kuriem ir vairāk kā viena no saslimšanām. </w:t>
      </w:r>
    </w:p>
    <w:p w:rsidR="007B5387" w:rsidRPr="008B46D5" w:rsidRDefault="007B5387" w:rsidP="007B5387">
      <w:pPr>
        <w:pStyle w:val="ListParagraph"/>
        <w:spacing w:before="120" w:after="120"/>
        <w:ind w:left="0"/>
        <w:jc w:val="both"/>
        <w:rPr>
          <w:rFonts w:cs="Times New Roman"/>
          <w:b/>
          <w:szCs w:val="24"/>
        </w:rPr>
      </w:pPr>
      <w:r w:rsidRPr="008B46D5">
        <w:rPr>
          <w:rFonts w:cs="Times New Roman"/>
          <w:b/>
          <w:szCs w:val="24"/>
        </w:rPr>
        <w:t>Alternatīvais risinājums Nr.4 – rezidentu sasaiste ar veikto nodokļu iemaksas faktu</w:t>
      </w:r>
    </w:p>
    <w:p w:rsidR="007B5387" w:rsidRPr="008B46D5" w:rsidRDefault="007B5387" w:rsidP="007B5387">
      <w:pPr>
        <w:spacing w:after="160"/>
        <w:ind w:firstLine="720"/>
        <w:jc w:val="both"/>
        <w:rPr>
          <w:rFonts w:cs="Times New Roman"/>
          <w:szCs w:val="24"/>
        </w:rPr>
      </w:pPr>
      <w:r>
        <w:rPr>
          <w:rFonts w:cs="Times New Roman"/>
          <w:szCs w:val="24"/>
        </w:rPr>
        <w:t>Ceturtais</w:t>
      </w:r>
      <w:r w:rsidRPr="009C4284">
        <w:rPr>
          <w:rFonts w:cs="Times New Roman"/>
          <w:szCs w:val="24"/>
        </w:rPr>
        <w:t xml:space="preserve"> alternatīvā risinājuma variants paredz</w:t>
      </w:r>
      <w:r>
        <w:rPr>
          <w:rFonts w:cs="Times New Roman"/>
          <w:szCs w:val="24"/>
        </w:rPr>
        <w:t xml:space="preserve"> rezidentu sasaisti ar veiktajām nodokļu iemaks</w:t>
      </w:r>
      <w:r w:rsidRPr="008B46D5">
        <w:rPr>
          <w:rFonts w:cs="Times New Roman"/>
          <w:szCs w:val="24"/>
        </w:rPr>
        <w:t>ām, t.i., tie, kas var atļauties, par veselības aprūpi maksā paši/vairāk.</w:t>
      </w:r>
    </w:p>
    <w:p w:rsidR="007B5387" w:rsidRPr="006C7290" w:rsidRDefault="007B5387" w:rsidP="007B5387">
      <w:pPr>
        <w:jc w:val="right"/>
        <w:rPr>
          <w:szCs w:val="24"/>
        </w:rPr>
      </w:pPr>
      <w:r w:rsidRPr="006C7290">
        <w:rPr>
          <w:szCs w:val="24"/>
        </w:rPr>
        <w:t>Tabula Nr.</w:t>
      </w:r>
      <w:r w:rsidR="00A77EE1">
        <w:rPr>
          <w:szCs w:val="24"/>
        </w:rPr>
        <w:t>3.10.</w:t>
      </w:r>
    </w:p>
    <w:p w:rsidR="007B5387" w:rsidRPr="009805DC" w:rsidRDefault="007B5387" w:rsidP="007B5387">
      <w:pPr>
        <w:spacing w:before="120" w:after="120"/>
        <w:jc w:val="center"/>
        <w:rPr>
          <w:b/>
          <w:sz w:val="20"/>
          <w:szCs w:val="20"/>
        </w:rPr>
      </w:pPr>
      <w:r>
        <w:rPr>
          <w:b/>
          <w:szCs w:val="24"/>
        </w:rPr>
        <w:t>Alternatīvā risinājuma Nr.4 ieguvumi un riski</w:t>
      </w:r>
    </w:p>
    <w:tbl>
      <w:tblPr>
        <w:tblStyle w:val="TableGrid"/>
        <w:tblW w:w="5000" w:type="pct"/>
        <w:tblLook w:val="04A0" w:firstRow="1" w:lastRow="0" w:firstColumn="1" w:lastColumn="0" w:noHBand="0" w:noVBand="1"/>
      </w:tblPr>
      <w:tblGrid>
        <w:gridCol w:w="4530"/>
        <w:gridCol w:w="4531"/>
      </w:tblGrid>
      <w:tr w:rsidR="007B5387" w:rsidRPr="00A77EE1" w:rsidTr="00A77EE1">
        <w:trPr>
          <w:trHeight w:val="226"/>
          <w:tblHeader/>
        </w:trPr>
        <w:tc>
          <w:tcPr>
            <w:tcW w:w="2500" w:type="pct"/>
            <w:shd w:val="clear" w:color="auto" w:fill="C5E0B3" w:themeFill="accent6" w:themeFillTint="66"/>
          </w:tcPr>
          <w:p w:rsidR="007B5387" w:rsidRPr="00A77EE1" w:rsidRDefault="007B5387" w:rsidP="007B5387">
            <w:pPr>
              <w:jc w:val="center"/>
              <w:rPr>
                <w:rFonts w:cs="Times New Roman"/>
                <w:b/>
                <w:sz w:val="22"/>
              </w:rPr>
            </w:pPr>
            <w:r w:rsidRPr="00A77EE1">
              <w:rPr>
                <w:rFonts w:cs="Times New Roman"/>
                <w:b/>
                <w:sz w:val="22"/>
              </w:rPr>
              <w:t>Ieguvumi</w:t>
            </w:r>
          </w:p>
        </w:tc>
        <w:tc>
          <w:tcPr>
            <w:tcW w:w="2500" w:type="pct"/>
            <w:shd w:val="clear" w:color="auto" w:fill="C5E0B3" w:themeFill="accent6" w:themeFillTint="66"/>
          </w:tcPr>
          <w:p w:rsidR="007B5387" w:rsidRPr="00A77EE1" w:rsidRDefault="007B5387" w:rsidP="007B5387">
            <w:pPr>
              <w:jc w:val="center"/>
              <w:rPr>
                <w:rFonts w:cs="Times New Roman"/>
                <w:b/>
                <w:sz w:val="22"/>
              </w:rPr>
            </w:pPr>
            <w:r w:rsidRPr="00A77EE1">
              <w:rPr>
                <w:rFonts w:cs="Times New Roman"/>
                <w:b/>
                <w:sz w:val="22"/>
              </w:rPr>
              <w:t>Riski</w:t>
            </w:r>
          </w:p>
        </w:tc>
      </w:tr>
      <w:tr w:rsidR="007B5387" w:rsidRPr="00A77EE1" w:rsidTr="00A77EE1">
        <w:tc>
          <w:tcPr>
            <w:tcW w:w="2500" w:type="pct"/>
          </w:tcPr>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 xml:space="preserve">valsts var ietaupīt vai lielāku līdzekļu apjomu var novirzīt mazturīgāko pacientu aprūpei. </w:t>
            </w:r>
          </w:p>
        </w:tc>
        <w:tc>
          <w:tcPr>
            <w:tcW w:w="2500" w:type="pct"/>
          </w:tcPr>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 xml:space="preserve"> ēnu ekonomikas attīstība, jo cilvēki nebūs ieinteresēti legāli uzrādīt ienākumus – jo vairāk pelnīs, jo vairāk būs jāmaksā par veselības aprūpi;</w:t>
            </w:r>
          </w:p>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sociālā nevienlīdzība – jo vairāk nomaksās nodokļos, jo vairāk pašam būs jāmaksā par veselības aprūpi;</w:t>
            </w:r>
          </w:p>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t xml:space="preserve">daudzi jaunie medikamenti ir pārāk dārgi arī pacientiem ar vidējiem un augstiem ienākumiem (gada izmaksas par zālēm daudzkārt var pārsniegt minimālo algu, t.i., 4 560 </w:t>
            </w:r>
            <w:r w:rsidRPr="00A77EE1">
              <w:rPr>
                <w:rFonts w:cs="Times New Roman"/>
                <w:i/>
                <w:sz w:val="22"/>
              </w:rPr>
              <w:t>euro</w:t>
            </w:r>
            <w:r w:rsidRPr="00A77EE1">
              <w:rPr>
                <w:rFonts w:cs="Times New Roman"/>
                <w:sz w:val="22"/>
              </w:rPr>
              <w:t xml:space="preserve"> gadā, piemēram, onkoloģija, HIV/AIDS un C hepatītu ārstēšana, bioloģiskā terapija, retās slimības, multiplā skleroze, u.c);</w:t>
            </w:r>
          </w:p>
          <w:p w:rsidR="007B5387" w:rsidRPr="00A77EE1" w:rsidRDefault="007B5387" w:rsidP="008C25BB">
            <w:pPr>
              <w:pStyle w:val="ListParagraph"/>
              <w:numPr>
                <w:ilvl w:val="0"/>
                <w:numId w:val="129"/>
              </w:numPr>
              <w:tabs>
                <w:tab w:val="left" w:pos="313"/>
              </w:tabs>
              <w:spacing w:after="160"/>
              <w:ind w:left="29" w:firstLine="0"/>
              <w:jc w:val="both"/>
              <w:rPr>
                <w:rFonts w:cs="Times New Roman"/>
                <w:sz w:val="22"/>
              </w:rPr>
            </w:pPr>
            <w:r w:rsidRPr="00A77EE1">
              <w:rPr>
                <w:rFonts w:cs="Times New Roman"/>
                <w:sz w:val="22"/>
              </w:rPr>
              <w:lastRenderedPageBreak/>
              <w:t xml:space="preserve">pieaugs neatliekamās hospitalizācijas un nāves riski nepilnvērtīgas terapijas lietošanas rezultātā (pasliktināsies finansiālā pieejamība). </w:t>
            </w:r>
          </w:p>
        </w:tc>
      </w:tr>
    </w:tbl>
    <w:p w:rsidR="007B5387" w:rsidRDefault="007B5387" w:rsidP="00A77EE1">
      <w:pPr>
        <w:pStyle w:val="xmsonormal"/>
        <w:spacing w:before="160" w:beforeAutospacing="0" w:after="0" w:afterAutospacing="0"/>
        <w:ind w:firstLine="709"/>
        <w:jc w:val="both"/>
      </w:pPr>
      <w:r w:rsidRPr="00A77EE1">
        <w:lastRenderedPageBreak/>
        <w:t xml:space="preserve">Kā redzams </w:t>
      </w:r>
      <w:r w:rsidR="008B457B" w:rsidRPr="00A77EE1">
        <w:t xml:space="preserve">tabulā </w:t>
      </w:r>
      <w:r w:rsidR="008B457B">
        <w:t>Nr.</w:t>
      </w:r>
      <w:r w:rsidR="00A77EE1" w:rsidRPr="00A77EE1">
        <w:t>3.10</w:t>
      </w:r>
      <w:r w:rsidRPr="00A77EE1">
        <w:t>. alternatīvā risinājuma Nr.4 ieviešanai ir būtiski vairāk risku</w:t>
      </w:r>
      <w:r>
        <w:t xml:space="preserve"> nekā ieguvumu.</w:t>
      </w:r>
    </w:p>
    <w:p w:rsidR="007B5387" w:rsidRPr="009C4284" w:rsidRDefault="007B5387" w:rsidP="00A77EE1">
      <w:pPr>
        <w:pStyle w:val="xmsonormal"/>
        <w:spacing w:before="120" w:beforeAutospacing="0" w:after="60" w:afterAutospacing="0"/>
        <w:ind w:firstLine="709"/>
        <w:jc w:val="both"/>
      </w:pPr>
      <w:r>
        <w:t>Lai nodrošinātu rezidentu sasaisti ar veikto nodokļu iemaksu apmēru, kur līdzmaksājums sasniedz noteiktu procentu apmēru no ienākumiem, jābūt:</w:t>
      </w:r>
    </w:p>
    <w:p w:rsidR="007B5387" w:rsidRPr="00D81189" w:rsidRDefault="007B5387" w:rsidP="00A77EE1">
      <w:pPr>
        <w:numPr>
          <w:ilvl w:val="0"/>
          <w:numId w:val="142"/>
        </w:numPr>
        <w:tabs>
          <w:tab w:val="left" w:pos="993"/>
        </w:tabs>
        <w:jc w:val="both"/>
        <w:rPr>
          <w:rFonts w:cs="Times New Roman"/>
          <w:szCs w:val="24"/>
        </w:rPr>
      </w:pPr>
      <w:r>
        <w:rPr>
          <w:rFonts w:cs="Times New Roman"/>
          <w:szCs w:val="24"/>
        </w:rPr>
        <w:t>nodefinētam v</w:t>
      </w:r>
      <w:r w:rsidRPr="00D81189">
        <w:rPr>
          <w:rFonts w:cs="Times New Roman"/>
          <w:szCs w:val="24"/>
        </w:rPr>
        <w:t>eselības aprūpes pakalpojumu apjom</w:t>
      </w:r>
      <w:r>
        <w:rPr>
          <w:rFonts w:cs="Times New Roman"/>
          <w:szCs w:val="24"/>
        </w:rPr>
        <w:t>am</w:t>
      </w:r>
      <w:r w:rsidRPr="00D81189">
        <w:rPr>
          <w:rFonts w:cs="Times New Roman"/>
          <w:szCs w:val="24"/>
        </w:rPr>
        <w:t>, kas tiek garantēts visiem iedzīvotājiem, neatkarīgi no ienākumiem;</w:t>
      </w:r>
    </w:p>
    <w:p w:rsidR="007B5387" w:rsidRPr="00D81189" w:rsidRDefault="007B5387" w:rsidP="00A77EE1">
      <w:pPr>
        <w:numPr>
          <w:ilvl w:val="0"/>
          <w:numId w:val="142"/>
        </w:numPr>
        <w:tabs>
          <w:tab w:val="left" w:pos="993"/>
        </w:tabs>
        <w:jc w:val="both"/>
        <w:rPr>
          <w:rFonts w:cs="Times New Roman"/>
          <w:szCs w:val="24"/>
        </w:rPr>
      </w:pPr>
      <w:r>
        <w:rPr>
          <w:rFonts w:cs="Times New Roman"/>
          <w:szCs w:val="24"/>
        </w:rPr>
        <w:t>n</w:t>
      </w:r>
      <w:r w:rsidRPr="00D81189">
        <w:rPr>
          <w:rFonts w:cs="Times New Roman"/>
          <w:szCs w:val="24"/>
        </w:rPr>
        <w:t>odefinētam</w:t>
      </w:r>
      <w:r>
        <w:rPr>
          <w:rFonts w:cs="Times New Roman"/>
          <w:szCs w:val="24"/>
        </w:rPr>
        <w:t xml:space="preserve"> minimālajam</w:t>
      </w:r>
      <w:r w:rsidRPr="00D81189">
        <w:rPr>
          <w:rFonts w:cs="Times New Roman"/>
          <w:szCs w:val="24"/>
        </w:rPr>
        <w:t xml:space="preserve"> ienākumu līmenim</w:t>
      </w:r>
      <w:r>
        <w:rPr>
          <w:rFonts w:cs="Times New Roman"/>
          <w:szCs w:val="24"/>
        </w:rPr>
        <w:t xml:space="preserve"> un periodam</w:t>
      </w:r>
      <w:r w:rsidRPr="00D81189">
        <w:rPr>
          <w:rFonts w:cs="Times New Roman"/>
          <w:szCs w:val="24"/>
        </w:rPr>
        <w:t xml:space="preserve">, pie kura iestājas </w:t>
      </w:r>
      <w:r>
        <w:rPr>
          <w:rFonts w:cs="Times New Roman"/>
          <w:szCs w:val="24"/>
        </w:rPr>
        <w:t xml:space="preserve">valsts apmaksāta </w:t>
      </w:r>
      <w:r w:rsidRPr="00D81189">
        <w:rPr>
          <w:rFonts w:cs="Times New Roman"/>
          <w:szCs w:val="24"/>
        </w:rPr>
        <w:t>veselības aprūpe;</w:t>
      </w:r>
    </w:p>
    <w:p w:rsidR="007B5387" w:rsidRPr="00D81189" w:rsidRDefault="007B5387" w:rsidP="00A77EE1">
      <w:pPr>
        <w:numPr>
          <w:ilvl w:val="0"/>
          <w:numId w:val="142"/>
        </w:numPr>
        <w:tabs>
          <w:tab w:val="left" w:pos="993"/>
        </w:tabs>
        <w:jc w:val="both"/>
        <w:rPr>
          <w:rFonts w:cs="Times New Roman"/>
          <w:szCs w:val="24"/>
        </w:rPr>
      </w:pPr>
      <w:r>
        <w:rPr>
          <w:rFonts w:cs="Times New Roman"/>
          <w:szCs w:val="24"/>
        </w:rPr>
        <w:t>n</w:t>
      </w:r>
      <w:r w:rsidRPr="00D81189">
        <w:rPr>
          <w:rFonts w:cs="Times New Roman"/>
          <w:szCs w:val="24"/>
        </w:rPr>
        <w:t>odefinētām atbrīvotajām</w:t>
      </w:r>
      <w:r>
        <w:rPr>
          <w:rFonts w:cs="Times New Roman"/>
          <w:szCs w:val="24"/>
        </w:rPr>
        <w:t xml:space="preserve"> iedzīvotāju</w:t>
      </w:r>
      <w:r w:rsidRPr="00D81189">
        <w:rPr>
          <w:rFonts w:cs="Times New Roman"/>
          <w:szCs w:val="24"/>
        </w:rPr>
        <w:t xml:space="preserve"> kategorijām, uz kurām neattiecas veselības </w:t>
      </w:r>
      <w:r>
        <w:rPr>
          <w:rFonts w:cs="Times New Roman"/>
          <w:szCs w:val="24"/>
        </w:rPr>
        <w:t>aprūpes saistība ar ienākumiem;</w:t>
      </w:r>
    </w:p>
    <w:p w:rsidR="007B5387" w:rsidRPr="00BA3D36" w:rsidRDefault="007B5387" w:rsidP="007B5387">
      <w:pPr>
        <w:numPr>
          <w:ilvl w:val="0"/>
          <w:numId w:val="142"/>
        </w:numPr>
        <w:tabs>
          <w:tab w:val="left" w:pos="993"/>
        </w:tabs>
        <w:jc w:val="both"/>
        <w:rPr>
          <w:rFonts w:cs="Times New Roman"/>
          <w:szCs w:val="24"/>
        </w:rPr>
      </w:pPr>
      <w:r w:rsidRPr="00C91B34">
        <w:rPr>
          <w:rFonts w:cs="Times New Roman"/>
          <w:szCs w:val="24"/>
        </w:rPr>
        <w:t xml:space="preserve">ļoti labai informācijas apmaiņai ar attiecīgajām datu bāzēm (VID, </w:t>
      </w:r>
      <w:r w:rsidR="00A77EE1" w:rsidRPr="00C91B34">
        <w:rPr>
          <w:rFonts w:cs="Times New Roman"/>
          <w:szCs w:val="24"/>
        </w:rPr>
        <w:t>Pilsonības un migrācijas lietu pārvald</w:t>
      </w:r>
      <w:r w:rsidR="00C91B34">
        <w:rPr>
          <w:rFonts w:cs="Times New Roman"/>
          <w:szCs w:val="24"/>
        </w:rPr>
        <w:t>es</w:t>
      </w:r>
      <w:r w:rsidR="00A77EE1" w:rsidRPr="00C91B34">
        <w:rPr>
          <w:rFonts w:cs="Times New Roman"/>
          <w:szCs w:val="24"/>
        </w:rPr>
        <w:t xml:space="preserve"> </w:t>
      </w:r>
      <w:r w:rsidR="00C91B34" w:rsidRPr="00C91B34">
        <w:rPr>
          <w:rFonts w:cs="Times New Roman"/>
          <w:szCs w:val="24"/>
        </w:rPr>
        <w:t xml:space="preserve">(turpmāk – </w:t>
      </w:r>
      <w:r w:rsidRPr="00C91B34">
        <w:rPr>
          <w:rFonts w:cs="Times New Roman"/>
          <w:szCs w:val="24"/>
        </w:rPr>
        <w:t>PMLP</w:t>
      </w:r>
      <w:r w:rsidR="00C91B34">
        <w:rPr>
          <w:rFonts w:cs="Times New Roman"/>
          <w:szCs w:val="24"/>
        </w:rPr>
        <w:t>)</w:t>
      </w:r>
      <w:r w:rsidRPr="00C91B34">
        <w:rPr>
          <w:rFonts w:cs="Times New Roman"/>
          <w:szCs w:val="24"/>
        </w:rPr>
        <w:t>, VSAA).</w:t>
      </w:r>
    </w:p>
    <w:p w:rsidR="007B5387" w:rsidRPr="00BA3D36" w:rsidRDefault="007B5387" w:rsidP="00BA3D36">
      <w:pPr>
        <w:pStyle w:val="xmsonormal"/>
        <w:spacing w:before="120" w:beforeAutospacing="0" w:after="0" w:afterAutospacing="0"/>
        <w:ind w:firstLine="709"/>
        <w:jc w:val="both"/>
      </w:pPr>
      <w:r>
        <w:t>Lai izskatītu alternatīvas ietekmi uz nodefinētajiem rezultatīvajiem rādītājiem un veiktu nepieciešamā finansējuma aprēķinus, vēl papildus būtu jāizvērtē veselības aprūpes pakalpojumu apjoms, kas tiek garantēts visiem iedzīvotājiem, neatkarīgi no ienākumiem un jāizvērtē sadalījums ienākumu līmeņos ar pamatojumiem un detalizētiem aprēķiniem. Tomēr, ņemot vērā informācijas trūkumu (</w:t>
      </w:r>
      <w:r>
        <w:rPr>
          <w:color w:val="000000"/>
        </w:rPr>
        <w:t xml:space="preserve">kompensējamo medikamentu nulles budžeta pilotprojekta izstrādes laikā </w:t>
      </w:r>
      <w:r w:rsidRPr="008B0A7F">
        <w:rPr>
          <w:color w:val="000000"/>
        </w:rPr>
        <w:t>nav iespējas iegūt un apstrādāt datus par kompensējamo medikamentu saņēmušo pacientu veiktajām nodokļu iemaksām</w:t>
      </w:r>
      <w:r>
        <w:rPr>
          <w:color w:val="000000"/>
          <w:sz w:val="20"/>
          <w:szCs w:val="20"/>
        </w:rPr>
        <w:t>)</w:t>
      </w:r>
      <w:r>
        <w:t xml:space="preserve"> un ierobežoto laiku alternatīvas izstrādei, tālāka alternatīvas izskatīšana nav veikta.</w:t>
      </w:r>
    </w:p>
    <w:p w:rsidR="007B5387" w:rsidRPr="0081002F" w:rsidRDefault="007B5387" w:rsidP="00BA3D36">
      <w:pPr>
        <w:pStyle w:val="ListParagraph"/>
        <w:spacing w:before="240"/>
        <w:ind w:left="782"/>
        <w:jc w:val="both"/>
        <w:rPr>
          <w:rFonts w:cs="Times New Roman"/>
          <w:b/>
          <w:szCs w:val="24"/>
        </w:rPr>
      </w:pPr>
      <w:r w:rsidRPr="0081002F">
        <w:rPr>
          <w:rFonts w:cs="Times New Roman"/>
          <w:b/>
          <w:szCs w:val="24"/>
        </w:rPr>
        <w:t>Secinājumi:</w:t>
      </w:r>
    </w:p>
    <w:p w:rsidR="007B5387" w:rsidRDefault="007B5387" w:rsidP="00BA3D36">
      <w:pPr>
        <w:pStyle w:val="ListParagraph"/>
        <w:numPr>
          <w:ilvl w:val="0"/>
          <w:numId w:val="134"/>
        </w:numPr>
        <w:tabs>
          <w:tab w:val="left" w:pos="993"/>
        </w:tabs>
        <w:spacing w:before="60"/>
        <w:ind w:left="0" w:firstLine="709"/>
        <w:jc w:val="both"/>
        <w:rPr>
          <w:rFonts w:cs="Times New Roman"/>
          <w:szCs w:val="24"/>
        </w:rPr>
      </w:pPr>
      <w:r w:rsidRPr="0081002F">
        <w:rPr>
          <w:rFonts w:cs="Times New Roman"/>
          <w:szCs w:val="24"/>
        </w:rPr>
        <w:t>Īstenojot pirmo alternatīvo risinājumu, t.i.</w:t>
      </w:r>
      <w:r>
        <w:rPr>
          <w:rFonts w:cs="Times New Roman"/>
          <w:szCs w:val="24"/>
        </w:rPr>
        <w:t>,</w:t>
      </w:r>
      <w:r w:rsidRPr="0081002F">
        <w:rPr>
          <w:rFonts w:cs="Times New Roman"/>
          <w:szCs w:val="24"/>
        </w:rPr>
        <w:t xml:space="preserve"> sirds un asinsrites slimību grupai, samazinot kompensācijas apmēru no 75% uz 50%, </w:t>
      </w:r>
      <w:r w:rsidRPr="00BC24FE">
        <w:rPr>
          <w:rFonts w:cs="Times New Roman"/>
          <w:szCs w:val="24"/>
        </w:rPr>
        <w:t>finansējumu 6</w:t>
      </w:r>
      <w:r w:rsidRPr="00BC24FE">
        <w:rPr>
          <w:rFonts w:cs="Times New Roman"/>
        </w:rPr>
        <w:t> 447 985</w:t>
      </w:r>
      <w:r w:rsidRPr="00BC24FE">
        <w:rPr>
          <w:rFonts w:cs="Times New Roman"/>
          <w:szCs w:val="24"/>
        </w:rPr>
        <w:t xml:space="preserve"> </w:t>
      </w:r>
      <w:r w:rsidRPr="00BC24FE">
        <w:rPr>
          <w:rFonts w:cs="Times New Roman"/>
          <w:i/>
          <w:szCs w:val="24"/>
        </w:rPr>
        <w:t>euro</w:t>
      </w:r>
      <w:r w:rsidRPr="00BC24FE">
        <w:rPr>
          <w:rFonts w:cs="Times New Roman"/>
          <w:szCs w:val="24"/>
        </w:rPr>
        <w:t xml:space="preserve"> apmērā varētu novirzīt citu diagnožu grupu apmaksa</w:t>
      </w:r>
      <w:r>
        <w:rPr>
          <w:rFonts w:cs="Times New Roman"/>
          <w:szCs w:val="24"/>
        </w:rPr>
        <w:t>i –</w:t>
      </w:r>
      <w:r w:rsidRPr="00BC24FE">
        <w:rPr>
          <w:rFonts w:cs="Times New Roman"/>
          <w:szCs w:val="24"/>
        </w:rPr>
        <w:t xml:space="preserve"> psoriāzes ārstēšanai 612 145 </w:t>
      </w:r>
      <w:r w:rsidRPr="00BC24FE">
        <w:rPr>
          <w:rFonts w:cs="Times New Roman"/>
          <w:i/>
          <w:szCs w:val="24"/>
        </w:rPr>
        <w:t>euro</w:t>
      </w:r>
      <w:r w:rsidRPr="00BC24FE">
        <w:rPr>
          <w:rFonts w:cs="Times New Roman"/>
          <w:szCs w:val="24"/>
        </w:rPr>
        <w:t xml:space="preserve"> apmērā, Krona slimības un čūlainā kolīta ārstēšanai 596 641 </w:t>
      </w:r>
      <w:r w:rsidRPr="00BC24FE">
        <w:rPr>
          <w:rFonts w:cs="Times New Roman"/>
          <w:i/>
          <w:szCs w:val="24"/>
        </w:rPr>
        <w:t xml:space="preserve">euro </w:t>
      </w:r>
      <w:r w:rsidRPr="00BC24FE">
        <w:rPr>
          <w:rFonts w:cs="Times New Roman"/>
          <w:szCs w:val="24"/>
        </w:rPr>
        <w:t xml:space="preserve">apmērā, kā arī onkoloģijai 5 239 199 </w:t>
      </w:r>
      <w:r w:rsidRPr="00BC24FE">
        <w:rPr>
          <w:rFonts w:cs="Times New Roman"/>
          <w:i/>
          <w:szCs w:val="24"/>
        </w:rPr>
        <w:t>euro</w:t>
      </w:r>
      <w:r w:rsidRPr="00BC24FE">
        <w:rPr>
          <w:rFonts w:cs="Times New Roman"/>
          <w:szCs w:val="24"/>
        </w:rPr>
        <w:t xml:space="preserve"> apmērā</w:t>
      </w:r>
      <w:r>
        <w:rPr>
          <w:rFonts w:cs="Times New Roman"/>
          <w:szCs w:val="24"/>
        </w:rPr>
        <w:t xml:space="preserve">, </w:t>
      </w:r>
      <w:r w:rsidRPr="0081002F">
        <w:rPr>
          <w:rFonts w:cs="Times New Roman"/>
          <w:szCs w:val="24"/>
        </w:rPr>
        <w:t xml:space="preserve">sasniedzot līdzvērtīgu stacionēto ZIKS lietotāju proporciju kā esošā risinājuma standarta scenārijā, savukārt ZIKS rezultātā </w:t>
      </w:r>
      <w:r w:rsidR="00C91B34" w:rsidRPr="0081002F">
        <w:rPr>
          <w:rFonts w:cs="Times New Roman"/>
          <w:szCs w:val="24"/>
        </w:rPr>
        <w:t>potenciāli</w:t>
      </w:r>
      <w:r w:rsidRPr="0081002F">
        <w:rPr>
          <w:rFonts w:cs="Times New Roman"/>
          <w:szCs w:val="24"/>
        </w:rPr>
        <w:t xml:space="preserve"> nezaudētie mūža gadi samazināsies par </w:t>
      </w:r>
      <w:r w:rsidR="00DC27A9">
        <w:rPr>
          <w:rFonts w:cs="Times New Roman"/>
          <w:szCs w:val="24"/>
        </w:rPr>
        <w:t>0,45</w:t>
      </w:r>
      <w:r w:rsidRPr="0081002F">
        <w:rPr>
          <w:rFonts w:cs="Times New Roman"/>
          <w:szCs w:val="24"/>
        </w:rPr>
        <w:t xml:space="preserve"> gadiem, salīd</w:t>
      </w:r>
      <w:r>
        <w:rPr>
          <w:rFonts w:cs="Times New Roman"/>
          <w:szCs w:val="24"/>
        </w:rPr>
        <w:t xml:space="preserve">zinoši ar standarta risinājumu. </w:t>
      </w:r>
    </w:p>
    <w:p w:rsidR="007B5387" w:rsidRPr="0081002F" w:rsidRDefault="007B5387" w:rsidP="00BA3D36">
      <w:pPr>
        <w:pStyle w:val="ListParagraph"/>
        <w:numPr>
          <w:ilvl w:val="0"/>
          <w:numId w:val="134"/>
        </w:numPr>
        <w:tabs>
          <w:tab w:val="left" w:pos="993"/>
        </w:tabs>
        <w:spacing w:before="60"/>
        <w:ind w:left="0" w:firstLine="709"/>
        <w:jc w:val="both"/>
        <w:rPr>
          <w:rFonts w:cs="Times New Roman"/>
          <w:szCs w:val="24"/>
        </w:rPr>
      </w:pPr>
      <w:r w:rsidRPr="0081002F">
        <w:rPr>
          <w:rFonts w:cs="Times New Roman"/>
          <w:szCs w:val="24"/>
        </w:rPr>
        <w:t>Īstenojot otro alternatīvo risinājumu, t.i.</w:t>
      </w:r>
      <w:r>
        <w:rPr>
          <w:rFonts w:cs="Times New Roman"/>
          <w:szCs w:val="24"/>
        </w:rPr>
        <w:t>,</w:t>
      </w:r>
      <w:r w:rsidRPr="0081002F">
        <w:rPr>
          <w:rFonts w:cs="Times New Roman"/>
          <w:szCs w:val="24"/>
        </w:rPr>
        <w:t xml:space="preserve"> pacientu veikto obligāto līdzmaksājumu par 100% kompensējamu zāļu recepti palielinot no 0,71 </w:t>
      </w:r>
      <w:r w:rsidRPr="0081002F">
        <w:rPr>
          <w:rFonts w:cs="Times New Roman"/>
          <w:i/>
          <w:szCs w:val="24"/>
        </w:rPr>
        <w:t>euro</w:t>
      </w:r>
      <w:r w:rsidRPr="0081002F">
        <w:rPr>
          <w:rFonts w:cs="Times New Roman"/>
          <w:szCs w:val="24"/>
        </w:rPr>
        <w:t xml:space="preserve"> uz 2 </w:t>
      </w:r>
      <w:r w:rsidRPr="0081002F">
        <w:rPr>
          <w:rFonts w:cs="Times New Roman"/>
          <w:i/>
          <w:szCs w:val="24"/>
        </w:rPr>
        <w:t>euro</w:t>
      </w:r>
      <w:r w:rsidRPr="0081002F">
        <w:rPr>
          <w:rFonts w:cs="Times New Roman"/>
          <w:szCs w:val="24"/>
        </w:rPr>
        <w:t xml:space="preserve">, valsts ietaupītu 1 400 554 </w:t>
      </w:r>
      <w:r w:rsidRPr="0081002F">
        <w:rPr>
          <w:rFonts w:cs="Times New Roman"/>
          <w:i/>
          <w:szCs w:val="24"/>
        </w:rPr>
        <w:t>euro</w:t>
      </w:r>
      <w:r w:rsidRPr="0081002F">
        <w:rPr>
          <w:rFonts w:cs="Times New Roman"/>
          <w:szCs w:val="24"/>
        </w:rPr>
        <w:t xml:space="preserve"> gadā, savukārt iegūto finansējumu novirzot jaunu kardioloģisku medikamentu kompensācijai, kas varētu novērst neatliekamās hospitalizācijas un samazināt nāves risku pacientiem ar sirds ritma traucējumiem. Īstenojot šādu scenāriju rezultatīvie rādītāji principā saglabātos esošā risinājuma standarta</w:t>
      </w:r>
      <w:r>
        <w:rPr>
          <w:rFonts w:cs="Times New Roman"/>
          <w:szCs w:val="24"/>
        </w:rPr>
        <w:t xml:space="preserve"> scenārija līmenī, tomēr pastāv </w:t>
      </w:r>
      <w:r>
        <w:rPr>
          <w:rFonts w:cs="Times New Roman"/>
          <w:color w:val="000000"/>
          <w:szCs w:val="24"/>
        </w:rPr>
        <w:t>risks, ka, pieaugot pacienta līdzmaksājuma daļai, pasliktināsies zāļu finansiālā pieejamība un līdz ar to arī pacienta līdzestība terapijai, jo lielai daļai pacientu ir vairākas diagnozes ar dažādu kompensācijas apmēru.</w:t>
      </w:r>
    </w:p>
    <w:p w:rsidR="007B5387" w:rsidRPr="0081002F" w:rsidRDefault="007B5387" w:rsidP="00BA3D36">
      <w:pPr>
        <w:pStyle w:val="ListParagraph"/>
        <w:numPr>
          <w:ilvl w:val="0"/>
          <w:numId w:val="134"/>
        </w:numPr>
        <w:tabs>
          <w:tab w:val="left" w:pos="993"/>
        </w:tabs>
        <w:spacing w:before="60"/>
        <w:ind w:left="0" w:firstLine="709"/>
        <w:jc w:val="both"/>
        <w:rPr>
          <w:rFonts w:cs="Times New Roman"/>
          <w:szCs w:val="24"/>
        </w:rPr>
      </w:pPr>
      <w:r w:rsidRPr="0081002F">
        <w:rPr>
          <w:rFonts w:cs="Times New Roman"/>
          <w:szCs w:val="24"/>
        </w:rPr>
        <w:t>Īstenojot esošā risinājuma minimālo scenāriju</w:t>
      </w:r>
      <w:r>
        <w:rPr>
          <w:rFonts w:cs="Times New Roman"/>
          <w:szCs w:val="24"/>
        </w:rPr>
        <w:t>,</w:t>
      </w:r>
      <w:r w:rsidRPr="0081002F">
        <w:rPr>
          <w:rFonts w:cs="Times New Roman"/>
          <w:szCs w:val="24"/>
        </w:rPr>
        <w:t xml:space="preserve"> netiks sasniegti izvirzītie rezultatīvie rādītāji, t.i.</w:t>
      </w:r>
      <w:r>
        <w:rPr>
          <w:rFonts w:cs="Times New Roman"/>
          <w:szCs w:val="24"/>
        </w:rPr>
        <w:t>,</w:t>
      </w:r>
      <w:r w:rsidRPr="0081002F">
        <w:rPr>
          <w:rFonts w:cs="Times New Roman"/>
          <w:szCs w:val="24"/>
        </w:rPr>
        <w:t xml:space="preserve"> potenciāli zaudētie mūža gadi pieaugs par 6,42 gadiem un pieaugs hospitalizēto ZIKS pacientu skaita proporcija par 1,32 stacionētajiem, kā arī pastāv liels risks, ka pieaugs neatliekamā hospitalizācija un nāves risks nepilnvērtīgas terapijas lietošanas rezultātā, līdz ar to secināms, ka</w:t>
      </w:r>
      <w:r w:rsidR="00C91B34">
        <w:rPr>
          <w:rFonts w:cs="Times New Roman"/>
          <w:szCs w:val="24"/>
        </w:rPr>
        <w:t xml:space="preserve"> šāds scenārijs nav īstenojams.</w:t>
      </w:r>
    </w:p>
    <w:p w:rsidR="007B5387" w:rsidRPr="0081002F" w:rsidRDefault="007B5387" w:rsidP="00BA3D36">
      <w:pPr>
        <w:pStyle w:val="ListParagraph"/>
        <w:numPr>
          <w:ilvl w:val="0"/>
          <w:numId w:val="134"/>
        </w:numPr>
        <w:tabs>
          <w:tab w:val="left" w:pos="993"/>
        </w:tabs>
        <w:spacing w:before="60"/>
        <w:ind w:left="0" w:firstLine="709"/>
        <w:jc w:val="both"/>
        <w:rPr>
          <w:rFonts w:cs="Times New Roman"/>
          <w:szCs w:val="24"/>
        </w:rPr>
      </w:pPr>
      <w:r w:rsidRPr="0081002F">
        <w:rPr>
          <w:rFonts w:cs="Times New Roman"/>
          <w:szCs w:val="24"/>
        </w:rPr>
        <w:t xml:space="preserve">Īstenojot esošā risinājuma </w:t>
      </w:r>
      <w:r w:rsidRPr="00C91B34">
        <w:rPr>
          <w:rFonts w:cs="Times New Roman"/>
          <w:i/>
          <w:szCs w:val="24"/>
        </w:rPr>
        <w:t>premium</w:t>
      </w:r>
      <w:r w:rsidRPr="0081002F">
        <w:rPr>
          <w:rFonts w:cs="Times New Roman"/>
          <w:szCs w:val="24"/>
        </w:rPr>
        <w:t xml:space="preserve"> scenāriju</w:t>
      </w:r>
      <w:r>
        <w:rPr>
          <w:rFonts w:cs="Times New Roman"/>
          <w:szCs w:val="24"/>
        </w:rPr>
        <w:t>,</w:t>
      </w:r>
      <w:r w:rsidRPr="0081002F">
        <w:rPr>
          <w:rFonts w:cs="Times New Roman"/>
          <w:szCs w:val="24"/>
        </w:rPr>
        <w:t xml:space="preserve"> potenciāli zaudēto mūža gadu skaits samazinātos par 50%, tomēr šāds risinājums ir finansiāli ietilpīgs, jo tā īstenošanai </w:t>
      </w:r>
      <w:r w:rsidRPr="0081002F">
        <w:rPr>
          <w:rFonts w:cs="Times New Roman"/>
          <w:szCs w:val="24"/>
        </w:rPr>
        <w:lastRenderedPageBreak/>
        <w:t>nepiecieš</w:t>
      </w:r>
      <w:r>
        <w:rPr>
          <w:rFonts w:cs="Times New Roman"/>
          <w:szCs w:val="24"/>
        </w:rPr>
        <w:t>a</w:t>
      </w:r>
      <w:r w:rsidRPr="0081002F">
        <w:rPr>
          <w:rFonts w:cs="Times New Roman"/>
          <w:szCs w:val="24"/>
        </w:rPr>
        <w:t xml:space="preserve">ms finansējums 230,8 milj. </w:t>
      </w:r>
      <w:r w:rsidRPr="0081002F">
        <w:rPr>
          <w:rFonts w:cs="Times New Roman"/>
          <w:i/>
          <w:szCs w:val="24"/>
        </w:rPr>
        <w:t>euro</w:t>
      </w:r>
      <w:r w:rsidRPr="0081002F">
        <w:rPr>
          <w:rFonts w:cs="Times New Roman"/>
          <w:szCs w:val="24"/>
        </w:rPr>
        <w:t xml:space="preserve"> apmērā, kas ir par 86,3 milj. </w:t>
      </w:r>
      <w:r w:rsidRPr="0081002F">
        <w:rPr>
          <w:rFonts w:cs="Times New Roman"/>
          <w:i/>
          <w:szCs w:val="24"/>
        </w:rPr>
        <w:t>euro</w:t>
      </w:r>
      <w:r w:rsidRPr="0081002F">
        <w:rPr>
          <w:rFonts w:cs="Times New Roman"/>
          <w:szCs w:val="24"/>
        </w:rPr>
        <w:t xml:space="preserve"> vairāk nekā standarta scenārijam nepieciešamais finansējums, līdz ar to patreiz šāds scenārijs nav īstenojams.</w:t>
      </w:r>
    </w:p>
    <w:p w:rsidR="007B5387" w:rsidRPr="00BA3D36" w:rsidRDefault="007B5387" w:rsidP="007B5387">
      <w:pPr>
        <w:pStyle w:val="ListParagraph"/>
        <w:numPr>
          <w:ilvl w:val="0"/>
          <w:numId w:val="134"/>
        </w:numPr>
        <w:tabs>
          <w:tab w:val="left" w:pos="993"/>
        </w:tabs>
        <w:spacing w:before="60"/>
        <w:ind w:left="0" w:firstLine="709"/>
        <w:jc w:val="both"/>
        <w:rPr>
          <w:rFonts w:cs="Times New Roman"/>
          <w:szCs w:val="24"/>
        </w:rPr>
      </w:pPr>
      <w:r w:rsidRPr="0081002F">
        <w:rPr>
          <w:rFonts w:cs="Times New Roman"/>
          <w:szCs w:val="24"/>
        </w:rPr>
        <w:t>Ņemot vērā uzdevumam doto termiņu un medicīnas statistikas datu uzkrāša</w:t>
      </w:r>
      <w:r>
        <w:rPr>
          <w:rFonts w:cs="Times New Roman"/>
          <w:szCs w:val="24"/>
        </w:rPr>
        <w:t>na</w:t>
      </w:r>
      <w:r w:rsidRPr="0081002F">
        <w:rPr>
          <w:rFonts w:cs="Times New Roman"/>
          <w:szCs w:val="24"/>
        </w:rPr>
        <w:t>s/strukturēšanas īpatnības, kā arī personu medicīnisko datu sasaistes trūkumu starp NVD, VSAA un PMLP informācijas sistēmām uz likumprojekta “Par valsts budžetu 2018.gadam” sagatavošanu nav iespējams pilnvērtīgi (ar detalizētiem aprēķiniem) izstrādāt nulles budžetu valsts kompensējamiem medikamentiem un materiāliem</w:t>
      </w:r>
      <w:r>
        <w:rPr>
          <w:rFonts w:cs="Times New Roman"/>
          <w:szCs w:val="24"/>
        </w:rPr>
        <w:t xml:space="preserve"> 2018.–2020.gadam</w:t>
      </w:r>
      <w:r w:rsidRPr="0081002F">
        <w:rPr>
          <w:rFonts w:cs="Times New Roman"/>
          <w:szCs w:val="24"/>
        </w:rPr>
        <w:t>.</w:t>
      </w:r>
    </w:p>
    <w:p w:rsidR="007B5387" w:rsidRPr="00913793" w:rsidRDefault="007B5387" w:rsidP="00BA3D36">
      <w:pPr>
        <w:spacing w:before="240"/>
        <w:jc w:val="both"/>
        <w:rPr>
          <w:rFonts w:cs="Times New Roman"/>
          <w:b/>
          <w:szCs w:val="24"/>
        </w:rPr>
      </w:pPr>
      <w:r w:rsidRPr="00913793">
        <w:rPr>
          <w:rFonts w:cs="Times New Roman"/>
          <w:b/>
          <w:szCs w:val="24"/>
        </w:rPr>
        <w:t xml:space="preserve">            Priekšlikumi:</w:t>
      </w:r>
    </w:p>
    <w:p w:rsidR="00203E8C" w:rsidRPr="00203E8C" w:rsidRDefault="00203E8C" w:rsidP="00203E8C">
      <w:pPr>
        <w:pStyle w:val="ListParagraph"/>
        <w:numPr>
          <w:ilvl w:val="0"/>
          <w:numId w:val="137"/>
        </w:numPr>
        <w:tabs>
          <w:tab w:val="left" w:pos="993"/>
        </w:tabs>
        <w:ind w:left="0" w:firstLine="709"/>
        <w:jc w:val="both"/>
        <w:rPr>
          <w:shd w:val="clear" w:color="auto" w:fill="FFFFFF"/>
        </w:rPr>
      </w:pPr>
      <w:r w:rsidRPr="00203E8C">
        <w:rPr>
          <w:shd w:val="clear" w:color="auto" w:fill="FFFFFF"/>
        </w:rPr>
        <w:t>VM apakšprogrammā 33.03.00 “</w:t>
      </w:r>
      <w:r w:rsidRPr="00203E8C">
        <w:t>Kompensējamo medikamentu un materiālu apmaksāšana</w:t>
      </w:r>
      <w:r w:rsidR="00C91B34">
        <w:rPr>
          <w:shd w:val="clear" w:color="auto" w:fill="FFFFFF"/>
        </w:rPr>
        <w:t>”</w:t>
      </w:r>
      <w:r w:rsidRPr="00203E8C">
        <w:rPr>
          <w:shd w:val="clear" w:color="auto" w:fill="FFFFFF"/>
        </w:rPr>
        <w:t xml:space="preserve"> piešķirto valsts budžeta līdzekļu ietvaros turpināt izstrādāt nulles budžeta alternatīvu Nr.1, pārskatot visas diagnožu grupas, lai rezultātā tiktu paaugstināta </w:t>
      </w:r>
      <w:r w:rsidRPr="00203E8C">
        <w:t>zāļu iegādes izdevumu kompensācijas sistēmas</w:t>
      </w:r>
      <w:r w:rsidRPr="00203E8C">
        <w:rPr>
          <w:shd w:val="clear" w:color="auto" w:fill="FFFFFF"/>
        </w:rPr>
        <w:t xml:space="preserve"> efektivitāte, sasniedzot augstākus rezultatīvos rādītājus, un priekšlikumus iesniegt FM izdevumu pārskatīšanas procesā saskaņā ar </w:t>
      </w:r>
      <w:r w:rsidRPr="00203E8C">
        <w:rPr>
          <w:lang w:eastAsia="lv-LV"/>
        </w:rPr>
        <w:t>likumprojekta “Par vidēja termiņa budžeta ietvaru 2019., 2020. un 2021. gadam” un likumprojekta “Par valsts budžetu 2019.gadam” sagatavošanas grafikā noteiktajiem termiņiem</w:t>
      </w:r>
      <w:r w:rsidRPr="00203E8C">
        <w:rPr>
          <w:shd w:val="clear" w:color="auto" w:fill="FFFFFF"/>
        </w:rPr>
        <w:t>.</w:t>
      </w:r>
    </w:p>
    <w:p w:rsidR="007B5387" w:rsidRPr="00BA3D36" w:rsidRDefault="007B5387" w:rsidP="008B26EF">
      <w:pPr>
        <w:pStyle w:val="ListParagraph"/>
        <w:numPr>
          <w:ilvl w:val="0"/>
          <w:numId w:val="137"/>
        </w:numPr>
        <w:tabs>
          <w:tab w:val="left" w:pos="993"/>
        </w:tabs>
        <w:ind w:left="0" w:firstLine="709"/>
        <w:jc w:val="both"/>
        <w:rPr>
          <w:shd w:val="clear" w:color="auto" w:fill="FFFFFF"/>
        </w:rPr>
      </w:pPr>
      <w:r>
        <w:rPr>
          <w:shd w:val="clear" w:color="auto" w:fill="FFFFFF"/>
        </w:rPr>
        <w:t xml:space="preserve">VM atbilstoši alternatīvai Nr.2 izvērtēt iespēju paaugstināt </w:t>
      </w:r>
      <w:r>
        <w:t xml:space="preserve">pacientu obligāto līdzmaksājumu par 100% kompensējamu zāļu recepti no 0,71 </w:t>
      </w:r>
      <w:r>
        <w:rPr>
          <w:i/>
          <w:iCs/>
        </w:rPr>
        <w:t>euro</w:t>
      </w:r>
      <w:r>
        <w:t xml:space="preserve"> uz 2 </w:t>
      </w:r>
      <w:r>
        <w:rPr>
          <w:i/>
          <w:iCs/>
        </w:rPr>
        <w:t>euro</w:t>
      </w:r>
      <w:r>
        <w:t xml:space="preserve"> un nepieciešamības gadījumā normatīvajos aktos noteiktajā kārtībā sagatavot grozījumus attiecīgajos normatīvajos aktos.</w:t>
      </w:r>
    </w:p>
    <w:p w:rsidR="008B26EF" w:rsidRPr="00B837BF" w:rsidRDefault="00B6657F" w:rsidP="00BA3D36">
      <w:pPr>
        <w:spacing w:before="120"/>
        <w:rPr>
          <w:b/>
          <w:u w:val="single"/>
        </w:rPr>
      </w:pPr>
      <w:r>
        <w:rPr>
          <w:b/>
          <w:u w:val="single"/>
        </w:rPr>
        <w:t>Valsts bibliotēku pārvaldība</w:t>
      </w:r>
    </w:p>
    <w:p w:rsidR="00DA53A3" w:rsidRPr="00DA53A3" w:rsidRDefault="00DA53A3" w:rsidP="00DA53A3">
      <w:pPr>
        <w:spacing w:before="120"/>
        <w:ind w:firstLine="720"/>
        <w:jc w:val="both"/>
        <w:rPr>
          <w:rFonts w:cs="Times New Roman"/>
          <w:szCs w:val="24"/>
        </w:rPr>
      </w:pPr>
      <w:r>
        <w:rPr>
          <w:rFonts w:cs="Times New Roman"/>
          <w:szCs w:val="24"/>
        </w:rPr>
        <w:t>KM</w:t>
      </w:r>
      <w:r w:rsidRPr="00DA53A3">
        <w:rPr>
          <w:rFonts w:cs="Times New Roman"/>
          <w:szCs w:val="24"/>
        </w:rPr>
        <w:t xml:space="preserve"> padotības iestādes – Latvijas Nacionālā bibliotēka (turpmāk – LNB), Latvijas Neredzīgo bibliotēka (turpmāk – LNerB) un Kultūras informācijas sistēmu centrs (turpmāk – KISC) no 2017.gada 12.aprīļa līdz 29.maijam uzsākušas nulles budžeta sagatavošanas pilotprojektu par valsts bibliotēku nozares sistēmu.</w:t>
      </w:r>
    </w:p>
    <w:p w:rsidR="00DA53A3" w:rsidRDefault="00DA53A3" w:rsidP="00BD4FD7">
      <w:pPr>
        <w:spacing w:before="120"/>
        <w:ind w:firstLine="720"/>
        <w:jc w:val="both"/>
        <w:rPr>
          <w:rFonts w:cs="Times New Roman"/>
          <w:szCs w:val="24"/>
        </w:rPr>
      </w:pPr>
      <w:r w:rsidRPr="00DA53A3">
        <w:rPr>
          <w:rFonts w:cs="Times New Roman"/>
          <w:szCs w:val="24"/>
        </w:rPr>
        <w:t>Apzinoties valsts budžeta iespējas un LNB, LNerB un KISC attīstības vajadzības, nulles budžeta pilotprojekta īstenošana deva iespēju padziļinātāk izanalizēt katras iestādes īstenojamās funkcijas, to aktualitāti un identificēt darbības, no kurām iespējams atteikties par labu attīstībai. Pilotprojekta īstenošana jau sākotnēji tika uztverta kā iespēja saprast, kā esošos līdzekļus novirzīt efektīvāk mērķu sasniegšanai. Par nozares virsmērķi tika izvirzīts valsts kultūrpolitikas pamatnostādnēs „Radošā Latvija” (2014–2020) noteiktais – attīstīt bibliotēkas kā nozīmīgu resursu sabiedrības gudrai un ilgtspējīgai izaugsmei, kas nodrošina Latvijas kultūras mantojuma pieejamību un popularizē to, uzlabo sabiedrības rakstpratību un informācijpratību, atbalsta kultūras un izglītības procesu, veicina radošā potenciāla izmantošanu un nacionālās vienotības procesus, nodrošina valsts un pašvaldību pakalpojumu pieejamību sabiedrībai.</w:t>
      </w:r>
      <w:r w:rsidR="00BD4FD7">
        <w:rPr>
          <w:rFonts w:cs="Times New Roman"/>
          <w:szCs w:val="24"/>
        </w:rPr>
        <w:t xml:space="preserve"> </w:t>
      </w:r>
      <w:r>
        <w:rPr>
          <w:rFonts w:cs="Times New Roman"/>
          <w:szCs w:val="24"/>
        </w:rPr>
        <w:t xml:space="preserve">Skatīt shēmu informatīvā ziņojuma </w:t>
      </w:r>
      <w:r w:rsidR="00517B32">
        <w:rPr>
          <w:rFonts w:cs="Times New Roman"/>
          <w:szCs w:val="24"/>
        </w:rPr>
        <w:t>6</w:t>
      </w:r>
      <w:r w:rsidR="00BD4FD7">
        <w:rPr>
          <w:rFonts w:cs="Times New Roman"/>
          <w:szCs w:val="24"/>
        </w:rPr>
        <w:t>.pielikumā.</w:t>
      </w:r>
    </w:p>
    <w:p w:rsidR="00DA53A3" w:rsidRPr="00DA53A3" w:rsidRDefault="00DA53A3" w:rsidP="00BD4FD7">
      <w:pPr>
        <w:spacing w:before="120" w:after="120"/>
        <w:ind w:firstLine="720"/>
        <w:jc w:val="both"/>
        <w:rPr>
          <w:rFonts w:cs="Times New Roman"/>
          <w:szCs w:val="24"/>
        </w:rPr>
      </w:pPr>
      <w:r w:rsidRPr="00DA53A3">
        <w:rPr>
          <w:rFonts w:cs="Times New Roman"/>
          <w:szCs w:val="24"/>
        </w:rPr>
        <w:t>Virsmērķim pakārtojami šādi apakšmērķi un aktivitātes:</w:t>
      </w:r>
    </w:p>
    <w:p w:rsidR="00DA53A3" w:rsidRPr="00DA53A3" w:rsidRDefault="00DA53A3" w:rsidP="00E478E1">
      <w:pPr>
        <w:spacing w:before="120" w:after="120"/>
        <w:jc w:val="both"/>
        <w:rPr>
          <w:rFonts w:cs="Times New Roman"/>
          <w:szCs w:val="24"/>
        </w:rPr>
      </w:pPr>
      <w:r w:rsidRPr="00DA53A3">
        <w:rPr>
          <w:rFonts w:cs="Times New Roman"/>
          <w:szCs w:val="24"/>
        </w:rPr>
        <w:t>1. Vākt, uzglabāt un veidot nacionālo un nozaru literatūras krājumu gan fiziskā, gan digitālā formātā</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1.1. Nacionālā (fiziskā un digitālā) krājuma veidošana</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1.2. Nacionālā (fiziskā un digitālā) krājuma saglabāšana</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1.3. Nozaru krājuma un informācijas resursu veidošana</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1.4. Nacionālā kultūras mantojuma digitalizācija</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1.5. Nacionālā kultūras mantojums izpēte un jaunu vērtību radīšana</w:t>
      </w:r>
      <w:r w:rsidR="00BD4FD7">
        <w:rPr>
          <w:rFonts w:cs="Times New Roman"/>
          <w:szCs w:val="24"/>
        </w:rPr>
        <w:t>;</w:t>
      </w:r>
    </w:p>
    <w:p w:rsidR="00DA53A3" w:rsidRPr="00DA53A3" w:rsidRDefault="00DA53A3" w:rsidP="00E478E1">
      <w:pPr>
        <w:spacing w:before="80" w:after="80"/>
        <w:jc w:val="both"/>
        <w:rPr>
          <w:rFonts w:cs="Times New Roman"/>
          <w:szCs w:val="24"/>
        </w:rPr>
      </w:pPr>
      <w:r w:rsidRPr="00DA53A3">
        <w:rPr>
          <w:rFonts w:cs="Times New Roman"/>
          <w:szCs w:val="24"/>
        </w:rPr>
        <w:t>2. Sniegt informācijas pakalpojumus sabiedrībai un īstenot izglītojošo darbību, lai uzlabotu s</w:t>
      </w:r>
      <w:r w:rsidR="00BD4FD7">
        <w:rPr>
          <w:rFonts w:cs="Times New Roman"/>
          <w:szCs w:val="24"/>
        </w:rPr>
        <w:t>abiedrības prasmes un zināšanas:</w:t>
      </w:r>
    </w:p>
    <w:p w:rsidR="00DA53A3" w:rsidRPr="00DA53A3" w:rsidRDefault="00DA53A3" w:rsidP="00E478E1">
      <w:pPr>
        <w:spacing w:before="80" w:after="80"/>
        <w:ind w:firstLine="720"/>
        <w:jc w:val="both"/>
        <w:rPr>
          <w:rFonts w:cs="Times New Roman"/>
          <w:szCs w:val="24"/>
        </w:rPr>
      </w:pPr>
      <w:r w:rsidRPr="00DA53A3">
        <w:rPr>
          <w:rFonts w:cs="Times New Roman"/>
          <w:szCs w:val="24"/>
        </w:rPr>
        <w:lastRenderedPageBreak/>
        <w:t>2.1. Fiziskā krājuma izmantošanas nodrošināšana</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2.2. Digitālo informācijas resursu izmantošanas nodrošināšana</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2.3. Informācijas pakalpojumu sniegšana</w:t>
      </w:r>
      <w:r w:rsidR="00BD4FD7">
        <w:rPr>
          <w:rFonts w:cs="Times New Roman"/>
          <w:szCs w:val="24"/>
        </w:rPr>
        <w:t>;</w:t>
      </w:r>
    </w:p>
    <w:p w:rsidR="00DA53A3" w:rsidRPr="00DA53A3" w:rsidRDefault="00DA53A3" w:rsidP="00E478E1">
      <w:pPr>
        <w:spacing w:before="80" w:after="80"/>
        <w:ind w:left="720"/>
        <w:jc w:val="both"/>
        <w:rPr>
          <w:rFonts w:cs="Times New Roman"/>
          <w:szCs w:val="24"/>
        </w:rPr>
      </w:pPr>
      <w:r w:rsidRPr="00DA53A3">
        <w:rPr>
          <w:rFonts w:cs="Times New Roman"/>
          <w:szCs w:val="24"/>
        </w:rPr>
        <w:t>2.4. Izglītojošā darbības dzīves prasmju jomā</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2.5. Izglītojošā darbība kultūrizglītības jomā</w:t>
      </w:r>
      <w:r w:rsidR="00BD4FD7">
        <w:rPr>
          <w:rFonts w:cs="Times New Roman"/>
          <w:szCs w:val="24"/>
        </w:rPr>
        <w:t>;</w:t>
      </w:r>
    </w:p>
    <w:p w:rsidR="00DA53A3" w:rsidRPr="00DA53A3" w:rsidRDefault="00DA53A3" w:rsidP="00E478E1">
      <w:pPr>
        <w:spacing w:before="80" w:after="80"/>
        <w:jc w:val="both"/>
        <w:rPr>
          <w:rFonts w:cs="Times New Roman"/>
          <w:szCs w:val="24"/>
        </w:rPr>
      </w:pPr>
      <w:r w:rsidRPr="00DA53A3">
        <w:rPr>
          <w:rFonts w:cs="Times New Roman"/>
          <w:szCs w:val="24"/>
        </w:rPr>
        <w:t>3. Veidot nacionālo bibliogrāfisko datu un zināšanu organizācijas sistēmu</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3.1. Veidot nacionālās bibliogrāfijas resursus</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3.2. Veidot kopkatalogu un LNB katalogu</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3.3. Attīstīt datu un zināšanu organizācijas sistēmas</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3.4. Sniegt pakalpojumus izdevējiem</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3.5. Attīstīt digitālās bibliotēkas datus un datu pakalpojumus</w:t>
      </w:r>
      <w:r w:rsidR="00BD4FD7">
        <w:rPr>
          <w:rFonts w:cs="Times New Roman"/>
          <w:szCs w:val="24"/>
        </w:rPr>
        <w:t>;</w:t>
      </w:r>
    </w:p>
    <w:p w:rsidR="00DA53A3" w:rsidRPr="00DA53A3" w:rsidRDefault="00DA53A3" w:rsidP="00E478E1">
      <w:pPr>
        <w:spacing w:before="80" w:after="80"/>
        <w:jc w:val="both"/>
        <w:rPr>
          <w:rFonts w:cs="Times New Roman"/>
          <w:szCs w:val="24"/>
        </w:rPr>
      </w:pPr>
      <w:r w:rsidRPr="00DA53A3">
        <w:rPr>
          <w:rFonts w:cs="Times New Roman"/>
          <w:szCs w:val="24"/>
        </w:rPr>
        <w:t>4. Stiprināt Latvijas bibliotēku sistēmas un radniecīgo nozaru kompetenci un kapacitāti</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4.1. Sniegt profesionālās pilnvei</w:t>
      </w:r>
      <w:r w:rsidR="00BD4FD7">
        <w:rPr>
          <w:rFonts w:cs="Times New Roman"/>
          <w:szCs w:val="24"/>
        </w:rPr>
        <w:t>des un tālākizglītības iespējas;</w:t>
      </w:r>
    </w:p>
    <w:p w:rsidR="00DA53A3" w:rsidRPr="00DA53A3" w:rsidRDefault="00DA53A3" w:rsidP="00E478E1">
      <w:pPr>
        <w:spacing w:before="80" w:after="80"/>
        <w:ind w:firstLine="720"/>
        <w:jc w:val="both"/>
        <w:rPr>
          <w:rFonts w:cs="Times New Roman"/>
          <w:szCs w:val="24"/>
        </w:rPr>
      </w:pPr>
      <w:r w:rsidRPr="00DA53A3">
        <w:rPr>
          <w:rFonts w:cs="Times New Roman"/>
          <w:szCs w:val="24"/>
        </w:rPr>
        <w:t>4.2. Sniegt metodisko un konsultatīvo atbalstu</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4.3. Īstenot nozares attīstības atbalsta pasākumus</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4.4. Sniegt atbalstu digitalizācijas jomā</w:t>
      </w:r>
      <w:r w:rsidR="00BD4FD7">
        <w:rPr>
          <w:rFonts w:cs="Times New Roman"/>
          <w:szCs w:val="24"/>
        </w:rPr>
        <w:t>;</w:t>
      </w:r>
    </w:p>
    <w:p w:rsidR="00DA53A3" w:rsidRPr="00DA53A3" w:rsidRDefault="00DA53A3" w:rsidP="00E478E1">
      <w:pPr>
        <w:spacing w:before="80" w:after="80"/>
        <w:ind w:firstLine="720"/>
        <w:jc w:val="both"/>
        <w:rPr>
          <w:rFonts w:cs="Times New Roman"/>
          <w:szCs w:val="24"/>
        </w:rPr>
      </w:pPr>
      <w:r w:rsidRPr="00DA53A3">
        <w:rPr>
          <w:rFonts w:cs="Times New Roman"/>
          <w:szCs w:val="24"/>
        </w:rPr>
        <w:t>4.5. Sniegt praktiskus atbalsta pasākumus bibliotēkām</w:t>
      </w:r>
      <w:r w:rsidR="00BD4FD7">
        <w:rPr>
          <w:rFonts w:cs="Times New Roman"/>
          <w:szCs w:val="24"/>
        </w:rPr>
        <w:t>.</w:t>
      </w:r>
    </w:p>
    <w:p w:rsidR="00DA53A3" w:rsidRPr="00DA53A3" w:rsidRDefault="00DA53A3" w:rsidP="00E478E1">
      <w:pPr>
        <w:spacing w:after="120"/>
        <w:ind w:firstLine="720"/>
        <w:jc w:val="both"/>
        <w:rPr>
          <w:rFonts w:cs="Times New Roman"/>
          <w:szCs w:val="24"/>
        </w:rPr>
      </w:pPr>
      <w:r w:rsidRPr="00DA53A3">
        <w:rPr>
          <w:rFonts w:cs="Times New Roman"/>
          <w:szCs w:val="24"/>
        </w:rPr>
        <w:t xml:space="preserve">Nulles budžeta pilotprojekta īstenošanai atvēlētā ierobežotā laika perioda dēļ tika pieņemts lēmums to izstrādāt tikai vienam no bibliotēku sistēmas apakšmērķiem – sniegt informācijas pakalpojumus sabiedrībai un īstenot izglītojošo darbību, lai uzlabotu sabiedrības prasmes un zināšanas. Šī apakšmērķa aktivitātēm LNB, LNerB un KISC savu iestāžu kompetences ietvaros izstrādājušas esošos un alternatīvos risinājumus, kā arī aprēķinājušas minimālā, standarta un </w:t>
      </w:r>
      <w:r w:rsidRPr="00DA53A3">
        <w:rPr>
          <w:rFonts w:cs="Times New Roman"/>
          <w:i/>
          <w:szCs w:val="24"/>
        </w:rPr>
        <w:t>premium</w:t>
      </w:r>
      <w:r w:rsidRPr="00DA53A3">
        <w:rPr>
          <w:rFonts w:cs="Times New Roman"/>
          <w:szCs w:val="24"/>
        </w:rPr>
        <w:t xml:space="preserve"> scenārija izmaksas.</w:t>
      </w:r>
    </w:p>
    <w:p w:rsidR="00DA53A3" w:rsidRPr="00DA53A3" w:rsidRDefault="00DA53A3" w:rsidP="008C25BB">
      <w:pPr>
        <w:pStyle w:val="Default"/>
        <w:numPr>
          <w:ilvl w:val="0"/>
          <w:numId w:val="89"/>
        </w:numPr>
        <w:adjustRightInd w:val="0"/>
        <w:spacing w:after="120"/>
        <w:jc w:val="both"/>
        <w:rPr>
          <w:color w:val="auto"/>
        </w:rPr>
      </w:pPr>
      <w:r w:rsidRPr="00DA53A3">
        <w:rPr>
          <w:b/>
          <w:color w:val="auto"/>
        </w:rPr>
        <w:t>Minimālajā scenārijā</w:t>
      </w:r>
      <w:r w:rsidRPr="00DA53A3">
        <w:rPr>
          <w:color w:val="auto"/>
        </w:rPr>
        <w:t xml:space="preserve">: LNerBib nodrošina </w:t>
      </w:r>
      <w:r w:rsidRPr="00DA53A3">
        <w:rPr>
          <w:bCs/>
          <w:color w:val="auto"/>
        </w:rPr>
        <w:t>1</w:t>
      </w:r>
      <w:r w:rsidR="00BD4FD7">
        <w:rPr>
          <w:bCs/>
          <w:color w:val="auto"/>
        </w:rPr>
        <w:t> </w:t>
      </w:r>
      <w:r w:rsidRPr="00DA53A3">
        <w:rPr>
          <w:bCs/>
          <w:color w:val="auto"/>
        </w:rPr>
        <w:t>086</w:t>
      </w:r>
      <w:r w:rsidRPr="00DA53A3">
        <w:rPr>
          <w:b/>
          <w:bCs/>
          <w:color w:val="auto"/>
        </w:rPr>
        <w:t xml:space="preserve"> </w:t>
      </w:r>
      <w:r w:rsidRPr="00DA53A3">
        <w:rPr>
          <w:color w:val="auto"/>
        </w:rPr>
        <w:t xml:space="preserve">izsniegumus ar iekšzemes starpbibliotēku abonementu (turpmāk – SBA); </w:t>
      </w:r>
      <w:r w:rsidRPr="00DA53A3">
        <w:rPr>
          <w:bCs/>
          <w:color w:val="auto"/>
        </w:rPr>
        <w:t>8 142</w:t>
      </w:r>
      <w:r w:rsidRPr="00DA53A3">
        <w:rPr>
          <w:color w:val="auto"/>
        </w:rPr>
        <w:t xml:space="preserve"> grāmatu izsniegumus parastajā drukā; </w:t>
      </w:r>
      <w:r w:rsidRPr="00DA53A3">
        <w:rPr>
          <w:bCs/>
          <w:color w:val="auto"/>
        </w:rPr>
        <w:t>3 956</w:t>
      </w:r>
      <w:r w:rsidRPr="00DA53A3">
        <w:rPr>
          <w:color w:val="auto"/>
        </w:rPr>
        <w:t xml:space="preserve"> grāmatu izsniegumus Braila rakstā; </w:t>
      </w:r>
      <w:r w:rsidRPr="00DA53A3">
        <w:rPr>
          <w:bCs/>
          <w:color w:val="auto"/>
        </w:rPr>
        <w:t>42</w:t>
      </w:r>
      <w:r w:rsidRPr="00DA53A3">
        <w:rPr>
          <w:color w:val="auto"/>
        </w:rPr>
        <w:t xml:space="preserve"> grāmatu izsniegumus palielinātā drukā; </w:t>
      </w:r>
      <w:r w:rsidRPr="00DA53A3">
        <w:rPr>
          <w:bCs/>
          <w:color w:val="auto"/>
        </w:rPr>
        <w:t>73 516</w:t>
      </w:r>
      <w:r w:rsidRPr="00DA53A3">
        <w:rPr>
          <w:color w:val="auto"/>
        </w:rPr>
        <w:t xml:space="preserve"> izsniegtas audiogrāmatu vienības</w:t>
      </w:r>
      <w:r w:rsidRPr="00DA53A3">
        <w:rPr>
          <w:i/>
          <w:iCs/>
          <w:color w:val="auto"/>
        </w:rPr>
        <w:t xml:space="preserve">, </w:t>
      </w:r>
      <w:r w:rsidRPr="00DA53A3">
        <w:rPr>
          <w:bCs/>
          <w:color w:val="auto"/>
        </w:rPr>
        <w:t>4</w:t>
      </w:r>
      <w:r w:rsidR="00BD4FD7">
        <w:rPr>
          <w:bCs/>
          <w:color w:val="auto"/>
        </w:rPr>
        <w:t> </w:t>
      </w:r>
      <w:r w:rsidRPr="00DA53A3">
        <w:rPr>
          <w:bCs/>
          <w:color w:val="auto"/>
        </w:rPr>
        <w:t>848</w:t>
      </w:r>
      <w:r w:rsidRPr="00DA53A3">
        <w:rPr>
          <w:color w:val="auto"/>
        </w:rPr>
        <w:t xml:space="preserve"> izsn</w:t>
      </w:r>
      <w:r w:rsidR="0017753C">
        <w:rPr>
          <w:color w:val="auto"/>
        </w:rPr>
        <w:t>iegti mūzikas ieraksti/filmas /</w:t>
      </w:r>
      <w:r w:rsidRPr="00DA53A3">
        <w:rPr>
          <w:color w:val="auto"/>
        </w:rPr>
        <w:t xml:space="preserve">pielāgotās spēles, </w:t>
      </w:r>
      <w:r w:rsidRPr="00DA53A3">
        <w:rPr>
          <w:bCs/>
          <w:color w:val="auto"/>
        </w:rPr>
        <w:t>23 668</w:t>
      </w:r>
      <w:r w:rsidRPr="00DA53A3">
        <w:rPr>
          <w:color w:val="auto"/>
        </w:rPr>
        <w:t xml:space="preserve"> iepirktās </w:t>
      </w:r>
      <w:r w:rsidRPr="00DA53A3">
        <w:rPr>
          <w:bCs/>
          <w:color w:val="auto"/>
        </w:rPr>
        <w:t>preses</w:t>
      </w:r>
      <w:r w:rsidRPr="00DA53A3">
        <w:rPr>
          <w:color w:val="auto"/>
        </w:rPr>
        <w:t xml:space="preserve"> redzīgo rakstā izsniegums, </w:t>
      </w:r>
      <w:r w:rsidRPr="00DA53A3">
        <w:rPr>
          <w:bCs/>
          <w:color w:val="auto"/>
        </w:rPr>
        <w:t>1</w:t>
      </w:r>
      <w:r w:rsidR="0017753C">
        <w:rPr>
          <w:bCs/>
          <w:color w:val="auto"/>
        </w:rPr>
        <w:t> </w:t>
      </w:r>
      <w:r w:rsidRPr="00DA53A3">
        <w:rPr>
          <w:bCs/>
          <w:color w:val="auto"/>
        </w:rPr>
        <w:t>439</w:t>
      </w:r>
      <w:r w:rsidRPr="00DA53A3">
        <w:rPr>
          <w:b/>
          <w:bCs/>
          <w:color w:val="auto"/>
        </w:rPr>
        <w:t xml:space="preserve"> </w:t>
      </w:r>
      <w:r w:rsidRPr="00DA53A3">
        <w:rPr>
          <w:color w:val="auto"/>
        </w:rPr>
        <w:t xml:space="preserve">audiožurnāla </w:t>
      </w:r>
      <w:r w:rsidR="0017753C">
        <w:rPr>
          <w:color w:val="auto"/>
        </w:rPr>
        <w:t>“</w:t>
      </w:r>
      <w:r w:rsidRPr="00DA53A3">
        <w:rPr>
          <w:color w:val="auto"/>
        </w:rPr>
        <w:t>Doma</w:t>
      </w:r>
      <w:r w:rsidR="0017753C">
        <w:rPr>
          <w:color w:val="auto"/>
        </w:rPr>
        <w:t>”</w:t>
      </w:r>
      <w:r w:rsidRPr="00DA53A3">
        <w:rPr>
          <w:color w:val="auto"/>
        </w:rPr>
        <w:t xml:space="preserve"> izsniegums, </w:t>
      </w:r>
      <w:r w:rsidRPr="00DA53A3">
        <w:rPr>
          <w:bCs/>
          <w:color w:val="auto"/>
        </w:rPr>
        <w:t>3</w:t>
      </w:r>
      <w:r w:rsidR="0017753C">
        <w:rPr>
          <w:bCs/>
          <w:color w:val="auto"/>
        </w:rPr>
        <w:t> </w:t>
      </w:r>
      <w:r w:rsidRPr="00DA53A3">
        <w:rPr>
          <w:bCs/>
          <w:color w:val="auto"/>
        </w:rPr>
        <w:t>360 eks.</w:t>
      </w:r>
      <w:r w:rsidRPr="00DA53A3">
        <w:rPr>
          <w:color w:val="auto"/>
        </w:rPr>
        <w:t xml:space="preserve"> izsniegta LNerB veidotā un izdotā avīzīte </w:t>
      </w:r>
      <w:r w:rsidR="0017753C">
        <w:rPr>
          <w:color w:val="auto"/>
        </w:rPr>
        <w:t>“</w:t>
      </w:r>
      <w:r w:rsidRPr="00DA53A3">
        <w:rPr>
          <w:color w:val="auto"/>
        </w:rPr>
        <w:t>Bazūne</w:t>
      </w:r>
      <w:r w:rsidR="0017753C">
        <w:rPr>
          <w:color w:val="auto"/>
        </w:rPr>
        <w:t>”</w:t>
      </w:r>
      <w:r w:rsidRPr="00DA53A3">
        <w:rPr>
          <w:color w:val="auto"/>
        </w:rPr>
        <w:t xml:space="preserve"> un katalogs </w:t>
      </w:r>
      <w:r w:rsidR="0017753C">
        <w:rPr>
          <w:color w:val="auto"/>
        </w:rPr>
        <w:t>“Jaunie Vāki”</w:t>
      </w:r>
      <w:r w:rsidRPr="00DA53A3">
        <w:rPr>
          <w:color w:val="auto"/>
        </w:rPr>
        <w:t xml:space="preserve"> (palielinātā un Brailā); </w:t>
      </w:r>
      <w:r w:rsidRPr="00DA53A3">
        <w:rPr>
          <w:bCs/>
          <w:color w:val="auto"/>
        </w:rPr>
        <w:t>885</w:t>
      </w:r>
      <w:r w:rsidRPr="00DA53A3">
        <w:rPr>
          <w:b/>
          <w:bCs/>
          <w:color w:val="auto"/>
        </w:rPr>
        <w:t xml:space="preserve"> </w:t>
      </w:r>
      <w:r w:rsidRPr="00DA53A3">
        <w:rPr>
          <w:color w:val="auto"/>
        </w:rPr>
        <w:t xml:space="preserve">priekšā lasīšanas pakalpojumi, </w:t>
      </w:r>
      <w:r w:rsidRPr="00DA53A3">
        <w:rPr>
          <w:bCs/>
          <w:color w:val="auto"/>
        </w:rPr>
        <w:t>2</w:t>
      </w:r>
      <w:r w:rsidR="0017753C">
        <w:rPr>
          <w:bCs/>
          <w:color w:val="auto"/>
        </w:rPr>
        <w:t> </w:t>
      </w:r>
      <w:r w:rsidRPr="00DA53A3">
        <w:rPr>
          <w:bCs/>
          <w:color w:val="auto"/>
        </w:rPr>
        <w:t>716</w:t>
      </w:r>
      <w:r w:rsidR="0017753C">
        <w:rPr>
          <w:color w:val="auto"/>
        </w:rPr>
        <w:t xml:space="preserve"> sniegtas datorkonsultācijas</w:t>
      </w:r>
      <w:r w:rsidRPr="00DA53A3">
        <w:rPr>
          <w:color w:val="auto"/>
        </w:rPr>
        <w:t xml:space="preserve">/uzziņas, </w:t>
      </w:r>
      <w:r w:rsidRPr="00DA53A3">
        <w:rPr>
          <w:bCs/>
          <w:color w:val="auto"/>
        </w:rPr>
        <w:t xml:space="preserve">18 214 </w:t>
      </w:r>
      <w:r w:rsidRPr="00DA53A3">
        <w:rPr>
          <w:color w:val="auto"/>
        </w:rPr>
        <w:t xml:space="preserve">sniegti izdruku un kopiju pakalpojumi, kā arī </w:t>
      </w:r>
      <w:r w:rsidRPr="00DA53A3">
        <w:rPr>
          <w:bCs/>
          <w:color w:val="auto"/>
        </w:rPr>
        <w:t>4</w:t>
      </w:r>
      <w:r w:rsidR="0017753C">
        <w:rPr>
          <w:bCs/>
          <w:color w:val="auto"/>
        </w:rPr>
        <w:t> </w:t>
      </w:r>
      <w:r w:rsidRPr="00DA53A3">
        <w:rPr>
          <w:bCs/>
          <w:color w:val="auto"/>
        </w:rPr>
        <w:t>306</w:t>
      </w:r>
      <w:r w:rsidRPr="00DA53A3">
        <w:rPr>
          <w:color w:val="auto"/>
        </w:rPr>
        <w:t xml:space="preserve"> apmeklējumu skaits, kad lietotāji ieguvuši informāciju pie datoriem vai speciālās tehnikas. Savukārt LNB pakalpojumi visās lasītavās (19 apkalpošanas punkti) pieejami 40 stundas nedēļā, LNB abonē minimālu apjomu datu bāžu (25 datu bāzes, piemēram, </w:t>
      </w:r>
      <w:r w:rsidRPr="0017753C">
        <w:rPr>
          <w:i/>
          <w:color w:val="auto"/>
        </w:rPr>
        <w:t>Ebsco</w:t>
      </w:r>
      <w:r w:rsidRPr="0017753C">
        <w:rPr>
          <w:color w:val="auto"/>
        </w:rPr>
        <w:t xml:space="preserve">, </w:t>
      </w:r>
      <w:r w:rsidRPr="0017753C">
        <w:rPr>
          <w:i/>
          <w:color w:val="auto"/>
        </w:rPr>
        <w:t>Proquest</w:t>
      </w:r>
      <w:r w:rsidRPr="00DA53A3">
        <w:rPr>
          <w:color w:val="auto"/>
        </w:rPr>
        <w:t xml:space="preserve">) un neattīsta digitālās bibliotēkas resursus. KISC nodrošināta ar autortiesībām aizsargāta satura pieejamība pašvaldību bibliotēkās un LNB- Bibliotēku lietotājiem nodrošināta </w:t>
      </w:r>
      <w:r w:rsidRPr="0017753C">
        <w:rPr>
          <w:color w:val="auto"/>
        </w:rPr>
        <w:t>datubāzu</w:t>
      </w:r>
      <w:r w:rsidRPr="00DA53A3">
        <w:rPr>
          <w:color w:val="auto"/>
        </w:rPr>
        <w:t xml:space="preserve"> pieejamība, t.sk. bezmaksas pieejamība datubāzēm Letonika un </w:t>
      </w:r>
      <w:r w:rsidRPr="0017753C">
        <w:rPr>
          <w:i/>
          <w:color w:val="auto"/>
        </w:rPr>
        <w:t>News.lv</w:t>
      </w:r>
      <w:r w:rsidRPr="00DA53A3">
        <w:rPr>
          <w:color w:val="auto"/>
        </w:rPr>
        <w:t>.</w:t>
      </w:r>
    </w:p>
    <w:p w:rsidR="00DA53A3" w:rsidRPr="00BA616D" w:rsidRDefault="00DA53A3" w:rsidP="008C25BB">
      <w:pPr>
        <w:pStyle w:val="Default"/>
        <w:numPr>
          <w:ilvl w:val="0"/>
          <w:numId w:val="89"/>
        </w:numPr>
        <w:adjustRightInd w:val="0"/>
        <w:spacing w:after="120"/>
        <w:jc w:val="both"/>
        <w:rPr>
          <w:color w:val="auto"/>
        </w:rPr>
      </w:pPr>
      <w:r w:rsidRPr="00BA616D">
        <w:rPr>
          <w:b/>
          <w:color w:val="auto"/>
        </w:rPr>
        <w:t>Standarta scenārijā:</w:t>
      </w:r>
      <w:r w:rsidRPr="00BA616D">
        <w:rPr>
          <w:color w:val="auto"/>
        </w:rPr>
        <w:t xml:space="preserve"> LNerBib izsniegums palielinās uz krājuma pieaugumu, kā arī audiogrāmatu </w:t>
      </w:r>
      <w:r w:rsidRPr="00BA616D">
        <w:rPr>
          <w:i/>
          <w:color w:val="auto"/>
        </w:rPr>
        <w:t>DAISY</w:t>
      </w:r>
      <w:r w:rsidRPr="00BA616D">
        <w:rPr>
          <w:color w:val="auto"/>
        </w:rPr>
        <w:t xml:space="preserve"> formātā saņemšanas pakalpojumu (bez speciālās tehnikas), t.sk. 5% palielinājums </w:t>
      </w:r>
      <w:r w:rsidRPr="00BA616D">
        <w:rPr>
          <w:bCs/>
          <w:color w:val="auto"/>
        </w:rPr>
        <w:t>grāmatu</w:t>
      </w:r>
      <w:r w:rsidRPr="00BA616D">
        <w:rPr>
          <w:color w:val="auto"/>
        </w:rPr>
        <w:t xml:space="preserve"> izsniegumam ar iekšzemes SBA,</w:t>
      </w:r>
      <w:r w:rsidR="0017753C" w:rsidRPr="00BA616D">
        <w:rPr>
          <w:color w:val="auto"/>
        </w:rPr>
        <w:t xml:space="preserve"> </w:t>
      </w:r>
      <w:r w:rsidRPr="00BA616D">
        <w:rPr>
          <w:color w:val="auto"/>
        </w:rPr>
        <w:t>13,7% palielinājums izsniegumam parastajā drukā, 13% palielinājums izsniegumam Braila rakstā, 5% palielinājums izsniegumam palielinātā drukā, 50% palielinājums izsniegtajām audiogrāmatu vienībām, 5% pieaugums izsniegtajiem mūzikas ierakstiem, 216% palielinājumu nodrošina 14 jauni audiožurnāli gadā, 5% palielinājums</w:t>
      </w:r>
      <w:r w:rsidRPr="00BA616D">
        <w:rPr>
          <w:b/>
          <w:bCs/>
          <w:color w:val="auto"/>
        </w:rPr>
        <w:t xml:space="preserve"> </w:t>
      </w:r>
      <w:r w:rsidRPr="00BA616D">
        <w:rPr>
          <w:color w:val="auto"/>
        </w:rPr>
        <w:t xml:space="preserve">priekšā lasīšanas </w:t>
      </w:r>
      <w:r w:rsidRPr="00BA616D">
        <w:rPr>
          <w:color w:val="auto"/>
        </w:rPr>
        <w:lastRenderedPageBreak/>
        <w:t>pakalpojumu sniegšanai</w:t>
      </w:r>
      <w:r w:rsidRPr="00BA616D">
        <w:rPr>
          <w:bCs/>
          <w:color w:val="auto"/>
        </w:rPr>
        <w:t>, 504</w:t>
      </w:r>
      <w:r w:rsidRPr="00BA616D">
        <w:rPr>
          <w:color w:val="auto"/>
        </w:rPr>
        <w:t xml:space="preserve"> sniegti datorkonsultāciju un uzziņu pakalpojumi, 10% palielinājumu nodrošina sadarbība ar augstskolu un reģionālām pašvaldību bibliotēkām - sniegti izdruku un kopiju pakalpojumi, 16% palielinājies apmeklējumu skaits, kad lietotāji ieguvuši informāciju pie datoriem vai speciālās tehnikas. LNB pakalpojumi pieejami 69 stundas nedēļā, LNB abonē pamata datu bāzes (50 datu bāzes, piemēram, </w:t>
      </w:r>
      <w:r w:rsidRPr="00BA616D">
        <w:rPr>
          <w:i/>
          <w:color w:val="auto"/>
        </w:rPr>
        <w:t>Ebsco, Proquest, Web of Science</w:t>
      </w:r>
      <w:r w:rsidRPr="00BA616D">
        <w:rPr>
          <w:color w:val="auto"/>
        </w:rPr>
        <w:t xml:space="preserve">) un minimāli attīsta esošās digitālās bibliotēkas sistēmas. KISC </w:t>
      </w:r>
      <w:r w:rsidR="0017753C" w:rsidRPr="00BA616D">
        <w:rPr>
          <w:color w:val="auto"/>
        </w:rPr>
        <w:t>a</w:t>
      </w:r>
      <w:r w:rsidRPr="00BA616D">
        <w:rPr>
          <w:color w:val="auto"/>
        </w:rPr>
        <w:t>r autortiesībām aizsargāta satura pieejamība pašvaldību bibliotēkās, LNB un akadēmiskajās bibliotēkās</w:t>
      </w:r>
      <w:r w:rsidR="00BA616D" w:rsidRPr="00BA616D">
        <w:rPr>
          <w:color w:val="auto"/>
        </w:rPr>
        <w:t xml:space="preserve"> –</w:t>
      </w:r>
      <w:r w:rsidRPr="00BA616D">
        <w:rPr>
          <w:color w:val="auto"/>
        </w:rPr>
        <w:t xml:space="preserve"> Bibliotēku lietotājiem nodrošināta datubāzu pieejamība, t.sk. bezmaksas pieejamība datubāzēm Letonika, </w:t>
      </w:r>
      <w:r w:rsidRPr="00BA616D">
        <w:rPr>
          <w:i/>
          <w:color w:val="auto"/>
        </w:rPr>
        <w:t>News.lv</w:t>
      </w:r>
      <w:r w:rsidRPr="00BA616D">
        <w:rPr>
          <w:color w:val="auto"/>
        </w:rPr>
        <w:t>,</w:t>
      </w:r>
      <w:r w:rsidR="00BA616D">
        <w:rPr>
          <w:color w:val="auto"/>
        </w:rPr>
        <w:t xml:space="preserve"> </w:t>
      </w:r>
      <w:r w:rsidRPr="00BA616D">
        <w:rPr>
          <w:color w:val="auto"/>
        </w:rPr>
        <w:t xml:space="preserve">kā arī LETA un 1 starptautiskajai datubāzei </w:t>
      </w:r>
      <w:r w:rsidRPr="00BA616D">
        <w:rPr>
          <w:i/>
          <w:color w:val="auto"/>
        </w:rPr>
        <w:t>(Encyclopedia Britannica)</w:t>
      </w:r>
      <w:r w:rsidRPr="00BA616D">
        <w:rPr>
          <w:color w:val="auto"/>
        </w:rPr>
        <w:t>.</w:t>
      </w:r>
    </w:p>
    <w:p w:rsidR="00DA53A3" w:rsidRPr="00BA616D" w:rsidRDefault="00DA53A3" w:rsidP="008C25BB">
      <w:pPr>
        <w:pStyle w:val="Default"/>
        <w:numPr>
          <w:ilvl w:val="0"/>
          <w:numId w:val="89"/>
        </w:numPr>
        <w:adjustRightInd w:val="0"/>
        <w:jc w:val="both"/>
        <w:rPr>
          <w:color w:val="auto"/>
        </w:rPr>
      </w:pPr>
      <w:r w:rsidRPr="00BA616D">
        <w:rPr>
          <w:b/>
          <w:i/>
          <w:color w:val="auto"/>
        </w:rPr>
        <w:t>Premium</w:t>
      </w:r>
      <w:r w:rsidRPr="00BA616D">
        <w:rPr>
          <w:b/>
          <w:color w:val="auto"/>
        </w:rPr>
        <w:t xml:space="preserve"> scenārijā:</w:t>
      </w:r>
      <w:r w:rsidRPr="00BA616D">
        <w:rPr>
          <w:color w:val="auto"/>
        </w:rPr>
        <w:t xml:space="preserve"> LNerBib palielinās izsniegums uz krājuma pieaugumu, bibliotēkas e-vietni un starptautisko programmu </w:t>
      </w:r>
      <w:r w:rsidRPr="00BA616D">
        <w:rPr>
          <w:i/>
          <w:color w:val="auto"/>
        </w:rPr>
        <w:t>PRATSAM</w:t>
      </w:r>
      <w:r w:rsidRPr="00BA616D">
        <w:rPr>
          <w:color w:val="auto"/>
        </w:rPr>
        <w:t xml:space="preserve">, attālinātai audiogrāmatu saņemšanai (arī </w:t>
      </w:r>
      <w:r w:rsidRPr="00BA616D">
        <w:rPr>
          <w:i/>
          <w:color w:val="auto"/>
        </w:rPr>
        <w:t>DAISY</w:t>
      </w:r>
      <w:r w:rsidRPr="00BA616D">
        <w:rPr>
          <w:color w:val="auto"/>
        </w:rPr>
        <w:t xml:space="preserve"> speciālajām ierīcēm). 10% palielinājums grāmatu izsniegumi ar iekšzemes SBA, 27,4% palielinājums parastajā drukā, 26% palielinājums vienības Braila rakstā, 10% palielinājums vienības palielinātā drukā,</w:t>
      </w:r>
      <w:r w:rsidR="00BA616D" w:rsidRPr="00BA616D">
        <w:rPr>
          <w:color w:val="auto"/>
        </w:rPr>
        <w:t xml:space="preserve"> </w:t>
      </w:r>
      <w:r w:rsidRPr="00BA616D">
        <w:rPr>
          <w:color w:val="auto"/>
        </w:rPr>
        <w:t>100% palielinājums audiogrāmatu vienībām, 5% pieaugums mūzikas ierakstu izsniegumam, 15,9% pieaugums izsniegumam iepirktai presei redzīgo rakstā, 225% palielinājumu nodrošina 27 jauni audiožurnāli gadā,</w:t>
      </w:r>
      <w:r w:rsidRPr="00BA616D">
        <w:rPr>
          <w:rFonts w:ascii="Arial Narrow" w:eastAsia="+mn-ea" w:hAnsi="Arial Narrow" w:cs="Arial"/>
          <w:color w:val="auto"/>
          <w:kern w:val="24"/>
        </w:rPr>
        <w:t xml:space="preserve"> </w:t>
      </w:r>
      <w:r w:rsidRPr="00BA616D">
        <w:rPr>
          <w:color w:val="auto"/>
        </w:rPr>
        <w:t xml:space="preserve">10% palielinājums priekšā lasīšanas pakalpojumiem, 20% palielinājusies izdruku un kopiju pakalpojumu sniegšana, 32% palielinājies apmeklējumu skaits, kad lietotāji ieguvuši informāciju pie datoriem vai speciālās tehnikas. LNB pakalpojumi visās lasītavās pieejami 98 stundas nedēļā, LNB abonē plašu datu bāžu klāstu dažādās nozarēs (70 datu bāzes, piemēram, </w:t>
      </w:r>
      <w:r w:rsidRPr="00BA616D">
        <w:rPr>
          <w:i/>
          <w:color w:val="auto"/>
        </w:rPr>
        <w:t>Ebsco, Proquest, Web of Science, SCOPUS, Premium LexisNexis un PubMed</w:t>
      </w:r>
      <w:r w:rsidRPr="00BA616D">
        <w:rPr>
          <w:color w:val="auto"/>
        </w:rPr>
        <w:t>) un aktīvi attīsta esošās digitālās bibliotēkas sistēmas. KISC ar autortiesībām aizsargāta satura pieejamība pašvaldību bibliotēkās, LNB un akadēmiskajās bibliotēkās, pamatizglītības un vidējās izglītības mācību iestādēs</w:t>
      </w:r>
      <w:r w:rsidR="00BA616D" w:rsidRPr="00BA616D">
        <w:rPr>
          <w:color w:val="auto"/>
        </w:rPr>
        <w:t xml:space="preserve"> –</w:t>
      </w:r>
      <w:r w:rsidRPr="00BA616D">
        <w:rPr>
          <w:color w:val="auto"/>
        </w:rPr>
        <w:t xml:space="preserve"> Bibliotēku lietotājiem nodrošināta datubāzu pieejamība, t.sk. bezmaksas pieejamība datubāzēm Letonika, </w:t>
      </w:r>
      <w:r w:rsidRPr="00BA616D">
        <w:rPr>
          <w:i/>
          <w:color w:val="auto"/>
        </w:rPr>
        <w:t>News.lv</w:t>
      </w:r>
      <w:r w:rsidRPr="00BA616D">
        <w:rPr>
          <w:color w:val="auto"/>
        </w:rPr>
        <w:t>,</w:t>
      </w:r>
      <w:r w:rsidR="00BA616D">
        <w:rPr>
          <w:color w:val="auto"/>
        </w:rPr>
        <w:t xml:space="preserve"> </w:t>
      </w:r>
      <w:r w:rsidRPr="00BA616D">
        <w:rPr>
          <w:color w:val="auto"/>
        </w:rPr>
        <w:t>kā arī LETA un 2 starptautiskajām datubāzēm (</w:t>
      </w:r>
      <w:r w:rsidRPr="00BA616D">
        <w:rPr>
          <w:i/>
          <w:color w:val="auto"/>
        </w:rPr>
        <w:t>Encyclopedia Britannica</w:t>
      </w:r>
      <w:r w:rsidRPr="00BA616D">
        <w:rPr>
          <w:color w:val="auto"/>
        </w:rPr>
        <w:t xml:space="preserve"> un vēl 1 papildu datubāze).</w:t>
      </w:r>
    </w:p>
    <w:p w:rsidR="00DA53A3" w:rsidRPr="00DA53A3" w:rsidRDefault="00DA53A3" w:rsidP="00E478E1">
      <w:pPr>
        <w:spacing w:before="120" w:after="120"/>
        <w:jc w:val="both"/>
        <w:rPr>
          <w:rFonts w:cs="Times New Roman"/>
          <w:szCs w:val="24"/>
        </w:rPr>
      </w:pPr>
      <w:r w:rsidRPr="00DA53A3">
        <w:rPr>
          <w:rFonts w:cs="Times New Roman"/>
          <w:b/>
          <w:szCs w:val="24"/>
        </w:rPr>
        <w:t>Alternatīvajā risinājumā</w:t>
      </w:r>
      <w:r w:rsidRPr="00DA53A3">
        <w:rPr>
          <w:rFonts w:cs="Times New Roman"/>
          <w:szCs w:val="24"/>
        </w:rPr>
        <w:t xml:space="preserve"> pakalpojumi tiek saglabāti esošā risinājuma scenāriju līmenī:</w:t>
      </w:r>
    </w:p>
    <w:p w:rsidR="00DA53A3" w:rsidRPr="00BA616D" w:rsidRDefault="00DA53A3" w:rsidP="008C25BB">
      <w:pPr>
        <w:pStyle w:val="ListParagraph"/>
        <w:numPr>
          <w:ilvl w:val="0"/>
          <w:numId w:val="90"/>
        </w:numPr>
        <w:spacing w:after="120"/>
        <w:contextualSpacing w:val="0"/>
        <w:jc w:val="both"/>
        <w:rPr>
          <w:rFonts w:cs="Times New Roman"/>
          <w:szCs w:val="24"/>
        </w:rPr>
      </w:pPr>
      <w:r w:rsidRPr="00BA616D">
        <w:rPr>
          <w:rFonts w:cs="Times New Roman"/>
          <w:b/>
          <w:szCs w:val="24"/>
        </w:rPr>
        <w:t>Minimālajā scenārijā:</w:t>
      </w:r>
      <w:r w:rsidRPr="00BA616D">
        <w:rPr>
          <w:rFonts w:cs="Times New Roman"/>
          <w:szCs w:val="24"/>
        </w:rPr>
        <w:t xml:space="preserve"> LNerBib - reproducēto grāmatu un audiovizuālo dokumentu izsniegums pamatā tiek nodrošināts ar iekšzemes SBA, elektroniskā veidā vai ar pasta starpniecību. Braila rakstā grāmatas tiek sūtītas pa pastu vai pievestas uz mājām, izmantojot auto transporta ārpakalpojumu, priekšā lasīšanas pakalpojumi ierobežotā daudzumā tiek sniegti pa </w:t>
      </w:r>
      <w:r w:rsidRPr="00BA616D">
        <w:rPr>
          <w:rFonts w:cs="Times New Roman"/>
          <w:bCs/>
          <w:szCs w:val="24"/>
        </w:rPr>
        <w:t>telefonu</w:t>
      </w:r>
      <w:r w:rsidRPr="00BA616D">
        <w:rPr>
          <w:rFonts w:cs="Times New Roman"/>
          <w:szCs w:val="24"/>
        </w:rPr>
        <w:t xml:space="preserve">, </w:t>
      </w:r>
      <w:r w:rsidRPr="00BA616D">
        <w:rPr>
          <w:rFonts w:cs="Times New Roman"/>
          <w:szCs w:val="24"/>
          <w:u w:val="single"/>
        </w:rPr>
        <w:t>izdrukas</w:t>
      </w:r>
      <w:r w:rsidRPr="00BA616D">
        <w:rPr>
          <w:rFonts w:cs="Times New Roman"/>
          <w:szCs w:val="24"/>
        </w:rPr>
        <w:t xml:space="preserve"> Braila rakstā iespējams pasūtīt tikai Braila raksta nodaļā, ko vēlāk ar pastu nosūta adresātam vai saņemt to tikai elektroniski apstrādātu, lai to var nolasīt ekrānlasošā </w:t>
      </w:r>
      <w:r w:rsidRPr="00BA616D">
        <w:rPr>
          <w:rFonts w:cs="Times New Roman"/>
          <w:i/>
          <w:iCs/>
          <w:szCs w:val="24"/>
        </w:rPr>
        <w:t>Jaws</w:t>
      </w:r>
      <w:r w:rsidRPr="00BA616D">
        <w:rPr>
          <w:rFonts w:cs="Times New Roman"/>
          <w:szCs w:val="24"/>
        </w:rPr>
        <w:t xml:space="preserve"> programma. LNB fiziskā krājuma izmantošanas pakalpojumi tiek saglabāti esošā risinājuma minimālā scenārija līmenī (pakalpojumi visās lasītavās (19 apkalpošanas punkti) pieejami 40 stundas nedēļā, tiek digitalizēti 384 615 teksta izdevumi un 5 000 attēlizdevumi, klātienes informācijas pakalpojumi tiek saglabāti esošā risinājuma minimālā scenārija līmenī (pakalpojumi visās lasītavās (19 apkalpošanas punkti) pieejami 40 stundas nedēļā. KISC ar autortiesībām aizsargāta satura pieejamība pašvaldību bibliotēkās un LNB</w:t>
      </w:r>
      <w:r w:rsidR="00BA616D" w:rsidRPr="00BA616D">
        <w:rPr>
          <w:rFonts w:cs="Times New Roman"/>
          <w:szCs w:val="24"/>
        </w:rPr>
        <w:t xml:space="preserve"> –</w:t>
      </w:r>
      <w:r w:rsidRPr="00BA616D">
        <w:rPr>
          <w:rFonts w:cs="Times New Roman"/>
          <w:szCs w:val="24"/>
        </w:rPr>
        <w:t xml:space="preserve"> Bibliotēku lietotājiem nodrošināta atsevišķu datubāzu pieejamība.</w:t>
      </w:r>
    </w:p>
    <w:p w:rsidR="00DA53A3" w:rsidRPr="00BA616D" w:rsidRDefault="00DA53A3" w:rsidP="008C25BB">
      <w:pPr>
        <w:pStyle w:val="ListParagraph"/>
        <w:numPr>
          <w:ilvl w:val="0"/>
          <w:numId w:val="90"/>
        </w:numPr>
        <w:spacing w:after="120"/>
        <w:contextualSpacing w:val="0"/>
        <w:jc w:val="both"/>
        <w:rPr>
          <w:rFonts w:cs="Times New Roman"/>
          <w:szCs w:val="24"/>
        </w:rPr>
      </w:pPr>
      <w:r w:rsidRPr="00BA616D">
        <w:rPr>
          <w:rFonts w:cs="Times New Roman"/>
          <w:b/>
          <w:szCs w:val="24"/>
        </w:rPr>
        <w:t>Standarta scenārijā:</w:t>
      </w:r>
      <w:r w:rsidRPr="00BA616D">
        <w:rPr>
          <w:rFonts w:cs="Times New Roman"/>
          <w:szCs w:val="24"/>
        </w:rPr>
        <w:t xml:space="preserve"> LNerBib reproducēto grāmatu un audiovizuālo dokumentu izsniegums galvenokārt tiek nodrošināts ar iekšzemes SBA, elektroniskā vei</w:t>
      </w:r>
      <w:r w:rsidR="00BA616D" w:rsidRPr="00BA616D">
        <w:rPr>
          <w:rFonts w:cs="Times New Roman"/>
          <w:szCs w:val="24"/>
        </w:rPr>
        <w:t xml:space="preserve">dā vai ar pasta starpniecību. </w:t>
      </w:r>
      <w:r w:rsidRPr="00BA616D">
        <w:rPr>
          <w:rFonts w:cs="Times New Roman"/>
          <w:szCs w:val="24"/>
        </w:rPr>
        <w:t xml:space="preserve">Audiogrāmatas </w:t>
      </w:r>
      <w:r w:rsidRPr="00BA616D">
        <w:rPr>
          <w:rFonts w:cs="Times New Roman"/>
          <w:i/>
          <w:szCs w:val="24"/>
        </w:rPr>
        <w:t>DAISY</w:t>
      </w:r>
      <w:r w:rsidRPr="00BA616D">
        <w:rPr>
          <w:rFonts w:cs="Times New Roman"/>
          <w:szCs w:val="24"/>
        </w:rPr>
        <w:t xml:space="preserve"> formātā tiek izsniegtas tikai elektroniski. Braila rakstā grāmatas tiek sūtītas pa pastu vai pievestas uz mājām, izmantojot auto transporta ārpakalpojumu, priekšā lasīšanas pakalpojumi ierobežotā daudzumā tiek sniegti pa telefonu vai </w:t>
      </w:r>
      <w:r w:rsidRPr="00BA616D">
        <w:rPr>
          <w:rFonts w:cs="Times New Roman"/>
          <w:i/>
          <w:szCs w:val="24"/>
        </w:rPr>
        <w:t>Skype</w:t>
      </w:r>
      <w:r w:rsidRPr="00BA616D">
        <w:rPr>
          <w:rFonts w:cs="Times New Roman"/>
          <w:szCs w:val="24"/>
        </w:rPr>
        <w:t xml:space="preserve">. Datorkonsultāciju un uzziņu pakalpojumi tiek sniegti telefoniski vai elektroniski, izdrukas Braila rakstā iespējams pasūtīt tikai Braila raksta </w:t>
      </w:r>
      <w:r w:rsidRPr="00BA616D">
        <w:rPr>
          <w:rFonts w:cs="Times New Roman"/>
          <w:szCs w:val="24"/>
        </w:rPr>
        <w:lastRenderedPageBreak/>
        <w:t>nodaļā, ko vēlāk ar pastu nosūta adresātam vai saņemšanai augstskolu un reģionālajās publiskajās bibliotēkās ar SBA, brīvpieeja speciālajai tehnikai un programmām. LNB digitalizēti 422 692 teksta izdevumi, 32 450 attēlizdevumi un 10 000 audio ieraksti, klātienes informācijas un fiziskā krājuma izmantošanas pakalpojumi tiek saglabāti esošā risinājuma standarta scenārija līmenī. KISC ar autortiesībām aizsargāta satura pieejamība pašvaldību bibliotēkās, LNB un akadēmiskajās bibliotēkās</w:t>
      </w:r>
      <w:r w:rsidR="00BA616D" w:rsidRPr="00BA616D">
        <w:rPr>
          <w:rFonts w:cs="Times New Roman"/>
          <w:szCs w:val="24"/>
        </w:rPr>
        <w:t xml:space="preserve"> –</w:t>
      </w:r>
      <w:r w:rsidRPr="00BA616D">
        <w:rPr>
          <w:rFonts w:cs="Times New Roman"/>
          <w:szCs w:val="24"/>
        </w:rPr>
        <w:t xml:space="preserve"> Bibliotēku lietotājiem nodrošināta atsevišķu datubāzu pieejamība.</w:t>
      </w:r>
    </w:p>
    <w:p w:rsidR="00DA53A3" w:rsidRPr="00DA53A3" w:rsidRDefault="00DA53A3" w:rsidP="008C25BB">
      <w:pPr>
        <w:pStyle w:val="ListParagraph"/>
        <w:numPr>
          <w:ilvl w:val="0"/>
          <w:numId w:val="90"/>
        </w:numPr>
        <w:spacing w:after="120"/>
        <w:contextualSpacing w:val="0"/>
        <w:jc w:val="both"/>
        <w:rPr>
          <w:rFonts w:cs="Times New Roman"/>
          <w:szCs w:val="24"/>
        </w:rPr>
      </w:pPr>
      <w:r w:rsidRPr="00BA616D">
        <w:rPr>
          <w:rFonts w:cs="Times New Roman"/>
          <w:b/>
          <w:i/>
          <w:szCs w:val="24"/>
        </w:rPr>
        <w:t>Premium</w:t>
      </w:r>
      <w:r w:rsidRPr="00DA53A3">
        <w:rPr>
          <w:rFonts w:cs="Times New Roman"/>
          <w:b/>
          <w:szCs w:val="24"/>
        </w:rPr>
        <w:t xml:space="preserve"> scenārijā:</w:t>
      </w:r>
      <w:r w:rsidRPr="00DA53A3">
        <w:rPr>
          <w:rFonts w:cs="Times New Roman"/>
          <w:szCs w:val="24"/>
        </w:rPr>
        <w:t xml:space="preserve"> LNerBib reproducēto grāmatu un audiovizuālo dokumentu izsniegums galvenokārt tiek nodrošināts ar iekšzemes SBA, elektroniskā veidā, bibliotēkas e-vietnē, ar starptautisko programmu </w:t>
      </w:r>
      <w:r w:rsidRPr="00BA616D">
        <w:rPr>
          <w:rFonts w:cs="Times New Roman"/>
          <w:i/>
          <w:szCs w:val="24"/>
        </w:rPr>
        <w:t>PRATSAM</w:t>
      </w:r>
      <w:r w:rsidRPr="00DA53A3">
        <w:rPr>
          <w:rFonts w:cs="Times New Roman"/>
          <w:szCs w:val="24"/>
        </w:rPr>
        <w:t xml:space="preserve"> vai ar pasta starpniecību, audiogrāmatas </w:t>
      </w:r>
      <w:r w:rsidRPr="00BA616D">
        <w:rPr>
          <w:rFonts w:cs="Times New Roman"/>
          <w:i/>
          <w:szCs w:val="24"/>
        </w:rPr>
        <w:t>DAISY</w:t>
      </w:r>
      <w:r w:rsidRPr="00DA53A3">
        <w:rPr>
          <w:rFonts w:cs="Times New Roman"/>
          <w:szCs w:val="24"/>
        </w:rPr>
        <w:t xml:space="preserve"> formātā tiek izsniegtas elektroniski un fiziski (CD) (speciālajai tehnikai.), Braila rakstā grāmatas tiek sūtītas pa pastu vai pievestas uz mājām, izmantojot auto transporta ārpakalpojumu, brīvpieeja speciālajai tehnikai</w:t>
      </w:r>
      <w:r w:rsidR="00BA616D" w:rsidRPr="00BA616D">
        <w:rPr>
          <w:rFonts w:cs="Times New Roman"/>
          <w:szCs w:val="24"/>
        </w:rPr>
        <w:t xml:space="preserve"> </w:t>
      </w:r>
      <w:r w:rsidRPr="00DA53A3">
        <w:rPr>
          <w:rFonts w:cs="Times New Roman"/>
          <w:szCs w:val="24"/>
        </w:rPr>
        <w:t xml:space="preserve">un programmām. LNB digitalizēti 435 308 teksta izdevumi, 91 450 attēlizdevumi, 19 300 audio ieraksti, 300 video ieraksti, klātienes informācijas un fiziskā krājuma izmantošanas pakalpojumi tiek saglabāti esošā risinājuma </w:t>
      </w:r>
      <w:r w:rsidRPr="00BA616D">
        <w:rPr>
          <w:rFonts w:cs="Times New Roman"/>
          <w:i/>
          <w:szCs w:val="24"/>
        </w:rPr>
        <w:t>premium</w:t>
      </w:r>
      <w:r w:rsidRPr="00DA53A3">
        <w:rPr>
          <w:rFonts w:cs="Times New Roman"/>
          <w:szCs w:val="24"/>
        </w:rPr>
        <w:t xml:space="preserve"> scenārija līmenī. KISC ar autortiesībām aizsargāta satura pieejamība pašvaldību bibliotēkās, LNB un akadēmiskajās bibliotēkās, pamatizglītības un vidējās izglītības mācību iestādēs, bibliotēku lietotājiem nodrošināta atsevišķu datubāzu pieejamība.</w:t>
      </w:r>
    </w:p>
    <w:p w:rsidR="00DA53A3" w:rsidRPr="00DA53A3" w:rsidRDefault="00DA53A3" w:rsidP="00DC0589">
      <w:pPr>
        <w:spacing w:before="240" w:after="240"/>
        <w:ind w:firstLine="720"/>
        <w:jc w:val="both"/>
        <w:rPr>
          <w:rFonts w:cs="Times New Roman"/>
          <w:b/>
          <w:szCs w:val="24"/>
        </w:rPr>
      </w:pPr>
      <w:r w:rsidRPr="00DA53A3">
        <w:rPr>
          <w:rFonts w:cs="Times New Roman"/>
          <w:b/>
          <w:szCs w:val="24"/>
        </w:rPr>
        <w:t>Secinājumi</w:t>
      </w:r>
    </w:p>
    <w:p w:rsidR="00DA53A3" w:rsidRPr="00DA53A3" w:rsidRDefault="00DA53A3" w:rsidP="00E478E1">
      <w:pPr>
        <w:spacing w:after="120"/>
        <w:ind w:firstLine="720"/>
        <w:jc w:val="both"/>
        <w:rPr>
          <w:rFonts w:cs="Times New Roman"/>
          <w:szCs w:val="24"/>
        </w:rPr>
      </w:pPr>
      <w:r w:rsidRPr="00DA53A3">
        <w:rPr>
          <w:rFonts w:cs="Times New Roman"/>
          <w:szCs w:val="24"/>
        </w:rPr>
        <w:t xml:space="preserve">Analizējot nulles budžeta pilotprojekta gaitu </w:t>
      </w:r>
      <w:r w:rsidR="00BA616D">
        <w:rPr>
          <w:rFonts w:cs="Times New Roman"/>
          <w:szCs w:val="24"/>
        </w:rPr>
        <w:t>KM</w:t>
      </w:r>
      <w:r w:rsidRPr="00DA53A3">
        <w:rPr>
          <w:rFonts w:cs="Times New Roman"/>
          <w:szCs w:val="24"/>
        </w:rPr>
        <w:t xml:space="preserve"> resora iestādēs, ir radušies šādi secinājumi par metodes pielietojumu un efektivitāti:</w:t>
      </w:r>
    </w:p>
    <w:p w:rsidR="00DA53A3" w:rsidRPr="00DA53A3" w:rsidRDefault="00DA53A3" w:rsidP="008C25BB">
      <w:pPr>
        <w:pStyle w:val="ListParagraph"/>
        <w:numPr>
          <w:ilvl w:val="0"/>
          <w:numId w:val="88"/>
        </w:numPr>
        <w:spacing w:after="120"/>
        <w:contextualSpacing w:val="0"/>
        <w:jc w:val="both"/>
        <w:rPr>
          <w:rFonts w:cs="Times New Roman"/>
          <w:szCs w:val="24"/>
        </w:rPr>
      </w:pPr>
      <w:r w:rsidRPr="00DA53A3">
        <w:rPr>
          <w:rFonts w:cs="Times New Roman"/>
          <w:szCs w:val="24"/>
        </w:rPr>
        <w:t xml:space="preserve">Nulles budžeta sagatavošana iestāžu budžeta izstrādes procesā atzīstama par lietderīgu instrumentu iestādes faktisko izmaksu apzināšanai un kontrolei. Vienlaikus konstatējams nulles budžeta sagatavošanas laika un resursu ietilpīgais process, kā rezultātā </w:t>
      </w:r>
      <w:r w:rsidR="00BA616D">
        <w:rPr>
          <w:rFonts w:cs="Times New Roman"/>
          <w:szCs w:val="24"/>
        </w:rPr>
        <w:t>KM</w:t>
      </w:r>
      <w:r w:rsidRPr="00DA53A3">
        <w:rPr>
          <w:rFonts w:cs="Times New Roman"/>
          <w:szCs w:val="24"/>
        </w:rPr>
        <w:t xml:space="preserve"> trīs padotības iestādes ierobežotajā laika periodā sagatavojušas tikai viena bibliotēku sistēmas apakšmērķa virziena risinājumus un ieviešanas izmaksas.</w:t>
      </w:r>
    </w:p>
    <w:p w:rsidR="00DA53A3" w:rsidRPr="00DA53A3" w:rsidRDefault="00DA53A3" w:rsidP="008C25BB">
      <w:pPr>
        <w:pStyle w:val="ListParagraph"/>
        <w:numPr>
          <w:ilvl w:val="0"/>
          <w:numId w:val="88"/>
        </w:numPr>
        <w:spacing w:after="120"/>
        <w:contextualSpacing w:val="0"/>
        <w:jc w:val="both"/>
        <w:rPr>
          <w:rFonts w:cs="Times New Roman"/>
          <w:szCs w:val="24"/>
        </w:rPr>
      </w:pPr>
      <w:r w:rsidRPr="00DA53A3">
        <w:rPr>
          <w:rFonts w:cs="Times New Roman"/>
          <w:szCs w:val="24"/>
        </w:rPr>
        <w:t>Nulles budžeta sagatavošanu ir komplicēti veikt iestādes ietvaros, jo noteiktas valsts politikas struktūra analizējama nozariski vai resoriski un vienas iestādes sagatavotā shēma ir saturiski ierobežota.</w:t>
      </w:r>
    </w:p>
    <w:p w:rsidR="00DA53A3" w:rsidRPr="00DA53A3" w:rsidRDefault="00DA53A3" w:rsidP="008C25BB">
      <w:pPr>
        <w:pStyle w:val="ListParagraph"/>
        <w:numPr>
          <w:ilvl w:val="0"/>
          <w:numId w:val="88"/>
        </w:numPr>
        <w:spacing w:after="120"/>
        <w:contextualSpacing w:val="0"/>
        <w:jc w:val="both"/>
        <w:rPr>
          <w:rFonts w:cs="Times New Roman"/>
          <w:szCs w:val="24"/>
        </w:rPr>
      </w:pPr>
      <w:r w:rsidRPr="00DA53A3">
        <w:rPr>
          <w:rFonts w:cs="Times New Roman"/>
          <w:szCs w:val="24"/>
        </w:rPr>
        <w:t xml:space="preserve">Darbā ar trim </w:t>
      </w:r>
      <w:r w:rsidR="00BA616D">
        <w:rPr>
          <w:rFonts w:cs="Times New Roman"/>
          <w:szCs w:val="24"/>
        </w:rPr>
        <w:t>KM</w:t>
      </w:r>
      <w:r w:rsidRPr="00DA53A3">
        <w:rPr>
          <w:rFonts w:cs="Times New Roman"/>
          <w:szCs w:val="24"/>
        </w:rPr>
        <w:t xml:space="preserve"> padotības iestādēm konstatējams, ka nepieciešama izvērstāka un detalizētāk izstrādāta nulles budžeta sagatavošanas metodika. Darba procesā iestādes atšķirīgi interpretējušas izmaksu sadalīšanas un uzskaites modeļus, piemēram, cilvēkresursu (slodžu vai darba stundu) uzskaiti.</w:t>
      </w:r>
    </w:p>
    <w:p w:rsidR="00C57D7F" w:rsidRDefault="00DA53A3" w:rsidP="008C25BB">
      <w:pPr>
        <w:pStyle w:val="ListParagraph"/>
        <w:numPr>
          <w:ilvl w:val="0"/>
          <w:numId w:val="88"/>
        </w:numPr>
        <w:spacing w:after="120"/>
        <w:contextualSpacing w:val="0"/>
        <w:jc w:val="both"/>
        <w:rPr>
          <w:rFonts w:cs="Times New Roman"/>
          <w:szCs w:val="24"/>
        </w:rPr>
      </w:pPr>
      <w:r w:rsidRPr="00DA53A3">
        <w:rPr>
          <w:rFonts w:cs="Times New Roman"/>
          <w:szCs w:val="24"/>
        </w:rPr>
        <w:t>Kopumā secināms, ka nulles budžeta sagatavošanas process ir tu</w:t>
      </w:r>
      <w:r w:rsidR="00DE2413">
        <w:rPr>
          <w:rFonts w:cs="Times New Roman"/>
          <w:szCs w:val="24"/>
        </w:rPr>
        <w:t>r</w:t>
      </w:r>
      <w:r w:rsidRPr="00DA53A3">
        <w:rPr>
          <w:rFonts w:cs="Times New Roman"/>
          <w:szCs w:val="24"/>
        </w:rPr>
        <w:t>pināms, izstrādājot to pilnībā visai politikas nozarei un aptverot visas konkrētā iestādes funkcijas un sniegtos pakalpojumus, atvēlot šim darba uzdevumam ilgāku laiku.</w:t>
      </w:r>
    </w:p>
    <w:p w:rsidR="00DC0589" w:rsidRPr="00DC0589" w:rsidRDefault="00DC0589" w:rsidP="00394FF7">
      <w:pPr>
        <w:spacing w:before="240" w:after="240"/>
        <w:ind w:firstLine="720"/>
        <w:jc w:val="both"/>
        <w:rPr>
          <w:rFonts w:cs="Times New Roman"/>
          <w:b/>
          <w:szCs w:val="24"/>
        </w:rPr>
      </w:pPr>
      <w:r w:rsidRPr="00394FF7">
        <w:rPr>
          <w:rFonts w:cs="Times New Roman"/>
          <w:b/>
          <w:szCs w:val="24"/>
        </w:rPr>
        <w:t>Priekšlikums</w:t>
      </w:r>
    </w:p>
    <w:p w:rsidR="00DC0589" w:rsidRPr="00DC0589" w:rsidRDefault="00DC0589" w:rsidP="00394FF7">
      <w:pPr>
        <w:spacing w:before="240" w:after="240"/>
        <w:ind w:firstLine="720"/>
        <w:jc w:val="both"/>
        <w:rPr>
          <w:rFonts w:eastAsia="Calibri" w:cs="Times New Roman"/>
          <w:szCs w:val="24"/>
          <w:shd w:val="clear" w:color="auto" w:fill="FFFFFF"/>
        </w:rPr>
      </w:pPr>
      <w:r w:rsidRPr="00DC0589">
        <w:rPr>
          <w:rFonts w:eastAsia="Calibri" w:cs="Times New Roman"/>
          <w:szCs w:val="24"/>
        </w:rPr>
        <w:t>Kultūras ministrijai turpināt nulles budžeta sagatavošanu, izstrādājot to pilnībā visai politikas nozarei un aptverot visas konkrētā iestādes funkcijas un sniegtos pakalpojumus, atvēlot šim darba uzdevumam ilgāku laiku,</w:t>
      </w:r>
      <w:r w:rsidRPr="00DC0589">
        <w:rPr>
          <w:rFonts w:eastAsia="Calibri" w:cs="Times New Roman"/>
          <w:szCs w:val="24"/>
          <w:shd w:val="clear" w:color="auto" w:fill="FFFFFF"/>
        </w:rPr>
        <w:t xml:space="preserve"> un iesniegt priekšlikumus Finanšu ministrijā izdevumu pārskatīšanas procesā saskaņā ar </w:t>
      </w:r>
      <w:r w:rsidRPr="00DC0589">
        <w:rPr>
          <w:rFonts w:eastAsia="Calibri" w:cs="Times New Roman"/>
          <w:szCs w:val="24"/>
          <w:lang w:eastAsia="lv-LV"/>
        </w:rPr>
        <w:t>likumprojekta “Par vidēja termiņa budžeta ietvaru 2019., 2020. un 2021. gadam” un likumprojekta “Par valsts budžetu 2019.gadam” sagatavošanas grafikā noteiktajiem termiņiem</w:t>
      </w:r>
      <w:r w:rsidRPr="00DC0589">
        <w:rPr>
          <w:rFonts w:eastAsia="Calibri" w:cs="Times New Roman"/>
          <w:szCs w:val="24"/>
          <w:shd w:val="clear" w:color="auto" w:fill="FFFFFF"/>
        </w:rPr>
        <w:t>.</w:t>
      </w:r>
    </w:p>
    <w:p w:rsidR="00605D5E" w:rsidRDefault="00605D5E" w:rsidP="00E478E1">
      <w:pPr>
        <w:pStyle w:val="Heading2"/>
        <w:spacing w:before="480" w:after="240"/>
        <w:jc w:val="center"/>
        <w:rPr>
          <w:rFonts w:ascii="Times New Roman" w:hAnsi="Times New Roman" w:cs="Times New Roman"/>
          <w:color w:val="auto"/>
          <w:sz w:val="28"/>
          <w:szCs w:val="28"/>
        </w:rPr>
      </w:pPr>
      <w:bookmarkStart w:id="14" w:name="_Toc487036798"/>
      <w:r>
        <w:rPr>
          <w:rFonts w:ascii="Times New Roman" w:hAnsi="Times New Roman" w:cs="Times New Roman"/>
          <w:color w:val="auto"/>
          <w:sz w:val="28"/>
          <w:szCs w:val="28"/>
        </w:rPr>
        <w:lastRenderedPageBreak/>
        <w:t>3.3. Valsts budžeta finansēto funkciju optimizēšanas iespējas</w:t>
      </w:r>
      <w:bookmarkEnd w:id="14"/>
    </w:p>
    <w:p w:rsidR="00A2659E" w:rsidRPr="00197E67" w:rsidRDefault="00B003AC" w:rsidP="00094931">
      <w:pPr>
        <w:pStyle w:val="Heading3"/>
        <w:jc w:val="center"/>
        <w:rPr>
          <w:rFonts w:ascii="Times New Roman" w:hAnsi="Times New Roman" w:cs="Times New Roman"/>
          <w:bCs/>
          <w:color w:val="auto"/>
          <w:sz w:val="28"/>
          <w:szCs w:val="28"/>
        </w:rPr>
      </w:pPr>
      <w:bookmarkStart w:id="15" w:name="_Toc487036799"/>
      <w:r w:rsidRPr="00197E67">
        <w:rPr>
          <w:rFonts w:ascii="Times New Roman" w:hAnsi="Times New Roman" w:cs="Times New Roman"/>
          <w:color w:val="auto"/>
          <w:sz w:val="28"/>
          <w:szCs w:val="28"/>
        </w:rPr>
        <w:t xml:space="preserve">3.3.1. </w:t>
      </w:r>
      <w:r w:rsidR="00A2659E" w:rsidRPr="00197E67">
        <w:rPr>
          <w:rFonts w:ascii="Times New Roman" w:hAnsi="Times New Roman" w:cs="Times New Roman"/>
          <w:bCs/>
          <w:color w:val="auto"/>
          <w:sz w:val="28"/>
          <w:szCs w:val="28"/>
        </w:rPr>
        <w:t>Izvērtējums preču un pakalpojumu centralizētas iegādes paplašināšanai</w:t>
      </w:r>
      <w:bookmarkEnd w:id="15"/>
    </w:p>
    <w:p w:rsidR="00A2659E" w:rsidRDefault="00A2659E" w:rsidP="00A2659E"/>
    <w:p w:rsidR="00352094" w:rsidRPr="003617E2" w:rsidRDefault="00352094" w:rsidP="00352094">
      <w:pPr>
        <w:spacing w:after="160" w:line="252" w:lineRule="auto"/>
        <w:ind w:firstLine="720"/>
        <w:jc w:val="both"/>
        <w:rPr>
          <w:szCs w:val="24"/>
          <w:highlight w:val="yellow"/>
        </w:rPr>
      </w:pPr>
      <w:r w:rsidRPr="008C20D8">
        <w:t xml:space="preserve">Valsts budžeta izdevumu </w:t>
      </w:r>
      <w:r>
        <w:t>pārskatīšanas</w:t>
      </w:r>
      <w:r w:rsidRPr="008C20D8">
        <w:t xml:space="preserve"> ietvaros tika</w:t>
      </w:r>
      <w:r>
        <w:t xml:space="preserve"> analizēta pašreizējā situācija un identificētās problēmas preču un pakalpojumu iegādē valsts uzturētajā Elektroniskajā iepirkumu sistēmā (turpmāk – EIS) un izvērtētas iespējas paplašināt preču un pakalpojumu centralizēto iegādi EIS.</w:t>
      </w:r>
      <w:r w:rsidRPr="003617E2">
        <w:rPr>
          <w:szCs w:val="24"/>
          <w:highlight w:val="yellow"/>
        </w:rPr>
        <w:t xml:space="preserve"> </w:t>
      </w:r>
    </w:p>
    <w:p w:rsidR="00352094" w:rsidRPr="00843707" w:rsidRDefault="00352094" w:rsidP="00352094">
      <w:pPr>
        <w:spacing w:afterLines="80" w:after="192"/>
        <w:ind w:firstLine="720"/>
        <w:jc w:val="both"/>
      </w:pPr>
      <w:r w:rsidRPr="00843707">
        <w:t>Ministrijām tika lūgts sniegt informāciju un priekšlikumus</w:t>
      </w:r>
      <w:r>
        <w:t xml:space="preserve"> par</w:t>
      </w:r>
      <w:r w:rsidRPr="00843707">
        <w:t xml:space="preserve"> </w:t>
      </w:r>
      <w:r w:rsidRPr="00843707">
        <w:rPr>
          <w:rFonts w:cs="Times New Roman"/>
          <w:bCs/>
          <w:szCs w:val="24"/>
        </w:rPr>
        <w:t>iespējām paplašināt preču un pakalpojumu centralizēto iegādi EIS</w:t>
      </w:r>
      <w:r w:rsidRPr="00843707">
        <w:t>, tajā skaitā:</w:t>
      </w:r>
    </w:p>
    <w:p w:rsidR="00352094" w:rsidRPr="00843707" w:rsidRDefault="00352094" w:rsidP="008C25BB">
      <w:pPr>
        <w:pStyle w:val="ListParagraph"/>
        <w:numPr>
          <w:ilvl w:val="0"/>
          <w:numId w:val="133"/>
        </w:numPr>
        <w:ind w:left="714" w:hanging="357"/>
        <w:contextualSpacing w:val="0"/>
        <w:jc w:val="both"/>
      </w:pPr>
      <w:r>
        <w:t>k</w:t>
      </w:r>
      <w:r w:rsidRPr="00843707">
        <w:t>ādu preču (pakalpojumu) iepirkšanai tiek lietota EIS;</w:t>
      </w:r>
    </w:p>
    <w:p w:rsidR="00352094" w:rsidRPr="00843707" w:rsidRDefault="00352094" w:rsidP="008C25BB">
      <w:pPr>
        <w:pStyle w:val="ListParagraph"/>
        <w:numPr>
          <w:ilvl w:val="0"/>
          <w:numId w:val="133"/>
        </w:numPr>
        <w:ind w:left="714" w:hanging="357"/>
        <w:contextualSpacing w:val="0"/>
        <w:jc w:val="both"/>
      </w:pPr>
      <w:r>
        <w:t>k</w:t>
      </w:r>
      <w:r w:rsidRPr="00843707">
        <w:t>ādu preču (pakalpojumu) iepirkšanai netiek li</w:t>
      </w:r>
      <w:r>
        <w:t>etota, kaut arī tāda iespēja ir, kādēļ</w:t>
      </w:r>
      <w:r w:rsidRPr="00843707">
        <w:t>;</w:t>
      </w:r>
    </w:p>
    <w:p w:rsidR="00352094" w:rsidRPr="00843707" w:rsidRDefault="00352094" w:rsidP="008C25BB">
      <w:pPr>
        <w:pStyle w:val="ListParagraph"/>
        <w:numPr>
          <w:ilvl w:val="0"/>
          <w:numId w:val="133"/>
        </w:numPr>
        <w:ind w:left="714" w:hanging="357"/>
        <w:contextualSpacing w:val="0"/>
        <w:jc w:val="both"/>
        <w:rPr>
          <w:rFonts w:cs="Times New Roman"/>
          <w:bCs/>
          <w:szCs w:val="24"/>
        </w:rPr>
      </w:pPr>
      <w:r>
        <w:rPr>
          <w:rFonts w:cs="Times New Roman"/>
          <w:bCs/>
          <w:szCs w:val="24"/>
        </w:rPr>
        <w:t>a</w:t>
      </w:r>
      <w:r w:rsidRPr="00843707">
        <w:rPr>
          <w:rFonts w:cs="Times New Roman"/>
          <w:bCs/>
          <w:szCs w:val="24"/>
        </w:rPr>
        <w:t>r kādām preču (pakalpojumu) grupām</w:t>
      </w:r>
      <w:r>
        <w:rPr>
          <w:rFonts w:cs="Times New Roman"/>
          <w:bCs/>
          <w:szCs w:val="24"/>
        </w:rPr>
        <w:t xml:space="preserve"> EIS būtu lietderīgi papildināt;</w:t>
      </w:r>
    </w:p>
    <w:p w:rsidR="00352094" w:rsidRPr="00843707" w:rsidRDefault="00352094" w:rsidP="008C25BB">
      <w:pPr>
        <w:pStyle w:val="ListParagraph"/>
        <w:numPr>
          <w:ilvl w:val="0"/>
          <w:numId w:val="133"/>
        </w:numPr>
        <w:ind w:left="714" w:hanging="357"/>
        <w:contextualSpacing w:val="0"/>
        <w:jc w:val="both"/>
        <w:rPr>
          <w:rFonts w:cs="Times New Roman"/>
          <w:bCs/>
          <w:szCs w:val="24"/>
        </w:rPr>
      </w:pPr>
      <w:r>
        <w:rPr>
          <w:rFonts w:cs="Times New Roman"/>
          <w:bCs/>
          <w:szCs w:val="24"/>
        </w:rPr>
        <w:t>i</w:t>
      </w:r>
      <w:r w:rsidRPr="00843707">
        <w:rPr>
          <w:rFonts w:cs="Times New Roman"/>
          <w:bCs/>
          <w:szCs w:val="24"/>
        </w:rPr>
        <w:t>zvērtēt iespēju EIS iekļaut ar mācību, darba un dienesta komandējumiem, darba braucieniem saistītās preces un pakalpojumus</w:t>
      </w:r>
      <w:r>
        <w:rPr>
          <w:rFonts w:cs="Times New Roman"/>
          <w:bCs/>
          <w:szCs w:val="24"/>
        </w:rPr>
        <w:t>;</w:t>
      </w:r>
    </w:p>
    <w:p w:rsidR="00352094" w:rsidRPr="00843707" w:rsidRDefault="00352094" w:rsidP="008C25BB">
      <w:pPr>
        <w:pStyle w:val="ListParagraph"/>
        <w:numPr>
          <w:ilvl w:val="0"/>
          <w:numId w:val="133"/>
        </w:numPr>
        <w:spacing w:afterLines="80" w:after="192"/>
        <w:contextualSpacing w:val="0"/>
        <w:jc w:val="both"/>
        <w:rPr>
          <w:rFonts w:cs="Times New Roman"/>
          <w:szCs w:val="24"/>
        </w:rPr>
      </w:pPr>
      <w:r>
        <w:rPr>
          <w:rFonts w:cs="Times New Roman"/>
          <w:bCs/>
          <w:szCs w:val="24"/>
        </w:rPr>
        <w:t>i</w:t>
      </w:r>
      <w:r w:rsidRPr="00843707">
        <w:rPr>
          <w:rFonts w:cs="Times New Roman"/>
          <w:bCs/>
          <w:szCs w:val="24"/>
        </w:rPr>
        <w:t>zvērtēt iespēju ministrijai kopīgi ar savas ministrijas padotības iestādēm un kapitālsabiedrībām, kurās ministrija ir kapitāldaļu turētāja, organizēt vienu kopīgu iepirkumu, izmantojot EIS piedāvājumu (piemēram, veselības apdrošināšana)</w:t>
      </w:r>
      <w:r>
        <w:rPr>
          <w:rFonts w:cs="Times New Roman"/>
          <w:bCs/>
          <w:szCs w:val="24"/>
        </w:rPr>
        <w:t>.</w:t>
      </w:r>
    </w:p>
    <w:p w:rsidR="00352094" w:rsidRPr="00843707" w:rsidRDefault="00352094" w:rsidP="00352094">
      <w:pPr>
        <w:pStyle w:val="ListParagraph"/>
        <w:spacing w:after="120"/>
        <w:contextualSpacing w:val="0"/>
        <w:jc w:val="both"/>
      </w:pPr>
      <w:r>
        <w:t xml:space="preserve">Ministriju sniegtā informācija un priekšlikumi apkopoti ziņojuma </w:t>
      </w:r>
      <w:r w:rsidR="00517B32">
        <w:t>7</w:t>
      </w:r>
      <w:r>
        <w:t>.pielikumā.</w:t>
      </w:r>
    </w:p>
    <w:p w:rsidR="00352094" w:rsidRDefault="00352094" w:rsidP="00352094">
      <w:pPr>
        <w:spacing w:after="160" w:line="252" w:lineRule="auto"/>
        <w:ind w:firstLine="720"/>
        <w:jc w:val="both"/>
        <w:rPr>
          <w:szCs w:val="24"/>
          <w:highlight w:val="yellow"/>
        </w:rPr>
      </w:pPr>
      <w:r>
        <w:t>Praktiski visas ministrijas lieto EIS biroja papīra, biroja tehnikas, kancelejas preču, datortehnikas, programmatūras, saimniecības u.c. katalogos iekļauto preču iegādei, ja piedāvājums nodrošina nepieciešamo kvalitāti un ārpus EIS nav iespējams iegādāties par zemāku cenu.</w:t>
      </w:r>
    </w:p>
    <w:p w:rsidR="00352094" w:rsidRDefault="00352094" w:rsidP="007753D0">
      <w:pPr>
        <w:spacing w:after="120"/>
        <w:ind w:firstLine="720"/>
        <w:jc w:val="both"/>
      </w:pPr>
      <w:r w:rsidRPr="00D670B2">
        <w:rPr>
          <w:b/>
        </w:rPr>
        <w:t>Ministrijas, izvērtējot līdzšinējo pieredzi preču (pakalpojumu) iegādei EIS, ir norādījušas iemeslus k</w:t>
      </w:r>
      <w:r w:rsidRPr="00D670B2">
        <w:rPr>
          <w:rFonts w:eastAsiaTheme="minorEastAsia" w:cs="Times New Roman"/>
          <w:b/>
          <w:kern w:val="24"/>
          <w:szCs w:val="24"/>
        </w:rPr>
        <w:t>ādu preču (pakalpojumu</w:t>
      </w:r>
      <w:r w:rsidRPr="00FE3B82">
        <w:rPr>
          <w:rFonts w:eastAsiaTheme="minorEastAsia" w:cs="Times New Roman"/>
          <w:b/>
          <w:kern w:val="24"/>
          <w:szCs w:val="24"/>
        </w:rPr>
        <w:t xml:space="preserve">) iepirkšanai </w:t>
      </w:r>
      <w:r>
        <w:rPr>
          <w:rFonts w:eastAsiaTheme="minorEastAsia" w:cs="Times New Roman"/>
          <w:b/>
          <w:kern w:val="24"/>
          <w:szCs w:val="24"/>
        </w:rPr>
        <w:t xml:space="preserve">EIS </w:t>
      </w:r>
      <w:r w:rsidRPr="00FE3B82">
        <w:rPr>
          <w:rFonts w:eastAsiaTheme="minorEastAsia" w:cs="Times New Roman"/>
          <w:b/>
          <w:kern w:val="24"/>
          <w:szCs w:val="24"/>
        </w:rPr>
        <w:t>netiek lie</w:t>
      </w:r>
      <w:r>
        <w:rPr>
          <w:rFonts w:eastAsiaTheme="minorEastAsia" w:cs="Times New Roman"/>
          <w:b/>
          <w:kern w:val="24"/>
          <w:szCs w:val="24"/>
        </w:rPr>
        <w:t>tota, kaut arī tāda iespēja ir dota:</w:t>
      </w:r>
    </w:p>
    <w:p w:rsidR="00352094" w:rsidRDefault="00352094" w:rsidP="008C25BB">
      <w:pPr>
        <w:pStyle w:val="ListParagraph"/>
        <w:numPr>
          <w:ilvl w:val="0"/>
          <w:numId w:val="113"/>
        </w:numPr>
        <w:spacing w:after="120"/>
        <w:contextualSpacing w:val="0"/>
        <w:jc w:val="both"/>
        <w:rPr>
          <w:rFonts w:eastAsiaTheme="minorEastAsia"/>
          <w:kern w:val="24"/>
          <w:szCs w:val="24"/>
        </w:rPr>
      </w:pPr>
      <w:r w:rsidRPr="00912405">
        <w:rPr>
          <w:rFonts w:cs="Times New Roman"/>
          <w:bCs/>
          <w:szCs w:val="24"/>
        </w:rPr>
        <w:t xml:space="preserve">EIS piedāvātā cena ir dārgāka, ilgs piegādes laiks, ierobežots sortiments, noteikta iepirkuma minimālā summa, </w:t>
      </w:r>
      <w:r>
        <w:rPr>
          <w:rFonts w:cs="Times New Roman"/>
          <w:bCs/>
          <w:szCs w:val="24"/>
        </w:rPr>
        <w:t xml:space="preserve">piedāvātajām precēm zemāka funkcionalitāte un neatbilstoša kvalitāte, </w:t>
      </w:r>
      <w:r w:rsidRPr="00912405">
        <w:rPr>
          <w:rFonts w:eastAsiaTheme="minorEastAsia"/>
          <w:kern w:val="24"/>
          <w:szCs w:val="24"/>
        </w:rPr>
        <w:t xml:space="preserve">katalogos pieejamo preču </w:t>
      </w:r>
      <w:r w:rsidRPr="00912405">
        <w:rPr>
          <w:rFonts w:eastAsiaTheme="minorEastAsia"/>
          <w:bCs/>
          <w:kern w:val="24"/>
          <w:szCs w:val="24"/>
        </w:rPr>
        <w:t xml:space="preserve">tehniskie parametri neatbilst </w:t>
      </w:r>
      <w:r w:rsidRPr="00912405">
        <w:rPr>
          <w:rFonts w:eastAsiaTheme="minorEastAsia"/>
          <w:kern w:val="24"/>
          <w:szCs w:val="24"/>
        </w:rPr>
        <w:t xml:space="preserve">iestādes prasībām, </w:t>
      </w:r>
      <w:r w:rsidRPr="00912405">
        <w:rPr>
          <w:rFonts w:cs="Times New Roman"/>
          <w:szCs w:val="24"/>
        </w:rPr>
        <w:t>trūkst vizuālas informācijas par visām precēm (piegādājamās preces salīdz</w:t>
      </w:r>
      <w:r>
        <w:rPr>
          <w:rFonts w:cs="Times New Roman"/>
          <w:szCs w:val="24"/>
        </w:rPr>
        <w:t xml:space="preserve">ināšanai, vai atbilst prasībām), </w:t>
      </w:r>
      <w:r w:rsidRPr="00912405">
        <w:rPr>
          <w:rFonts w:eastAsiaTheme="minorEastAsia"/>
          <w:kern w:val="24"/>
          <w:szCs w:val="24"/>
        </w:rPr>
        <w:t>t</w:t>
      </w:r>
      <w:r w:rsidRPr="00912405">
        <w:rPr>
          <w:rFonts w:eastAsiaTheme="minorEastAsia" w:cs="Times New Roman"/>
          <w:kern w:val="24"/>
          <w:szCs w:val="24"/>
        </w:rPr>
        <w:t xml:space="preserve">ehniskajā specifikācijā nav atrunāta piegādātāja </w:t>
      </w:r>
      <w:r w:rsidRPr="00912405">
        <w:rPr>
          <w:rFonts w:eastAsiaTheme="minorEastAsia" w:cs="Times New Roman"/>
          <w:bCs/>
          <w:kern w:val="24"/>
          <w:szCs w:val="24"/>
        </w:rPr>
        <w:t xml:space="preserve">minimālā pieredze </w:t>
      </w:r>
      <w:r w:rsidRPr="00912405">
        <w:rPr>
          <w:rFonts w:eastAsiaTheme="minorEastAsia" w:cs="Times New Roman"/>
          <w:kern w:val="24"/>
          <w:szCs w:val="24"/>
        </w:rPr>
        <w:t xml:space="preserve">vai pakalpojuma </w:t>
      </w:r>
      <w:r w:rsidRPr="00912405">
        <w:rPr>
          <w:rFonts w:eastAsiaTheme="minorEastAsia" w:cs="Times New Roman"/>
          <w:bCs/>
          <w:kern w:val="24"/>
          <w:szCs w:val="24"/>
        </w:rPr>
        <w:t xml:space="preserve">sniegšanas vieta, nepilnīga informācija </w:t>
      </w:r>
      <w:r w:rsidRPr="00912405">
        <w:rPr>
          <w:rFonts w:eastAsiaTheme="minorEastAsia" w:cs="Times New Roman"/>
          <w:kern w:val="24"/>
          <w:szCs w:val="24"/>
        </w:rPr>
        <w:t xml:space="preserve">par piedāvāto preci, </w:t>
      </w:r>
      <w:r w:rsidRPr="00912405">
        <w:rPr>
          <w:rFonts w:eastAsiaTheme="minorEastAsia"/>
          <w:kern w:val="24"/>
          <w:szCs w:val="24"/>
        </w:rPr>
        <w:t xml:space="preserve">iegāde sistēmā nav noteikta kā obligāta un, veicot iepirkumu, var iegādāties </w:t>
      </w:r>
      <w:r w:rsidRPr="00912405">
        <w:rPr>
          <w:rFonts w:eastAsiaTheme="minorEastAsia"/>
          <w:bCs/>
          <w:kern w:val="24"/>
          <w:szCs w:val="24"/>
        </w:rPr>
        <w:t>piemērotāku pakalpojumu</w:t>
      </w:r>
      <w:r w:rsidRPr="00912405">
        <w:rPr>
          <w:rFonts w:eastAsiaTheme="minorEastAsia"/>
          <w:kern w:val="24"/>
          <w:szCs w:val="24"/>
        </w:rPr>
        <w:t>, iegādes veikšanas brīdī nav pieejams attiecīgais katalogs (katalogs slēgts);</w:t>
      </w:r>
    </w:p>
    <w:p w:rsidR="00352094" w:rsidRPr="00912405" w:rsidRDefault="00352094" w:rsidP="008C25BB">
      <w:pPr>
        <w:pStyle w:val="ListParagraph"/>
        <w:numPr>
          <w:ilvl w:val="0"/>
          <w:numId w:val="113"/>
        </w:numPr>
        <w:spacing w:after="120"/>
        <w:contextualSpacing w:val="0"/>
        <w:jc w:val="both"/>
        <w:rPr>
          <w:szCs w:val="24"/>
        </w:rPr>
      </w:pPr>
      <w:r>
        <w:rPr>
          <w:szCs w:val="24"/>
        </w:rPr>
        <w:t xml:space="preserve">vairākas ministrijas ir norādījušas, ka </w:t>
      </w:r>
      <w:r w:rsidRPr="00912405">
        <w:rPr>
          <w:szCs w:val="24"/>
        </w:rPr>
        <w:t xml:space="preserve">EIS </w:t>
      </w:r>
      <w:r>
        <w:rPr>
          <w:szCs w:val="24"/>
        </w:rPr>
        <w:t xml:space="preserve">piedāvātajām biroja mēbelēm ir </w:t>
      </w:r>
      <w:r w:rsidRPr="00912405">
        <w:rPr>
          <w:szCs w:val="24"/>
        </w:rPr>
        <w:t>nesamērīgi augsta cena pret tirgū pieejamām līdzvērtīgām un pat labākām precēm</w:t>
      </w:r>
      <w:r>
        <w:rPr>
          <w:szCs w:val="24"/>
        </w:rPr>
        <w:t xml:space="preserve"> (piemēram, biroja krēsliem), kā arī</w:t>
      </w:r>
      <w:r w:rsidRPr="00912405">
        <w:rPr>
          <w:szCs w:val="24"/>
        </w:rPr>
        <w:t xml:space="preserve"> starp biroja mēbelēm nav </w:t>
      </w:r>
      <w:r>
        <w:rPr>
          <w:szCs w:val="24"/>
        </w:rPr>
        <w:t>iespējas izvēlēties</w:t>
      </w:r>
      <w:r w:rsidRPr="00912405">
        <w:rPr>
          <w:szCs w:val="24"/>
        </w:rPr>
        <w:t xml:space="preserve"> specifiskās mēbeles </w:t>
      </w:r>
      <w:r>
        <w:rPr>
          <w:szCs w:val="24"/>
        </w:rPr>
        <w:t xml:space="preserve">(piemēram, tiesas zāļu vajadzībām), </w:t>
      </w:r>
      <w:r w:rsidRPr="00912405">
        <w:rPr>
          <w:szCs w:val="24"/>
        </w:rPr>
        <w:t>k</w:t>
      </w:r>
      <w:r>
        <w:rPr>
          <w:szCs w:val="24"/>
        </w:rPr>
        <w:t xml:space="preserve">abinetu mēbelēm </w:t>
      </w:r>
      <w:r w:rsidRPr="00912405">
        <w:rPr>
          <w:szCs w:val="24"/>
        </w:rPr>
        <w:t>ļoti mazs piedāvājums EIS</w:t>
      </w:r>
      <w:r>
        <w:rPr>
          <w:szCs w:val="24"/>
        </w:rPr>
        <w:t>,</w:t>
      </w:r>
      <w:r w:rsidRPr="00912405">
        <w:rPr>
          <w:szCs w:val="24"/>
        </w:rPr>
        <w:t xml:space="preserve"> savukārt</w:t>
      </w:r>
      <w:r>
        <w:rPr>
          <w:szCs w:val="24"/>
        </w:rPr>
        <w:t>,</w:t>
      </w:r>
      <w:r w:rsidRPr="00912405">
        <w:rPr>
          <w:szCs w:val="24"/>
        </w:rPr>
        <w:t xml:space="preserve"> ja nepieciešams pielāgot mēbeles kabinetiem, tad tas nav iespējams no EIS piedāvājuma;</w:t>
      </w:r>
    </w:p>
    <w:p w:rsidR="00352094" w:rsidRPr="00912405" w:rsidRDefault="00352094" w:rsidP="008C25BB">
      <w:pPr>
        <w:pStyle w:val="ListParagraph"/>
        <w:numPr>
          <w:ilvl w:val="0"/>
          <w:numId w:val="113"/>
        </w:numPr>
        <w:spacing w:after="120"/>
        <w:contextualSpacing w:val="0"/>
        <w:jc w:val="both"/>
        <w:rPr>
          <w:rFonts w:cs="Times New Roman"/>
          <w:szCs w:val="24"/>
        </w:rPr>
      </w:pPr>
      <w:r w:rsidRPr="00912405">
        <w:rPr>
          <w:rFonts w:cs="Times New Roman"/>
          <w:szCs w:val="24"/>
        </w:rPr>
        <w:t>ierobežots pasūtījuma groza minimālais apjoms (nelielās struktūrvienībās jāveic pasūtījums ilgākam laikam un jāuzglabā preces pie to lietotājiem, darba telpās), nav iespējams veikt steidzamas iegādes (ir jārēķinās ar laiku piedāvājumu iesniegšanai (piemēram, 3 darba dienas) un piegādes laiku (nav īsāks</w:t>
      </w:r>
      <w:r>
        <w:rPr>
          <w:rFonts w:cs="Times New Roman"/>
          <w:szCs w:val="24"/>
        </w:rPr>
        <w:t xml:space="preserve"> kā 1 nedēļa, paredz 1 mēnesi), </w:t>
      </w:r>
      <w:r w:rsidRPr="00912405">
        <w:rPr>
          <w:rFonts w:cs="Times New Roman"/>
          <w:szCs w:val="24"/>
        </w:rPr>
        <w:t>bet ir gadījumi k</w:t>
      </w:r>
      <w:r>
        <w:rPr>
          <w:rFonts w:cs="Times New Roman"/>
          <w:szCs w:val="24"/>
        </w:rPr>
        <w:t>ad prece ir nepieciešama ātrāk;</w:t>
      </w:r>
    </w:p>
    <w:p w:rsidR="00352094" w:rsidRDefault="00352094" w:rsidP="008C25BB">
      <w:pPr>
        <w:pStyle w:val="ListParagraph"/>
        <w:numPr>
          <w:ilvl w:val="0"/>
          <w:numId w:val="113"/>
        </w:numPr>
        <w:spacing w:after="120"/>
        <w:contextualSpacing w:val="0"/>
        <w:jc w:val="both"/>
        <w:rPr>
          <w:szCs w:val="24"/>
        </w:rPr>
      </w:pPr>
      <w:r w:rsidRPr="004A2C65">
        <w:rPr>
          <w:szCs w:val="24"/>
        </w:rPr>
        <w:lastRenderedPageBreak/>
        <w:t>pārtikas preču cenas ir augstākas nekā mazumtirdzniecībā, medicīnas precēm ir neatbilstoši piegādes un garantijas termiņi</w:t>
      </w:r>
      <w:r>
        <w:rPr>
          <w:szCs w:val="24"/>
        </w:rPr>
        <w:t>;</w:t>
      </w:r>
    </w:p>
    <w:p w:rsidR="00352094" w:rsidRDefault="00352094" w:rsidP="008C25BB">
      <w:pPr>
        <w:pStyle w:val="ListParagraph"/>
        <w:numPr>
          <w:ilvl w:val="0"/>
          <w:numId w:val="113"/>
        </w:numPr>
        <w:spacing w:after="120"/>
        <w:contextualSpacing w:val="0"/>
        <w:jc w:val="both"/>
        <w:rPr>
          <w:rFonts w:cs="Times New Roman"/>
          <w:szCs w:val="24"/>
        </w:rPr>
      </w:pPr>
      <w:r>
        <w:rPr>
          <w:rFonts w:cs="Times New Roman"/>
          <w:szCs w:val="24"/>
        </w:rPr>
        <w:t>s</w:t>
      </w:r>
      <w:r w:rsidRPr="00912405">
        <w:rPr>
          <w:rFonts w:cs="Times New Roman"/>
          <w:szCs w:val="24"/>
        </w:rPr>
        <w:t>pecifiskie iepirkumi ir jāveic pašiem, piem</w:t>
      </w:r>
      <w:r>
        <w:rPr>
          <w:rFonts w:cs="Times New Roman"/>
          <w:szCs w:val="24"/>
        </w:rPr>
        <w:t>ēram</w:t>
      </w:r>
      <w:r w:rsidRPr="00912405">
        <w:rPr>
          <w:rFonts w:cs="Times New Roman"/>
          <w:szCs w:val="24"/>
        </w:rPr>
        <w:t>, ģeneratoru un motorsūkņu iegāde, hidraulisko un pneimatisko instrumentu rezerves daļu iegāde, saspiesta gaisa elpošanas aparātu un to elementu remonts un apkope</w:t>
      </w:r>
      <w:r>
        <w:rPr>
          <w:rFonts w:cs="Times New Roman"/>
          <w:szCs w:val="24"/>
        </w:rPr>
        <w:t xml:space="preserve">, </w:t>
      </w:r>
      <w:r w:rsidRPr="00912405">
        <w:rPr>
          <w:szCs w:val="24"/>
        </w:rPr>
        <w:t>arhīva plaukti</w:t>
      </w:r>
      <w:r>
        <w:rPr>
          <w:szCs w:val="24"/>
        </w:rPr>
        <w:t>em</w:t>
      </w:r>
      <w:r w:rsidRPr="00912405">
        <w:rPr>
          <w:szCs w:val="24"/>
        </w:rPr>
        <w:t xml:space="preserve"> sistēmā ir nepiln</w:t>
      </w:r>
      <w:r>
        <w:rPr>
          <w:szCs w:val="24"/>
        </w:rPr>
        <w:t>īga tehniskā specifikācija</w:t>
      </w:r>
      <w:r w:rsidRPr="00912405">
        <w:rPr>
          <w:rFonts w:cs="Times New Roman"/>
          <w:szCs w:val="24"/>
        </w:rPr>
        <w:t xml:space="preserve"> utt.</w:t>
      </w:r>
      <w:r>
        <w:rPr>
          <w:rFonts w:cs="Times New Roman"/>
          <w:szCs w:val="24"/>
        </w:rPr>
        <w:t>;</w:t>
      </w:r>
    </w:p>
    <w:p w:rsidR="00352094" w:rsidRDefault="00352094" w:rsidP="008C25BB">
      <w:pPr>
        <w:pStyle w:val="ListParagraph"/>
        <w:numPr>
          <w:ilvl w:val="0"/>
          <w:numId w:val="113"/>
        </w:numPr>
        <w:spacing w:after="120"/>
        <w:contextualSpacing w:val="0"/>
        <w:jc w:val="both"/>
        <w:rPr>
          <w:rFonts w:cs="Times New Roman"/>
          <w:szCs w:val="24"/>
        </w:rPr>
      </w:pPr>
      <w:r>
        <w:rPr>
          <w:rFonts w:cs="Times New Roman"/>
          <w:szCs w:val="24"/>
        </w:rPr>
        <w:t>d</w:t>
      </w:r>
      <w:r w:rsidRPr="00912405">
        <w:rPr>
          <w:rFonts w:cs="Times New Roman"/>
          <w:szCs w:val="24"/>
        </w:rPr>
        <w:t>audzos gadījumos piedāvātie preču katalogi, piem</w:t>
      </w:r>
      <w:r>
        <w:rPr>
          <w:rFonts w:cs="Times New Roman"/>
          <w:szCs w:val="24"/>
        </w:rPr>
        <w:t>ēram</w:t>
      </w:r>
      <w:r w:rsidRPr="00912405">
        <w:rPr>
          <w:rFonts w:cs="Times New Roman"/>
          <w:szCs w:val="24"/>
        </w:rPr>
        <w:t>, reprezentācijas preces, būtu jāpaplašina, jo nav izvēles sortimenta, kā rezultātā iestādei jāveic šo pr</w:t>
      </w:r>
      <w:r>
        <w:rPr>
          <w:rFonts w:cs="Times New Roman"/>
          <w:szCs w:val="24"/>
        </w:rPr>
        <w:t>eču iegādei iepirkumu procedūra;</w:t>
      </w:r>
    </w:p>
    <w:p w:rsidR="00352094" w:rsidRDefault="00352094" w:rsidP="008C25BB">
      <w:pPr>
        <w:pStyle w:val="ListParagraph"/>
        <w:numPr>
          <w:ilvl w:val="0"/>
          <w:numId w:val="113"/>
        </w:numPr>
        <w:spacing w:after="120"/>
        <w:contextualSpacing w:val="0"/>
        <w:jc w:val="both"/>
        <w:rPr>
          <w:rFonts w:cs="Times New Roman"/>
          <w:szCs w:val="24"/>
        </w:rPr>
      </w:pPr>
      <w:r>
        <w:rPr>
          <w:rFonts w:cs="Times New Roman"/>
          <w:szCs w:val="24"/>
        </w:rPr>
        <w:t>vairākas ministrijas k</w:t>
      </w:r>
      <w:r w:rsidRPr="00912405">
        <w:rPr>
          <w:rFonts w:cs="Times New Roman"/>
          <w:szCs w:val="24"/>
        </w:rPr>
        <w:t>ancelejas preču, biroja papīra un veselības apdrošināšanas iegādei izmanto centralizēto iepirkumu, jo noslēgtās vispārīgās vienošanās ietvaros tiek iegādāts par zemāku cenu kā EIS</w:t>
      </w:r>
      <w:r>
        <w:rPr>
          <w:rFonts w:cs="Times New Roman"/>
          <w:szCs w:val="24"/>
        </w:rPr>
        <w:t>;</w:t>
      </w:r>
    </w:p>
    <w:p w:rsidR="00352094" w:rsidRPr="00BA3D36" w:rsidRDefault="00352094" w:rsidP="00BA3D36">
      <w:pPr>
        <w:pStyle w:val="ListParagraph"/>
        <w:numPr>
          <w:ilvl w:val="0"/>
          <w:numId w:val="113"/>
        </w:numPr>
        <w:spacing w:after="120"/>
        <w:contextualSpacing w:val="0"/>
        <w:jc w:val="both"/>
        <w:rPr>
          <w:rFonts w:cs="Times New Roman"/>
          <w:szCs w:val="24"/>
        </w:rPr>
      </w:pPr>
      <w:r w:rsidRPr="00912405">
        <w:rPr>
          <w:bCs/>
          <w:szCs w:val="24"/>
        </w:rPr>
        <w:t>EIS</w:t>
      </w:r>
      <w:r w:rsidRPr="00912405">
        <w:rPr>
          <w:rFonts w:cs="Times New Roman"/>
          <w:bCs/>
          <w:szCs w:val="24"/>
        </w:rPr>
        <w:t xml:space="preserve"> neiepērk veselības apdrošināšanas pakalpojumus, jo piedāvātais segums nav tik plašs, ja salīdzina to ar iepirkuma procedūras rezultātā piedāvātajiem veselības apdrošināšanas nosacījumiem p</w:t>
      </w:r>
      <w:r>
        <w:rPr>
          <w:rFonts w:cs="Times New Roman"/>
          <w:bCs/>
          <w:szCs w:val="24"/>
        </w:rPr>
        <w:t>ie vienādām izmaksām.</w:t>
      </w:r>
    </w:p>
    <w:p w:rsidR="00352094" w:rsidRDefault="00352094" w:rsidP="00352094">
      <w:pPr>
        <w:spacing w:afterLines="60" w:after="144"/>
        <w:ind w:firstLine="720"/>
        <w:jc w:val="both"/>
      </w:pPr>
      <w:r w:rsidRPr="00C3530C">
        <w:rPr>
          <w:b/>
        </w:rPr>
        <w:t>Ministrijas ierosina EIS papildināt ar šādām preču (pakalpojumu) grupām</w:t>
      </w:r>
      <w:r>
        <w:t>:</w:t>
      </w:r>
    </w:p>
    <w:p w:rsidR="00352094" w:rsidRPr="006E2679" w:rsidRDefault="00352094" w:rsidP="008C25BB">
      <w:pPr>
        <w:pStyle w:val="ListParagraph"/>
        <w:numPr>
          <w:ilvl w:val="0"/>
          <w:numId w:val="106"/>
        </w:numPr>
        <w:spacing w:afterLines="60" w:after="144"/>
        <w:contextualSpacing w:val="0"/>
        <w:jc w:val="both"/>
        <w:rPr>
          <w:rFonts w:cs="Times New Roman"/>
          <w:bCs/>
          <w:szCs w:val="24"/>
        </w:rPr>
      </w:pPr>
      <w:r w:rsidRPr="006E2679">
        <w:rPr>
          <w:rFonts w:eastAsia="Times New Roman" w:cs="Times New Roman"/>
          <w:szCs w:val="24"/>
          <w:lang w:eastAsia="lv-LV"/>
        </w:rPr>
        <w:t xml:space="preserve">Pārtikas preces </w:t>
      </w:r>
      <w:r w:rsidRPr="006E2679">
        <w:rPr>
          <w:rFonts w:cs="Times New Roman"/>
          <w:bCs/>
          <w:szCs w:val="24"/>
        </w:rPr>
        <w:t>(papildināt);</w:t>
      </w:r>
    </w:p>
    <w:p w:rsidR="00352094" w:rsidRPr="00861F2F" w:rsidRDefault="00352094" w:rsidP="008C25BB">
      <w:pPr>
        <w:pStyle w:val="ListParagraph"/>
        <w:numPr>
          <w:ilvl w:val="0"/>
          <w:numId w:val="106"/>
        </w:numPr>
        <w:spacing w:afterLines="60" w:after="144"/>
        <w:contextualSpacing w:val="0"/>
        <w:jc w:val="both"/>
        <w:rPr>
          <w:rFonts w:cs="Times New Roman"/>
          <w:szCs w:val="24"/>
        </w:rPr>
      </w:pPr>
      <w:r w:rsidRPr="00861F2F">
        <w:rPr>
          <w:rFonts w:eastAsia="Times New Roman" w:cs="Times New Roman"/>
          <w:szCs w:val="24"/>
          <w:lang w:eastAsia="lv-LV"/>
        </w:rPr>
        <w:t>Medicīnas preces (</w:t>
      </w:r>
      <w:r w:rsidRPr="00861F2F">
        <w:rPr>
          <w:rFonts w:cs="Times New Roman"/>
          <w:szCs w:val="24"/>
        </w:rPr>
        <w:t>dažādu reaģentu (ķimikāliju) iegāde, ko izmanto zinātnisku pētījumu, ķīmisko ekspertīžu veikšanā</w:t>
      </w:r>
      <w:r>
        <w:rPr>
          <w:rFonts w:cs="Times New Roman"/>
          <w:szCs w:val="24"/>
        </w:rPr>
        <w:t>)</w:t>
      </w:r>
      <w:r w:rsidRPr="00861F2F">
        <w:rPr>
          <w:rFonts w:cs="Times New Roman"/>
          <w:szCs w:val="24"/>
        </w:rPr>
        <w:t xml:space="preserve">; </w:t>
      </w:r>
    </w:p>
    <w:p w:rsidR="00352094" w:rsidRPr="006E2679" w:rsidRDefault="00352094" w:rsidP="008C25BB">
      <w:pPr>
        <w:pStyle w:val="ListParagraph"/>
        <w:numPr>
          <w:ilvl w:val="0"/>
          <w:numId w:val="106"/>
        </w:numPr>
        <w:spacing w:afterLines="60" w:after="144"/>
        <w:contextualSpacing w:val="0"/>
        <w:jc w:val="both"/>
        <w:rPr>
          <w:rFonts w:cs="Times New Roman"/>
          <w:bCs/>
          <w:szCs w:val="24"/>
        </w:rPr>
      </w:pPr>
      <w:r w:rsidRPr="006E2679">
        <w:rPr>
          <w:rFonts w:eastAsia="Times New Roman" w:cs="Times New Roman"/>
          <w:szCs w:val="24"/>
          <w:lang w:eastAsia="lv-LV"/>
        </w:rPr>
        <w:t>Reprezentācijas preces (</w:t>
      </w:r>
      <w:r w:rsidRPr="006E2679">
        <w:rPr>
          <w:rFonts w:cs="Times New Roman"/>
          <w:bCs/>
          <w:szCs w:val="24"/>
        </w:rPr>
        <w:t>Latvijas dizaina preces, suvenīri);</w:t>
      </w:r>
    </w:p>
    <w:p w:rsidR="00352094" w:rsidRPr="006E2679" w:rsidRDefault="00352094" w:rsidP="008C25BB">
      <w:pPr>
        <w:pStyle w:val="ListParagraph"/>
        <w:numPr>
          <w:ilvl w:val="0"/>
          <w:numId w:val="106"/>
        </w:numPr>
        <w:ind w:left="714" w:hanging="357"/>
        <w:contextualSpacing w:val="0"/>
        <w:rPr>
          <w:rFonts w:eastAsia="Times New Roman" w:cs="Times New Roman"/>
          <w:szCs w:val="24"/>
          <w:lang w:eastAsia="lv-LV"/>
        </w:rPr>
      </w:pPr>
      <w:r w:rsidRPr="006E2679">
        <w:rPr>
          <w:rFonts w:eastAsia="Times New Roman" w:cs="Times New Roman"/>
          <w:szCs w:val="24"/>
          <w:lang w:eastAsia="lv-LV"/>
        </w:rPr>
        <w:t>Saimniecības preces:</w:t>
      </w:r>
    </w:p>
    <w:p w:rsidR="00352094" w:rsidRPr="00BA7254" w:rsidRDefault="00352094" w:rsidP="008C25BB">
      <w:pPr>
        <w:pStyle w:val="ListParagraph"/>
        <w:numPr>
          <w:ilvl w:val="0"/>
          <w:numId w:val="109"/>
        </w:numPr>
        <w:ind w:left="1077" w:hanging="357"/>
        <w:contextualSpacing w:val="0"/>
        <w:jc w:val="both"/>
        <w:rPr>
          <w:rFonts w:cs="Times New Roman"/>
          <w:szCs w:val="24"/>
        </w:rPr>
      </w:pPr>
      <w:r w:rsidRPr="00BA7254">
        <w:rPr>
          <w:rFonts w:cs="Times New Roman"/>
          <w:szCs w:val="24"/>
        </w:rPr>
        <w:t>baterijas (paaugstinātas kvalitātes);</w:t>
      </w:r>
    </w:p>
    <w:p w:rsidR="00352094" w:rsidRPr="00BA7254" w:rsidRDefault="00352094" w:rsidP="008C25BB">
      <w:pPr>
        <w:pStyle w:val="ListParagraph"/>
        <w:numPr>
          <w:ilvl w:val="0"/>
          <w:numId w:val="109"/>
        </w:numPr>
        <w:ind w:left="1077" w:hanging="357"/>
        <w:contextualSpacing w:val="0"/>
        <w:jc w:val="both"/>
        <w:rPr>
          <w:rFonts w:cs="Times New Roman"/>
          <w:szCs w:val="24"/>
        </w:rPr>
      </w:pPr>
      <w:r w:rsidRPr="00BA7254">
        <w:rPr>
          <w:rFonts w:cs="Times New Roman"/>
          <w:szCs w:val="24"/>
        </w:rPr>
        <w:t xml:space="preserve">celtniecības un remontmateriāli (paplašināt); </w:t>
      </w:r>
    </w:p>
    <w:p w:rsidR="00352094" w:rsidRPr="00BA7254" w:rsidRDefault="00352094" w:rsidP="008C25BB">
      <w:pPr>
        <w:pStyle w:val="ListParagraph"/>
        <w:numPr>
          <w:ilvl w:val="0"/>
          <w:numId w:val="109"/>
        </w:numPr>
        <w:ind w:left="1077" w:hanging="357"/>
        <w:contextualSpacing w:val="0"/>
        <w:jc w:val="both"/>
        <w:rPr>
          <w:rFonts w:eastAsia="Times New Roman" w:cs="Times New Roman"/>
          <w:szCs w:val="24"/>
          <w:lang w:eastAsia="lv-LV"/>
        </w:rPr>
      </w:pPr>
      <w:r w:rsidRPr="00BA7254">
        <w:rPr>
          <w:rFonts w:cs="Times New Roman"/>
          <w:bCs/>
          <w:szCs w:val="24"/>
        </w:rPr>
        <w:t>darba aizsardzības un ugunsdrošības preces;</w:t>
      </w:r>
    </w:p>
    <w:p w:rsidR="00352094" w:rsidRPr="00BA7254" w:rsidRDefault="00352094" w:rsidP="008C25BB">
      <w:pPr>
        <w:pStyle w:val="ListParagraph"/>
        <w:numPr>
          <w:ilvl w:val="0"/>
          <w:numId w:val="109"/>
        </w:numPr>
        <w:ind w:left="1077" w:hanging="357"/>
        <w:contextualSpacing w:val="0"/>
        <w:jc w:val="both"/>
        <w:rPr>
          <w:rFonts w:cs="Times New Roman"/>
          <w:szCs w:val="24"/>
        </w:rPr>
      </w:pPr>
      <w:r w:rsidRPr="00BA7254">
        <w:rPr>
          <w:rFonts w:cs="Times New Roman"/>
          <w:szCs w:val="24"/>
        </w:rPr>
        <w:t xml:space="preserve">darba apģērbi; </w:t>
      </w:r>
    </w:p>
    <w:p w:rsidR="00352094" w:rsidRPr="00BA7254" w:rsidRDefault="00352094" w:rsidP="008C25BB">
      <w:pPr>
        <w:pStyle w:val="ListParagraph"/>
        <w:numPr>
          <w:ilvl w:val="0"/>
          <w:numId w:val="109"/>
        </w:numPr>
        <w:ind w:left="1077" w:hanging="357"/>
        <w:contextualSpacing w:val="0"/>
        <w:jc w:val="both"/>
        <w:rPr>
          <w:rFonts w:cs="Times New Roman"/>
          <w:szCs w:val="24"/>
        </w:rPr>
      </w:pPr>
      <w:r w:rsidRPr="00BA7254">
        <w:rPr>
          <w:rFonts w:cs="Times New Roman"/>
          <w:szCs w:val="24"/>
        </w:rPr>
        <w:t>ekspluatācijas materiāli (eļļas biroja iekārtām u.c</w:t>
      </w:r>
      <w:r w:rsidR="00CE1C09">
        <w:rPr>
          <w:rFonts w:cs="Times New Roman"/>
          <w:szCs w:val="24"/>
        </w:rPr>
        <w:t>.</w:t>
      </w:r>
      <w:r w:rsidRPr="00BA7254">
        <w:rPr>
          <w:rFonts w:cs="Times New Roman"/>
          <w:szCs w:val="24"/>
        </w:rPr>
        <w:t>);</w:t>
      </w:r>
    </w:p>
    <w:p w:rsidR="00352094" w:rsidRPr="00BA7254" w:rsidRDefault="00352094" w:rsidP="008C25BB">
      <w:pPr>
        <w:pStyle w:val="ListParagraph"/>
        <w:numPr>
          <w:ilvl w:val="0"/>
          <w:numId w:val="109"/>
        </w:numPr>
        <w:ind w:left="1077" w:hanging="357"/>
        <w:contextualSpacing w:val="0"/>
        <w:jc w:val="both"/>
        <w:rPr>
          <w:rFonts w:cs="Times New Roman"/>
          <w:szCs w:val="24"/>
        </w:rPr>
      </w:pPr>
      <w:r w:rsidRPr="00BA7254">
        <w:rPr>
          <w:rFonts w:cs="Times New Roman"/>
          <w:szCs w:val="24"/>
        </w:rPr>
        <w:t xml:space="preserve">elektroinstrumenti; elektro un vājstrāvas materiāli, </w:t>
      </w:r>
    </w:p>
    <w:p w:rsidR="00352094" w:rsidRPr="00BA7254" w:rsidRDefault="00352094" w:rsidP="008C25BB">
      <w:pPr>
        <w:pStyle w:val="ListParagraph"/>
        <w:numPr>
          <w:ilvl w:val="0"/>
          <w:numId w:val="109"/>
        </w:numPr>
        <w:ind w:left="1077" w:hanging="357"/>
        <w:contextualSpacing w:val="0"/>
        <w:jc w:val="both"/>
        <w:rPr>
          <w:rFonts w:cs="Times New Roman"/>
          <w:szCs w:val="24"/>
        </w:rPr>
      </w:pPr>
      <w:r w:rsidRPr="00BA7254">
        <w:rPr>
          <w:rFonts w:cs="Times New Roman"/>
          <w:szCs w:val="24"/>
        </w:rPr>
        <w:t>elektropreces (kvalitatīvāku zīmolu precēm);</w:t>
      </w:r>
    </w:p>
    <w:p w:rsidR="00352094" w:rsidRPr="00BA7254" w:rsidRDefault="00352094" w:rsidP="008C25BB">
      <w:pPr>
        <w:pStyle w:val="ListParagraph"/>
        <w:numPr>
          <w:ilvl w:val="0"/>
          <w:numId w:val="109"/>
        </w:numPr>
        <w:ind w:left="1077" w:hanging="357"/>
        <w:contextualSpacing w:val="0"/>
        <w:jc w:val="both"/>
        <w:rPr>
          <w:rFonts w:cs="Times New Roman"/>
          <w:bCs/>
          <w:szCs w:val="24"/>
        </w:rPr>
      </w:pPr>
      <w:r w:rsidRPr="00BA7254">
        <w:rPr>
          <w:rFonts w:cs="Times New Roman"/>
          <w:szCs w:val="24"/>
        </w:rPr>
        <w:t>gaisa kondicionēšanas iekārtas;</w:t>
      </w:r>
    </w:p>
    <w:p w:rsidR="00352094" w:rsidRPr="00BA7254" w:rsidRDefault="00352094" w:rsidP="008C25BB">
      <w:pPr>
        <w:pStyle w:val="ListParagraph"/>
        <w:numPr>
          <w:ilvl w:val="0"/>
          <w:numId w:val="109"/>
        </w:numPr>
        <w:ind w:left="1077" w:hanging="357"/>
        <w:contextualSpacing w:val="0"/>
        <w:jc w:val="both"/>
        <w:rPr>
          <w:rFonts w:cs="Times New Roman"/>
          <w:szCs w:val="24"/>
        </w:rPr>
      </w:pPr>
      <w:r w:rsidRPr="00BA7254">
        <w:rPr>
          <w:rFonts w:cs="Times New Roman"/>
          <w:szCs w:val="24"/>
        </w:rPr>
        <w:t>logu žalūzijas;</w:t>
      </w:r>
    </w:p>
    <w:p w:rsidR="00352094" w:rsidRPr="00BA7254" w:rsidRDefault="00352094" w:rsidP="008C25BB">
      <w:pPr>
        <w:pStyle w:val="ListParagraph"/>
        <w:numPr>
          <w:ilvl w:val="0"/>
          <w:numId w:val="109"/>
        </w:numPr>
        <w:ind w:left="1077" w:hanging="357"/>
        <w:contextualSpacing w:val="0"/>
        <w:rPr>
          <w:rFonts w:cs="Times New Roman"/>
          <w:szCs w:val="24"/>
        </w:rPr>
      </w:pPr>
      <w:r w:rsidRPr="00BA7254">
        <w:rPr>
          <w:rFonts w:cs="Times New Roman"/>
          <w:szCs w:val="24"/>
        </w:rPr>
        <w:t>remonta materiāli;</w:t>
      </w:r>
    </w:p>
    <w:p w:rsidR="00352094" w:rsidRPr="006E2679" w:rsidRDefault="00352094" w:rsidP="008C25BB">
      <w:pPr>
        <w:pStyle w:val="ListParagraph"/>
        <w:numPr>
          <w:ilvl w:val="0"/>
          <w:numId w:val="109"/>
        </w:numPr>
        <w:ind w:left="1077" w:hanging="357"/>
        <w:contextualSpacing w:val="0"/>
        <w:jc w:val="both"/>
        <w:rPr>
          <w:rFonts w:cs="Times New Roman"/>
          <w:bCs/>
          <w:szCs w:val="24"/>
        </w:rPr>
      </w:pPr>
      <w:r w:rsidRPr="006E2679">
        <w:rPr>
          <w:rFonts w:cs="Times New Roman"/>
          <w:bCs/>
          <w:szCs w:val="24"/>
        </w:rPr>
        <w:t>telpu uzkopšanas preces (plašāks saimniecības preču klāsts);</w:t>
      </w:r>
    </w:p>
    <w:p w:rsidR="00352094" w:rsidRPr="006E2679" w:rsidRDefault="00352094" w:rsidP="008C25BB">
      <w:pPr>
        <w:pStyle w:val="ListParagraph"/>
        <w:numPr>
          <w:ilvl w:val="0"/>
          <w:numId w:val="106"/>
        </w:numPr>
        <w:spacing w:beforeLines="60" w:before="144"/>
        <w:ind w:left="714" w:hanging="357"/>
        <w:contextualSpacing w:val="0"/>
        <w:rPr>
          <w:rFonts w:eastAsia="Times New Roman" w:cs="Times New Roman"/>
          <w:szCs w:val="24"/>
          <w:lang w:eastAsia="lv-LV"/>
        </w:rPr>
      </w:pPr>
      <w:r w:rsidRPr="006E2679">
        <w:rPr>
          <w:rFonts w:eastAsia="Times New Roman" w:cs="Times New Roman"/>
          <w:szCs w:val="24"/>
          <w:lang w:eastAsia="lv-LV"/>
        </w:rPr>
        <w:t>Servertehnika:</w:t>
      </w:r>
    </w:p>
    <w:p w:rsidR="00352094" w:rsidRPr="006E2679" w:rsidRDefault="00352094" w:rsidP="008C25BB">
      <w:pPr>
        <w:pStyle w:val="ListParagraph"/>
        <w:numPr>
          <w:ilvl w:val="0"/>
          <w:numId w:val="107"/>
        </w:numPr>
        <w:ind w:left="1077" w:hanging="357"/>
        <w:contextualSpacing w:val="0"/>
        <w:jc w:val="both"/>
        <w:rPr>
          <w:rFonts w:cs="Times New Roman"/>
          <w:szCs w:val="24"/>
        </w:rPr>
      </w:pPr>
      <w:r w:rsidRPr="006E2679">
        <w:rPr>
          <w:rFonts w:cs="Times New Roman"/>
          <w:szCs w:val="24"/>
        </w:rPr>
        <w:t xml:space="preserve">atmiņas kartes (dažāda veida un izmēra); </w:t>
      </w:r>
    </w:p>
    <w:p w:rsidR="00352094" w:rsidRPr="006E2679" w:rsidRDefault="00352094" w:rsidP="008C25BB">
      <w:pPr>
        <w:pStyle w:val="ListParagraph"/>
        <w:numPr>
          <w:ilvl w:val="0"/>
          <w:numId w:val="107"/>
        </w:numPr>
        <w:ind w:left="1077" w:hanging="357"/>
        <w:contextualSpacing w:val="0"/>
        <w:jc w:val="both"/>
        <w:rPr>
          <w:rFonts w:cs="Times New Roman"/>
          <w:szCs w:val="24"/>
        </w:rPr>
      </w:pPr>
      <w:r w:rsidRPr="006E2679">
        <w:rPr>
          <w:rFonts w:cs="Times New Roman"/>
          <w:szCs w:val="24"/>
        </w:rPr>
        <w:t xml:space="preserve">datortehnikas piederumu sadaļa (datoru komponentes, tīkla produkti, rezerves daļas (operatīvā atmiņa, cietie diski, barošanas bloki u.tml.) un datoru perifērija); </w:t>
      </w:r>
    </w:p>
    <w:p w:rsidR="00352094" w:rsidRPr="006E2679" w:rsidRDefault="00352094" w:rsidP="008C25BB">
      <w:pPr>
        <w:pStyle w:val="ListParagraph"/>
        <w:numPr>
          <w:ilvl w:val="0"/>
          <w:numId w:val="107"/>
        </w:numPr>
        <w:ind w:left="1077" w:hanging="357"/>
        <w:contextualSpacing w:val="0"/>
        <w:jc w:val="both"/>
        <w:rPr>
          <w:rFonts w:cs="Times New Roman"/>
          <w:szCs w:val="24"/>
        </w:rPr>
      </w:pPr>
      <w:r w:rsidRPr="006E2679">
        <w:rPr>
          <w:rFonts w:cs="Times New Roman"/>
          <w:szCs w:val="24"/>
        </w:rPr>
        <w:t>IT preces (papildināt);</w:t>
      </w:r>
    </w:p>
    <w:p w:rsidR="00352094" w:rsidRPr="006E2679" w:rsidRDefault="00352094" w:rsidP="008C25BB">
      <w:pPr>
        <w:pStyle w:val="ListParagraph"/>
        <w:numPr>
          <w:ilvl w:val="0"/>
          <w:numId w:val="107"/>
        </w:numPr>
        <w:ind w:left="1077" w:hanging="357"/>
        <w:contextualSpacing w:val="0"/>
        <w:jc w:val="both"/>
        <w:rPr>
          <w:rFonts w:cs="Times New Roman"/>
          <w:szCs w:val="24"/>
        </w:rPr>
      </w:pPr>
      <w:r w:rsidRPr="006E2679">
        <w:rPr>
          <w:rFonts w:cs="Times New Roman"/>
          <w:szCs w:val="24"/>
        </w:rPr>
        <w:t>UPS akumulatori;</w:t>
      </w:r>
    </w:p>
    <w:p w:rsidR="00352094" w:rsidRPr="006E2679" w:rsidRDefault="00352094" w:rsidP="008C25BB">
      <w:pPr>
        <w:pStyle w:val="ListParagraph"/>
        <w:numPr>
          <w:ilvl w:val="0"/>
          <w:numId w:val="106"/>
        </w:numPr>
        <w:spacing w:beforeLines="60" w:before="144" w:afterLines="60" w:after="144"/>
        <w:ind w:left="714" w:hanging="357"/>
        <w:contextualSpacing w:val="0"/>
        <w:rPr>
          <w:rFonts w:eastAsia="Times New Roman" w:cs="Times New Roman"/>
          <w:szCs w:val="24"/>
          <w:lang w:eastAsia="lv-LV"/>
        </w:rPr>
      </w:pPr>
      <w:r w:rsidRPr="006E2679">
        <w:rPr>
          <w:rFonts w:eastAsia="Times New Roman" w:cs="Times New Roman"/>
          <w:szCs w:val="24"/>
          <w:lang w:eastAsia="lv-LV"/>
        </w:rPr>
        <w:t>Kancelejas preces (</w:t>
      </w:r>
      <w:r w:rsidRPr="006E2679">
        <w:rPr>
          <w:rFonts w:cs="Times New Roman"/>
          <w:szCs w:val="24"/>
        </w:rPr>
        <w:t xml:space="preserve">kases aparāta žurnāli, instruktāžu žurnāli, personāla kartītes); </w:t>
      </w:r>
    </w:p>
    <w:p w:rsidR="00352094" w:rsidRPr="006E2679" w:rsidRDefault="00352094" w:rsidP="008C25BB">
      <w:pPr>
        <w:pStyle w:val="ListParagraph"/>
        <w:numPr>
          <w:ilvl w:val="0"/>
          <w:numId w:val="106"/>
        </w:numPr>
        <w:ind w:left="714" w:hanging="357"/>
        <w:contextualSpacing w:val="0"/>
        <w:rPr>
          <w:rFonts w:eastAsia="Times New Roman" w:cs="Times New Roman"/>
          <w:szCs w:val="24"/>
          <w:lang w:eastAsia="lv-LV"/>
        </w:rPr>
      </w:pPr>
      <w:r w:rsidRPr="006E2679">
        <w:rPr>
          <w:rFonts w:eastAsia="Times New Roman" w:cs="Times New Roman"/>
          <w:szCs w:val="24"/>
          <w:lang w:eastAsia="lv-LV"/>
        </w:rPr>
        <w:t>Biroja, metāla, medicīnas mēbeles:</w:t>
      </w:r>
    </w:p>
    <w:p w:rsidR="00352094" w:rsidRPr="006E2679" w:rsidRDefault="00352094" w:rsidP="008C25BB">
      <w:pPr>
        <w:pStyle w:val="ListParagraph"/>
        <w:numPr>
          <w:ilvl w:val="0"/>
          <w:numId w:val="108"/>
        </w:numPr>
        <w:ind w:left="1077" w:hanging="357"/>
        <w:contextualSpacing w:val="0"/>
        <w:jc w:val="both"/>
        <w:rPr>
          <w:rFonts w:cs="Times New Roman"/>
          <w:szCs w:val="24"/>
        </w:rPr>
      </w:pPr>
      <w:r w:rsidRPr="006E2679">
        <w:rPr>
          <w:rFonts w:cs="Times New Roman"/>
          <w:szCs w:val="24"/>
        </w:rPr>
        <w:t>biroja mēbeļu atsevišķi elementi (piem</w:t>
      </w:r>
      <w:r w:rsidR="00CE1C09">
        <w:rPr>
          <w:rFonts w:cs="Times New Roman"/>
          <w:szCs w:val="24"/>
        </w:rPr>
        <w:t>ēram,</w:t>
      </w:r>
      <w:r w:rsidRPr="006E2679">
        <w:rPr>
          <w:rFonts w:cs="Times New Roman"/>
          <w:szCs w:val="24"/>
        </w:rPr>
        <w:t xml:space="preserve"> tastatūras paliktnis);  </w:t>
      </w:r>
    </w:p>
    <w:p w:rsidR="00352094" w:rsidRPr="006E2679" w:rsidRDefault="00352094" w:rsidP="008C25BB">
      <w:pPr>
        <w:pStyle w:val="ListParagraph"/>
        <w:numPr>
          <w:ilvl w:val="0"/>
          <w:numId w:val="108"/>
        </w:numPr>
        <w:ind w:left="1077" w:hanging="357"/>
        <w:contextualSpacing w:val="0"/>
        <w:jc w:val="both"/>
        <w:rPr>
          <w:rFonts w:cs="Times New Roman"/>
          <w:szCs w:val="24"/>
        </w:rPr>
      </w:pPr>
      <w:r w:rsidRPr="006E2679">
        <w:rPr>
          <w:rFonts w:cs="Times New Roman"/>
          <w:szCs w:val="24"/>
        </w:rPr>
        <w:t>mēbeles (vērtējot vislabākās cenas/kvalitātes attiecības);</w:t>
      </w:r>
    </w:p>
    <w:p w:rsidR="00352094" w:rsidRPr="009257C2" w:rsidRDefault="00352094" w:rsidP="008C25BB">
      <w:pPr>
        <w:pStyle w:val="ListParagraph"/>
        <w:numPr>
          <w:ilvl w:val="0"/>
          <w:numId w:val="117"/>
        </w:numPr>
        <w:spacing w:beforeLines="60" w:before="144" w:afterLines="60" w:after="144"/>
        <w:ind w:left="714" w:hanging="357"/>
        <w:contextualSpacing w:val="0"/>
        <w:jc w:val="both"/>
        <w:rPr>
          <w:rFonts w:cs="Times New Roman"/>
          <w:bCs/>
          <w:szCs w:val="24"/>
        </w:rPr>
      </w:pPr>
      <w:r w:rsidRPr="009257C2">
        <w:rPr>
          <w:rFonts w:eastAsia="Times New Roman" w:cs="Times New Roman"/>
          <w:szCs w:val="24"/>
          <w:lang w:eastAsia="lv-LV"/>
        </w:rPr>
        <w:t>Biroja tehnika (</w:t>
      </w:r>
      <w:r w:rsidRPr="009257C2">
        <w:rPr>
          <w:rFonts w:cs="Times New Roman"/>
          <w:bCs/>
          <w:szCs w:val="24"/>
        </w:rPr>
        <w:t>mobilie tālruņi, sadzīves tehnika);</w:t>
      </w:r>
    </w:p>
    <w:p w:rsidR="00352094" w:rsidRPr="006E2679" w:rsidRDefault="00352094" w:rsidP="008C25BB">
      <w:pPr>
        <w:pStyle w:val="ListParagraph"/>
        <w:numPr>
          <w:ilvl w:val="0"/>
          <w:numId w:val="106"/>
        </w:numPr>
        <w:ind w:left="714" w:hanging="357"/>
        <w:contextualSpacing w:val="0"/>
        <w:jc w:val="both"/>
        <w:rPr>
          <w:rFonts w:cs="Times New Roman"/>
          <w:szCs w:val="24"/>
        </w:rPr>
      </w:pPr>
      <w:r w:rsidRPr="006E2679">
        <w:rPr>
          <w:rFonts w:cs="Times New Roman"/>
          <w:szCs w:val="24"/>
        </w:rPr>
        <w:t>Noma:</w:t>
      </w:r>
    </w:p>
    <w:p w:rsidR="00352094" w:rsidRPr="006E2679" w:rsidRDefault="00352094" w:rsidP="008C25BB">
      <w:pPr>
        <w:pStyle w:val="ListParagraph"/>
        <w:numPr>
          <w:ilvl w:val="0"/>
          <w:numId w:val="110"/>
        </w:numPr>
        <w:ind w:left="1077" w:hanging="357"/>
        <w:contextualSpacing w:val="0"/>
        <w:jc w:val="both"/>
        <w:rPr>
          <w:rFonts w:cs="Times New Roman"/>
          <w:bCs/>
          <w:szCs w:val="24"/>
        </w:rPr>
      </w:pPr>
      <w:r w:rsidRPr="006E2679">
        <w:rPr>
          <w:rFonts w:cs="Times New Roman"/>
          <w:bCs/>
          <w:szCs w:val="24"/>
        </w:rPr>
        <w:lastRenderedPageBreak/>
        <w:t>dienesta auto noma;</w:t>
      </w:r>
    </w:p>
    <w:p w:rsidR="00352094" w:rsidRPr="006E2679" w:rsidRDefault="00352094" w:rsidP="008C25BB">
      <w:pPr>
        <w:pStyle w:val="ListParagraph"/>
        <w:numPr>
          <w:ilvl w:val="0"/>
          <w:numId w:val="110"/>
        </w:numPr>
        <w:ind w:left="1077" w:hanging="357"/>
        <w:contextualSpacing w:val="0"/>
        <w:jc w:val="both"/>
        <w:rPr>
          <w:rFonts w:cs="Times New Roman"/>
          <w:szCs w:val="24"/>
        </w:rPr>
      </w:pPr>
      <w:r w:rsidRPr="006E2679">
        <w:rPr>
          <w:rFonts w:cs="Times New Roman"/>
          <w:szCs w:val="24"/>
        </w:rPr>
        <w:t xml:space="preserve">dzeramā ūdens filtrēšanas iekārtu noma; </w:t>
      </w:r>
    </w:p>
    <w:p w:rsidR="00352094" w:rsidRPr="006E2679" w:rsidRDefault="00352094" w:rsidP="008C25BB">
      <w:pPr>
        <w:pStyle w:val="ListParagraph"/>
        <w:numPr>
          <w:ilvl w:val="0"/>
          <w:numId w:val="110"/>
        </w:numPr>
        <w:ind w:left="1077" w:hanging="357"/>
        <w:contextualSpacing w:val="0"/>
        <w:jc w:val="both"/>
        <w:rPr>
          <w:rFonts w:cs="Times New Roman"/>
          <w:bCs/>
          <w:szCs w:val="24"/>
        </w:rPr>
      </w:pPr>
      <w:r w:rsidRPr="006E2679">
        <w:rPr>
          <w:rFonts w:cs="Times New Roman"/>
          <w:szCs w:val="24"/>
        </w:rPr>
        <w:t xml:space="preserve">standarta programmatūras, piemēram, </w:t>
      </w:r>
      <w:r w:rsidRPr="00CE1C09">
        <w:rPr>
          <w:rFonts w:cs="Times New Roman"/>
          <w:i/>
          <w:szCs w:val="24"/>
        </w:rPr>
        <w:t>Microsoft</w:t>
      </w:r>
      <w:r w:rsidRPr="006E2679">
        <w:rPr>
          <w:rFonts w:cs="Times New Roman"/>
          <w:szCs w:val="24"/>
        </w:rPr>
        <w:t xml:space="preserve"> licenču noma datortehnikas noma, kā arī noma ar izpirkuma tiesībām;</w:t>
      </w:r>
    </w:p>
    <w:p w:rsidR="00352094" w:rsidRPr="006E2679" w:rsidRDefault="00352094" w:rsidP="008C25BB">
      <w:pPr>
        <w:pStyle w:val="ListParagraph"/>
        <w:numPr>
          <w:ilvl w:val="0"/>
          <w:numId w:val="106"/>
        </w:numPr>
        <w:spacing w:beforeLines="60" w:before="144"/>
        <w:ind w:left="714" w:hanging="357"/>
        <w:contextualSpacing w:val="0"/>
        <w:jc w:val="both"/>
        <w:rPr>
          <w:rFonts w:cs="Times New Roman"/>
          <w:szCs w:val="24"/>
        </w:rPr>
      </w:pPr>
      <w:r w:rsidRPr="006E2679">
        <w:rPr>
          <w:rFonts w:cs="Times New Roman"/>
          <w:szCs w:val="24"/>
        </w:rPr>
        <w:t>Pakalpojumi:</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apmācības kursi elektrodrošībā;</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apmācību pakalpojumi;</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 xml:space="preserve">apsardzes pakalpojumi; </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automobiļu apdrošināšanas polises;</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biroja tehnikas apkopes nodrošināšana;</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darba aizsardzības pakalpojumi (t.sk. darbinieku apmācība);</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 xml:space="preserve">datortehnikas remonta pakalpojumi; </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 xml:space="preserve">interneta pakalpojumu nodrošināšana; </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IT pakalpojumi (papildināt);</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 xml:space="preserve">kondicionieru apkopes nodrošināšana; </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mobilo sakaru pakalpojumi;</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obligātās veselības pārbaudes pakalpojumi;</w:t>
      </w:r>
    </w:p>
    <w:p w:rsidR="00352094" w:rsidRPr="006E2679" w:rsidRDefault="00352094" w:rsidP="008C25BB">
      <w:pPr>
        <w:pStyle w:val="ListParagraph"/>
        <w:numPr>
          <w:ilvl w:val="0"/>
          <w:numId w:val="112"/>
        </w:numPr>
        <w:ind w:left="1077" w:hanging="357"/>
        <w:contextualSpacing w:val="0"/>
        <w:jc w:val="both"/>
        <w:rPr>
          <w:rFonts w:cs="Times New Roman"/>
          <w:bCs/>
          <w:szCs w:val="24"/>
        </w:rPr>
      </w:pPr>
      <w:r w:rsidRPr="006E2679">
        <w:rPr>
          <w:rFonts w:cs="Times New Roman"/>
          <w:szCs w:val="24"/>
        </w:rPr>
        <w:t>pakalpojumi saistībā ar mācību, darba un dienesta komandējumiem, darba braucieniem, t.sk.</w:t>
      </w:r>
      <w:r w:rsidRPr="006E2679">
        <w:rPr>
          <w:rFonts w:cs="Times New Roman"/>
          <w:bCs/>
          <w:szCs w:val="24"/>
        </w:rPr>
        <w:t xml:space="preserve"> ceļojumu apdrošināšana;</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sakaru pakalpojumi;</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szCs w:val="24"/>
        </w:rPr>
        <w:t>sīkie telpu remonti, logu mazgāšana;</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taksometru pakalpojumi;</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tehniskās apsardzes (signalizācijas) pakalpojumi;</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tehniskās un ugunsdrošības apsardze;</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telpu uzkopšanas pakalpojumi;</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transporta pakalpojumi neregulāriem pasažieru pārvadājumiem;</w:t>
      </w:r>
    </w:p>
    <w:p w:rsidR="00352094" w:rsidRPr="006E2679" w:rsidRDefault="00352094" w:rsidP="008C25BB">
      <w:pPr>
        <w:pStyle w:val="ListParagraph"/>
        <w:numPr>
          <w:ilvl w:val="0"/>
          <w:numId w:val="112"/>
        </w:numPr>
        <w:ind w:left="1077" w:hanging="357"/>
        <w:contextualSpacing w:val="0"/>
        <w:jc w:val="both"/>
        <w:rPr>
          <w:rFonts w:cs="Times New Roman"/>
          <w:bCs/>
          <w:szCs w:val="24"/>
        </w:rPr>
      </w:pPr>
      <w:r w:rsidRPr="006E2679">
        <w:rPr>
          <w:rFonts w:cs="Times New Roman"/>
          <w:szCs w:val="24"/>
        </w:rPr>
        <w:t>transportlīdzekļu remonti;</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 xml:space="preserve">tulkošanas pakalpojumi; </w:t>
      </w:r>
    </w:p>
    <w:p w:rsidR="00352094" w:rsidRPr="006E2679" w:rsidRDefault="00352094" w:rsidP="008C25BB">
      <w:pPr>
        <w:pStyle w:val="ListParagraph"/>
        <w:numPr>
          <w:ilvl w:val="0"/>
          <w:numId w:val="111"/>
        </w:numPr>
        <w:ind w:left="1077" w:hanging="357"/>
        <w:contextualSpacing w:val="0"/>
        <w:jc w:val="both"/>
        <w:rPr>
          <w:rFonts w:cs="Times New Roman"/>
          <w:szCs w:val="24"/>
        </w:rPr>
      </w:pPr>
      <w:r w:rsidRPr="006E2679">
        <w:rPr>
          <w:rFonts w:cs="Times New Roman"/>
          <w:szCs w:val="24"/>
        </w:rPr>
        <w:t>vispārējs VIS uzturēšanas pakalpojums;</w:t>
      </w:r>
    </w:p>
    <w:p w:rsidR="00352094" w:rsidRPr="006E2679" w:rsidRDefault="00352094" w:rsidP="008C25BB">
      <w:pPr>
        <w:pStyle w:val="ListParagraph"/>
        <w:numPr>
          <w:ilvl w:val="0"/>
          <w:numId w:val="111"/>
        </w:numPr>
        <w:ind w:left="1077" w:hanging="357"/>
        <w:contextualSpacing w:val="0"/>
        <w:jc w:val="both"/>
        <w:rPr>
          <w:rFonts w:cs="Times New Roman"/>
          <w:bCs/>
          <w:szCs w:val="24"/>
        </w:rPr>
      </w:pPr>
      <w:r w:rsidRPr="006E2679">
        <w:rPr>
          <w:rFonts w:cs="Times New Roman"/>
          <w:bCs/>
          <w:szCs w:val="24"/>
        </w:rPr>
        <w:t>ziņu aģentūru pakalpojumi (īpaši LETA);</w:t>
      </w:r>
    </w:p>
    <w:p w:rsidR="00352094" w:rsidRPr="006E2679" w:rsidRDefault="00352094" w:rsidP="008C25BB">
      <w:pPr>
        <w:pStyle w:val="ListParagraph"/>
        <w:numPr>
          <w:ilvl w:val="0"/>
          <w:numId w:val="106"/>
        </w:numPr>
        <w:spacing w:beforeLines="60" w:before="144"/>
        <w:ind w:left="714" w:hanging="357"/>
        <w:contextualSpacing w:val="0"/>
        <w:jc w:val="both"/>
        <w:rPr>
          <w:rFonts w:cs="Times New Roman"/>
          <w:szCs w:val="24"/>
        </w:rPr>
      </w:pPr>
      <w:r w:rsidRPr="006E2679">
        <w:rPr>
          <w:rFonts w:cs="Times New Roman"/>
          <w:szCs w:val="24"/>
        </w:rPr>
        <w:t>Citi:</w:t>
      </w:r>
    </w:p>
    <w:p w:rsidR="00352094" w:rsidRPr="006E2679" w:rsidRDefault="00352094" w:rsidP="008C25BB">
      <w:pPr>
        <w:pStyle w:val="ListParagraph"/>
        <w:numPr>
          <w:ilvl w:val="0"/>
          <w:numId w:val="112"/>
        </w:numPr>
        <w:contextualSpacing w:val="0"/>
        <w:jc w:val="both"/>
        <w:rPr>
          <w:rFonts w:cs="Times New Roman"/>
          <w:szCs w:val="24"/>
        </w:rPr>
      </w:pPr>
      <w:r w:rsidRPr="006E2679">
        <w:rPr>
          <w:rFonts w:cs="Times New Roman"/>
          <w:szCs w:val="24"/>
        </w:rPr>
        <w:t>autotransports un autotransporta piederumi (piem</w:t>
      </w:r>
      <w:r w:rsidR="00CE1C09">
        <w:rPr>
          <w:rFonts w:cs="Times New Roman"/>
          <w:szCs w:val="24"/>
        </w:rPr>
        <w:t>ēram,</w:t>
      </w:r>
      <w:r w:rsidRPr="006E2679">
        <w:rPr>
          <w:rFonts w:cs="Times New Roman"/>
          <w:szCs w:val="24"/>
        </w:rPr>
        <w:t xml:space="preserve"> riepas, diski), transportlīdzekļu apkopes un remontdarbu materiāli, iekārtas un aizvietotājierīces;</w:t>
      </w:r>
    </w:p>
    <w:p w:rsidR="00352094" w:rsidRPr="006E2679" w:rsidRDefault="00352094" w:rsidP="008C25BB">
      <w:pPr>
        <w:pStyle w:val="ListParagraph"/>
        <w:numPr>
          <w:ilvl w:val="0"/>
          <w:numId w:val="112"/>
        </w:numPr>
        <w:contextualSpacing w:val="0"/>
        <w:jc w:val="both"/>
        <w:rPr>
          <w:rFonts w:cs="Times New Roman"/>
          <w:szCs w:val="24"/>
        </w:rPr>
      </w:pPr>
      <w:r w:rsidRPr="006E2679">
        <w:rPr>
          <w:rFonts w:cs="Times New Roman"/>
          <w:szCs w:val="24"/>
        </w:rPr>
        <w:t>degvielas iegāde;</w:t>
      </w:r>
    </w:p>
    <w:p w:rsidR="00352094" w:rsidRPr="006E2679" w:rsidRDefault="00352094" w:rsidP="008C25BB">
      <w:pPr>
        <w:pStyle w:val="ListParagraph"/>
        <w:numPr>
          <w:ilvl w:val="0"/>
          <w:numId w:val="112"/>
        </w:numPr>
        <w:contextualSpacing w:val="0"/>
        <w:jc w:val="both"/>
        <w:rPr>
          <w:rFonts w:cs="Times New Roman"/>
          <w:bCs/>
          <w:szCs w:val="24"/>
        </w:rPr>
      </w:pPr>
      <w:r w:rsidRPr="006E2679">
        <w:rPr>
          <w:rFonts w:cs="Times New Roman"/>
          <w:bCs/>
          <w:szCs w:val="24"/>
        </w:rPr>
        <w:t>elektroenerģija;</w:t>
      </w:r>
    </w:p>
    <w:p w:rsidR="00352094" w:rsidRPr="006E2679" w:rsidRDefault="00352094" w:rsidP="008C25BB">
      <w:pPr>
        <w:pStyle w:val="ListParagraph"/>
        <w:numPr>
          <w:ilvl w:val="0"/>
          <w:numId w:val="112"/>
        </w:numPr>
        <w:contextualSpacing w:val="0"/>
        <w:jc w:val="both"/>
        <w:rPr>
          <w:rFonts w:cs="Times New Roman"/>
          <w:szCs w:val="24"/>
        </w:rPr>
      </w:pPr>
      <w:r w:rsidRPr="006E2679">
        <w:rPr>
          <w:rFonts w:cs="Times New Roman"/>
          <w:szCs w:val="24"/>
        </w:rPr>
        <w:t>gāzes saimniecība;</w:t>
      </w:r>
    </w:p>
    <w:p w:rsidR="00352094" w:rsidRPr="006E2679" w:rsidRDefault="00352094" w:rsidP="008C25BB">
      <w:pPr>
        <w:pStyle w:val="ListParagraph"/>
        <w:numPr>
          <w:ilvl w:val="0"/>
          <w:numId w:val="112"/>
        </w:numPr>
        <w:contextualSpacing w:val="0"/>
        <w:jc w:val="both"/>
        <w:rPr>
          <w:rFonts w:cs="Times New Roman"/>
          <w:szCs w:val="24"/>
        </w:rPr>
      </w:pPr>
      <w:r w:rsidRPr="006E2679">
        <w:rPr>
          <w:rFonts w:cs="Times New Roman"/>
          <w:szCs w:val="24"/>
        </w:rPr>
        <w:t xml:space="preserve">juridiskā literatūra; </w:t>
      </w:r>
    </w:p>
    <w:p w:rsidR="00352094" w:rsidRPr="006E2679" w:rsidRDefault="00352094" w:rsidP="008C25BB">
      <w:pPr>
        <w:pStyle w:val="ListParagraph"/>
        <w:numPr>
          <w:ilvl w:val="0"/>
          <w:numId w:val="112"/>
        </w:numPr>
        <w:contextualSpacing w:val="0"/>
        <w:jc w:val="both"/>
        <w:rPr>
          <w:rFonts w:cs="Times New Roman"/>
          <w:bCs/>
          <w:szCs w:val="24"/>
        </w:rPr>
      </w:pPr>
      <w:r w:rsidRPr="006E2679">
        <w:rPr>
          <w:rFonts w:cs="Times New Roman"/>
          <w:szCs w:val="24"/>
        </w:rPr>
        <w:t>preces saistībā ar mācību, darba un dienesta komandējumiem, darba braucieniem;</w:t>
      </w:r>
    </w:p>
    <w:p w:rsidR="00352094" w:rsidRPr="006E2679" w:rsidRDefault="00352094" w:rsidP="008C25BB">
      <w:pPr>
        <w:pStyle w:val="ListParagraph"/>
        <w:numPr>
          <w:ilvl w:val="0"/>
          <w:numId w:val="112"/>
        </w:numPr>
        <w:contextualSpacing w:val="0"/>
        <w:jc w:val="both"/>
        <w:rPr>
          <w:rFonts w:cs="Times New Roman"/>
          <w:szCs w:val="24"/>
        </w:rPr>
      </w:pPr>
      <w:r w:rsidRPr="006E2679">
        <w:rPr>
          <w:rFonts w:cs="Times New Roman"/>
          <w:szCs w:val="24"/>
        </w:rPr>
        <w:t>radiosakaru sistēmas gala iekārtas un to aksesuāri (rācijas, to akumulatori, garnitūras u.tml.);</w:t>
      </w:r>
    </w:p>
    <w:p w:rsidR="00352094" w:rsidRPr="006E2679" w:rsidRDefault="00352094" w:rsidP="008C25BB">
      <w:pPr>
        <w:pStyle w:val="ListParagraph"/>
        <w:numPr>
          <w:ilvl w:val="0"/>
          <w:numId w:val="112"/>
        </w:numPr>
        <w:ind w:left="1077" w:hanging="357"/>
        <w:contextualSpacing w:val="0"/>
        <w:jc w:val="both"/>
        <w:rPr>
          <w:rFonts w:cs="Times New Roman"/>
          <w:szCs w:val="24"/>
        </w:rPr>
      </w:pPr>
      <w:r w:rsidRPr="006E2679">
        <w:rPr>
          <w:rFonts w:cs="Times New Roman"/>
          <w:szCs w:val="24"/>
        </w:rPr>
        <w:t>videonovērošanas preces (videokameras, sensori, ieraksta iekārtas, u.tml.).</w:t>
      </w:r>
    </w:p>
    <w:p w:rsidR="00352094" w:rsidRDefault="00352094" w:rsidP="007753D0">
      <w:pPr>
        <w:spacing w:before="120" w:after="120"/>
        <w:ind w:firstLine="720"/>
        <w:jc w:val="both"/>
        <w:rPr>
          <w:rFonts w:eastAsia="Calibri" w:cs="Times New Roman"/>
          <w:szCs w:val="24"/>
        </w:rPr>
      </w:pPr>
      <w:r>
        <w:rPr>
          <w:bCs/>
          <w:szCs w:val="24"/>
        </w:rPr>
        <w:t xml:space="preserve">Ministrijas </w:t>
      </w:r>
      <w:r w:rsidRPr="00565781">
        <w:rPr>
          <w:bCs/>
          <w:szCs w:val="24"/>
        </w:rPr>
        <w:t>uzskata, ka EIS ir n</w:t>
      </w:r>
      <w:r w:rsidRPr="00565781">
        <w:rPr>
          <w:rFonts w:cs="Times New Roman"/>
          <w:bCs/>
          <w:szCs w:val="24"/>
        </w:rPr>
        <w:t>epieciešami funkcionāli uzlabojumi</w:t>
      </w:r>
      <w:r w:rsidRPr="00565781">
        <w:rPr>
          <w:rFonts w:cs="Times New Roman"/>
          <w:szCs w:val="24"/>
        </w:rPr>
        <w:t xml:space="preserve">, lai būtu iespēja izveidot grozu no dažādiem katalogiem, un ierosina pārskatīt preču izvēles/atlases kārtību un iespēju detalizētāk izstrādāt </w:t>
      </w:r>
      <w:r w:rsidRPr="00565781">
        <w:rPr>
          <w:rFonts w:cs="Times New Roman"/>
          <w:bCs/>
          <w:szCs w:val="24"/>
        </w:rPr>
        <w:t>esošo katalogu tehniskās specifikācijas</w:t>
      </w:r>
      <w:r w:rsidRPr="00565781">
        <w:rPr>
          <w:rFonts w:cs="Times New Roman"/>
          <w:szCs w:val="24"/>
        </w:rPr>
        <w:t>, lai rezultātā saņemtu kvalitatīvu preci.</w:t>
      </w:r>
    </w:p>
    <w:p w:rsidR="00352094" w:rsidRPr="0028318C" w:rsidRDefault="00352094" w:rsidP="00352094">
      <w:pPr>
        <w:spacing w:after="120"/>
        <w:ind w:firstLine="720"/>
        <w:jc w:val="both"/>
        <w:rPr>
          <w:rFonts w:cs="Times New Roman"/>
          <w:b/>
          <w:bCs/>
          <w:szCs w:val="24"/>
        </w:rPr>
      </w:pPr>
      <w:r w:rsidRPr="0028318C">
        <w:rPr>
          <w:rFonts w:cs="Times New Roman"/>
          <w:b/>
          <w:szCs w:val="24"/>
        </w:rPr>
        <w:t>Ministrijas, izvērtējot</w:t>
      </w:r>
      <w:r w:rsidRPr="0028318C">
        <w:rPr>
          <w:rFonts w:cs="Times New Roman"/>
          <w:b/>
          <w:bCs/>
          <w:szCs w:val="24"/>
        </w:rPr>
        <w:t xml:space="preserve"> iespēju EIS iekļaut ar mācību, darba un dienesta komandējumiem, darba braucieniem saistītās preces un pakalpojumus, izteica savu viedokli:</w:t>
      </w:r>
    </w:p>
    <w:p w:rsidR="00352094" w:rsidRPr="00C80940" w:rsidRDefault="00352094" w:rsidP="008C25BB">
      <w:pPr>
        <w:pStyle w:val="ListParagraph"/>
        <w:numPr>
          <w:ilvl w:val="0"/>
          <w:numId w:val="106"/>
        </w:numPr>
        <w:spacing w:after="120"/>
        <w:contextualSpacing w:val="0"/>
        <w:jc w:val="both"/>
        <w:rPr>
          <w:szCs w:val="24"/>
        </w:rPr>
      </w:pPr>
      <w:r w:rsidRPr="00C80940">
        <w:rPr>
          <w:szCs w:val="24"/>
        </w:rPr>
        <w:lastRenderedPageBreak/>
        <w:t xml:space="preserve">ministrijas uzskata, ka </w:t>
      </w:r>
      <w:r w:rsidRPr="00C80940">
        <w:rPr>
          <w:rFonts w:cs="Times New Roman"/>
          <w:bCs/>
          <w:szCs w:val="24"/>
        </w:rPr>
        <w:t>ar mācību, darba un dienesta komandējumiem, darba braucieniem saistītās preču un pakalpojumu</w:t>
      </w:r>
      <w:r w:rsidRPr="00C80940">
        <w:rPr>
          <w:szCs w:val="24"/>
        </w:rPr>
        <w:t xml:space="preserve"> iepirkšana EIS varētu būt efektīva un lietderīga, ja tiek iestrādāta funkcionalitāte, kas atļautu </w:t>
      </w:r>
      <w:r w:rsidRPr="00C80940">
        <w:rPr>
          <w:bCs/>
          <w:szCs w:val="24"/>
        </w:rPr>
        <w:t xml:space="preserve">atlasīt pirkuma grozu </w:t>
      </w:r>
      <w:r w:rsidRPr="00C80940">
        <w:rPr>
          <w:szCs w:val="24"/>
        </w:rPr>
        <w:t xml:space="preserve">ne tikai pēc zemākās cenas, bet arī </w:t>
      </w:r>
      <w:r w:rsidRPr="00C80940">
        <w:rPr>
          <w:bCs/>
          <w:szCs w:val="24"/>
        </w:rPr>
        <w:t>pēc saimnieciskā izdevīguma:</w:t>
      </w:r>
    </w:p>
    <w:p w:rsidR="00352094" w:rsidRPr="009A6E69" w:rsidRDefault="00352094" w:rsidP="008C25BB">
      <w:pPr>
        <w:pStyle w:val="ListParagraph"/>
        <w:numPr>
          <w:ilvl w:val="0"/>
          <w:numId w:val="119"/>
        </w:numPr>
        <w:spacing w:after="120"/>
        <w:contextualSpacing w:val="0"/>
        <w:jc w:val="both"/>
        <w:rPr>
          <w:rFonts w:cs="Times New Roman"/>
          <w:szCs w:val="24"/>
        </w:rPr>
      </w:pPr>
      <w:r w:rsidRPr="009A6E69">
        <w:rPr>
          <w:rFonts w:cs="Times New Roman"/>
          <w:szCs w:val="24"/>
        </w:rPr>
        <w:t>mācību iepirkumi, izvēloties specifiskus mācību spēkus (ar reputāciju, pieredzi, sertifikātiem), var izmaksāt dārgāk</w:t>
      </w:r>
      <w:r w:rsidRPr="009A6E69">
        <w:rPr>
          <w:szCs w:val="24"/>
        </w:rPr>
        <w:t>;</w:t>
      </w:r>
      <w:r w:rsidRPr="009A6E69">
        <w:rPr>
          <w:rFonts w:cs="Times New Roman"/>
          <w:szCs w:val="24"/>
        </w:rPr>
        <w:t xml:space="preserve"> </w:t>
      </w:r>
    </w:p>
    <w:p w:rsidR="00352094" w:rsidRPr="009A6E69" w:rsidRDefault="00352094" w:rsidP="008C25BB">
      <w:pPr>
        <w:pStyle w:val="ListParagraph"/>
        <w:numPr>
          <w:ilvl w:val="0"/>
          <w:numId w:val="119"/>
        </w:numPr>
        <w:spacing w:after="120"/>
        <w:contextualSpacing w:val="0"/>
        <w:jc w:val="both"/>
        <w:rPr>
          <w:rFonts w:cs="Times New Roman"/>
          <w:szCs w:val="24"/>
        </w:rPr>
      </w:pPr>
      <w:r w:rsidRPr="009A6E69">
        <w:rPr>
          <w:rFonts w:cs="Times New Roman"/>
          <w:szCs w:val="24"/>
        </w:rPr>
        <w:t>komandējumu iepirkumos svarīgi iestrādāt iepirkuma groza izvēli pēc saimnieciskā izdevīguma, kas var būt specifisks konkrētajam pasūtītājam</w:t>
      </w:r>
      <w:r w:rsidRPr="009A6E69">
        <w:rPr>
          <w:szCs w:val="24"/>
        </w:rPr>
        <w:t>.</w:t>
      </w:r>
    </w:p>
    <w:p w:rsidR="00352094" w:rsidRPr="00BC4745" w:rsidRDefault="00352094" w:rsidP="008C25BB">
      <w:pPr>
        <w:pStyle w:val="ListParagraph"/>
        <w:numPr>
          <w:ilvl w:val="0"/>
          <w:numId w:val="106"/>
        </w:numPr>
        <w:spacing w:after="120"/>
        <w:contextualSpacing w:val="0"/>
        <w:jc w:val="both"/>
        <w:rPr>
          <w:szCs w:val="24"/>
        </w:rPr>
      </w:pPr>
      <w:r>
        <w:rPr>
          <w:szCs w:val="24"/>
        </w:rPr>
        <w:t>v</w:t>
      </w:r>
      <w:r w:rsidRPr="00BC4745">
        <w:rPr>
          <w:szCs w:val="24"/>
        </w:rPr>
        <w:t xml:space="preserve">eicot citu pakalpojumu iepirkumus - </w:t>
      </w:r>
      <w:r w:rsidRPr="00BC4745">
        <w:rPr>
          <w:bCs/>
          <w:szCs w:val="24"/>
        </w:rPr>
        <w:t xml:space="preserve">piedāvātās kopējās līgumcenas un stundu likmes par precīzi nodefinēta pakalpojuma izpildi ir zemākas nekā EIS </w:t>
      </w:r>
      <w:r w:rsidRPr="00BC4745">
        <w:rPr>
          <w:szCs w:val="24"/>
        </w:rPr>
        <w:t>piedāvātās stundu likmes par attiecīgu vispārīgo konsultāciju pakalpojumu:</w:t>
      </w:r>
    </w:p>
    <w:p w:rsidR="00352094" w:rsidRPr="009A6E69" w:rsidRDefault="00352094" w:rsidP="008C25BB">
      <w:pPr>
        <w:pStyle w:val="ListParagraph"/>
        <w:numPr>
          <w:ilvl w:val="0"/>
          <w:numId w:val="120"/>
        </w:numPr>
        <w:spacing w:after="120"/>
        <w:contextualSpacing w:val="0"/>
        <w:jc w:val="both"/>
        <w:rPr>
          <w:rFonts w:cs="Times New Roman"/>
          <w:szCs w:val="24"/>
        </w:rPr>
      </w:pPr>
      <w:r w:rsidRPr="009A6E69">
        <w:rPr>
          <w:rFonts w:cs="Times New Roman"/>
          <w:szCs w:val="24"/>
        </w:rPr>
        <w:t>EIS pieejamais atlaižu diapazons 1-3% no pasūtījuma summas, pat pērkot kopā resora ietvaros, ir nebūtisks; nav noteikti finansiālie un līgumiskie ieguvumi no preču/pakalpojumu kopīgas pirkšanas</w:t>
      </w:r>
      <w:r w:rsidRPr="009A6E69">
        <w:rPr>
          <w:szCs w:val="24"/>
        </w:rPr>
        <w:t>;</w:t>
      </w:r>
    </w:p>
    <w:p w:rsidR="00352094" w:rsidRPr="009A6E69" w:rsidRDefault="00352094" w:rsidP="008C25BB">
      <w:pPr>
        <w:pStyle w:val="ListParagraph"/>
        <w:numPr>
          <w:ilvl w:val="0"/>
          <w:numId w:val="120"/>
        </w:numPr>
        <w:spacing w:after="120"/>
        <w:contextualSpacing w:val="0"/>
        <w:jc w:val="both"/>
        <w:rPr>
          <w:szCs w:val="24"/>
        </w:rPr>
      </w:pPr>
      <w:r w:rsidRPr="009A6E69">
        <w:rPr>
          <w:rFonts w:cs="Times New Roman"/>
          <w:szCs w:val="24"/>
        </w:rPr>
        <w:t xml:space="preserve">EIS piedāvā iegādes pēc zemākās cenas piedāvājuma, nevērtējot preces vai pakalpojumu aprites cikla ilgumu un izmaksas, kā arī </w:t>
      </w:r>
      <w:r w:rsidRPr="009A6E69">
        <w:rPr>
          <w:rFonts w:cs="Times New Roman"/>
          <w:bCs/>
          <w:szCs w:val="24"/>
        </w:rPr>
        <w:t>nevērtē kvalitātes kritērijus</w:t>
      </w:r>
      <w:r w:rsidRPr="009A6E69">
        <w:rPr>
          <w:bCs/>
          <w:szCs w:val="24"/>
        </w:rPr>
        <w:t>.</w:t>
      </w:r>
    </w:p>
    <w:p w:rsidR="00352094" w:rsidRPr="0044222E" w:rsidRDefault="00352094" w:rsidP="008C25BB">
      <w:pPr>
        <w:pStyle w:val="ListParagraph"/>
        <w:numPr>
          <w:ilvl w:val="0"/>
          <w:numId w:val="106"/>
        </w:numPr>
        <w:spacing w:after="120"/>
        <w:contextualSpacing w:val="0"/>
        <w:jc w:val="both"/>
        <w:rPr>
          <w:szCs w:val="24"/>
        </w:rPr>
      </w:pPr>
      <w:r>
        <w:rPr>
          <w:rFonts w:cs="Times New Roman"/>
          <w:iCs/>
          <w:szCs w:val="24"/>
        </w:rPr>
        <w:t>v</w:t>
      </w:r>
      <w:r w:rsidRPr="00BC4745">
        <w:rPr>
          <w:rFonts w:cs="Times New Roman"/>
          <w:iCs/>
          <w:szCs w:val="24"/>
        </w:rPr>
        <w:t>airākas ministrijas norāda, ka Publisko iepirkumu likumā</w:t>
      </w:r>
      <w:r w:rsidRPr="00BC4745">
        <w:rPr>
          <w:rFonts w:cs="Times New Roman"/>
          <w:szCs w:val="24"/>
        </w:rPr>
        <w:t xml:space="preserve"> noteiktais regulējums pieļauj slēgt līgumus (kopē</w:t>
      </w:r>
      <w:r>
        <w:rPr>
          <w:rFonts w:cs="Times New Roman"/>
          <w:szCs w:val="24"/>
        </w:rPr>
        <w:t>jai līgumcenai nepārsniedzot 135</w:t>
      </w:r>
      <w:r w:rsidRPr="00BC4745">
        <w:rPr>
          <w:rFonts w:cs="Times New Roman"/>
          <w:szCs w:val="24"/>
        </w:rPr>
        <w:t xml:space="preserve"> </w:t>
      </w:r>
      <w:r>
        <w:rPr>
          <w:rFonts w:cs="Times New Roman"/>
          <w:szCs w:val="24"/>
        </w:rPr>
        <w:t>000</w:t>
      </w:r>
      <w:r w:rsidRPr="00BC4745">
        <w:rPr>
          <w:rFonts w:cs="Times New Roman"/>
          <w:szCs w:val="24"/>
        </w:rPr>
        <w:t xml:space="preserve"> </w:t>
      </w:r>
      <w:r w:rsidRPr="00BC4745">
        <w:rPr>
          <w:rFonts w:cs="Times New Roman"/>
          <w:i/>
          <w:iCs/>
          <w:szCs w:val="24"/>
        </w:rPr>
        <w:t>euro</w:t>
      </w:r>
      <w:r w:rsidRPr="00BC4745">
        <w:rPr>
          <w:rFonts w:cs="Times New Roman"/>
          <w:szCs w:val="24"/>
        </w:rPr>
        <w:t xml:space="preserve">) kvalitatīvu un savām vajadzībām atbilstošu </w:t>
      </w:r>
      <w:r w:rsidRPr="00BC4745">
        <w:rPr>
          <w:rFonts w:cs="Times New Roman"/>
          <w:bCs/>
          <w:szCs w:val="24"/>
        </w:rPr>
        <w:t>mācību, darba un dienesta komandējumiem, darba braucieniem saistīto preču un pakalpojumu pirkumu iegādei</w:t>
      </w:r>
      <w:r w:rsidRPr="00BC4745">
        <w:rPr>
          <w:rFonts w:cs="Times New Roman"/>
          <w:szCs w:val="24"/>
        </w:rPr>
        <w:t xml:space="preserve"> par samērojamu cenu, līdz ar to </w:t>
      </w:r>
      <w:r w:rsidRPr="00BC4745">
        <w:rPr>
          <w:rFonts w:cs="Times New Roman"/>
          <w:bCs/>
          <w:szCs w:val="24"/>
        </w:rPr>
        <w:t>i</w:t>
      </w:r>
      <w:r>
        <w:rPr>
          <w:rFonts w:cs="Times New Roman"/>
          <w:bCs/>
          <w:szCs w:val="24"/>
        </w:rPr>
        <w:t>ekļaušana EIS nebūtu lietderīga;</w:t>
      </w:r>
    </w:p>
    <w:p w:rsidR="00352094" w:rsidRPr="0044222E" w:rsidRDefault="00352094" w:rsidP="008C25BB">
      <w:pPr>
        <w:pStyle w:val="ListParagraph"/>
        <w:numPr>
          <w:ilvl w:val="0"/>
          <w:numId w:val="106"/>
        </w:numPr>
        <w:spacing w:after="120"/>
        <w:contextualSpacing w:val="0"/>
        <w:jc w:val="both"/>
        <w:rPr>
          <w:rFonts w:cs="Times New Roman"/>
          <w:szCs w:val="24"/>
        </w:rPr>
      </w:pPr>
      <w:r w:rsidRPr="0044222E">
        <w:rPr>
          <w:rFonts w:cs="Times New Roman"/>
          <w:szCs w:val="24"/>
        </w:rPr>
        <w:t xml:space="preserve">atsevišķas ministrijas organizē centralizētus iepirkumus savu iestāžu vajadzībām par ārvalstu komandējumu organizēšanas pakalpojumiem uz vairākiem gadiem, rezultātā noslēdzot līgumu ar ļoti izdevīgiem nosacījumiem (iepirkumā visi pretendenti (tūrisma firmas) iesniedza piedāvājumus ar 0 </w:t>
      </w:r>
      <w:r w:rsidRPr="0044222E">
        <w:rPr>
          <w:rFonts w:cs="Times New Roman"/>
          <w:i/>
          <w:iCs/>
          <w:szCs w:val="24"/>
        </w:rPr>
        <w:t>euro</w:t>
      </w:r>
      <w:r w:rsidRPr="0044222E">
        <w:rPr>
          <w:rFonts w:cs="Times New Roman"/>
          <w:szCs w:val="24"/>
        </w:rPr>
        <w:t xml:space="preserve"> starpniecības maksu pakalpojuma nodrošināšanai</w:t>
      </w:r>
      <w:r>
        <w:rPr>
          <w:rFonts w:cs="Times New Roman"/>
          <w:szCs w:val="24"/>
        </w:rPr>
        <w:t>)</w:t>
      </w:r>
      <w:r w:rsidRPr="0044222E">
        <w:rPr>
          <w:rFonts w:cs="Times New Roman"/>
          <w:szCs w:val="24"/>
        </w:rPr>
        <w:t>:</w:t>
      </w:r>
    </w:p>
    <w:p w:rsidR="00352094" w:rsidRPr="009A6E69" w:rsidRDefault="00352094" w:rsidP="008C25BB">
      <w:pPr>
        <w:pStyle w:val="ListParagraph"/>
        <w:numPr>
          <w:ilvl w:val="0"/>
          <w:numId w:val="121"/>
        </w:numPr>
        <w:spacing w:after="120"/>
        <w:contextualSpacing w:val="0"/>
        <w:jc w:val="both"/>
        <w:rPr>
          <w:rFonts w:cs="Times New Roman"/>
          <w:szCs w:val="24"/>
        </w:rPr>
      </w:pPr>
      <w:r w:rsidRPr="009A6E69">
        <w:rPr>
          <w:rFonts w:cs="Times New Roman"/>
          <w:szCs w:val="24"/>
        </w:rPr>
        <w:t xml:space="preserve">pakalpojuma </w:t>
      </w:r>
      <w:r w:rsidRPr="009A6E69">
        <w:rPr>
          <w:rFonts w:cs="Times New Roman"/>
          <w:bCs/>
          <w:szCs w:val="24"/>
        </w:rPr>
        <w:t xml:space="preserve">izmaksas ir 0 </w:t>
      </w:r>
      <w:r w:rsidRPr="009A6E69">
        <w:rPr>
          <w:rFonts w:cs="Times New Roman"/>
          <w:bCs/>
          <w:i/>
          <w:iCs/>
          <w:szCs w:val="24"/>
        </w:rPr>
        <w:t>euro</w:t>
      </w:r>
      <w:r w:rsidRPr="009A6E69">
        <w:rPr>
          <w:rFonts w:cs="Times New Roman"/>
          <w:bCs/>
          <w:szCs w:val="24"/>
        </w:rPr>
        <w:t xml:space="preserve"> </w:t>
      </w:r>
      <w:r w:rsidRPr="009A6E69">
        <w:rPr>
          <w:rFonts w:cs="Times New Roman"/>
          <w:szCs w:val="24"/>
        </w:rPr>
        <w:t>(ministrija un iestādes iegādājas aviobiļetes par tām cenām, kādas nosaka pašas aviokompānijas un kādas ir pieejamas starptautiskajā rezervēšanas sistēmā);</w:t>
      </w:r>
    </w:p>
    <w:p w:rsidR="00352094" w:rsidRPr="009A6E69" w:rsidRDefault="00352094" w:rsidP="008C25BB">
      <w:pPr>
        <w:pStyle w:val="ListParagraph"/>
        <w:numPr>
          <w:ilvl w:val="0"/>
          <w:numId w:val="121"/>
        </w:numPr>
        <w:spacing w:after="120"/>
        <w:contextualSpacing w:val="0"/>
        <w:jc w:val="both"/>
        <w:rPr>
          <w:rFonts w:cs="Times New Roman"/>
          <w:szCs w:val="24"/>
        </w:rPr>
      </w:pPr>
      <w:r w:rsidRPr="009A6E69">
        <w:rPr>
          <w:rFonts w:cs="Times New Roman"/>
          <w:szCs w:val="24"/>
        </w:rPr>
        <w:t xml:space="preserve">ministrijas darbiniekam nodrošināta tieša </w:t>
      </w:r>
      <w:r w:rsidRPr="009A6E69">
        <w:rPr>
          <w:rFonts w:cs="Times New Roman"/>
          <w:bCs/>
          <w:szCs w:val="24"/>
        </w:rPr>
        <w:t>pieeja starptautiskajai rezervēšanas sistēmai</w:t>
      </w:r>
      <w:r w:rsidRPr="009A6E69">
        <w:rPr>
          <w:rFonts w:cs="Times New Roman"/>
          <w:szCs w:val="24"/>
        </w:rPr>
        <w:t xml:space="preserve"> (iespējams izvērtēt pieejamos piedāvājumus un izvēlēties izdevīgāko un ekonomiskāko risinājumu);</w:t>
      </w:r>
    </w:p>
    <w:p w:rsidR="00352094" w:rsidRPr="009A6E69" w:rsidRDefault="00352094" w:rsidP="008C25BB">
      <w:pPr>
        <w:pStyle w:val="ListParagraph"/>
        <w:numPr>
          <w:ilvl w:val="0"/>
          <w:numId w:val="121"/>
        </w:numPr>
        <w:spacing w:after="120"/>
        <w:contextualSpacing w:val="0"/>
        <w:jc w:val="both"/>
        <w:rPr>
          <w:rFonts w:cs="Times New Roman"/>
          <w:szCs w:val="24"/>
        </w:rPr>
      </w:pPr>
      <w:r w:rsidRPr="009A6E69">
        <w:rPr>
          <w:rFonts w:cs="Times New Roman"/>
          <w:bCs/>
          <w:szCs w:val="24"/>
        </w:rPr>
        <w:t xml:space="preserve">laika resursu ekonomija </w:t>
      </w:r>
      <w:r w:rsidRPr="009A6E69">
        <w:rPr>
          <w:rFonts w:cs="Times New Roman"/>
          <w:szCs w:val="24"/>
        </w:rPr>
        <w:t>(aviokompāniju piedāvājums (rezervācija) ir spēkā noteiktu laiku (piem</w:t>
      </w:r>
      <w:r w:rsidR="00CE1C09">
        <w:rPr>
          <w:rFonts w:cs="Times New Roman"/>
          <w:szCs w:val="24"/>
        </w:rPr>
        <w:t>ēram</w:t>
      </w:r>
      <w:r w:rsidRPr="009A6E69">
        <w:rPr>
          <w:rFonts w:cs="Times New Roman"/>
          <w:szCs w:val="24"/>
        </w:rPr>
        <w:t xml:space="preserve">, </w:t>
      </w:r>
      <w:r w:rsidRPr="009A6E69">
        <w:rPr>
          <w:rFonts w:cs="Times New Roman"/>
          <w:i/>
          <w:iCs/>
          <w:szCs w:val="24"/>
        </w:rPr>
        <w:t>AirBaltic</w:t>
      </w:r>
      <w:r w:rsidRPr="009A6E69">
        <w:rPr>
          <w:rFonts w:cs="Times New Roman"/>
          <w:szCs w:val="24"/>
        </w:rPr>
        <w:t xml:space="preserve"> rezervācija ir spēkā 48</w:t>
      </w:r>
      <w:r w:rsidR="00CE1C09">
        <w:rPr>
          <w:rFonts w:cs="Times New Roman"/>
          <w:szCs w:val="24"/>
        </w:rPr>
        <w:t> </w:t>
      </w:r>
      <w:r w:rsidRPr="009A6E69">
        <w:rPr>
          <w:rFonts w:cs="Times New Roman"/>
          <w:szCs w:val="24"/>
        </w:rPr>
        <w:t>h), kad jāpaspēj saskaņot ar darbinieku izvēlētais maršruts, noformēt komandējuma dokumentāciju, izpirkt izvēlēto aviobiļeti un nepieciešamības gadījumā operatīvi veikt biļetes maiņu);</w:t>
      </w:r>
    </w:p>
    <w:p w:rsidR="00352094" w:rsidRPr="009A6E69" w:rsidRDefault="00352094" w:rsidP="008C25BB">
      <w:pPr>
        <w:pStyle w:val="ListParagraph"/>
        <w:numPr>
          <w:ilvl w:val="0"/>
          <w:numId w:val="121"/>
        </w:numPr>
        <w:spacing w:after="120"/>
        <w:contextualSpacing w:val="0"/>
        <w:jc w:val="both"/>
        <w:rPr>
          <w:rFonts w:cs="Times New Roman"/>
          <w:szCs w:val="24"/>
        </w:rPr>
      </w:pPr>
      <w:r w:rsidRPr="009A6E69">
        <w:rPr>
          <w:rFonts w:cs="Times New Roman"/>
          <w:szCs w:val="24"/>
        </w:rPr>
        <w:t>Ceļojumu aģentūra nodrošina 24 h atbalstu nestandarta un ārkārtas situācijās;</w:t>
      </w:r>
    </w:p>
    <w:p w:rsidR="00352094" w:rsidRDefault="00352094" w:rsidP="008C25BB">
      <w:pPr>
        <w:pStyle w:val="ListParagraph"/>
        <w:numPr>
          <w:ilvl w:val="0"/>
          <w:numId w:val="115"/>
        </w:numPr>
        <w:spacing w:after="120"/>
        <w:contextualSpacing w:val="0"/>
        <w:jc w:val="both"/>
        <w:rPr>
          <w:rFonts w:cs="Times New Roman"/>
          <w:szCs w:val="24"/>
        </w:rPr>
      </w:pPr>
      <w:r>
        <w:rPr>
          <w:rFonts w:cs="Times New Roman"/>
          <w:szCs w:val="24"/>
        </w:rPr>
        <w:t>atsevišķām ministrijām</w:t>
      </w:r>
      <w:r w:rsidRPr="0028318C">
        <w:rPr>
          <w:rFonts w:cs="Times New Roman"/>
          <w:szCs w:val="24"/>
        </w:rPr>
        <w:t xml:space="preserve"> komandējumu apjoms un specifika ir atšķirīga no citiem pasūtītājiem, un šādu preču un pakalpojumu iekļaušana un iegāde EIS ministrijas gadījumā netiek vērtēta, jo EIS piedāvājums ir standartizēts, ko būtu ārkārtīgi sarežģīti un dārgi </w:t>
      </w:r>
      <w:r>
        <w:rPr>
          <w:rFonts w:cs="Times New Roman"/>
          <w:szCs w:val="24"/>
        </w:rPr>
        <w:t>pielāgot ministrijas specifikai, tādēļ k</w:t>
      </w:r>
      <w:r w:rsidRPr="003B0C31">
        <w:rPr>
          <w:rFonts w:cs="Times New Roman"/>
          <w:szCs w:val="24"/>
        </w:rPr>
        <w:t xml:space="preserve">omandējumu pakalpojumi </w:t>
      </w:r>
      <w:r w:rsidRPr="003B0C31">
        <w:rPr>
          <w:rFonts w:cs="Times New Roman"/>
          <w:bCs/>
          <w:szCs w:val="24"/>
        </w:rPr>
        <w:t>nebūtu iekļaujami EIS</w:t>
      </w:r>
      <w:r w:rsidRPr="003B0C31">
        <w:rPr>
          <w:rFonts w:cs="Times New Roman"/>
          <w:szCs w:val="24"/>
        </w:rPr>
        <w:t xml:space="preserve"> obligāti iegādājamo preču/pakalpojumu grupā</w:t>
      </w:r>
      <w:r>
        <w:rPr>
          <w:rFonts w:cs="Times New Roman"/>
          <w:szCs w:val="24"/>
        </w:rPr>
        <w:t>;</w:t>
      </w:r>
    </w:p>
    <w:p w:rsidR="00352094" w:rsidRPr="00CE1C09" w:rsidRDefault="00352094" w:rsidP="008C25BB">
      <w:pPr>
        <w:pStyle w:val="ListParagraph"/>
        <w:numPr>
          <w:ilvl w:val="0"/>
          <w:numId w:val="114"/>
        </w:numPr>
        <w:spacing w:after="120"/>
        <w:contextualSpacing w:val="0"/>
        <w:jc w:val="both"/>
        <w:rPr>
          <w:rFonts w:cs="Times New Roman"/>
          <w:bCs/>
          <w:szCs w:val="24"/>
        </w:rPr>
      </w:pPr>
      <w:r w:rsidRPr="00CE1C09">
        <w:rPr>
          <w:rFonts w:cs="Times New Roman"/>
          <w:bCs/>
          <w:szCs w:val="24"/>
        </w:rPr>
        <w:t xml:space="preserve">VARAM </w:t>
      </w:r>
      <w:r w:rsidRPr="00CE1C09">
        <w:rPr>
          <w:bCs/>
          <w:szCs w:val="24"/>
        </w:rPr>
        <w:t>informē, ka</w:t>
      </w:r>
      <w:r w:rsidRPr="00CE1C09">
        <w:rPr>
          <w:rFonts w:cs="Times New Roman"/>
          <w:bCs/>
          <w:szCs w:val="24"/>
        </w:rPr>
        <w:t xml:space="preserve"> saņemot papildu finansējuma resursus, </w:t>
      </w:r>
      <w:r w:rsidR="00CE1C09" w:rsidRPr="00CE1C09">
        <w:rPr>
          <w:rFonts w:cs="Times New Roman"/>
          <w:bCs/>
          <w:szCs w:val="24"/>
        </w:rPr>
        <w:t>Valsts reģionālās attīstības aģentūra (</w:t>
      </w:r>
      <w:r w:rsidR="00CE1C09">
        <w:rPr>
          <w:rFonts w:cs="Times New Roman"/>
          <w:bCs/>
          <w:szCs w:val="24"/>
        </w:rPr>
        <w:t>turpmāk</w:t>
      </w:r>
      <w:r w:rsidR="00CE1C09" w:rsidRPr="00CE1C09">
        <w:rPr>
          <w:rFonts w:cs="Times New Roman"/>
          <w:bCs/>
          <w:szCs w:val="24"/>
        </w:rPr>
        <w:t xml:space="preserve"> – VRAA)</w:t>
      </w:r>
      <w:r w:rsidRPr="00CE1C09">
        <w:rPr>
          <w:rFonts w:cs="Times New Roman"/>
          <w:bCs/>
          <w:szCs w:val="24"/>
        </w:rPr>
        <w:t xml:space="preserve"> kā pilotprojektus varētu nodrošināt šādus e-katalogus: </w:t>
      </w:r>
      <w:r w:rsidRPr="00CE1C09">
        <w:rPr>
          <w:rFonts w:cs="Times New Roman"/>
          <w:bCs/>
          <w:szCs w:val="24"/>
        </w:rPr>
        <w:lastRenderedPageBreak/>
        <w:t>aviobiļetes (komplicēts iepirkums), viesnīcas (komplicēts iepirkums), auto noma (salīdzinoši viegli), komandējumu apdrošināšana (salīdzinoši viegli).</w:t>
      </w:r>
    </w:p>
    <w:p w:rsidR="00352094" w:rsidRPr="00BC7D10" w:rsidRDefault="00352094" w:rsidP="00352094">
      <w:pPr>
        <w:spacing w:after="120"/>
        <w:ind w:firstLine="709"/>
        <w:jc w:val="both"/>
      </w:pPr>
      <w:r w:rsidRPr="00BC7D10">
        <w:t xml:space="preserve">Tikšanās laikā par budžeta izdevumu </w:t>
      </w:r>
      <w:r>
        <w:t>pārskatīšanas</w:t>
      </w:r>
      <w:r w:rsidRPr="00BC7D10">
        <w:t xml:space="preserve"> rezultātiem ministrijas izteica savu viedokli par </w:t>
      </w:r>
      <w:r w:rsidRPr="00BC7D10">
        <w:rPr>
          <w:rFonts w:cs="Times New Roman"/>
          <w:b/>
          <w:bCs/>
          <w:szCs w:val="24"/>
        </w:rPr>
        <w:t>iespēju ministrijai kopīgi ar savas ministrijas padotības iestādēm un kapitālsabiedrībām, kurās ministrija ir kapitāldaļu turētāja, organizēt vienu kopīgu iepirkumu, izmantojot EIS piedāvājumu (piemēram, veselības apdrošināšana):</w:t>
      </w:r>
    </w:p>
    <w:p w:rsidR="00352094" w:rsidRPr="00BA7254" w:rsidRDefault="00352094" w:rsidP="008C25BB">
      <w:pPr>
        <w:pStyle w:val="ListParagraph"/>
        <w:numPr>
          <w:ilvl w:val="0"/>
          <w:numId w:val="116"/>
        </w:numPr>
        <w:spacing w:after="120"/>
        <w:ind w:left="714" w:hanging="357"/>
        <w:contextualSpacing w:val="0"/>
        <w:jc w:val="both"/>
        <w:rPr>
          <w:szCs w:val="24"/>
        </w:rPr>
      </w:pPr>
      <w:r w:rsidRPr="00BA7254">
        <w:rPr>
          <w:bCs/>
          <w:szCs w:val="24"/>
        </w:rPr>
        <w:t>atsevišķas ministrijas, ņemot vērā neveiksmīgo iepriekšējo pieredzi ar veselības apdrošināšanas pakalpojuma iepirkuma dokumentācijas sagatavošanu visam resoram par apvienotā iepirkuma realizēšanu, ir norādījušas, ka katrai iestādei ir savas specifiskas vajadzības, tādēļ efektīvāk un katras iestādes vajadzībām atbilstošu pakalpojumu var iegūt, organizējot individuālus iepirkumus;</w:t>
      </w:r>
    </w:p>
    <w:p w:rsidR="00352094" w:rsidRPr="00BA7254" w:rsidRDefault="00352094" w:rsidP="008C25BB">
      <w:pPr>
        <w:pStyle w:val="ListParagraph"/>
        <w:numPr>
          <w:ilvl w:val="0"/>
          <w:numId w:val="116"/>
        </w:numPr>
        <w:spacing w:after="120"/>
        <w:ind w:left="714" w:hanging="357"/>
        <w:contextualSpacing w:val="0"/>
        <w:jc w:val="both"/>
      </w:pPr>
      <w:r w:rsidRPr="00BA7254">
        <w:rPr>
          <w:szCs w:val="24"/>
        </w:rPr>
        <w:t xml:space="preserve">vairākas ministrijas uzskata, ka izvērtētu iespēju organizēt vienu kopīgu iepirkumu EIS kopā ar padotības iestādēm un kapitālsabiedrībām, kurās ministrija ir kapitāldaļu turētāja, ja šāda iegāde apmierinātu visu pasūtītāju vajadzības (pakalpojuma apjoms, saturs) un būtu pārliecība saņemt konkurētspējīgu cenas piedāvājumu. Vienlaikus, attiecībā uz veselības apdrošināšanas pakalpojumiem EIS, nesaskata iepriekšminētos priekšnosacījumus. Ņemot vērā ministrijas, to padotības iestāžu vai kapitālsabiedrību darba specifiku un nepieciešamos programmu segumus, kā arī normatīvajos aktos noteikto regulējumu, tai skaitā tiešās pārvaldes iestādēm noteikto prēmijas maksimālo apmēru, vienota iepirkuma veikšana EIS nevar nodrošināt labāko segumu un apdrošināšanas programmu nosacījumus par zemāko cenu. Veselības apdrošināšanas pakalpojums ir specifisks un piedāvātā programma un prēmijas apmērs ir atkarīgs no daudziem faktoriem (piemēram, sieviešu un vīriešu dzimuma proporcija, nodarbināto darba vieta, pienākumi utt.), ko apdrošinātājs, izvērtējot riskus, izmanto piedāvājuma un cenas noteikšanai. Veidojot pasūtījumu EIS, iepriekšminēto nav iespējams norādīt, kas ierobežo saņemt labāko piedāvājumu. </w:t>
      </w:r>
      <w:r w:rsidRPr="00BA7254">
        <w:rPr>
          <w:bCs/>
          <w:szCs w:val="24"/>
        </w:rPr>
        <w:t>EM min pieredzi, ka p</w:t>
      </w:r>
      <w:r w:rsidRPr="00BA7254">
        <w:rPr>
          <w:rFonts w:cs="Times New Roman"/>
          <w:szCs w:val="24"/>
        </w:rPr>
        <w:t xml:space="preserve">ērkot pakalpojumu resoram, pirms tam veicot izpēti par nepieciešamo pakalpojumu klāstu un tehniskajā specifikācijā precīzi to nodefinējot, par līdzvērtīgu vienības līgumcenu (polises cenu) </w:t>
      </w:r>
      <w:r w:rsidRPr="00BA7254">
        <w:rPr>
          <w:rFonts w:cs="Times New Roman"/>
          <w:bCs/>
          <w:szCs w:val="24"/>
        </w:rPr>
        <w:t xml:space="preserve">iespējams iegūt plašāku piedāvātā veselības apdrošināšanas pakalpojuma apjomu - </w:t>
      </w:r>
      <w:r w:rsidRPr="00BA7254">
        <w:rPr>
          <w:rFonts w:cs="Times New Roman"/>
          <w:szCs w:val="24"/>
        </w:rPr>
        <w:t>iegādātā pakalpojuma apdrošinājuma summa 10 reizes pārsniedza EIS piedāvājumā noteikto;</w:t>
      </w:r>
    </w:p>
    <w:p w:rsidR="00352094" w:rsidRPr="00BA7254" w:rsidRDefault="00352094" w:rsidP="008C25BB">
      <w:pPr>
        <w:pStyle w:val="ListParagraph"/>
        <w:numPr>
          <w:ilvl w:val="0"/>
          <w:numId w:val="116"/>
        </w:numPr>
        <w:spacing w:after="120"/>
        <w:ind w:left="714" w:hanging="357"/>
        <w:contextualSpacing w:val="0"/>
        <w:jc w:val="both"/>
        <w:rPr>
          <w:szCs w:val="24"/>
        </w:rPr>
      </w:pPr>
      <w:r w:rsidRPr="00BA7254">
        <w:rPr>
          <w:rFonts w:eastAsia="Calibri" w:cs="Times New Roman"/>
          <w:bCs/>
          <w:szCs w:val="24"/>
        </w:rPr>
        <w:t xml:space="preserve">ministrijām ir arī pozitīva pieredze centralizētu iepirkumu organizēšanā, piemēram, LM un kapitālsabiedrība VSIA “Šampētera nams” veic </w:t>
      </w:r>
      <w:r w:rsidRPr="00BA7254">
        <w:rPr>
          <w:szCs w:val="24"/>
        </w:rPr>
        <w:t>c</w:t>
      </w:r>
      <w:r w:rsidRPr="00BA7254">
        <w:rPr>
          <w:rFonts w:eastAsia="Calibri" w:cs="Times New Roman"/>
          <w:bCs/>
          <w:szCs w:val="24"/>
        </w:rPr>
        <w:t xml:space="preserve">entralizētos iepirkumus nozarē, sākotnēji izvērtējot centralizēta iepirkuma lietderību un saimniecisko izdevīgumu, tai skaitā: </w:t>
      </w:r>
      <w:r w:rsidRPr="00BA7254">
        <w:rPr>
          <w:bCs/>
          <w:szCs w:val="24"/>
        </w:rPr>
        <w:t xml:space="preserve">vai iestāžu vēlmes un prasības uz konkrēto iepirkumu ir salīdzināmas, vai iespējams izveidot vienotu tehnisko specifikāciju, termiņi un iepirkuma procedūra. </w:t>
      </w:r>
      <w:r w:rsidRPr="00BA7254">
        <w:rPr>
          <w:rFonts w:eastAsia="Calibri" w:cs="Times New Roman"/>
          <w:bCs/>
          <w:szCs w:val="24"/>
        </w:rPr>
        <w:t>Galvenās CI iepirkumu grupas: d</w:t>
      </w:r>
      <w:r w:rsidRPr="00BA7254">
        <w:rPr>
          <w:bCs/>
          <w:szCs w:val="24"/>
        </w:rPr>
        <w:t xml:space="preserve">egvielas iegāde, elektroenerģija, telekomunikāciju pakalpojumi, telpu un teritorijas uzkopšanas pakalpojumi, nekustamā īpašuma apdrošināšana, kondicionieru un ventilācijas iekārtu apkope un remonts, ugunsdzēsības aparātu iegāde, remontdarbi, IT u.c. </w:t>
      </w:r>
      <w:r w:rsidRPr="00BA7254">
        <w:rPr>
          <w:rFonts w:eastAsia="Calibri" w:cs="Times New Roman"/>
          <w:bCs/>
          <w:szCs w:val="24"/>
        </w:rPr>
        <w:t>Ieguvumi no centralizētajiem iepirkumiem: f</w:t>
      </w:r>
      <w:r w:rsidRPr="00BA7254">
        <w:rPr>
          <w:bCs/>
          <w:szCs w:val="24"/>
        </w:rPr>
        <w:t xml:space="preserve">inanšu ietaupījums, nodrošināts salīdzināms kvalitātes standarts, iegūti labāki līgumu nosacījumi. Arī </w:t>
      </w:r>
      <w:r w:rsidRPr="00BA7254">
        <w:rPr>
          <w:szCs w:val="24"/>
        </w:rPr>
        <w:t>TM resoram kopējs iepirkums EIS visam jau tiek pielietots, piemēram</w:t>
      </w:r>
      <w:r w:rsidR="00AF12A9">
        <w:rPr>
          <w:szCs w:val="24"/>
        </w:rPr>
        <w:t>,</w:t>
      </w:r>
      <w:r w:rsidRPr="00BA7254">
        <w:rPr>
          <w:szCs w:val="24"/>
        </w:rPr>
        <w:t xml:space="preserve"> </w:t>
      </w:r>
      <w:r w:rsidRPr="00AF12A9">
        <w:rPr>
          <w:i/>
          <w:szCs w:val="24"/>
        </w:rPr>
        <w:t>Horizon</w:t>
      </w:r>
      <w:r w:rsidRPr="00BA7254">
        <w:rPr>
          <w:szCs w:val="24"/>
        </w:rPr>
        <w:t xml:space="preserve"> programmatūras koda uzturēšanas iegādei, kā arī konsultāciju iegādei. Veselības apdrošināšana šobrīd EIS sistēmā ir zemā līmenī un TM resora specifikas dēļ (ir darbinieki, kuriem nepieciešams nodrošināt pārbaudes pret dažādām infektoloģiskām saslimšanām Ieslodzījuma vietu pārvaldes darbinieki, Probācijas dienesta darbinieki) centralizēti nebūtu iespējas iegādāties. Taču resora centralizēts veselības apdrošināšanas pakalpojuma iepirkums (ārpus EIS sistēmas) varētu tik izsludināts 2018.gadā;</w:t>
      </w:r>
    </w:p>
    <w:p w:rsidR="00352094" w:rsidRPr="00BA7254" w:rsidRDefault="00352094" w:rsidP="008C25BB">
      <w:pPr>
        <w:pStyle w:val="ListParagraph"/>
        <w:numPr>
          <w:ilvl w:val="0"/>
          <w:numId w:val="116"/>
        </w:numPr>
        <w:spacing w:after="120"/>
        <w:ind w:left="714" w:hanging="357"/>
        <w:contextualSpacing w:val="0"/>
        <w:jc w:val="both"/>
        <w:rPr>
          <w:szCs w:val="24"/>
        </w:rPr>
      </w:pPr>
      <w:r w:rsidRPr="00BA7254">
        <w:rPr>
          <w:szCs w:val="24"/>
        </w:rPr>
        <w:lastRenderedPageBreak/>
        <w:t>ministrijas informē par turpmākiem plāniem centralizēto iepirkumu paplašināšanā, piemēram, VARAM plāno resora vajadzībām veikt datortehnikas centralizētus iepirkumus EIS, VM nozarē šobrīd centralizēti tiek iepirkti sakaru pakalpojumi, turpmāk plānota programmatūras nomas iegāde, veselības apdrošināšanas polišu iegāde. VM vērtē iespējas veikt arī kapitālsabiedrību iepirkumu centralizāciju, kā arī plāno veikt medikamentu un medicīnas preču iepirkuma procedūru EIS kataloga uzturēšanai;</w:t>
      </w:r>
    </w:p>
    <w:p w:rsidR="00352094" w:rsidRPr="00185B9E" w:rsidRDefault="00352094" w:rsidP="008C25BB">
      <w:pPr>
        <w:pStyle w:val="ListParagraph"/>
        <w:numPr>
          <w:ilvl w:val="0"/>
          <w:numId w:val="116"/>
        </w:numPr>
        <w:spacing w:after="120"/>
        <w:ind w:left="714" w:hanging="357"/>
        <w:contextualSpacing w:val="0"/>
        <w:jc w:val="both"/>
        <w:rPr>
          <w:szCs w:val="24"/>
        </w:rPr>
      </w:pPr>
      <w:r w:rsidRPr="00BA7254">
        <w:rPr>
          <w:szCs w:val="24"/>
        </w:rPr>
        <w:t xml:space="preserve">vairums ministriju ir norādījušas, ka specifisku, nestandarta preču vai pakalpojumu iepirkumus būtu lietderīgāk organizēt ārpus EIS, pēc iespējas veidojot </w:t>
      </w:r>
      <w:r w:rsidRPr="00BA7254">
        <w:rPr>
          <w:bCs/>
          <w:szCs w:val="24"/>
        </w:rPr>
        <w:t>centraliz</w:t>
      </w:r>
      <w:r w:rsidR="00185B9E">
        <w:rPr>
          <w:bCs/>
          <w:szCs w:val="24"/>
        </w:rPr>
        <w:t>ētus iepirkumus resora ietvaros;</w:t>
      </w:r>
    </w:p>
    <w:p w:rsidR="00185B9E" w:rsidRPr="00185B9E" w:rsidRDefault="00185B9E" w:rsidP="00A72322">
      <w:pPr>
        <w:pStyle w:val="ListParagraph"/>
        <w:numPr>
          <w:ilvl w:val="0"/>
          <w:numId w:val="116"/>
        </w:numPr>
        <w:spacing w:after="120"/>
        <w:jc w:val="both"/>
        <w:rPr>
          <w:szCs w:val="24"/>
        </w:rPr>
      </w:pPr>
      <w:r w:rsidRPr="00185B9E">
        <w:rPr>
          <w:szCs w:val="24"/>
        </w:rPr>
        <w:t>TM sniedza informāciju par salīdzinoši pozitīvu pieredzi, organizējot komandējumu nodrošināšanas pakalpojuma iepirkumu, proti, l</w:t>
      </w:r>
      <w:r>
        <w:rPr>
          <w:szCs w:val="24"/>
        </w:rPr>
        <w:t>ai nodrošinātu p</w:t>
      </w:r>
      <w:r w:rsidRPr="00185B9E">
        <w:rPr>
          <w:szCs w:val="24"/>
        </w:rPr>
        <w:t>akalpojuma sniegšanas nepārtrauktību tiek veikta iepirkuma procedūra, kuras rezultātā slēdz vispārīgo vienošanos ar izraudzītajiem pretendentiem uz 4 (četriem) gadiem. Iepirkuma komisija izvēlas 5 (piecus) saimnieciski izdevīgākos piedāvājumus no iesniegtajiem piedāvājumiem, kas atbilst nolikuma prasībām, izdevīgākos piedāvājumus nosaka, aprēķinot izdevīguma punktus, kurus veido kritēriju novērtējumu summa. Ja piedāvājumu skaits ir mazāks par pieci, vienošanos slēdz ar visiem pretendentiem, kuru piedāvājumi ir atbilstoši nolikuma prasībām. Savukārt attiecībā uz vienošanās izpild</w:t>
      </w:r>
      <w:r>
        <w:rPr>
          <w:szCs w:val="24"/>
        </w:rPr>
        <w:t>i, p</w:t>
      </w:r>
      <w:r w:rsidRPr="00185B9E">
        <w:rPr>
          <w:szCs w:val="24"/>
        </w:rPr>
        <w:t>akalpojuma iegūšanai atbilstoši TM vajadzībām, katrs komandējuma piedāvājums ir pielāgots individuāli (t.i., TM izveido individuālu vajadzību aprakstu katram komandējumam, piemēram, lidojuma specifiskās vajadzības, viesnīcas nosacījumus u.c.)</w:t>
      </w:r>
      <w:r>
        <w:rPr>
          <w:szCs w:val="24"/>
        </w:rPr>
        <w:t>,</w:t>
      </w:r>
      <w:r w:rsidRPr="00185B9E">
        <w:rPr>
          <w:szCs w:val="24"/>
        </w:rPr>
        <w:t xml:space="preserve"> TM katru reizi atsevišķi, nodrošina konkurenci</w:t>
      </w:r>
      <w:r>
        <w:rPr>
          <w:szCs w:val="24"/>
        </w:rPr>
        <w:t xml:space="preserve"> un vienlīdzīgu attieksmi pret i</w:t>
      </w:r>
      <w:r w:rsidRPr="00185B9E">
        <w:rPr>
          <w:szCs w:val="24"/>
        </w:rPr>
        <w:t xml:space="preserve">zpildītājiem, nosūtot rakstveidā (e–pastā) uzaicinājumu iesniegt piedāvājumu </w:t>
      </w:r>
      <w:r>
        <w:rPr>
          <w:szCs w:val="24"/>
        </w:rPr>
        <w:t>p</w:t>
      </w:r>
      <w:r w:rsidRPr="00185B9E">
        <w:rPr>
          <w:szCs w:val="24"/>
        </w:rPr>
        <w:t>akalpojuma izpildei visiem</w:t>
      </w:r>
      <w:r>
        <w:rPr>
          <w:szCs w:val="24"/>
        </w:rPr>
        <w:t xml:space="preserve"> i</w:t>
      </w:r>
      <w:r w:rsidRPr="00185B9E">
        <w:rPr>
          <w:szCs w:val="24"/>
        </w:rPr>
        <w:t xml:space="preserve">zpildītājiem. Izpildītāji TM noteiktajā termiņā, iesūta rakstveidā (e–pastā) piedāvājumu atbilstoši prasībām. TM pēc attiecīgo piedāvājumu saņemšanas, izvērtē to atbilstību prasībām un izvēlas no atbilstošiem piedāvājumiem vienu piedāvājumu ar kopējo zemāko cenu ar PVN (tajā skaitā starpniecības maksa, nodokļi, nodevas un citas izmaksas). Zemākās cenas piedāvājuma iesniedzējs ir </w:t>
      </w:r>
      <w:r>
        <w:rPr>
          <w:szCs w:val="24"/>
        </w:rPr>
        <w:t>i</w:t>
      </w:r>
      <w:r w:rsidRPr="00185B9E">
        <w:rPr>
          <w:szCs w:val="24"/>
        </w:rPr>
        <w:t xml:space="preserve">zpildītājs (uzvarētājs), kurš izpildīs attiecīgo </w:t>
      </w:r>
      <w:r>
        <w:rPr>
          <w:szCs w:val="24"/>
        </w:rPr>
        <w:t>p</w:t>
      </w:r>
      <w:r w:rsidRPr="00185B9E">
        <w:rPr>
          <w:szCs w:val="24"/>
        </w:rPr>
        <w:t xml:space="preserve">akalpojumu. Pakalpojums vienmēr atbilst TM vajadzībām, jo vajadzības tiek noteiktas katram komandējumam atsevišķi, un </w:t>
      </w:r>
      <w:r>
        <w:rPr>
          <w:szCs w:val="24"/>
        </w:rPr>
        <w:t>p</w:t>
      </w:r>
      <w:r w:rsidRPr="00185B9E">
        <w:rPr>
          <w:szCs w:val="24"/>
        </w:rPr>
        <w:t>akalpojumam vienmēr ir nodrošinātājs. Šāds process nodrošina, ka katra komandējuma brauciena izmaksas ir iespējami zemākās, jo piedāvājums tiek saņemts no 5 pretendentiem un papildu administratīvais resurss vairs nav jāiegulda (organizējot jaunas iepirkumu procedūras u.tml.).</w:t>
      </w:r>
    </w:p>
    <w:p w:rsidR="00352094" w:rsidRDefault="00352094" w:rsidP="00352094">
      <w:pPr>
        <w:spacing w:after="120"/>
        <w:ind w:firstLine="720"/>
        <w:jc w:val="both"/>
      </w:pPr>
      <w:r w:rsidRPr="008C20D8">
        <w:t xml:space="preserve">Valsts budžeta izdevumu </w:t>
      </w:r>
      <w:r>
        <w:t>pārskatīšanas</w:t>
      </w:r>
      <w:r w:rsidRPr="008C20D8">
        <w:t xml:space="preserve"> ietvaros tika </w:t>
      </w:r>
      <w:r>
        <w:t>analizēti</w:t>
      </w:r>
      <w:r w:rsidRPr="008C20D8">
        <w:t xml:space="preserve"> darbinieku veselības apdrošināšanas </w:t>
      </w:r>
      <w:r>
        <w:t>pakalpojumi, lai pieejamā finansējuma ietvaros meklētu optimālāko risinājumu polišu iegādei ar iespējami kvalitatīvāku veselības apdrošināšanas pakalpojuma grozu.</w:t>
      </w:r>
    </w:p>
    <w:p w:rsidR="00352094" w:rsidRDefault="00352094" w:rsidP="00352094">
      <w:pPr>
        <w:spacing w:after="120"/>
        <w:ind w:firstLine="720"/>
        <w:jc w:val="both"/>
        <w:rPr>
          <w:rFonts w:cs="Times New Roman"/>
          <w:szCs w:val="24"/>
        </w:rPr>
      </w:pPr>
      <w:r>
        <w:rPr>
          <w:rFonts w:cs="Times New Roman"/>
          <w:szCs w:val="24"/>
        </w:rPr>
        <w:t xml:space="preserve">FM pārstāvji 2017.gada 17.aprīlī, tiekoties ar Latvijas apdrošinātāju asociāciju, pārrunāja ar darbinieku veselības apdrošināšanu saistītos jautājumus ar mērķi rast risinājumu apdrošināšanas pakalpojumu piedāvājuma kvalitātes uzlabošanai EIS, tādejādi maksimāli samazinot iepirkumu organizēšanai patērēto laiku iestādēs un atvieglojot noslēgto līgumu administrēšanu. Latvijas apdrošinātāju asociācijas pārstāvji paskaidroja iemeslus sliktākam EIS piedāvājumam salīdzinot ar iestāžu patstāvīgajiem iepirkumiem, norādot uz to, ka gatavojot piedāvājumu EIS tas ir ļoti vispārīgs, un apdrošinātājiem nav pieejama visa nepieciešamā informācija, lai tie precīzāk varētu novērtēt savus riskus. Iesniedzot apdrošināšanas piedāvājumu EIS, apdrošinātājiem nav zināma kopējā līgumcena, nav zināms iestāžu skaits, kas veiks polišu iegādi, iestādēs strādājošo darbinieku skaits un to vecums. Iepirkums EIS līdz 2017.gada 1.martam bija brīvprātīgs, un iestāžu skaits, kas izmantoja EIS pieejamo veselības </w:t>
      </w:r>
      <w:r>
        <w:rPr>
          <w:rFonts w:cs="Times New Roman"/>
          <w:szCs w:val="24"/>
        </w:rPr>
        <w:lastRenderedPageBreak/>
        <w:t xml:space="preserve">apdrošināšanas pakalpojumu bija mazs, tādēļ arī veselības apdrošināšanas pakalpojumu sniedzēji tam veltīja mazāk uzmanības. </w:t>
      </w:r>
    </w:p>
    <w:p w:rsidR="00352094" w:rsidRDefault="00352094" w:rsidP="00352094">
      <w:pPr>
        <w:spacing w:after="120"/>
        <w:ind w:firstLine="720"/>
        <w:jc w:val="both"/>
        <w:rPr>
          <w:rFonts w:cs="Times New Roman"/>
          <w:szCs w:val="24"/>
        </w:rPr>
      </w:pPr>
      <w:r>
        <w:rPr>
          <w:rFonts w:cs="Times New Roman"/>
          <w:szCs w:val="24"/>
        </w:rPr>
        <w:t>Asociācijas ieskatā, lai saņemtu labāku piedāvājumu EIS, būtu jāmaina iepirkuma pieeja, uzsākot iepirkuma procedūru būtu jāsniedz detalizētāk</w:t>
      </w:r>
      <w:r w:rsidR="00E45D77">
        <w:rPr>
          <w:rFonts w:cs="Times New Roman"/>
          <w:szCs w:val="24"/>
        </w:rPr>
        <w:t>a</w:t>
      </w:r>
      <w:r>
        <w:rPr>
          <w:rFonts w:cs="Times New Roman"/>
          <w:szCs w:val="24"/>
        </w:rPr>
        <w:t xml:space="preserve"> informācij</w:t>
      </w:r>
      <w:r w:rsidR="00E45D77">
        <w:rPr>
          <w:rFonts w:cs="Times New Roman"/>
          <w:szCs w:val="24"/>
        </w:rPr>
        <w:t>a</w:t>
      </w:r>
      <w:r>
        <w:rPr>
          <w:rFonts w:cs="Times New Roman"/>
          <w:szCs w:val="24"/>
        </w:rPr>
        <w:t xml:space="preserve"> par iestādēm, kuras piedalīsies konkrētajā iepirkumā, darbinieku skaitu, kurus ir paredzēts apdrošināt, to vecumu, darba apstākļus un citu informāciju, kas ļauj apdrošināšanas sabiedrībām labāk izprast kontingentu. Iestādēm, kuras apvienojās iepirkumā, ir jāuzliek par pienākumu slēgt līgumu ar apdrošināšanas sabiedrību, kurai iepirkuma rezultātā ir labākais piedāvājums. Augstākas līgumcenas gadījumā apdrošināšanas sabiedrībām būs lielāka interese par šādu līgumu iegūšanu, tādēļ ir paredzams, ka piedāvājuma kvalitāte un piedāvātās polises segums būs labāks. Rīkojot iepirkumus, tehniskajā specifikācijā iestādes bieži vien iekļauj prasību iespējai apdrošināt darbinieku ģimenes locekļus, kā rezultātā tiek saņemts zemākas kvalitātes piedāvājums, jo tas ir saistīts ar papildus riskiem, kurus apdrošināšanas sabiedrība nespēj aprēķināt. Papildprogrammas, kuras darbinieki var izvēlēties paši, piemaksājot savus līdzekļus, apdrošināšanas sabiedrību skatījumā arī ir saistītas ar lielākiem riskiem, jo bieži vien papildprogrammas izvēlās tie cilvēki, kuri plāno tās izmantot. Gadījumā, ja papildprogrammas tiktu iepirktas pilnīgi visiem darbiniekiem vienkopus, tad šo papildprogrammu cena būtu krietni zemāka, rēķinot uz vienu polisi.</w:t>
      </w:r>
    </w:p>
    <w:p w:rsidR="00352094" w:rsidRDefault="00352094" w:rsidP="00352094">
      <w:pPr>
        <w:spacing w:after="120"/>
        <w:ind w:firstLine="720"/>
        <w:jc w:val="both"/>
        <w:rPr>
          <w:rFonts w:cs="Times New Roman"/>
          <w:szCs w:val="24"/>
        </w:rPr>
      </w:pPr>
      <w:r w:rsidRPr="0024268B">
        <w:rPr>
          <w:rFonts w:cs="Times New Roman"/>
          <w:szCs w:val="24"/>
        </w:rPr>
        <w:t>Aplūkojot veselības apdrošināšanas tirgus apmēru Latvijā (sk</w:t>
      </w:r>
      <w:r w:rsidR="0024268B" w:rsidRPr="0024268B">
        <w:rPr>
          <w:rFonts w:cs="Times New Roman"/>
          <w:szCs w:val="24"/>
        </w:rPr>
        <w:t>at</w:t>
      </w:r>
      <w:r w:rsidRPr="0024268B">
        <w:rPr>
          <w:rFonts w:cs="Times New Roman"/>
          <w:szCs w:val="24"/>
        </w:rPr>
        <w:t xml:space="preserve">. </w:t>
      </w:r>
      <w:r w:rsidR="0024268B" w:rsidRPr="0024268B">
        <w:rPr>
          <w:rFonts w:cs="Times New Roman"/>
          <w:szCs w:val="24"/>
        </w:rPr>
        <w:t>tabulu Nr.3.11.</w:t>
      </w:r>
      <w:r w:rsidRPr="0024268B">
        <w:rPr>
          <w:rFonts w:cs="Times New Roman"/>
          <w:szCs w:val="24"/>
        </w:rPr>
        <w:t>) var</w:t>
      </w:r>
      <w:r>
        <w:rPr>
          <w:rFonts w:cs="Times New Roman"/>
          <w:szCs w:val="24"/>
        </w:rPr>
        <w:t xml:space="preserve"> secināt, ka veselības apdrošināšanas tirgus Latvijā iepriekšējos četros gados ir audzis, kā arī auga budžeta iestāžu atvēlētie līdzekļi izdevumiem </w:t>
      </w:r>
      <w:r w:rsidRPr="002D3380">
        <w:rPr>
          <w:rFonts w:cs="Times New Roman"/>
          <w:szCs w:val="24"/>
        </w:rPr>
        <w:t>veselības</w:t>
      </w:r>
      <w:r>
        <w:rPr>
          <w:rFonts w:cs="Times New Roman"/>
          <w:szCs w:val="24"/>
        </w:rPr>
        <w:t xml:space="preserve"> apdrošināšanai un to īpatsvars pret kopējo tirgus daļu, kas ļauj secināt to, ka ņemot vērā veselības apdrošināšanas polises maksimāli noteiktos izdevumu griestus 213,48 </w:t>
      </w:r>
      <w:r w:rsidRPr="00B52D88">
        <w:rPr>
          <w:rFonts w:cs="Times New Roman"/>
          <w:i/>
          <w:szCs w:val="24"/>
        </w:rPr>
        <w:t>euro</w:t>
      </w:r>
      <w:r w:rsidRPr="002D3380">
        <w:rPr>
          <w:rFonts w:cs="Times New Roman"/>
          <w:szCs w:val="24"/>
        </w:rPr>
        <w:t xml:space="preserve">, </w:t>
      </w:r>
      <w:r>
        <w:rPr>
          <w:rFonts w:cs="Times New Roman"/>
          <w:szCs w:val="24"/>
        </w:rPr>
        <w:t>kopējais budžeta iestādēs apdrošināto personu skaits ik gadu pieaug. Budžeta iestādes grāmato savus izdevumus ekonomiskās klasifikācijas kodā 1227 “</w:t>
      </w:r>
      <w:r w:rsidRPr="002D3380">
        <w:rPr>
          <w:rFonts w:cs="Times New Roman"/>
          <w:szCs w:val="24"/>
        </w:rPr>
        <w:t>Valsts budžeta Darba devēja izdevumi veselības, dzīvības un nelaimes gadījumu apdrošināšanai</w:t>
      </w:r>
      <w:r>
        <w:rPr>
          <w:rFonts w:cs="Times New Roman"/>
          <w:szCs w:val="24"/>
        </w:rPr>
        <w:t>”, tādēļ precīzu summu, kas tērēta veselības apdrošināšanai precīzi noteikt nevar, jo šajā kodā tiek grāmatoti izdevumi arī dzīvības un nelaimes gadījumu apdrošināšanai, tomēr kopējā izdevumu tendence ir pieaugoša.</w:t>
      </w:r>
    </w:p>
    <w:p w:rsidR="00352094" w:rsidRPr="00E478E1" w:rsidRDefault="00352094" w:rsidP="00352094">
      <w:pPr>
        <w:jc w:val="right"/>
        <w:rPr>
          <w:rFonts w:cs="Times New Roman"/>
          <w:szCs w:val="24"/>
        </w:rPr>
      </w:pPr>
      <w:r w:rsidRPr="0024268B">
        <w:rPr>
          <w:rFonts w:cs="Times New Roman"/>
          <w:szCs w:val="24"/>
        </w:rPr>
        <w:t>Tabula Nr.</w:t>
      </w:r>
      <w:r w:rsidR="0024268B" w:rsidRPr="0024268B">
        <w:rPr>
          <w:rFonts w:cs="Times New Roman"/>
          <w:szCs w:val="24"/>
        </w:rPr>
        <w:t>3.1</w:t>
      </w:r>
      <w:r w:rsidRPr="0024268B">
        <w:rPr>
          <w:rFonts w:cs="Times New Roman"/>
          <w:szCs w:val="24"/>
        </w:rPr>
        <w:t>1</w:t>
      </w:r>
      <w:r w:rsidR="008B457B">
        <w:rPr>
          <w:rFonts w:cs="Times New Roman"/>
          <w:szCs w:val="24"/>
        </w:rPr>
        <w:t>.</w:t>
      </w:r>
    </w:p>
    <w:p w:rsidR="00352094" w:rsidRPr="005B3062" w:rsidRDefault="00352094" w:rsidP="00352094">
      <w:pPr>
        <w:spacing w:after="120"/>
        <w:jc w:val="center"/>
        <w:rPr>
          <w:rFonts w:cs="Times New Roman"/>
          <w:b/>
          <w:szCs w:val="24"/>
        </w:rPr>
      </w:pPr>
      <w:r w:rsidRPr="00732145">
        <w:rPr>
          <w:rFonts w:cs="Times New Roman"/>
          <w:b/>
          <w:szCs w:val="24"/>
        </w:rPr>
        <w:t xml:space="preserve">Veselības apdrošināšanas tirgus Latvijā, </w:t>
      </w:r>
      <w:r w:rsidRPr="00C86976">
        <w:rPr>
          <w:rFonts w:cs="Times New Roman"/>
          <w:b/>
          <w:i/>
          <w:szCs w:val="24"/>
        </w:rPr>
        <w:t>euro</w:t>
      </w:r>
      <w:r w:rsidR="005B3062" w:rsidRPr="005B3062">
        <w:rPr>
          <w:rStyle w:val="FootnoteReference"/>
          <w:rFonts w:cs="Times New Roman"/>
          <w:b/>
          <w:szCs w:val="24"/>
        </w:rPr>
        <w:footnoteReference w:id="21"/>
      </w:r>
    </w:p>
    <w:tbl>
      <w:tblPr>
        <w:tblStyle w:val="TableGrid1"/>
        <w:tblW w:w="5000" w:type="pct"/>
        <w:tblLook w:val="0600" w:firstRow="0" w:lastRow="0" w:firstColumn="0" w:lastColumn="0" w:noHBand="1" w:noVBand="1"/>
      </w:tblPr>
      <w:tblGrid>
        <w:gridCol w:w="3556"/>
        <w:gridCol w:w="1394"/>
        <w:gridCol w:w="1395"/>
        <w:gridCol w:w="1395"/>
        <w:gridCol w:w="1321"/>
      </w:tblGrid>
      <w:tr w:rsidR="00352094" w:rsidRPr="00E478E1" w:rsidTr="00BA616D">
        <w:trPr>
          <w:trHeight w:val="128"/>
          <w:tblHeader/>
        </w:trPr>
        <w:tc>
          <w:tcPr>
            <w:tcW w:w="1962" w:type="pct"/>
            <w:shd w:val="clear" w:color="auto" w:fill="C5E0B3" w:themeFill="accent6" w:themeFillTint="66"/>
            <w:vAlign w:val="center"/>
            <w:hideMark/>
          </w:tcPr>
          <w:p w:rsidR="00352094" w:rsidRPr="00E478E1" w:rsidRDefault="00352094" w:rsidP="00BA616D">
            <w:pPr>
              <w:spacing w:after="160" w:line="259" w:lineRule="auto"/>
              <w:jc w:val="center"/>
              <w:rPr>
                <w:rFonts w:ascii="Times New Roman" w:hAnsi="Times New Roman" w:cs="Times New Roman"/>
                <w:szCs w:val="24"/>
              </w:rPr>
            </w:pPr>
            <w:r w:rsidRPr="00E478E1">
              <w:rPr>
                <w:rFonts w:ascii="Times New Roman" w:hAnsi="Times New Roman" w:cs="Times New Roman"/>
                <w:b/>
                <w:bCs/>
                <w:szCs w:val="24"/>
              </w:rPr>
              <w:t>Pozīcijas nosaukums</w:t>
            </w:r>
          </w:p>
        </w:tc>
        <w:tc>
          <w:tcPr>
            <w:tcW w:w="769" w:type="pct"/>
            <w:shd w:val="clear" w:color="auto" w:fill="C5E0B3" w:themeFill="accent6" w:themeFillTint="66"/>
            <w:vAlign w:val="center"/>
            <w:hideMark/>
          </w:tcPr>
          <w:p w:rsidR="00352094" w:rsidRPr="00E478E1" w:rsidRDefault="00352094" w:rsidP="00BA616D">
            <w:pPr>
              <w:spacing w:after="160" w:line="259" w:lineRule="auto"/>
              <w:jc w:val="center"/>
              <w:rPr>
                <w:rFonts w:ascii="Times New Roman" w:hAnsi="Times New Roman" w:cs="Times New Roman"/>
                <w:szCs w:val="24"/>
              </w:rPr>
            </w:pPr>
            <w:r w:rsidRPr="00E478E1">
              <w:rPr>
                <w:rFonts w:ascii="Times New Roman" w:hAnsi="Times New Roman" w:cs="Times New Roman"/>
                <w:b/>
                <w:bCs/>
                <w:szCs w:val="24"/>
              </w:rPr>
              <w:t>2013.gads</w:t>
            </w:r>
          </w:p>
        </w:tc>
        <w:tc>
          <w:tcPr>
            <w:tcW w:w="770" w:type="pct"/>
            <w:shd w:val="clear" w:color="auto" w:fill="C5E0B3" w:themeFill="accent6" w:themeFillTint="66"/>
            <w:vAlign w:val="center"/>
            <w:hideMark/>
          </w:tcPr>
          <w:p w:rsidR="00352094" w:rsidRPr="00E478E1" w:rsidRDefault="00352094" w:rsidP="00BA616D">
            <w:pPr>
              <w:spacing w:after="160" w:line="259" w:lineRule="auto"/>
              <w:jc w:val="center"/>
              <w:rPr>
                <w:rFonts w:ascii="Times New Roman" w:hAnsi="Times New Roman" w:cs="Times New Roman"/>
                <w:szCs w:val="24"/>
              </w:rPr>
            </w:pPr>
            <w:r w:rsidRPr="00E478E1">
              <w:rPr>
                <w:rFonts w:ascii="Times New Roman" w:hAnsi="Times New Roman" w:cs="Times New Roman"/>
                <w:b/>
                <w:bCs/>
                <w:szCs w:val="24"/>
              </w:rPr>
              <w:t>2014.gads</w:t>
            </w:r>
          </w:p>
        </w:tc>
        <w:tc>
          <w:tcPr>
            <w:tcW w:w="770" w:type="pct"/>
            <w:shd w:val="clear" w:color="auto" w:fill="C5E0B3" w:themeFill="accent6" w:themeFillTint="66"/>
            <w:vAlign w:val="center"/>
            <w:hideMark/>
          </w:tcPr>
          <w:p w:rsidR="00352094" w:rsidRPr="00E478E1" w:rsidRDefault="00352094" w:rsidP="00BA616D">
            <w:pPr>
              <w:spacing w:after="160" w:line="259" w:lineRule="auto"/>
              <w:jc w:val="center"/>
              <w:rPr>
                <w:rFonts w:ascii="Times New Roman" w:hAnsi="Times New Roman" w:cs="Times New Roman"/>
                <w:szCs w:val="24"/>
              </w:rPr>
            </w:pPr>
            <w:r w:rsidRPr="00E478E1">
              <w:rPr>
                <w:rFonts w:ascii="Times New Roman" w:hAnsi="Times New Roman" w:cs="Times New Roman"/>
                <w:b/>
                <w:bCs/>
                <w:szCs w:val="24"/>
              </w:rPr>
              <w:t>2015.gads</w:t>
            </w:r>
          </w:p>
        </w:tc>
        <w:tc>
          <w:tcPr>
            <w:tcW w:w="729" w:type="pct"/>
            <w:shd w:val="clear" w:color="auto" w:fill="C5E0B3" w:themeFill="accent6" w:themeFillTint="66"/>
            <w:vAlign w:val="center"/>
            <w:hideMark/>
          </w:tcPr>
          <w:p w:rsidR="00352094" w:rsidRPr="00E478E1" w:rsidRDefault="00352094" w:rsidP="00BA616D">
            <w:pPr>
              <w:spacing w:after="160" w:line="259" w:lineRule="auto"/>
              <w:jc w:val="center"/>
              <w:rPr>
                <w:rFonts w:ascii="Times New Roman" w:hAnsi="Times New Roman" w:cs="Times New Roman"/>
                <w:szCs w:val="24"/>
              </w:rPr>
            </w:pPr>
            <w:r w:rsidRPr="00E478E1">
              <w:rPr>
                <w:rFonts w:ascii="Times New Roman" w:hAnsi="Times New Roman" w:cs="Times New Roman"/>
                <w:b/>
                <w:bCs/>
                <w:szCs w:val="24"/>
              </w:rPr>
              <w:t>2016.gads</w:t>
            </w:r>
          </w:p>
        </w:tc>
      </w:tr>
      <w:tr w:rsidR="00352094" w:rsidRPr="00E478E1" w:rsidTr="00BA616D">
        <w:trPr>
          <w:trHeight w:val="20"/>
        </w:trPr>
        <w:tc>
          <w:tcPr>
            <w:tcW w:w="1962" w:type="pct"/>
            <w:hideMark/>
          </w:tcPr>
          <w:p w:rsidR="00352094" w:rsidRPr="00E478E1" w:rsidRDefault="00352094" w:rsidP="00BA616D">
            <w:pPr>
              <w:spacing w:line="259" w:lineRule="auto"/>
              <w:rPr>
                <w:rFonts w:ascii="Times New Roman" w:hAnsi="Times New Roman" w:cs="Times New Roman"/>
                <w:szCs w:val="24"/>
              </w:rPr>
            </w:pPr>
            <w:r w:rsidRPr="00E478E1">
              <w:rPr>
                <w:rFonts w:ascii="Times New Roman" w:hAnsi="Times New Roman" w:cs="Times New Roman"/>
                <w:szCs w:val="24"/>
              </w:rPr>
              <w:t>Veselības apdrošināšanas tirgus Latvijā</w:t>
            </w:r>
          </w:p>
        </w:tc>
        <w:tc>
          <w:tcPr>
            <w:tcW w:w="769"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53 662 277</w:t>
            </w:r>
          </w:p>
        </w:tc>
        <w:tc>
          <w:tcPr>
            <w:tcW w:w="770"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61 129 633</w:t>
            </w:r>
          </w:p>
        </w:tc>
        <w:tc>
          <w:tcPr>
            <w:tcW w:w="770"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67 037 072</w:t>
            </w:r>
          </w:p>
        </w:tc>
        <w:tc>
          <w:tcPr>
            <w:tcW w:w="729"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73 456 137</w:t>
            </w:r>
          </w:p>
        </w:tc>
      </w:tr>
      <w:tr w:rsidR="00352094" w:rsidRPr="00E478E1" w:rsidTr="00BA616D">
        <w:trPr>
          <w:trHeight w:val="20"/>
        </w:trPr>
        <w:tc>
          <w:tcPr>
            <w:tcW w:w="1962" w:type="pct"/>
            <w:hideMark/>
          </w:tcPr>
          <w:p w:rsidR="00352094" w:rsidRPr="002412D3" w:rsidRDefault="00352094" w:rsidP="00BA616D">
            <w:pPr>
              <w:spacing w:line="259" w:lineRule="auto"/>
              <w:rPr>
                <w:rFonts w:ascii="Times New Roman" w:hAnsi="Times New Roman" w:cs="Times New Roman"/>
                <w:szCs w:val="24"/>
                <w:lang w:val="lv-LV"/>
              </w:rPr>
            </w:pPr>
            <w:r w:rsidRPr="002412D3">
              <w:rPr>
                <w:rFonts w:ascii="Times New Roman" w:hAnsi="Times New Roman" w:cs="Times New Roman"/>
                <w:szCs w:val="24"/>
                <w:lang w:val="lv-LV"/>
              </w:rPr>
              <w:t>Valsts budžeta Darba devēja izdevumi veselības, dzīvības un nelaimes gadījumu apdrošināšanai</w:t>
            </w:r>
          </w:p>
        </w:tc>
        <w:tc>
          <w:tcPr>
            <w:tcW w:w="769" w:type="pct"/>
            <w:vAlign w:val="center"/>
            <w:hideMark/>
          </w:tcPr>
          <w:p w:rsidR="00352094" w:rsidRPr="00E478E1" w:rsidRDefault="00352094" w:rsidP="00BA616D">
            <w:pPr>
              <w:spacing w:after="120" w:line="259" w:lineRule="auto"/>
              <w:jc w:val="center"/>
              <w:rPr>
                <w:rFonts w:ascii="Times New Roman" w:hAnsi="Times New Roman" w:cs="Times New Roman"/>
                <w:szCs w:val="24"/>
              </w:rPr>
            </w:pPr>
            <w:r w:rsidRPr="00E478E1">
              <w:rPr>
                <w:rFonts w:ascii="Times New Roman" w:hAnsi="Times New Roman" w:cs="Times New Roman"/>
                <w:szCs w:val="24"/>
              </w:rPr>
              <w:t>4 368 054</w:t>
            </w:r>
          </w:p>
        </w:tc>
        <w:tc>
          <w:tcPr>
            <w:tcW w:w="770" w:type="pct"/>
            <w:vAlign w:val="center"/>
            <w:hideMark/>
          </w:tcPr>
          <w:p w:rsidR="00352094" w:rsidRPr="00E478E1" w:rsidRDefault="00352094" w:rsidP="00BA616D">
            <w:pPr>
              <w:spacing w:after="120" w:line="259" w:lineRule="auto"/>
              <w:jc w:val="center"/>
              <w:rPr>
                <w:rFonts w:ascii="Times New Roman" w:hAnsi="Times New Roman" w:cs="Times New Roman"/>
                <w:szCs w:val="24"/>
              </w:rPr>
            </w:pPr>
            <w:r w:rsidRPr="00E478E1">
              <w:rPr>
                <w:rFonts w:ascii="Times New Roman" w:hAnsi="Times New Roman" w:cs="Times New Roman"/>
                <w:szCs w:val="24"/>
              </w:rPr>
              <w:t>5 943 133</w:t>
            </w:r>
          </w:p>
        </w:tc>
        <w:tc>
          <w:tcPr>
            <w:tcW w:w="770" w:type="pct"/>
            <w:vAlign w:val="center"/>
            <w:hideMark/>
          </w:tcPr>
          <w:p w:rsidR="00352094" w:rsidRPr="00E478E1" w:rsidRDefault="00352094" w:rsidP="00BA616D">
            <w:pPr>
              <w:spacing w:after="120" w:line="259" w:lineRule="auto"/>
              <w:jc w:val="center"/>
              <w:rPr>
                <w:rFonts w:ascii="Times New Roman" w:hAnsi="Times New Roman" w:cs="Times New Roman"/>
                <w:szCs w:val="24"/>
              </w:rPr>
            </w:pPr>
            <w:r w:rsidRPr="00E478E1">
              <w:rPr>
                <w:rFonts w:ascii="Times New Roman" w:hAnsi="Times New Roman" w:cs="Times New Roman"/>
                <w:szCs w:val="24"/>
              </w:rPr>
              <w:t>7 403 281</w:t>
            </w:r>
          </w:p>
        </w:tc>
        <w:tc>
          <w:tcPr>
            <w:tcW w:w="729" w:type="pct"/>
            <w:vAlign w:val="center"/>
            <w:hideMark/>
          </w:tcPr>
          <w:p w:rsidR="00352094" w:rsidRPr="00E478E1" w:rsidRDefault="00352094" w:rsidP="00BA616D">
            <w:pPr>
              <w:spacing w:after="120" w:line="259" w:lineRule="auto"/>
              <w:jc w:val="center"/>
              <w:rPr>
                <w:rFonts w:ascii="Times New Roman" w:hAnsi="Times New Roman" w:cs="Times New Roman"/>
                <w:szCs w:val="24"/>
              </w:rPr>
            </w:pPr>
            <w:r w:rsidRPr="00E478E1">
              <w:rPr>
                <w:rFonts w:ascii="Times New Roman" w:hAnsi="Times New Roman" w:cs="Times New Roman"/>
                <w:szCs w:val="24"/>
              </w:rPr>
              <w:t>8 113 243</w:t>
            </w:r>
          </w:p>
        </w:tc>
      </w:tr>
      <w:tr w:rsidR="00352094" w:rsidRPr="00E478E1" w:rsidTr="00BA616D">
        <w:trPr>
          <w:trHeight w:val="20"/>
        </w:trPr>
        <w:tc>
          <w:tcPr>
            <w:tcW w:w="1962" w:type="pct"/>
            <w:hideMark/>
          </w:tcPr>
          <w:p w:rsidR="00352094" w:rsidRPr="00E478E1" w:rsidRDefault="00352094" w:rsidP="00BA616D">
            <w:pPr>
              <w:spacing w:line="259" w:lineRule="auto"/>
              <w:rPr>
                <w:rFonts w:ascii="Times New Roman" w:hAnsi="Times New Roman" w:cs="Times New Roman"/>
                <w:szCs w:val="24"/>
              </w:rPr>
            </w:pPr>
            <w:r w:rsidRPr="00E478E1">
              <w:rPr>
                <w:rFonts w:ascii="Times New Roman" w:hAnsi="Times New Roman" w:cs="Times New Roman"/>
                <w:szCs w:val="24"/>
              </w:rPr>
              <w:t>% no kopējā veselības apdrošināšanas tirgus</w:t>
            </w:r>
          </w:p>
        </w:tc>
        <w:tc>
          <w:tcPr>
            <w:tcW w:w="769"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8,14%</w:t>
            </w:r>
          </w:p>
        </w:tc>
        <w:tc>
          <w:tcPr>
            <w:tcW w:w="770"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9,72%</w:t>
            </w:r>
          </w:p>
        </w:tc>
        <w:tc>
          <w:tcPr>
            <w:tcW w:w="770"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11,04%</w:t>
            </w:r>
          </w:p>
        </w:tc>
        <w:tc>
          <w:tcPr>
            <w:tcW w:w="729" w:type="pct"/>
            <w:vAlign w:val="center"/>
            <w:hideMark/>
          </w:tcPr>
          <w:p w:rsidR="00352094" w:rsidRPr="00E478E1" w:rsidRDefault="00352094" w:rsidP="00BA616D">
            <w:pPr>
              <w:spacing w:line="259" w:lineRule="auto"/>
              <w:jc w:val="center"/>
              <w:rPr>
                <w:rFonts w:ascii="Times New Roman" w:hAnsi="Times New Roman" w:cs="Times New Roman"/>
                <w:szCs w:val="24"/>
              </w:rPr>
            </w:pPr>
            <w:r w:rsidRPr="00E478E1">
              <w:rPr>
                <w:rFonts w:ascii="Times New Roman" w:hAnsi="Times New Roman" w:cs="Times New Roman"/>
                <w:szCs w:val="24"/>
              </w:rPr>
              <w:t>11,05%</w:t>
            </w:r>
          </w:p>
        </w:tc>
      </w:tr>
    </w:tbl>
    <w:p w:rsidR="00352094" w:rsidRDefault="00352094" w:rsidP="00352094">
      <w:pPr>
        <w:jc w:val="both"/>
        <w:rPr>
          <w:rFonts w:cs="Times New Roman"/>
          <w:szCs w:val="24"/>
        </w:rPr>
      </w:pPr>
    </w:p>
    <w:p w:rsidR="00352094" w:rsidRDefault="00352094" w:rsidP="00352094">
      <w:pPr>
        <w:spacing w:after="120"/>
        <w:ind w:firstLine="714"/>
        <w:jc w:val="both"/>
        <w:rPr>
          <w:rFonts w:cs="Times New Roman"/>
          <w:szCs w:val="24"/>
        </w:rPr>
      </w:pPr>
      <w:r>
        <w:rPr>
          <w:rFonts w:cs="Times New Roman"/>
          <w:szCs w:val="24"/>
        </w:rPr>
        <w:t xml:space="preserve">Pārrunājot darbinieku veselības apdrošināšanas iepirkuma centralizācijas iespējas ar ministriju atbildīgajām amatpersonām, tika secināts, ka šī brīža pieeja un pieredze iestādēm ir atšķirīga. Ir gadījumi, kad ministrijas un to iestādes rīko iepirkumus atsevišķi, apvienojas resora ietvaros vai apvienojas daļēji, kā arī ir gadījumi, kad ministrija startē vienotā iepirkumā ar kapitālsabiedrībām, kurās ministrija ir kapitāldaļu turētāja, tādejādi iegūstot lielāku līgumcenu un pēc iestāžu domām arī labāku piedāvājumu. Atbildot uz jautājumu vai iestādes saskata iespēju veselības apdrošināšanas iepirkuma centralizācijai izmantojot EIS valsts līmenī, praktiski visas aptaujātās iestādes ir norādījušas, ka jā, tomēr sākotnēji būtu svarīgi uzlabot EIS </w:t>
      </w:r>
      <w:r>
        <w:rPr>
          <w:rFonts w:cs="Times New Roman"/>
          <w:szCs w:val="24"/>
        </w:rPr>
        <w:lastRenderedPageBreak/>
        <w:t xml:space="preserve">pieejamā pakalpojuma kvalitāti. Apdrošināšanas sabiedrības centralizēta iepirkuma gadījumā arī varētu taupīt savu cilvēkresursu laiku uz piedāvājumu gatavošanu, turpmāk gatavojot nevis daudz un dažādus, bet koncentrējoties uz vienu kvalitatīvu piedāvājumu. </w:t>
      </w:r>
    </w:p>
    <w:p w:rsidR="00352094" w:rsidRDefault="00352094" w:rsidP="00352094">
      <w:pPr>
        <w:jc w:val="both"/>
        <w:rPr>
          <w:rFonts w:cs="Times New Roman"/>
          <w:b/>
          <w:szCs w:val="24"/>
        </w:rPr>
      </w:pPr>
      <w:r w:rsidRPr="00C8249D">
        <w:rPr>
          <w:rFonts w:cs="Times New Roman"/>
          <w:b/>
          <w:szCs w:val="24"/>
        </w:rPr>
        <w:t xml:space="preserve">Iespējamie </w:t>
      </w:r>
      <w:r w:rsidRPr="00B43163">
        <w:rPr>
          <w:rFonts w:cs="Times New Roman"/>
          <w:b/>
          <w:szCs w:val="24"/>
          <w:u w:val="single"/>
        </w:rPr>
        <w:t>riski</w:t>
      </w:r>
      <w:r>
        <w:rPr>
          <w:rFonts w:cs="Times New Roman"/>
          <w:b/>
          <w:szCs w:val="24"/>
          <w:u w:val="single"/>
        </w:rPr>
        <w:t>,</w:t>
      </w:r>
      <w:r w:rsidRPr="00C8249D">
        <w:rPr>
          <w:rFonts w:cs="Times New Roman"/>
          <w:b/>
          <w:szCs w:val="24"/>
        </w:rPr>
        <w:t xml:space="preserve"> rīkojot veselības apdrošināšanas iepirkumu centralizēti:</w:t>
      </w:r>
    </w:p>
    <w:p w:rsidR="00352094" w:rsidRPr="00247173" w:rsidRDefault="00352094" w:rsidP="008C25BB">
      <w:pPr>
        <w:pStyle w:val="ListParagraph"/>
        <w:numPr>
          <w:ilvl w:val="0"/>
          <w:numId w:val="104"/>
        </w:numPr>
        <w:spacing w:after="160" w:line="259" w:lineRule="auto"/>
        <w:jc w:val="both"/>
        <w:rPr>
          <w:rFonts w:cs="Times New Roman"/>
          <w:b/>
          <w:szCs w:val="24"/>
        </w:rPr>
      </w:pPr>
      <w:r w:rsidRPr="00247173">
        <w:rPr>
          <w:rFonts w:cs="Times New Roman"/>
          <w:szCs w:val="24"/>
        </w:rPr>
        <w:t>Centralizēti noteiktie kritēriji var neatbilst individuālām iestāžu vēlmēm;</w:t>
      </w:r>
    </w:p>
    <w:p w:rsidR="00352094" w:rsidRPr="00247173" w:rsidRDefault="00352094" w:rsidP="008C25BB">
      <w:pPr>
        <w:pStyle w:val="ListParagraph"/>
        <w:numPr>
          <w:ilvl w:val="0"/>
          <w:numId w:val="104"/>
        </w:numPr>
        <w:spacing w:after="160" w:line="259" w:lineRule="auto"/>
        <w:jc w:val="both"/>
        <w:rPr>
          <w:rFonts w:cs="Times New Roman"/>
          <w:b/>
          <w:szCs w:val="24"/>
        </w:rPr>
      </w:pPr>
      <w:r>
        <w:rPr>
          <w:rFonts w:cs="Times New Roman"/>
          <w:szCs w:val="24"/>
        </w:rPr>
        <w:t>T</w:t>
      </w:r>
      <w:r w:rsidRPr="00247173">
        <w:rPr>
          <w:rFonts w:cs="Times New Roman"/>
          <w:szCs w:val="24"/>
        </w:rPr>
        <w:t xml:space="preserve">ehniskajā specifikācijā </w:t>
      </w:r>
      <w:r>
        <w:rPr>
          <w:rFonts w:cs="Times New Roman"/>
          <w:szCs w:val="24"/>
        </w:rPr>
        <w:t>s</w:t>
      </w:r>
      <w:r w:rsidRPr="00247173">
        <w:rPr>
          <w:rFonts w:cs="Times New Roman"/>
          <w:szCs w:val="24"/>
        </w:rPr>
        <w:t>ākotnēji izvirzītie kritēriji ir pārāk augsti un</w:t>
      </w:r>
      <w:r>
        <w:rPr>
          <w:rFonts w:cs="Times New Roman"/>
          <w:szCs w:val="24"/>
        </w:rPr>
        <w:t xml:space="preserve"> rezultātā</w:t>
      </w:r>
      <w:r w:rsidRPr="00247173">
        <w:rPr>
          <w:rFonts w:cs="Times New Roman"/>
          <w:szCs w:val="24"/>
        </w:rPr>
        <w:t xml:space="preserve"> nepiesakās neviena apdrošināšanas </w:t>
      </w:r>
      <w:r>
        <w:rPr>
          <w:rFonts w:cs="Times New Roman"/>
          <w:szCs w:val="24"/>
        </w:rPr>
        <w:t>sabiedrība</w:t>
      </w:r>
      <w:r w:rsidRPr="00247173">
        <w:rPr>
          <w:rFonts w:cs="Times New Roman"/>
          <w:szCs w:val="24"/>
        </w:rPr>
        <w:t>;</w:t>
      </w:r>
    </w:p>
    <w:p w:rsidR="00352094" w:rsidRPr="00247173" w:rsidRDefault="00352094" w:rsidP="008C25BB">
      <w:pPr>
        <w:pStyle w:val="ListParagraph"/>
        <w:numPr>
          <w:ilvl w:val="0"/>
          <w:numId w:val="104"/>
        </w:numPr>
        <w:spacing w:after="160" w:line="259" w:lineRule="auto"/>
        <w:jc w:val="both"/>
        <w:rPr>
          <w:rFonts w:cs="Times New Roman"/>
          <w:b/>
          <w:szCs w:val="24"/>
        </w:rPr>
      </w:pPr>
      <w:r w:rsidRPr="00247173">
        <w:rPr>
          <w:rFonts w:cs="Times New Roman"/>
          <w:szCs w:val="24"/>
        </w:rPr>
        <w:t>Aizkavējas polišu atjaunošana laikā;</w:t>
      </w:r>
    </w:p>
    <w:p w:rsidR="00352094" w:rsidRPr="00247173" w:rsidRDefault="00352094" w:rsidP="008C25BB">
      <w:pPr>
        <w:pStyle w:val="ListParagraph"/>
        <w:numPr>
          <w:ilvl w:val="0"/>
          <w:numId w:val="104"/>
        </w:numPr>
        <w:spacing w:after="160" w:line="259" w:lineRule="auto"/>
        <w:jc w:val="both"/>
        <w:rPr>
          <w:rFonts w:cs="Times New Roman"/>
          <w:b/>
          <w:szCs w:val="24"/>
        </w:rPr>
      </w:pPr>
      <w:r w:rsidRPr="00247173">
        <w:rPr>
          <w:rFonts w:cs="Times New Roman"/>
          <w:szCs w:val="24"/>
        </w:rPr>
        <w:t>Sākotnēji izvirzītais mērķis uzlabot vidējo apdrošināšanas polises segumu netiek sasniegts</w:t>
      </w:r>
      <w:r>
        <w:rPr>
          <w:rFonts w:cs="Times New Roman"/>
          <w:szCs w:val="24"/>
        </w:rPr>
        <w:t>.</w:t>
      </w:r>
    </w:p>
    <w:p w:rsidR="00352094" w:rsidRDefault="00352094" w:rsidP="00352094">
      <w:pPr>
        <w:jc w:val="both"/>
        <w:rPr>
          <w:rFonts w:cs="Times New Roman"/>
          <w:b/>
          <w:szCs w:val="24"/>
        </w:rPr>
      </w:pPr>
      <w:r w:rsidRPr="00C8249D">
        <w:rPr>
          <w:rFonts w:cs="Times New Roman"/>
          <w:b/>
          <w:szCs w:val="24"/>
        </w:rPr>
        <w:t xml:space="preserve">Iespējamie </w:t>
      </w:r>
      <w:r w:rsidRPr="00B43163">
        <w:rPr>
          <w:rFonts w:cs="Times New Roman"/>
          <w:b/>
          <w:szCs w:val="24"/>
          <w:u w:val="single"/>
        </w:rPr>
        <w:t>ieguvumi</w:t>
      </w:r>
      <w:r>
        <w:rPr>
          <w:rFonts w:cs="Times New Roman"/>
          <w:b/>
          <w:szCs w:val="24"/>
          <w:u w:val="single"/>
        </w:rPr>
        <w:t>,</w:t>
      </w:r>
      <w:r w:rsidRPr="00C8249D">
        <w:rPr>
          <w:rFonts w:cs="Times New Roman"/>
          <w:b/>
          <w:szCs w:val="24"/>
        </w:rPr>
        <w:t xml:space="preserve"> rīkojot veselības apdrošināšanas iepirkumu centralizēti:</w:t>
      </w:r>
    </w:p>
    <w:p w:rsidR="00352094" w:rsidRDefault="00352094" w:rsidP="008C25BB">
      <w:pPr>
        <w:pStyle w:val="ListParagraph"/>
        <w:numPr>
          <w:ilvl w:val="0"/>
          <w:numId w:val="104"/>
        </w:numPr>
        <w:jc w:val="both"/>
      </w:pPr>
      <w:r>
        <w:t>Iepirkumu organizē eksperti;</w:t>
      </w:r>
    </w:p>
    <w:p w:rsidR="00352094" w:rsidRDefault="00352094" w:rsidP="008C25BB">
      <w:pPr>
        <w:pStyle w:val="ListParagraph"/>
        <w:numPr>
          <w:ilvl w:val="0"/>
          <w:numId w:val="104"/>
        </w:numPr>
        <w:jc w:val="both"/>
      </w:pPr>
      <w:r>
        <w:t>Lielāka apdrošināšanas sabiedrību interese par dalību iepirkumā;</w:t>
      </w:r>
    </w:p>
    <w:p w:rsidR="00352094" w:rsidRDefault="00352094" w:rsidP="008C25BB">
      <w:pPr>
        <w:pStyle w:val="ListParagraph"/>
        <w:numPr>
          <w:ilvl w:val="0"/>
          <w:numId w:val="104"/>
        </w:numPr>
        <w:jc w:val="both"/>
      </w:pPr>
      <w:r>
        <w:t>Iegādāto polišu vidējais segums un kvalitāte uzlabojas;</w:t>
      </w:r>
    </w:p>
    <w:p w:rsidR="00352094" w:rsidRPr="00343E3D" w:rsidRDefault="00352094" w:rsidP="008C25BB">
      <w:pPr>
        <w:pStyle w:val="ListParagraph"/>
        <w:numPr>
          <w:ilvl w:val="0"/>
          <w:numId w:val="104"/>
        </w:numPr>
        <w:spacing w:after="120"/>
        <w:jc w:val="both"/>
      </w:pPr>
      <w:r w:rsidRPr="00343E3D">
        <w:t>Tiek taupīts iestāžu resurss;</w:t>
      </w:r>
    </w:p>
    <w:p w:rsidR="00352094" w:rsidRPr="00343E3D" w:rsidRDefault="00352094" w:rsidP="008C25BB">
      <w:pPr>
        <w:pStyle w:val="ListParagraph"/>
        <w:numPr>
          <w:ilvl w:val="0"/>
          <w:numId w:val="104"/>
        </w:numPr>
        <w:spacing w:after="120"/>
        <w:jc w:val="both"/>
      </w:pPr>
      <w:r w:rsidRPr="00343E3D">
        <w:t>Vienkāršots līgumu administrēšanas process;</w:t>
      </w:r>
    </w:p>
    <w:p w:rsidR="00352094" w:rsidRDefault="00352094" w:rsidP="008C25BB">
      <w:pPr>
        <w:pStyle w:val="ListParagraph"/>
        <w:numPr>
          <w:ilvl w:val="0"/>
          <w:numId w:val="104"/>
        </w:numPr>
        <w:spacing w:after="120"/>
        <w:jc w:val="both"/>
      </w:pPr>
      <w:r>
        <w:t>Lielāka iepirkumu caurskatāmība.</w:t>
      </w:r>
    </w:p>
    <w:p w:rsidR="00352094" w:rsidRDefault="00352094" w:rsidP="00352094">
      <w:pPr>
        <w:spacing w:after="120"/>
        <w:ind w:firstLine="720"/>
        <w:jc w:val="both"/>
        <w:rPr>
          <w:rFonts w:cs="Times New Roman"/>
          <w:szCs w:val="24"/>
        </w:rPr>
      </w:pPr>
      <w:r>
        <w:rPr>
          <w:rFonts w:cs="Times New Roman"/>
          <w:szCs w:val="24"/>
        </w:rPr>
        <w:t xml:space="preserve">FM sava resora ietvaros ir veikusi padotības iestāžu aptauju par aptuveni patērētām stundām pēdējā veselības apdrošināšanas iepirkuma organizēšanai. Aptaujas rezultāti parāda, ka tās iestādes, kuras pašas veica iepirkuma procedūru, vidēji patērēja 164,38 h cilvēkstundas </w:t>
      </w:r>
      <w:r w:rsidRPr="0024268B">
        <w:rPr>
          <w:rFonts w:cs="Times New Roman"/>
          <w:szCs w:val="24"/>
        </w:rPr>
        <w:t>(sk</w:t>
      </w:r>
      <w:r w:rsidR="00875B3E" w:rsidRPr="0024268B">
        <w:rPr>
          <w:rFonts w:cs="Times New Roman"/>
          <w:szCs w:val="24"/>
        </w:rPr>
        <w:t>at</w:t>
      </w:r>
      <w:r w:rsidRPr="0024268B">
        <w:rPr>
          <w:rFonts w:cs="Times New Roman"/>
          <w:szCs w:val="24"/>
        </w:rPr>
        <w:t>.</w:t>
      </w:r>
      <w:r w:rsidR="00875B3E" w:rsidRPr="0024268B">
        <w:rPr>
          <w:rFonts w:cs="Times New Roman"/>
          <w:szCs w:val="24"/>
        </w:rPr>
        <w:t xml:space="preserve"> </w:t>
      </w:r>
      <w:r w:rsidRPr="0024268B">
        <w:rPr>
          <w:rFonts w:cs="Times New Roman"/>
          <w:szCs w:val="24"/>
        </w:rPr>
        <w:t>tabulu Nr.</w:t>
      </w:r>
      <w:r w:rsidR="0024268B" w:rsidRPr="0024268B">
        <w:rPr>
          <w:rFonts w:cs="Times New Roman"/>
          <w:szCs w:val="24"/>
        </w:rPr>
        <w:t>3.1</w:t>
      </w:r>
      <w:r w:rsidRPr="0024268B">
        <w:rPr>
          <w:rFonts w:cs="Times New Roman"/>
          <w:szCs w:val="24"/>
        </w:rPr>
        <w:t>2</w:t>
      </w:r>
      <w:r w:rsidR="0024268B" w:rsidRPr="0024268B">
        <w:rPr>
          <w:rFonts w:cs="Times New Roman"/>
          <w:szCs w:val="24"/>
        </w:rPr>
        <w:t>.</w:t>
      </w:r>
      <w:r w:rsidRPr="0024268B">
        <w:rPr>
          <w:rFonts w:cs="Times New Roman"/>
          <w:szCs w:val="24"/>
        </w:rPr>
        <w:t>),</w:t>
      </w:r>
      <w:r>
        <w:rPr>
          <w:rFonts w:cs="Times New Roman"/>
          <w:szCs w:val="24"/>
        </w:rPr>
        <w:t xml:space="preserve"> lai nodrošinātu veselības apdrošināšanu saviem darbiniekiem. </w:t>
      </w:r>
      <w:r w:rsidR="00875B3E" w:rsidRPr="00C7191E">
        <w:rPr>
          <w:rFonts w:cs="Times New Roman"/>
          <w:szCs w:val="24"/>
        </w:rPr>
        <w:t xml:space="preserve">Izložu un azartspēļu uzraudzības inspekcija </w:t>
      </w:r>
      <w:r>
        <w:rPr>
          <w:rFonts w:cs="Times New Roman"/>
          <w:szCs w:val="24"/>
        </w:rPr>
        <w:t>līgumcenas ziņā atrodas</w:t>
      </w:r>
      <w:r w:rsidRPr="00D10346">
        <w:rPr>
          <w:rFonts w:cs="Times New Roman"/>
          <w:szCs w:val="24"/>
        </w:rPr>
        <w:t xml:space="preserve"> zem Publisko iepirkumu likumā (redakcija uz 15.02.2017.) noteiktā </w:t>
      </w:r>
      <w:r>
        <w:rPr>
          <w:rFonts w:cs="Times New Roman"/>
          <w:szCs w:val="24"/>
        </w:rPr>
        <w:t>10</w:t>
      </w:r>
      <w:r w:rsidR="00875B3E">
        <w:rPr>
          <w:rFonts w:cs="Times New Roman"/>
          <w:szCs w:val="24"/>
        </w:rPr>
        <w:t> </w:t>
      </w:r>
      <w:r w:rsidRPr="00150231">
        <w:rPr>
          <w:rFonts w:cs="Times New Roman"/>
          <w:szCs w:val="24"/>
        </w:rPr>
        <w:t>000</w:t>
      </w:r>
      <w:r w:rsidR="00875B3E">
        <w:rPr>
          <w:rFonts w:cs="Times New Roman"/>
          <w:szCs w:val="24"/>
        </w:rPr>
        <w:t> </w:t>
      </w:r>
      <w:r w:rsidRPr="0025333B">
        <w:rPr>
          <w:rFonts w:cs="Times New Roman"/>
          <w:i/>
          <w:szCs w:val="24"/>
        </w:rPr>
        <w:t>euro</w:t>
      </w:r>
      <w:r w:rsidRPr="00150231">
        <w:rPr>
          <w:rFonts w:cs="Times New Roman"/>
          <w:szCs w:val="24"/>
        </w:rPr>
        <w:t xml:space="preserve"> </w:t>
      </w:r>
      <w:r w:rsidRPr="00D10346">
        <w:rPr>
          <w:rFonts w:cs="Times New Roman"/>
          <w:szCs w:val="24"/>
        </w:rPr>
        <w:t>sliekšņa, tādē</w:t>
      </w:r>
      <w:r>
        <w:rPr>
          <w:rFonts w:cs="Times New Roman"/>
          <w:szCs w:val="24"/>
        </w:rPr>
        <w:t>ļ</w:t>
      </w:r>
      <w:r w:rsidRPr="00D10346">
        <w:rPr>
          <w:rFonts w:cs="Times New Roman"/>
          <w:szCs w:val="24"/>
        </w:rPr>
        <w:t xml:space="preserve"> tehniskā specifikācija </w:t>
      </w:r>
      <w:r>
        <w:rPr>
          <w:rFonts w:cs="Times New Roman"/>
          <w:szCs w:val="24"/>
        </w:rPr>
        <w:t xml:space="preserve">nebija nepieciešama </w:t>
      </w:r>
      <w:r w:rsidRPr="00D10346">
        <w:rPr>
          <w:rFonts w:cs="Times New Roman"/>
          <w:szCs w:val="24"/>
        </w:rPr>
        <w:t>un iepirkuma procedūra netika veikta</w:t>
      </w:r>
      <w:r>
        <w:rPr>
          <w:rFonts w:cs="Times New Roman"/>
          <w:szCs w:val="24"/>
        </w:rPr>
        <w:t xml:space="preserve">. </w:t>
      </w:r>
      <w:r w:rsidR="00875B3E" w:rsidRPr="00C7191E">
        <w:rPr>
          <w:rFonts w:cs="Times New Roman"/>
          <w:szCs w:val="24"/>
        </w:rPr>
        <w:t xml:space="preserve">Iepirkumu </w:t>
      </w:r>
      <w:r w:rsidR="00C7191E">
        <w:rPr>
          <w:rFonts w:cs="Times New Roman"/>
          <w:szCs w:val="24"/>
        </w:rPr>
        <w:t>uzraudzības birojs</w:t>
      </w:r>
      <w:r w:rsidRPr="00C7191E">
        <w:rPr>
          <w:rFonts w:cs="Times New Roman"/>
          <w:szCs w:val="24"/>
        </w:rPr>
        <w:t xml:space="preserve"> bija apvienojies</w:t>
      </w:r>
      <w:r>
        <w:rPr>
          <w:rFonts w:cs="Times New Roman"/>
          <w:szCs w:val="24"/>
        </w:rPr>
        <w:t xml:space="preserve"> ar </w:t>
      </w:r>
      <w:r w:rsidR="001A3394">
        <w:rPr>
          <w:rFonts w:cs="Times New Roman"/>
          <w:szCs w:val="24"/>
        </w:rPr>
        <w:t xml:space="preserve">Centrālo finanšu un līgumu aģentūru (turpmāk – </w:t>
      </w:r>
      <w:r>
        <w:rPr>
          <w:rFonts w:cs="Times New Roman"/>
          <w:szCs w:val="24"/>
        </w:rPr>
        <w:t>CFLA</w:t>
      </w:r>
      <w:r w:rsidR="001A3394">
        <w:rPr>
          <w:rFonts w:cs="Times New Roman"/>
          <w:szCs w:val="24"/>
        </w:rPr>
        <w:t>)</w:t>
      </w:r>
      <w:r>
        <w:rPr>
          <w:rFonts w:cs="Times New Roman"/>
          <w:szCs w:val="24"/>
        </w:rPr>
        <w:t>, tādēļ pieņēmumu aprēķinā arī netika uzrādīta.</w:t>
      </w:r>
    </w:p>
    <w:p w:rsidR="00352094" w:rsidRDefault="00352094" w:rsidP="00061CA2">
      <w:pPr>
        <w:spacing w:after="120"/>
        <w:jc w:val="right"/>
        <w:rPr>
          <w:rFonts w:cs="Times New Roman"/>
          <w:szCs w:val="24"/>
        </w:rPr>
      </w:pPr>
      <w:r w:rsidRPr="0024268B">
        <w:rPr>
          <w:rFonts w:cs="Times New Roman"/>
          <w:szCs w:val="24"/>
        </w:rPr>
        <w:t>Tabula Nr.</w:t>
      </w:r>
      <w:r w:rsidR="0024268B" w:rsidRPr="0024268B">
        <w:rPr>
          <w:rFonts w:cs="Times New Roman"/>
          <w:szCs w:val="24"/>
        </w:rPr>
        <w:t>3.1</w:t>
      </w:r>
      <w:r w:rsidRPr="0024268B">
        <w:rPr>
          <w:rFonts w:cs="Times New Roman"/>
          <w:szCs w:val="24"/>
        </w:rPr>
        <w:t>2</w:t>
      </w:r>
      <w:r w:rsidR="0024268B" w:rsidRPr="0024268B">
        <w:rPr>
          <w:rFonts w:cs="Times New Roman"/>
          <w:szCs w:val="24"/>
        </w:rPr>
        <w:t>.</w:t>
      </w:r>
    </w:p>
    <w:p w:rsidR="00352094" w:rsidRPr="00563A4C" w:rsidRDefault="00352094" w:rsidP="00061CA2">
      <w:pPr>
        <w:spacing w:after="120"/>
        <w:jc w:val="center"/>
        <w:rPr>
          <w:rFonts w:cs="Times New Roman"/>
          <w:b/>
          <w:szCs w:val="24"/>
        </w:rPr>
      </w:pPr>
      <w:r w:rsidRPr="00563A4C">
        <w:rPr>
          <w:rFonts w:cs="Times New Roman"/>
          <w:b/>
          <w:szCs w:val="24"/>
        </w:rPr>
        <w:t>Veselības apdrošināšanas iepirkumam patērētais laiks FM resorā</w:t>
      </w:r>
    </w:p>
    <w:tbl>
      <w:tblPr>
        <w:tblW w:w="5000" w:type="pct"/>
        <w:jc w:val="center"/>
        <w:tblLook w:val="04A0" w:firstRow="1" w:lastRow="0" w:firstColumn="1" w:lastColumn="0" w:noHBand="0" w:noVBand="1"/>
      </w:tblPr>
      <w:tblGrid>
        <w:gridCol w:w="2323"/>
        <w:gridCol w:w="2454"/>
        <w:gridCol w:w="4284"/>
      </w:tblGrid>
      <w:tr w:rsidR="00352094" w:rsidRPr="00E478E1" w:rsidTr="00061CA2">
        <w:trPr>
          <w:trHeight w:val="630"/>
          <w:jc w:val="center"/>
        </w:trPr>
        <w:tc>
          <w:tcPr>
            <w:tcW w:w="1282" w:type="pc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352094" w:rsidRPr="00E478E1" w:rsidRDefault="00352094" w:rsidP="00BA616D">
            <w:pPr>
              <w:jc w:val="center"/>
              <w:rPr>
                <w:rFonts w:eastAsia="Times New Roman" w:cs="Times New Roman"/>
                <w:b/>
                <w:bCs/>
                <w:color w:val="000000"/>
                <w:sz w:val="22"/>
                <w:szCs w:val="24"/>
                <w:lang w:eastAsia="lv-LV"/>
              </w:rPr>
            </w:pPr>
            <w:r w:rsidRPr="00E478E1">
              <w:rPr>
                <w:rFonts w:eastAsia="Times New Roman" w:cs="Times New Roman"/>
                <w:b/>
                <w:bCs/>
                <w:color w:val="000000"/>
                <w:sz w:val="22"/>
                <w:szCs w:val="24"/>
                <w:lang w:eastAsia="lv-LV"/>
              </w:rPr>
              <w:t>Iestāde</w:t>
            </w:r>
          </w:p>
        </w:tc>
        <w:tc>
          <w:tcPr>
            <w:tcW w:w="1354"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52094" w:rsidRPr="00E478E1" w:rsidRDefault="00352094" w:rsidP="00BA616D">
            <w:pPr>
              <w:jc w:val="center"/>
              <w:rPr>
                <w:rFonts w:eastAsia="Times New Roman" w:cs="Times New Roman"/>
                <w:b/>
                <w:bCs/>
                <w:color w:val="000000"/>
                <w:sz w:val="22"/>
                <w:szCs w:val="24"/>
                <w:lang w:eastAsia="lv-LV"/>
              </w:rPr>
            </w:pPr>
            <w:r w:rsidRPr="00E478E1">
              <w:rPr>
                <w:rFonts w:eastAsia="Times New Roman" w:cs="Times New Roman"/>
                <w:b/>
                <w:bCs/>
                <w:color w:val="000000"/>
                <w:sz w:val="22"/>
                <w:szCs w:val="24"/>
                <w:lang w:eastAsia="lv-LV"/>
              </w:rPr>
              <w:t>Patērētās stundas</w:t>
            </w:r>
          </w:p>
        </w:tc>
        <w:tc>
          <w:tcPr>
            <w:tcW w:w="2364"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352094" w:rsidRPr="00E478E1" w:rsidRDefault="00352094" w:rsidP="00BA616D">
            <w:pPr>
              <w:jc w:val="center"/>
              <w:rPr>
                <w:rFonts w:eastAsia="Times New Roman" w:cs="Times New Roman"/>
                <w:b/>
                <w:bCs/>
                <w:color w:val="000000"/>
                <w:sz w:val="22"/>
                <w:szCs w:val="24"/>
                <w:lang w:eastAsia="lv-LV"/>
              </w:rPr>
            </w:pPr>
            <w:r w:rsidRPr="00E478E1">
              <w:rPr>
                <w:rFonts w:eastAsia="Times New Roman" w:cs="Times New Roman"/>
                <w:b/>
                <w:bCs/>
                <w:color w:val="000000"/>
                <w:sz w:val="22"/>
                <w:szCs w:val="24"/>
                <w:lang w:eastAsia="lv-LV"/>
              </w:rPr>
              <w:t>Iepirkuma organizēšana</w:t>
            </w:r>
          </w:p>
        </w:tc>
      </w:tr>
      <w:tr w:rsidR="00352094" w:rsidRPr="00E478E1" w:rsidTr="00061CA2">
        <w:trPr>
          <w:trHeight w:val="315"/>
          <w:jc w:val="center"/>
        </w:trPr>
        <w:tc>
          <w:tcPr>
            <w:tcW w:w="1282" w:type="pct"/>
            <w:tcBorders>
              <w:top w:val="nil"/>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FM</w:t>
            </w:r>
          </w:p>
        </w:tc>
        <w:tc>
          <w:tcPr>
            <w:tcW w:w="135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106</w:t>
            </w:r>
          </w:p>
        </w:tc>
        <w:tc>
          <w:tcPr>
            <w:tcW w:w="236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Organizē patstāvīgi</w:t>
            </w:r>
          </w:p>
        </w:tc>
      </w:tr>
      <w:tr w:rsidR="00352094" w:rsidRPr="00E478E1" w:rsidTr="00061CA2">
        <w:trPr>
          <w:trHeight w:val="315"/>
          <w:jc w:val="center"/>
        </w:trPr>
        <w:tc>
          <w:tcPr>
            <w:tcW w:w="1282" w:type="pct"/>
            <w:tcBorders>
              <w:top w:val="nil"/>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CFLA</w:t>
            </w:r>
          </w:p>
        </w:tc>
        <w:tc>
          <w:tcPr>
            <w:tcW w:w="135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180</w:t>
            </w:r>
          </w:p>
        </w:tc>
        <w:tc>
          <w:tcPr>
            <w:tcW w:w="236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Organizē patstāvīgi</w:t>
            </w:r>
          </w:p>
        </w:tc>
      </w:tr>
      <w:tr w:rsidR="00352094" w:rsidRPr="00E478E1" w:rsidTr="00061CA2">
        <w:trPr>
          <w:trHeight w:val="315"/>
          <w:jc w:val="center"/>
        </w:trPr>
        <w:tc>
          <w:tcPr>
            <w:tcW w:w="1282" w:type="pct"/>
            <w:tcBorders>
              <w:top w:val="nil"/>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C37E91">
            <w:pPr>
              <w:jc w:val="center"/>
              <w:rPr>
                <w:rFonts w:eastAsia="Times New Roman" w:cs="Times New Roman"/>
                <w:color w:val="000000"/>
                <w:sz w:val="22"/>
                <w:szCs w:val="24"/>
                <w:lang w:eastAsia="lv-LV"/>
              </w:rPr>
            </w:pPr>
            <w:r w:rsidRPr="00977FAD">
              <w:rPr>
                <w:rFonts w:eastAsia="Times New Roman" w:cs="Times New Roman"/>
                <w:color w:val="000000"/>
                <w:sz w:val="22"/>
                <w:szCs w:val="24"/>
                <w:lang w:eastAsia="lv-LV"/>
              </w:rPr>
              <w:t>V</w:t>
            </w:r>
            <w:r w:rsidR="00977FAD" w:rsidRPr="00977FAD">
              <w:rPr>
                <w:rFonts w:eastAsia="Times New Roman" w:cs="Times New Roman"/>
                <w:color w:val="000000"/>
                <w:sz w:val="22"/>
                <w:szCs w:val="24"/>
                <w:lang w:eastAsia="lv-LV"/>
              </w:rPr>
              <w:t>alsts kase</w:t>
            </w:r>
          </w:p>
        </w:tc>
        <w:tc>
          <w:tcPr>
            <w:tcW w:w="135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143</w:t>
            </w:r>
          </w:p>
        </w:tc>
        <w:tc>
          <w:tcPr>
            <w:tcW w:w="236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Organizē patstāvīgi</w:t>
            </w:r>
          </w:p>
        </w:tc>
      </w:tr>
      <w:tr w:rsidR="00352094" w:rsidRPr="00E478E1" w:rsidTr="00061CA2">
        <w:trPr>
          <w:trHeight w:val="315"/>
          <w:jc w:val="center"/>
        </w:trPr>
        <w:tc>
          <w:tcPr>
            <w:tcW w:w="1282" w:type="pct"/>
            <w:tcBorders>
              <w:top w:val="nil"/>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VID</w:t>
            </w:r>
          </w:p>
        </w:tc>
        <w:tc>
          <w:tcPr>
            <w:tcW w:w="135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228,5</w:t>
            </w:r>
          </w:p>
        </w:tc>
        <w:tc>
          <w:tcPr>
            <w:tcW w:w="2364" w:type="pct"/>
            <w:tcBorders>
              <w:top w:val="nil"/>
              <w:left w:val="nil"/>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Organizē patstāvīgi</w:t>
            </w:r>
          </w:p>
        </w:tc>
      </w:tr>
      <w:tr w:rsidR="00352094" w:rsidRPr="00E478E1" w:rsidTr="00061CA2">
        <w:trPr>
          <w:trHeight w:val="315"/>
          <w:jc w:val="center"/>
        </w:trPr>
        <w:tc>
          <w:tcPr>
            <w:tcW w:w="1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Kopā h:</w:t>
            </w:r>
          </w:p>
        </w:tc>
        <w:tc>
          <w:tcPr>
            <w:tcW w:w="1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657,5</w:t>
            </w:r>
          </w:p>
        </w:tc>
        <w:tc>
          <w:tcPr>
            <w:tcW w:w="2364" w:type="pct"/>
            <w:tcBorders>
              <w:top w:val="nil"/>
              <w:left w:val="single" w:sz="4" w:space="0" w:color="auto"/>
              <w:bottom w:val="nil"/>
              <w:right w:val="nil"/>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p>
        </w:tc>
      </w:tr>
      <w:tr w:rsidR="00352094" w:rsidRPr="00E478E1" w:rsidTr="00061CA2">
        <w:trPr>
          <w:trHeight w:val="315"/>
          <w:jc w:val="center"/>
        </w:trPr>
        <w:tc>
          <w:tcPr>
            <w:tcW w:w="12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Vidēji h:</w:t>
            </w:r>
          </w:p>
        </w:tc>
        <w:tc>
          <w:tcPr>
            <w:tcW w:w="1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r w:rsidRPr="00E478E1">
              <w:rPr>
                <w:rFonts w:eastAsia="Times New Roman" w:cs="Times New Roman"/>
                <w:color w:val="000000"/>
                <w:sz w:val="22"/>
                <w:szCs w:val="24"/>
                <w:lang w:eastAsia="lv-LV"/>
              </w:rPr>
              <w:t>164,38</w:t>
            </w:r>
          </w:p>
        </w:tc>
        <w:tc>
          <w:tcPr>
            <w:tcW w:w="2364" w:type="pct"/>
            <w:tcBorders>
              <w:top w:val="nil"/>
              <w:left w:val="single" w:sz="4" w:space="0" w:color="auto"/>
              <w:bottom w:val="nil"/>
              <w:right w:val="nil"/>
            </w:tcBorders>
            <w:shd w:val="clear" w:color="auto" w:fill="auto"/>
            <w:noWrap/>
            <w:vAlign w:val="bottom"/>
            <w:hideMark/>
          </w:tcPr>
          <w:p w:rsidR="00352094" w:rsidRPr="00E478E1" w:rsidRDefault="00352094" w:rsidP="00BA616D">
            <w:pPr>
              <w:jc w:val="center"/>
              <w:rPr>
                <w:rFonts w:eastAsia="Times New Roman" w:cs="Times New Roman"/>
                <w:color w:val="000000"/>
                <w:sz w:val="22"/>
                <w:szCs w:val="24"/>
                <w:lang w:eastAsia="lv-LV"/>
              </w:rPr>
            </w:pPr>
          </w:p>
        </w:tc>
      </w:tr>
    </w:tbl>
    <w:p w:rsidR="00352094" w:rsidRPr="00F06E8D" w:rsidRDefault="00352094" w:rsidP="00352094">
      <w:pPr>
        <w:rPr>
          <w:rFonts w:cs="Times New Roman"/>
          <w:szCs w:val="24"/>
        </w:rPr>
      </w:pPr>
    </w:p>
    <w:p w:rsidR="00352094" w:rsidRPr="00F06E8D" w:rsidRDefault="00352094" w:rsidP="00BA3D36">
      <w:pPr>
        <w:ind w:firstLine="720"/>
        <w:jc w:val="both"/>
        <w:rPr>
          <w:rFonts w:cs="Times New Roman"/>
          <w:szCs w:val="24"/>
        </w:rPr>
      </w:pPr>
      <w:r w:rsidRPr="00F06E8D">
        <w:rPr>
          <w:rFonts w:cs="Times New Roman"/>
          <w:szCs w:val="24"/>
        </w:rPr>
        <w:t>Kopējie izdevumi veselības apdrošināšanas nodrošināšanai virs 10</w:t>
      </w:r>
      <w:r w:rsidR="001A3394">
        <w:rPr>
          <w:rFonts w:cs="Times New Roman"/>
          <w:szCs w:val="24"/>
        </w:rPr>
        <w:t> </w:t>
      </w:r>
      <w:r w:rsidRPr="00F06E8D">
        <w:rPr>
          <w:rFonts w:cs="Times New Roman"/>
          <w:szCs w:val="24"/>
        </w:rPr>
        <w:t xml:space="preserve">000 </w:t>
      </w:r>
      <w:r w:rsidRPr="00F06E8D">
        <w:rPr>
          <w:rFonts w:cs="Times New Roman"/>
          <w:i/>
          <w:szCs w:val="24"/>
        </w:rPr>
        <w:t>euro</w:t>
      </w:r>
      <w:r w:rsidRPr="00F06E8D">
        <w:rPr>
          <w:rFonts w:cs="Times New Roman"/>
          <w:szCs w:val="24"/>
        </w:rPr>
        <w:t xml:space="preserve"> 2016.gadā bija 57 iestādēm (ministrijām to padotības iestādēm un citām centrālām valsts budžeta iestādēm). Informāciju par līdzekļu izlietojumu veselības apdrošināšanai iestādes sniedza 2017.gada martā. </w:t>
      </w:r>
    </w:p>
    <w:p w:rsidR="00352094" w:rsidRPr="00F06E8D" w:rsidRDefault="00352094" w:rsidP="00BA3D36">
      <w:pPr>
        <w:ind w:firstLine="720"/>
        <w:jc w:val="both"/>
        <w:rPr>
          <w:rFonts w:cs="Times New Roman"/>
          <w:szCs w:val="24"/>
        </w:rPr>
      </w:pPr>
      <w:r w:rsidRPr="00F06E8D">
        <w:rPr>
          <w:rFonts w:cs="Times New Roman"/>
          <w:szCs w:val="24"/>
        </w:rPr>
        <w:t>Veicot pieņēmuma aprēķinu par valsts budžeta iestāžu aptuveni patērēto laiku pēdējā veselības apdrošināšanas iepirkuma organizēšanai, par pamatu izmantojot FM iepriekš apkopoto informāciju, var izdarīt sekojošu secinājumu:</w:t>
      </w:r>
    </w:p>
    <w:p w:rsidR="00352094" w:rsidRPr="00633913" w:rsidRDefault="00352094" w:rsidP="00BA3D36">
      <w:pPr>
        <w:ind w:firstLine="720"/>
        <w:jc w:val="both"/>
        <w:rPr>
          <w:rFonts w:cs="Times New Roman"/>
          <w:szCs w:val="24"/>
        </w:rPr>
      </w:pPr>
      <w:r w:rsidRPr="00F06E8D">
        <w:rPr>
          <w:rFonts w:cs="Times New Roman"/>
          <w:szCs w:val="24"/>
        </w:rPr>
        <w:t xml:space="preserve">Ja visas iepriekš minētās 57 iestādes katra atsevišķi rīko veselības apdrošināšanas iepirkumu, un pieņemot, ka katra iestāde patērē līdzīgu laiku tā rīkošanai kā FM iestādes, tad </w:t>
      </w:r>
      <w:r w:rsidRPr="00F06E8D">
        <w:rPr>
          <w:rFonts w:cs="Times New Roman"/>
          <w:szCs w:val="24"/>
        </w:rPr>
        <w:lastRenderedPageBreak/>
        <w:t>kopējais budžeta iestāžu patērētais laiks būtu 57 (iestādes) * 164,38</w:t>
      </w:r>
      <w:r>
        <w:rPr>
          <w:rFonts w:cs="Times New Roman"/>
          <w:szCs w:val="24"/>
        </w:rPr>
        <w:t xml:space="preserve"> </w:t>
      </w:r>
      <w:r w:rsidRPr="00F06E8D">
        <w:rPr>
          <w:rFonts w:cs="Times New Roman"/>
          <w:szCs w:val="24"/>
        </w:rPr>
        <w:t xml:space="preserve">h (vidēji iestādē patērētais </w:t>
      </w:r>
      <w:r w:rsidRPr="00633913">
        <w:rPr>
          <w:rFonts w:cs="Times New Roman"/>
          <w:szCs w:val="24"/>
        </w:rPr>
        <w:t>laiks) = 9 369,66 h vai 1 171,2 cilvēkdienas.</w:t>
      </w:r>
    </w:p>
    <w:p w:rsidR="00352094" w:rsidRPr="00633913" w:rsidRDefault="00352094" w:rsidP="00BA3D36">
      <w:pPr>
        <w:ind w:firstLine="720"/>
        <w:jc w:val="both"/>
        <w:rPr>
          <w:rFonts w:cs="Times New Roman"/>
          <w:szCs w:val="24"/>
        </w:rPr>
      </w:pPr>
      <w:r w:rsidRPr="00633913">
        <w:rPr>
          <w:rFonts w:cs="Times New Roman"/>
          <w:szCs w:val="24"/>
        </w:rPr>
        <w:t>Veicot veselības apdrošināšanas iepirkumu centralizēti visām tiešās valsts pārvaldes iestādēm, varētu tikt mazināts administratīvais slogs ministrijām, kā rezultātā būtu iespēja pārvirzīt esošos resursus citiem mērķiem.</w:t>
      </w:r>
    </w:p>
    <w:p w:rsidR="00352094" w:rsidRDefault="00352094" w:rsidP="00BA3D36">
      <w:pPr>
        <w:ind w:firstLine="720"/>
        <w:jc w:val="both"/>
        <w:rPr>
          <w:rFonts w:cs="Times New Roman"/>
          <w:szCs w:val="24"/>
          <w:highlight w:val="yellow"/>
        </w:rPr>
      </w:pPr>
      <w:r w:rsidRPr="00633913">
        <w:rPr>
          <w:rFonts w:cs="Times New Roman"/>
          <w:szCs w:val="24"/>
        </w:rPr>
        <w:t xml:space="preserve">FM, pamatojoties uz provizoriskajām aplēsēm un ekspertu novērtējumu, veica iespējamā ietaupījuma aprēķinu katrā ministrijā. Kopējais ietaupījums </w:t>
      </w:r>
      <w:r w:rsidRPr="00633913">
        <w:rPr>
          <w:rFonts w:cs="Times New Roman"/>
          <w:i/>
          <w:szCs w:val="24"/>
        </w:rPr>
        <w:t>euro</w:t>
      </w:r>
      <w:r w:rsidRPr="00633913">
        <w:rPr>
          <w:rFonts w:cs="Times New Roman"/>
          <w:szCs w:val="24"/>
        </w:rPr>
        <w:t xml:space="preserve"> izteiksmē tika aprēķināts par pamatu ņemot aplēses par patērēto laiku darbinieku veselības apdrošināšanas iepirkuma organizēšanai FM resorā, un pārrēķinot vidējo vienā iestādē patērēto laiku uz visām tiešās pārvaldes iestādēm, kuras 2016.gadā veselības apdrošināšanai tērēja vairāk par 10</w:t>
      </w:r>
      <w:r w:rsidR="001A3394">
        <w:rPr>
          <w:rFonts w:cs="Times New Roman"/>
          <w:szCs w:val="24"/>
        </w:rPr>
        <w:t> </w:t>
      </w:r>
      <w:r w:rsidRPr="00633913">
        <w:rPr>
          <w:rFonts w:cs="Times New Roman"/>
          <w:szCs w:val="24"/>
        </w:rPr>
        <w:t>000</w:t>
      </w:r>
      <w:r w:rsidR="001A3394">
        <w:rPr>
          <w:rFonts w:cs="Times New Roman"/>
          <w:szCs w:val="24"/>
        </w:rPr>
        <w:t> </w:t>
      </w:r>
      <w:r w:rsidRPr="00633913">
        <w:rPr>
          <w:rFonts w:cs="Times New Roman"/>
          <w:i/>
          <w:szCs w:val="24"/>
        </w:rPr>
        <w:t>euro</w:t>
      </w:r>
      <w:r w:rsidRPr="0028564E">
        <w:rPr>
          <w:rFonts w:cs="Times New Roman"/>
          <w:szCs w:val="24"/>
        </w:rPr>
        <w:t>,</w:t>
      </w:r>
      <w:r w:rsidRPr="00633913">
        <w:rPr>
          <w:rFonts w:cs="Times New Roman"/>
          <w:i/>
          <w:szCs w:val="24"/>
        </w:rPr>
        <w:t xml:space="preserve"> </w:t>
      </w:r>
      <w:r w:rsidRPr="00633913">
        <w:rPr>
          <w:rFonts w:cs="Times New Roman"/>
          <w:szCs w:val="24"/>
        </w:rPr>
        <w:t xml:space="preserve">un kā ietaupījuma koeficientu aprēķinot 85% no patērētā laika, kas naudas izteiksmē sastāda </w:t>
      </w:r>
      <w:r w:rsidRPr="00633913">
        <w:rPr>
          <w:rFonts w:eastAsia="Times New Roman" w:cs="Times New Roman"/>
          <w:bCs/>
          <w:color w:val="000000"/>
          <w:lang w:eastAsia="lv-LV"/>
        </w:rPr>
        <w:t>76 302</w:t>
      </w:r>
      <w:r w:rsidRPr="00633913">
        <w:rPr>
          <w:rFonts w:cs="Times New Roman"/>
          <w:szCs w:val="24"/>
        </w:rPr>
        <w:t xml:space="preserve"> </w:t>
      </w:r>
      <w:r w:rsidRPr="007210A3">
        <w:rPr>
          <w:rFonts w:cs="Times New Roman"/>
          <w:i/>
          <w:szCs w:val="24"/>
        </w:rPr>
        <w:t>euro</w:t>
      </w:r>
      <w:r w:rsidRPr="007210A3">
        <w:rPr>
          <w:rFonts w:cs="Times New Roman"/>
          <w:szCs w:val="24"/>
        </w:rPr>
        <w:t xml:space="preserve"> (sk</w:t>
      </w:r>
      <w:r w:rsidR="001A3394" w:rsidRPr="007210A3">
        <w:rPr>
          <w:rFonts w:cs="Times New Roman"/>
          <w:szCs w:val="24"/>
        </w:rPr>
        <w:t>at</w:t>
      </w:r>
      <w:r w:rsidRPr="00442135">
        <w:rPr>
          <w:rFonts w:cs="Times New Roman"/>
          <w:szCs w:val="24"/>
        </w:rPr>
        <w:t>. tabulu Nr.</w:t>
      </w:r>
      <w:r w:rsidR="005934A8" w:rsidRPr="00442135">
        <w:rPr>
          <w:rFonts w:cs="Times New Roman"/>
          <w:szCs w:val="24"/>
        </w:rPr>
        <w:t>3.1</w:t>
      </w:r>
      <w:r w:rsidRPr="00442135">
        <w:rPr>
          <w:rFonts w:cs="Times New Roman"/>
          <w:szCs w:val="24"/>
        </w:rPr>
        <w:t>3</w:t>
      </w:r>
      <w:r w:rsidR="005934A8" w:rsidRPr="00442135">
        <w:rPr>
          <w:rFonts w:cs="Times New Roman"/>
          <w:szCs w:val="24"/>
        </w:rPr>
        <w:t>.</w:t>
      </w:r>
      <w:r w:rsidRPr="00442135">
        <w:rPr>
          <w:rFonts w:cs="Times New Roman"/>
          <w:szCs w:val="24"/>
        </w:rPr>
        <w:t>).</w:t>
      </w:r>
    </w:p>
    <w:p w:rsidR="00352094" w:rsidRDefault="00352094" w:rsidP="00BA3D36">
      <w:pPr>
        <w:ind w:firstLine="720"/>
        <w:jc w:val="both"/>
        <w:rPr>
          <w:rFonts w:cs="Times New Roman"/>
          <w:szCs w:val="24"/>
        </w:rPr>
      </w:pPr>
      <w:r w:rsidRPr="00F06E8D">
        <w:rPr>
          <w:rFonts w:cs="Times New Roman"/>
          <w:szCs w:val="24"/>
        </w:rPr>
        <w:t>Tāpat vērts pieminēt, ka 27 valsts budžeta iestāžu izdevumi nepārsniedz</w:t>
      </w:r>
      <w:r>
        <w:rPr>
          <w:rFonts w:cs="Times New Roman"/>
          <w:szCs w:val="24"/>
        </w:rPr>
        <w:t xml:space="preserve"> Publisko iepirkumu likumā noteikto robežu 10</w:t>
      </w:r>
      <w:r w:rsidR="001A3394">
        <w:rPr>
          <w:rFonts w:cs="Times New Roman"/>
          <w:szCs w:val="24"/>
        </w:rPr>
        <w:t> </w:t>
      </w:r>
      <w:r>
        <w:rPr>
          <w:rFonts w:cs="Times New Roman"/>
          <w:szCs w:val="24"/>
        </w:rPr>
        <w:t>000</w:t>
      </w:r>
      <w:r w:rsidR="001A3394">
        <w:rPr>
          <w:rFonts w:cs="Times New Roman"/>
          <w:szCs w:val="24"/>
        </w:rPr>
        <w:t> </w:t>
      </w:r>
      <w:r w:rsidRPr="00B04D16">
        <w:rPr>
          <w:rFonts w:cs="Times New Roman"/>
          <w:i/>
          <w:szCs w:val="24"/>
        </w:rPr>
        <w:t>euro</w:t>
      </w:r>
      <w:r>
        <w:rPr>
          <w:rFonts w:cs="Times New Roman"/>
          <w:szCs w:val="24"/>
        </w:rPr>
        <w:t>, kas ļauj tām veikt veselības apdrošināšanas polišu iegādi, neveicot iepirkuma procedūru.</w:t>
      </w:r>
    </w:p>
    <w:p w:rsidR="00352094" w:rsidRDefault="00352094" w:rsidP="00BA3D36">
      <w:pPr>
        <w:ind w:firstLine="720"/>
        <w:jc w:val="both"/>
        <w:rPr>
          <w:rFonts w:cs="Times New Roman"/>
          <w:szCs w:val="24"/>
        </w:rPr>
      </w:pPr>
      <w:r>
        <w:rPr>
          <w:rFonts w:cs="Times New Roman"/>
          <w:szCs w:val="24"/>
        </w:rPr>
        <w:t>Ministriju ieskatā s</w:t>
      </w:r>
      <w:r w:rsidRPr="00101583">
        <w:rPr>
          <w:rFonts w:cs="Times New Roman"/>
          <w:szCs w:val="24"/>
        </w:rPr>
        <w:t xml:space="preserve">varīgākais iemesls, kādēļ </w:t>
      </w:r>
      <w:r>
        <w:rPr>
          <w:rFonts w:cs="Times New Roman"/>
          <w:szCs w:val="24"/>
        </w:rPr>
        <w:t>tās</w:t>
      </w:r>
      <w:r w:rsidRPr="00101583">
        <w:rPr>
          <w:rFonts w:cs="Times New Roman"/>
          <w:szCs w:val="24"/>
        </w:rPr>
        <w:t xml:space="preserve"> rīko atsevišķus konkursus, nevis iegādājas veselības apdrošināšanas pakalpojumu izmantojot EIS ir tas, ka veselības apdrošināšana EIS ir ar nepietiekami labu segumu, un iestādēm rīkojot</w:t>
      </w:r>
      <w:r>
        <w:rPr>
          <w:rFonts w:cs="Times New Roman"/>
          <w:szCs w:val="24"/>
        </w:rPr>
        <w:t xml:space="preserve"> katrai savu </w:t>
      </w:r>
      <w:r w:rsidRPr="00101583">
        <w:rPr>
          <w:rFonts w:cs="Times New Roman"/>
          <w:szCs w:val="24"/>
        </w:rPr>
        <w:t xml:space="preserve">atsevišķu iepirkumu ir iespējams iegūt veselības apdrošināšanas polises ar daudz </w:t>
      </w:r>
      <w:r>
        <w:rPr>
          <w:rFonts w:cs="Times New Roman"/>
          <w:szCs w:val="24"/>
        </w:rPr>
        <w:t>labākiem nosacījumiem. Vēl viens, tomēr mazāk svarīgs iemesls, kuru min ministrijas, ir tas, ka apdrošināšanas līgumu noslēgšanas termiņi katrai iestādei ir dažādi, tādēļ apvienoties un startēt vienotā iepirkumā ir sarežģīti.</w:t>
      </w:r>
    </w:p>
    <w:p w:rsidR="00352094" w:rsidRDefault="00352094" w:rsidP="00BA3D36">
      <w:pPr>
        <w:ind w:firstLine="720"/>
        <w:jc w:val="both"/>
      </w:pPr>
      <w:r>
        <w:t>Iegādājoties veselības apdrošināšanas polises (kuras termiņš parasti ir viens gads), līdz šim iestādes Publisko iepirkumu likumā noteiktajā kārtībā organizēja iepirkumus, sagatavojot iepirkuma nolikumu (kurš paredz iestādei tieši katrai iestādei labvēlīgākos pakalpojumus) un iepirkuma komisijai vērtējot pretendentu piedāvājumus pēc iestādes izstrādātajiem kritērijiem. Iepirkumu veikšana iestādēs ir ļāvusi ne tikai noteikt nepieciešamo pakalpojumu apjomu vai maksimālo polises cenu (atbilstoši atvēlētajam finansējumam), bet arī pakalpojuma nodrošināšanas veidus un pakalpojuma lietošanas ērtumu. Katra iestāde noteica vērtēšanas metodes, pēc kurām tā vērtē pretendentu piedāvājumus un izvēlas tai piemērotāko pakalpojuma sniedzēju. Šādi iepirkumi tiek veikti vidēji reizi gadā un iestādes laika gaitā ir uzkrājušas pieredzi pakalpojuma iegādē.</w:t>
      </w:r>
    </w:p>
    <w:p w:rsidR="00352094" w:rsidRDefault="00352094" w:rsidP="00BA3D36">
      <w:pPr>
        <w:ind w:firstLine="720"/>
        <w:jc w:val="both"/>
      </w:pPr>
      <w:r>
        <w:t>Ar 2017.gada 1.martu stājās spēkā normatīvais regulējums, kas paredz obligātu prasību tiešās pārvaldes iestādēm iegādāties centralizēti EIS darbinieku veselības apdrošināšanas pakalpojumus, par kuriem centralizēto iepirkuma procedūru rīkojusi VRAA.</w:t>
      </w:r>
    </w:p>
    <w:p w:rsidR="00352094" w:rsidRDefault="00352094" w:rsidP="00BA3D36">
      <w:pPr>
        <w:ind w:firstLine="720"/>
        <w:jc w:val="both"/>
      </w:pPr>
      <w:r>
        <w:t xml:space="preserve">Publisko iepirkumu likuma 17.panta </w:t>
      </w:r>
      <w:r w:rsidRPr="00AC6D9E">
        <w:t>7</w:t>
      </w:r>
      <w:r>
        <w:t>.daļa nosaka to, ka</w:t>
      </w:r>
      <w:r w:rsidRPr="00AC6D9E">
        <w:t xml:space="preserve"> </w:t>
      </w:r>
      <w:r>
        <w:t>“</w:t>
      </w:r>
      <w:r w:rsidRPr="00AC6D9E">
        <w:t xml:space="preserve">Tiešās pārvaldes iestādēm ir pienākums preces un pakalpojumus iegādāties no </w:t>
      </w:r>
      <w:r>
        <w:t>MK</w:t>
      </w:r>
      <w:r w:rsidRPr="00AC6D9E">
        <w:t xml:space="preserve"> noteiktās centralizēto iepirkumu institūcijas vai ar tās starpniecību, ja attiecīgās preces vai pakalpojumi ietilpst </w:t>
      </w:r>
      <w:r>
        <w:t>MK</w:t>
      </w:r>
      <w:r w:rsidRPr="00AC6D9E">
        <w:t xml:space="preserve"> noteiktajās preču un pakalpojumu grupās un to līgumcena 12 mēnešu laikā attiecīgajā preču vai pakalpojumu grupā ir 1000 </w:t>
      </w:r>
      <w:r w:rsidRPr="00016AFE">
        <w:rPr>
          <w:i/>
        </w:rPr>
        <w:t>euro</w:t>
      </w:r>
      <w:r w:rsidR="0028564E">
        <w:rPr>
          <w:i/>
        </w:rPr>
        <w:t xml:space="preserve"> </w:t>
      </w:r>
      <w:r w:rsidRPr="00AC6D9E">
        <w:t xml:space="preserve">vai lielāka. Šis nosacījums neattiecas uz šā panta </w:t>
      </w:r>
      <w:r>
        <w:t>desmitajā daļā minēto gadījumu.”</w:t>
      </w:r>
    </w:p>
    <w:p w:rsidR="00352094" w:rsidRDefault="00352094" w:rsidP="00BA3D36">
      <w:pPr>
        <w:ind w:firstLine="720"/>
        <w:jc w:val="both"/>
      </w:pPr>
      <w:r>
        <w:t>MK 2017.gada 1.marta noteikumos Nr.108 “</w:t>
      </w:r>
      <w:r w:rsidRPr="005D7CFD">
        <w:t>Publisko elektronisko iepirkumu noteikumi</w:t>
      </w:r>
      <w:r>
        <w:t>” 1.pielikumā ir norādītas preču grupas uz kurām attiecas Publisko iepirkuma likumā augstām minētās normas.</w:t>
      </w:r>
    </w:p>
    <w:p w:rsidR="00352094" w:rsidRDefault="00352094" w:rsidP="00BA3D36">
      <w:pPr>
        <w:ind w:firstLine="720"/>
        <w:jc w:val="both"/>
      </w:pPr>
      <w:r>
        <w:t>Tomēr neskatoties uz to, ka jau šobrīd normatīvajā regulējumā ir atrunāta prasība veselības apdrošināšanas pakalpojumus iepirkt izmantojot EIS, atšķirīga no EIS piedāvājuma vajadzību gadījumā, tiešās pārvaldes iestādēm ir iespēja veikt specifiskām prasībām atbilstošu atsevišķu iepirkumu.</w:t>
      </w:r>
    </w:p>
    <w:p w:rsidR="00352094" w:rsidRPr="00B371EE" w:rsidRDefault="00352094" w:rsidP="00BA3D36">
      <w:pPr>
        <w:ind w:firstLine="720"/>
        <w:jc w:val="both"/>
      </w:pPr>
      <w:r w:rsidRPr="00B371EE">
        <w:t xml:space="preserve">Kopumā ministrijas atbalsta EIS attīstību un saredz iespēju līdzekļu ietaupījumam izmantojot šo sistēmu, tomēr neskatoties uz to ministrijas norāda, ka pastāv gadījumi, kad ārpus EIS veiktais iepirkums ir finansiāli izdevīgāks vai par to pašu cenu, par kādu ir iespējams </w:t>
      </w:r>
      <w:r w:rsidRPr="00B371EE">
        <w:lastRenderedPageBreak/>
        <w:t>iegādāties preces vai pakalpojumus EIS, ir iespēja iegūt augstākas kvalitātes preci vai pakalpojumu.</w:t>
      </w:r>
    </w:p>
    <w:p w:rsidR="00352094" w:rsidRPr="00B371EE" w:rsidRDefault="00352094" w:rsidP="00BA3D36">
      <w:pPr>
        <w:pStyle w:val="NormalWeb"/>
        <w:spacing w:before="0" w:beforeAutospacing="0" w:after="0" w:afterAutospacing="0"/>
        <w:ind w:firstLine="720"/>
        <w:jc w:val="both"/>
        <w:rPr>
          <w:color w:val="FF0000"/>
        </w:rPr>
      </w:pPr>
      <w:r w:rsidRPr="00B371EE">
        <w:t xml:space="preserve">Izvērtējot pozitīvo pieredzi centralizēto iepirkumu veikšanā, izmaksu efektīvi un racionāli centralizētos iepirkumus </w:t>
      </w:r>
      <w:r w:rsidR="00D36320">
        <w:t xml:space="preserve">var </w:t>
      </w:r>
      <w:r w:rsidRPr="00B371EE">
        <w:t>veikt iepirkumiem, kuriem ir vienāds iepirkuma priekšmets</w:t>
      </w:r>
      <w:r w:rsidR="00D36320">
        <w:t xml:space="preserve">, </w:t>
      </w:r>
      <w:r w:rsidRPr="00B371EE">
        <w:t>atkarībā no iepirkuma priekšmeta, teritoriālais izvietojums</w:t>
      </w:r>
      <w:r w:rsidR="00D36320">
        <w:t>,</w:t>
      </w:r>
      <w:r w:rsidRPr="00B371EE">
        <w:t xml:space="preserve"> maksimāli līdzīgs termiņš pēc nepieciešamās preces/pakalpojuma. Vienlaikus jāatzīmē, ka ne visos centralizētajos iepirkumos ir līdzekļu ekonomija, jo ir arī objektīvi apstākļi tirgū un ekonomikā kopumā, kuru ietekmē cenu samazinājums iepirkuma rezultātā, kaut arī tiek iepirkts palielināts preču/pakalpojumu apjoms, nav iespējams. </w:t>
      </w:r>
    </w:p>
    <w:p w:rsidR="00D36320" w:rsidRPr="00B371EE" w:rsidRDefault="00D36320" w:rsidP="00BA3D36">
      <w:pPr>
        <w:ind w:firstLine="720"/>
        <w:jc w:val="both"/>
        <w:rPr>
          <w:szCs w:val="24"/>
        </w:rPr>
      </w:pPr>
      <w:r w:rsidRPr="00B371EE">
        <w:rPr>
          <w:szCs w:val="24"/>
        </w:rPr>
        <w:t>VARAM iesaka nodrošināt centralizāciju visas valsts pārvaldes ietvaros, vispirms veicot valsts pārvaldes darbam nepieciešamo preču/pakalpojumu vienotu standartizāciju un rezultātā iepirkumu veikšana notiek centralizēti, izmantojot EIS. Rezultātā tiek būtiski ietaupīti personāla resursi katrā valsts pārvaldes iestādē, kas šobrīd nepieciešami iepirkumu veikšanai, samazinās administratīvais slogs. Uzņēmējiem ir skaidri definētas valsts pārvaldes vajadzības, kas veicina konkurenci, cenu samazinājumu, kā arī atklātību un caurspīdīgumu iepirkumu veikšanā.</w:t>
      </w:r>
    </w:p>
    <w:p w:rsidR="00352094" w:rsidRPr="00633913" w:rsidRDefault="00D36320" w:rsidP="00BA3D36">
      <w:pPr>
        <w:ind w:firstLine="720"/>
        <w:jc w:val="both"/>
        <w:rPr>
          <w:szCs w:val="24"/>
        </w:rPr>
      </w:pPr>
      <w:r>
        <w:rPr>
          <w:szCs w:val="24"/>
        </w:rPr>
        <w:t xml:space="preserve">Papildus attiecībā uz EIS, ja </w:t>
      </w:r>
      <w:r w:rsidR="00352094" w:rsidRPr="00633913">
        <w:rPr>
          <w:szCs w:val="24"/>
        </w:rPr>
        <w:t xml:space="preserve">VRAA veic darbības konkurences palielināšanai </w:t>
      </w:r>
      <w:r w:rsidR="0028564E">
        <w:rPr>
          <w:szCs w:val="24"/>
        </w:rPr>
        <w:t>EIS</w:t>
      </w:r>
      <w:r w:rsidR="00352094" w:rsidRPr="00633913">
        <w:rPr>
          <w:szCs w:val="24"/>
        </w:rPr>
        <w:t xml:space="preserve"> e</w:t>
      </w:r>
      <w:r>
        <w:rPr>
          <w:szCs w:val="24"/>
        </w:rPr>
        <w:noBreakHyphen/>
      </w:r>
      <w:r w:rsidR="00352094" w:rsidRPr="00633913">
        <w:rPr>
          <w:szCs w:val="24"/>
        </w:rPr>
        <w:t>katalogu darījumos valsts budžeta iestādēs</w:t>
      </w:r>
      <w:r>
        <w:rPr>
          <w:szCs w:val="24"/>
        </w:rPr>
        <w:t>, tad</w:t>
      </w:r>
      <w:r w:rsidR="00352094" w:rsidRPr="00633913">
        <w:rPr>
          <w:szCs w:val="24"/>
        </w:rPr>
        <w:t xml:space="preserve">: </w:t>
      </w:r>
    </w:p>
    <w:p w:rsidR="00352094" w:rsidRPr="00442135" w:rsidRDefault="00352094" w:rsidP="008C25BB">
      <w:pPr>
        <w:pStyle w:val="ListParagraph"/>
        <w:numPr>
          <w:ilvl w:val="0"/>
          <w:numId w:val="118"/>
        </w:numPr>
        <w:spacing w:after="120"/>
        <w:ind w:left="714" w:hanging="357"/>
        <w:contextualSpacing w:val="0"/>
        <w:jc w:val="both"/>
        <w:rPr>
          <w:szCs w:val="24"/>
        </w:rPr>
      </w:pPr>
      <w:r w:rsidRPr="00633913">
        <w:rPr>
          <w:szCs w:val="24"/>
        </w:rPr>
        <w:t>samazin</w:t>
      </w:r>
      <w:r w:rsidR="00D36320">
        <w:rPr>
          <w:szCs w:val="24"/>
        </w:rPr>
        <w:t>ot</w:t>
      </w:r>
      <w:r w:rsidRPr="00633913">
        <w:rPr>
          <w:szCs w:val="24"/>
        </w:rPr>
        <w:t xml:space="preserve"> speciālā darījuma (atliktā groza) limitu visos katalogos no līdzšinējiem 42</w:t>
      </w:r>
      <w:r w:rsidR="0028564E">
        <w:rPr>
          <w:szCs w:val="24"/>
        </w:rPr>
        <w:t> </w:t>
      </w:r>
      <w:r w:rsidRPr="00633913">
        <w:rPr>
          <w:szCs w:val="24"/>
        </w:rPr>
        <w:t>000</w:t>
      </w:r>
      <w:r w:rsidR="0028564E">
        <w:rPr>
          <w:szCs w:val="24"/>
        </w:rPr>
        <w:t> </w:t>
      </w:r>
      <w:r w:rsidRPr="00633913">
        <w:rPr>
          <w:i/>
          <w:szCs w:val="24"/>
        </w:rPr>
        <w:t>euro</w:t>
      </w:r>
      <w:r w:rsidRPr="00633913">
        <w:rPr>
          <w:szCs w:val="24"/>
        </w:rPr>
        <w:t xml:space="preserve"> bez PVN uz 10 000 </w:t>
      </w:r>
      <w:r w:rsidRPr="00633913">
        <w:rPr>
          <w:i/>
          <w:szCs w:val="24"/>
        </w:rPr>
        <w:t>euro</w:t>
      </w:r>
      <w:r w:rsidR="0028564E">
        <w:rPr>
          <w:szCs w:val="24"/>
        </w:rPr>
        <w:t xml:space="preserve"> bez PVN</w:t>
      </w:r>
      <w:r w:rsidR="00D36320">
        <w:rPr>
          <w:szCs w:val="24"/>
        </w:rPr>
        <w:t xml:space="preserve"> – a</w:t>
      </w:r>
      <w:r w:rsidRPr="00633913">
        <w:rPr>
          <w:szCs w:val="24"/>
        </w:rPr>
        <w:t xml:space="preserve">tliktā groza principa piemērošanas gadījumā palielinās piegādātāju konkurence, kuras rezultātā var prognozēt piedāvāto </w:t>
      </w:r>
      <w:r w:rsidRPr="00442135">
        <w:rPr>
          <w:szCs w:val="24"/>
        </w:rPr>
        <w:t>cenu samazinājumu</w:t>
      </w:r>
      <w:r w:rsidR="00D36320">
        <w:rPr>
          <w:szCs w:val="24"/>
        </w:rPr>
        <w:t xml:space="preserve"> (p</w:t>
      </w:r>
      <w:r w:rsidRPr="00442135">
        <w:rPr>
          <w:szCs w:val="24"/>
        </w:rPr>
        <w:t>rognozējamais ietaupījums – vismaz 5%, t.i.</w:t>
      </w:r>
      <w:r w:rsidR="0028564E" w:rsidRPr="00442135">
        <w:rPr>
          <w:szCs w:val="24"/>
        </w:rPr>
        <w:t>,</w:t>
      </w:r>
      <w:r w:rsidRPr="00442135">
        <w:rPr>
          <w:szCs w:val="24"/>
        </w:rPr>
        <w:t xml:space="preserve"> 261</w:t>
      </w:r>
      <w:r w:rsidR="0028564E" w:rsidRPr="00442135">
        <w:rPr>
          <w:szCs w:val="24"/>
        </w:rPr>
        <w:t> </w:t>
      </w:r>
      <w:r w:rsidRPr="00442135">
        <w:rPr>
          <w:szCs w:val="24"/>
        </w:rPr>
        <w:t>361</w:t>
      </w:r>
      <w:r w:rsidR="0028564E" w:rsidRPr="00442135">
        <w:rPr>
          <w:szCs w:val="24"/>
        </w:rPr>
        <w:t> </w:t>
      </w:r>
      <w:r w:rsidRPr="00442135">
        <w:rPr>
          <w:i/>
          <w:szCs w:val="24"/>
        </w:rPr>
        <w:t>euro</w:t>
      </w:r>
      <w:r w:rsidRPr="00442135">
        <w:rPr>
          <w:szCs w:val="24"/>
        </w:rPr>
        <w:t xml:space="preserve"> (sk</w:t>
      </w:r>
      <w:r w:rsidR="0028564E" w:rsidRPr="00442135">
        <w:rPr>
          <w:szCs w:val="24"/>
        </w:rPr>
        <w:t>at</w:t>
      </w:r>
      <w:r w:rsidRPr="00442135">
        <w:rPr>
          <w:szCs w:val="24"/>
        </w:rPr>
        <w:t>. tabulu Nr.3</w:t>
      </w:r>
      <w:r w:rsidR="007210A3" w:rsidRPr="00442135">
        <w:rPr>
          <w:szCs w:val="24"/>
        </w:rPr>
        <w:t>.13.</w:t>
      </w:r>
      <w:r w:rsidRPr="00442135">
        <w:rPr>
          <w:szCs w:val="24"/>
        </w:rPr>
        <w:t>)</w:t>
      </w:r>
      <w:r w:rsidR="00D36320">
        <w:rPr>
          <w:szCs w:val="24"/>
        </w:rPr>
        <w:t>)</w:t>
      </w:r>
      <w:r w:rsidRPr="00442135">
        <w:rPr>
          <w:szCs w:val="24"/>
        </w:rPr>
        <w:t>;</w:t>
      </w:r>
    </w:p>
    <w:p w:rsidR="00185B9E" w:rsidRDefault="00352094" w:rsidP="008C25BB">
      <w:pPr>
        <w:pStyle w:val="ListParagraph"/>
        <w:numPr>
          <w:ilvl w:val="0"/>
          <w:numId w:val="118"/>
        </w:numPr>
        <w:spacing w:after="120"/>
        <w:ind w:left="714" w:hanging="357"/>
        <w:contextualSpacing w:val="0"/>
        <w:jc w:val="both"/>
        <w:rPr>
          <w:szCs w:val="24"/>
        </w:rPr>
      </w:pPr>
      <w:r w:rsidRPr="00442135">
        <w:rPr>
          <w:szCs w:val="24"/>
        </w:rPr>
        <w:t>ievieš</w:t>
      </w:r>
      <w:r w:rsidR="00185B9E">
        <w:rPr>
          <w:szCs w:val="24"/>
        </w:rPr>
        <w:t>ot</w:t>
      </w:r>
      <w:r w:rsidRPr="00442135">
        <w:rPr>
          <w:szCs w:val="24"/>
        </w:rPr>
        <w:t xml:space="preserve"> iespēju pasūtītājiem darījumos līdz 10 000 </w:t>
      </w:r>
      <w:r w:rsidRPr="00442135">
        <w:rPr>
          <w:i/>
          <w:szCs w:val="24"/>
        </w:rPr>
        <w:t>euro</w:t>
      </w:r>
      <w:r w:rsidRPr="00442135">
        <w:rPr>
          <w:szCs w:val="24"/>
        </w:rPr>
        <w:t xml:space="preserve"> bez PVN, kuros precēm paredzēts papildaprīkojums (iespēja komplektēt preci atbilstoši savām vajadzībām komplektējot preces sastāvdaļas) izvēlēties izveidot speciālo darījumu (atlikto grozu)</w:t>
      </w:r>
      <w:r w:rsidR="00185B9E">
        <w:rPr>
          <w:szCs w:val="24"/>
        </w:rPr>
        <w:t xml:space="preserve"> – a</w:t>
      </w:r>
      <w:r w:rsidRPr="00442135">
        <w:rPr>
          <w:szCs w:val="24"/>
        </w:rPr>
        <w:t>tliktā groza principa piemērošanas gadījumā palielinās piegādāju konkurence, kuras rezultātā var prognozēt piedāvāto cenu samazinājumu</w:t>
      </w:r>
      <w:r w:rsidR="00185B9E">
        <w:rPr>
          <w:szCs w:val="24"/>
        </w:rPr>
        <w:t xml:space="preserve"> (p</w:t>
      </w:r>
      <w:r w:rsidRPr="00442135">
        <w:rPr>
          <w:szCs w:val="24"/>
        </w:rPr>
        <w:t>rognozējamais ietaupījums – vismaz 10%, t.i.</w:t>
      </w:r>
      <w:r w:rsidR="00017D19" w:rsidRPr="00442135">
        <w:rPr>
          <w:szCs w:val="24"/>
        </w:rPr>
        <w:t>,</w:t>
      </w:r>
      <w:r w:rsidRPr="00442135">
        <w:rPr>
          <w:szCs w:val="24"/>
        </w:rPr>
        <w:t xml:space="preserve"> 153</w:t>
      </w:r>
      <w:r w:rsidR="00017D19" w:rsidRPr="00442135">
        <w:rPr>
          <w:szCs w:val="24"/>
        </w:rPr>
        <w:t> </w:t>
      </w:r>
      <w:r w:rsidRPr="00442135">
        <w:rPr>
          <w:szCs w:val="24"/>
        </w:rPr>
        <w:t>832</w:t>
      </w:r>
      <w:r w:rsidR="00017D19" w:rsidRPr="00442135">
        <w:rPr>
          <w:szCs w:val="24"/>
        </w:rPr>
        <w:t> </w:t>
      </w:r>
      <w:r w:rsidRPr="00442135">
        <w:rPr>
          <w:i/>
          <w:szCs w:val="24"/>
        </w:rPr>
        <w:t>euro</w:t>
      </w:r>
      <w:r w:rsidRPr="00442135">
        <w:rPr>
          <w:szCs w:val="24"/>
        </w:rPr>
        <w:t xml:space="preserve"> (sk</w:t>
      </w:r>
      <w:r w:rsidR="00017D19" w:rsidRPr="00442135">
        <w:rPr>
          <w:szCs w:val="24"/>
        </w:rPr>
        <w:t>at</w:t>
      </w:r>
      <w:r w:rsidRPr="00442135">
        <w:rPr>
          <w:szCs w:val="24"/>
        </w:rPr>
        <w:t>. tabulu Nr.</w:t>
      </w:r>
      <w:r w:rsidR="007210A3" w:rsidRPr="00442135">
        <w:rPr>
          <w:szCs w:val="24"/>
        </w:rPr>
        <w:t>3.1</w:t>
      </w:r>
      <w:r w:rsidRPr="00442135">
        <w:rPr>
          <w:szCs w:val="24"/>
        </w:rPr>
        <w:t>3</w:t>
      </w:r>
      <w:r w:rsidR="007210A3" w:rsidRPr="00442135">
        <w:rPr>
          <w:szCs w:val="24"/>
        </w:rPr>
        <w:t>.</w:t>
      </w:r>
      <w:r w:rsidRPr="00442135">
        <w:rPr>
          <w:szCs w:val="24"/>
        </w:rPr>
        <w:t>)</w:t>
      </w:r>
      <w:r w:rsidR="00185B9E">
        <w:rPr>
          <w:szCs w:val="24"/>
        </w:rPr>
        <w:t>)</w:t>
      </w:r>
    </w:p>
    <w:p w:rsidR="00061CA2" w:rsidRPr="009F420E" w:rsidRDefault="00185B9E" w:rsidP="009F420E">
      <w:pPr>
        <w:spacing w:after="120"/>
        <w:jc w:val="both"/>
        <w:rPr>
          <w:szCs w:val="24"/>
        </w:rPr>
      </w:pPr>
      <w:r>
        <w:rPr>
          <w:szCs w:val="24"/>
        </w:rPr>
        <w:t>Tomēr</w:t>
      </w:r>
      <w:r w:rsidR="008E4AF7">
        <w:rPr>
          <w:szCs w:val="24"/>
        </w:rPr>
        <w:t>,</w:t>
      </w:r>
      <w:r>
        <w:rPr>
          <w:szCs w:val="24"/>
        </w:rPr>
        <w:t xml:space="preserve"> l</w:t>
      </w:r>
      <w:r w:rsidR="00352094" w:rsidRPr="00185B9E">
        <w:rPr>
          <w:szCs w:val="24"/>
        </w:rPr>
        <w:t xml:space="preserve">ai izveidotu šo funkcionalitāti, </w:t>
      </w:r>
      <w:r w:rsidR="008E4AF7">
        <w:rPr>
          <w:szCs w:val="24"/>
        </w:rPr>
        <w:t xml:space="preserve">VARAM ieskatā </w:t>
      </w:r>
      <w:r w:rsidR="00352094" w:rsidRPr="00185B9E">
        <w:rPr>
          <w:szCs w:val="24"/>
        </w:rPr>
        <w:t xml:space="preserve">nepieciešami </w:t>
      </w:r>
      <w:r w:rsidR="008E4AF7">
        <w:rPr>
          <w:szCs w:val="24"/>
        </w:rPr>
        <w:t xml:space="preserve">arī </w:t>
      </w:r>
      <w:r w:rsidR="00352094" w:rsidRPr="00185B9E">
        <w:rPr>
          <w:szCs w:val="24"/>
        </w:rPr>
        <w:t xml:space="preserve">papildu līdzekļi sistēmas izmaiņām. </w:t>
      </w:r>
    </w:p>
    <w:p w:rsidR="00352094" w:rsidRPr="007210A3" w:rsidRDefault="00352094" w:rsidP="00061CA2">
      <w:pPr>
        <w:pStyle w:val="ListParagraph"/>
        <w:spacing w:before="120" w:after="240"/>
        <w:contextualSpacing w:val="0"/>
        <w:jc w:val="right"/>
        <w:rPr>
          <w:rFonts w:cs="Times New Roman"/>
          <w:szCs w:val="24"/>
        </w:rPr>
      </w:pPr>
      <w:r w:rsidRPr="007210A3">
        <w:rPr>
          <w:rFonts w:cs="Times New Roman"/>
          <w:szCs w:val="24"/>
        </w:rPr>
        <w:t>Tabula Nr.3</w:t>
      </w:r>
      <w:r w:rsidR="007210A3" w:rsidRPr="007210A3">
        <w:rPr>
          <w:rFonts w:cs="Times New Roman"/>
          <w:szCs w:val="24"/>
        </w:rPr>
        <w:t>.13.</w:t>
      </w:r>
    </w:p>
    <w:p w:rsidR="00352094" w:rsidRPr="0015150F" w:rsidRDefault="00352094" w:rsidP="00061CA2">
      <w:pPr>
        <w:spacing w:after="120" w:line="252" w:lineRule="auto"/>
        <w:jc w:val="center"/>
        <w:rPr>
          <w:b/>
          <w:i/>
          <w:szCs w:val="24"/>
        </w:rPr>
      </w:pPr>
      <w:r w:rsidRPr="0015150F">
        <w:rPr>
          <w:rFonts w:cs="Times New Roman"/>
          <w:b/>
          <w:szCs w:val="24"/>
        </w:rPr>
        <w:t xml:space="preserve">Potenciālais ietaupījums no veselības apdrošināšanas iepirkuma centralizācijas un </w:t>
      </w:r>
      <w:r w:rsidRPr="0015150F">
        <w:rPr>
          <w:b/>
          <w:szCs w:val="24"/>
        </w:rPr>
        <w:t>veiktajām darbībām konkurences palielināšanai EIS e-katalogu darījumos</w:t>
      </w:r>
      <w:r w:rsidRPr="0015150F">
        <w:rPr>
          <w:b/>
        </w:rPr>
        <w:t xml:space="preserve">, </w:t>
      </w:r>
      <w:r w:rsidRPr="0015150F">
        <w:rPr>
          <w:b/>
          <w:i/>
        </w:rPr>
        <w:t>euro</w:t>
      </w:r>
      <w:r w:rsidR="00ED1153" w:rsidRPr="00ED1153">
        <w:rPr>
          <w:rStyle w:val="FootnoteReference"/>
          <w:b/>
        </w:rPr>
        <w:footnoteReference w:id="22"/>
      </w:r>
    </w:p>
    <w:tbl>
      <w:tblPr>
        <w:tblW w:w="9346" w:type="dxa"/>
        <w:tblLook w:val="04A0" w:firstRow="1" w:lastRow="0" w:firstColumn="1" w:lastColumn="0" w:noHBand="0" w:noVBand="1"/>
      </w:tblPr>
      <w:tblGrid>
        <w:gridCol w:w="702"/>
        <w:gridCol w:w="1543"/>
        <w:gridCol w:w="1539"/>
        <w:gridCol w:w="1716"/>
        <w:gridCol w:w="2982"/>
        <w:gridCol w:w="872"/>
      </w:tblGrid>
      <w:tr w:rsidR="00352094" w:rsidRPr="0015150F" w:rsidTr="00ED1153">
        <w:trPr>
          <w:trHeight w:val="255"/>
          <w:tblHeader/>
        </w:trPr>
        <w:tc>
          <w:tcPr>
            <w:tcW w:w="702"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352094" w:rsidRPr="0015150F" w:rsidRDefault="00352094" w:rsidP="00BA616D">
            <w:pPr>
              <w:jc w:val="center"/>
              <w:rPr>
                <w:rFonts w:eastAsia="Times New Roman" w:cs="Times New Roman"/>
                <w:b/>
                <w:bCs/>
                <w:color w:val="000000"/>
                <w:sz w:val="20"/>
                <w:szCs w:val="20"/>
                <w:lang w:eastAsia="lv-LV"/>
              </w:rPr>
            </w:pPr>
            <w:r w:rsidRPr="0015150F">
              <w:rPr>
                <w:rFonts w:eastAsia="Times New Roman" w:cs="Times New Roman"/>
                <w:b/>
                <w:bCs/>
                <w:color w:val="000000"/>
                <w:sz w:val="20"/>
                <w:szCs w:val="20"/>
                <w:lang w:eastAsia="lv-LV"/>
              </w:rPr>
              <w:t>Nr. p. k.</w:t>
            </w:r>
          </w:p>
        </w:tc>
        <w:tc>
          <w:tcPr>
            <w:tcW w:w="1543"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352094" w:rsidRPr="0015150F" w:rsidRDefault="00352094" w:rsidP="00BA616D">
            <w:pPr>
              <w:jc w:val="center"/>
              <w:rPr>
                <w:rFonts w:eastAsia="Times New Roman" w:cs="Times New Roman"/>
                <w:b/>
                <w:bCs/>
                <w:color w:val="000000"/>
                <w:sz w:val="20"/>
                <w:szCs w:val="20"/>
                <w:lang w:eastAsia="lv-LV"/>
              </w:rPr>
            </w:pPr>
            <w:r w:rsidRPr="0015150F">
              <w:rPr>
                <w:rFonts w:eastAsia="Times New Roman" w:cs="Times New Roman"/>
                <w:b/>
                <w:bCs/>
                <w:color w:val="000000"/>
                <w:sz w:val="20"/>
                <w:szCs w:val="20"/>
                <w:lang w:eastAsia="lv-LV"/>
              </w:rPr>
              <w:t>Nosaukums</w:t>
            </w:r>
          </w:p>
        </w:tc>
        <w:tc>
          <w:tcPr>
            <w:tcW w:w="7101" w:type="dxa"/>
            <w:gridSpan w:val="4"/>
            <w:tcBorders>
              <w:top w:val="single" w:sz="4" w:space="0" w:color="auto"/>
              <w:left w:val="nil"/>
              <w:bottom w:val="single" w:sz="4" w:space="0" w:color="auto"/>
              <w:right w:val="single" w:sz="4" w:space="0" w:color="auto"/>
            </w:tcBorders>
            <w:shd w:val="clear" w:color="000000" w:fill="E2EFDA"/>
            <w:noWrap/>
            <w:vAlign w:val="center"/>
            <w:hideMark/>
          </w:tcPr>
          <w:p w:rsidR="00352094" w:rsidRPr="0015150F" w:rsidRDefault="00352094" w:rsidP="00BA616D">
            <w:pPr>
              <w:jc w:val="center"/>
              <w:rPr>
                <w:rFonts w:eastAsia="Times New Roman" w:cs="Times New Roman"/>
                <w:b/>
                <w:bCs/>
                <w:color w:val="000000"/>
                <w:sz w:val="20"/>
                <w:szCs w:val="20"/>
                <w:lang w:eastAsia="lv-LV"/>
              </w:rPr>
            </w:pPr>
            <w:r w:rsidRPr="0015150F">
              <w:rPr>
                <w:rFonts w:eastAsia="Times New Roman" w:cs="Times New Roman"/>
                <w:b/>
                <w:bCs/>
                <w:color w:val="000000"/>
                <w:sz w:val="20"/>
                <w:szCs w:val="20"/>
                <w:lang w:eastAsia="lv-LV"/>
              </w:rPr>
              <w:t>Potenciālais ietaupījums</w:t>
            </w:r>
          </w:p>
        </w:tc>
      </w:tr>
      <w:tr w:rsidR="00352094" w:rsidRPr="0015150F" w:rsidTr="00BA616D">
        <w:trPr>
          <w:trHeight w:val="1275"/>
        </w:trPr>
        <w:tc>
          <w:tcPr>
            <w:tcW w:w="702" w:type="dxa"/>
            <w:vMerge/>
            <w:tcBorders>
              <w:top w:val="single" w:sz="4" w:space="0" w:color="auto"/>
              <w:left w:val="single" w:sz="4" w:space="0" w:color="auto"/>
              <w:bottom w:val="single" w:sz="4" w:space="0" w:color="auto"/>
              <w:right w:val="single" w:sz="4" w:space="0" w:color="auto"/>
            </w:tcBorders>
            <w:vAlign w:val="center"/>
            <w:hideMark/>
          </w:tcPr>
          <w:p w:rsidR="00352094" w:rsidRPr="0015150F" w:rsidRDefault="00352094" w:rsidP="00BA616D">
            <w:pPr>
              <w:jc w:val="center"/>
              <w:rPr>
                <w:rFonts w:eastAsia="Times New Roman" w:cs="Times New Roman"/>
                <w:b/>
                <w:bCs/>
                <w:color w:val="000000"/>
                <w:sz w:val="20"/>
                <w:szCs w:val="20"/>
                <w:lang w:eastAsia="lv-LV"/>
              </w:rPr>
            </w:pPr>
          </w:p>
        </w:tc>
        <w:tc>
          <w:tcPr>
            <w:tcW w:w="1543" w:type="dxa"/>
            <w:vMerge/>
            <w:tcBorders>
              <w:top w:val="single" w:sz="4" w:space="0" w:color="auto"/>
              <w:left w:val="single" w:sz="4" w:space="0" w:color="auto"/>
              <w:bottom w:val="single" w:sz="4" w:space="0" w:color="auto"/>
              <w:right w:val="single" w:sz="4" w:space="0" w:color="auto"/>
            </w:tcBorders>
            <w:vAlign w:val="center"/>
            <w:hideMark/>
          </w:tcPr>
          <w:p w:rsidR="00352094" w:rsidRPr="0015150F" w:rsidRDefault="00352094" w:rsidP="00BA616D">
            <w:pPr>
              <w:jc w:val="center"/>
              <w:rPr>
                <w:rFonts w:eastAsia="Times New Roman" w:cs="Times New Roman"/>
                <w:b/>
                <w:bCs/>
                <w:color w:val="000000"/>
                <w:sz w:val="20"/>
                <w:szCs w:val="20"/>
                <w:lang w:eastAsia="lv-LV"/>
              </w:rPr>
            </w:pPr>
          </w:p>
        </w:tc>
        <w:tc>
          <w:tcPr>
            <w:tcW w:w="1531" w:type="dxa"/>
            <w:tcBorders>
              <w:top w:val="nil"/>
              <w:left w:val="nil"/>
              <w:bottom w:val="single" w:sz="4" w:space="0" w:color="auto"/>
              <w:right w:val="single" w:sz="4" w:space="0" w:color="auto"/>
            </w:tcBorders>
            <w:shd w:val="clear" w:color="000000" w:fill="E2EFDA"/>
            <w:vAlign w:val="center"/>
            <w:hideMark/>
          </w:tcPr>
          <w:p w:rsidR="00352094" w:rsidRPr="0015150F" w:rsidRDefault="00352094" w:rsidP="00BA616D">
            <w:pPr>
              <w:jc w:val="center"/>
              <w:rPr>
                <w:rFonts w:eastAsia="Times New Roman" w:cs="Times New Roman"/>
                <w:b/>
                <w:bCs/>
                <w:color w:val="000000"/>
                <w:sz w:val="20"/>
                <w:szCs w:val="20"/>
                <w:lang w:eastAsia="lv-LV"/>
              </w:rPr>
            </w:pPr>
            <w:r w:rsidRPr="0015150F">
              <w:rPr>
                <w:rFonts w:eastAsia="Times New Roman" w:cs="Times New Roman"/>
                <w:b/>
                <w:bCs/>
                <w:color w:val="000000"/>
                <w:sz w:val="20"/>
                <w:szCs w:val="20"/>
                <w:lang w:eastAsia="lv-LV"/>
              </w:rPr>
              <w:t>No veselības apdrošināšanas iepirkuma centralizācijas</w:t>
            </w:r>
          </w:p>
        </w:tc>
        <w:tc>
          <w:tcPr>
            <w:tcW w:w="1716" w:type="dxa"/>
            <w:tcBorders>
              <w:top w:val="nil"/>
              <w:left w:val="nil"/>
              <w:bottom w:val="single" w:sz="4" w:space="0" w:color="auto"/>
              <w:right w:val="single" w:sz="4" w:space="0" w:color="auto"/>
            </w:tcBorders>
            <w:shd w:val="clear" w:color="000000" w:fill="E2EFDA"/>
            <w:vAlign w:val="center"/>
            <w:hideMark/>
          </w:tcPr>
          <w:p w:rsidR="00352094" w:rsidRPr="0015150F" w:rsidRDefault="00352094" w:rsidP="00E6741A">
            <w:pPr>
              <w:jc w:val="center"/>
              <w:rPr>
                <w:rFonts w:eastAsia="Times New Roman" w:cs="Times New Roman"/>
                <w:b/>
                <w:bCs/>
                <w:color w:val="000000"/>
                <w:sz w:val="20"/>
                <w:szCs w:val="20"/>
                <w:lang w:eastAsia="lv-LV"/>
              </w:rPr>
            </w:pPr>
            <w:r w:rsidRPr="0015150F">
              <w:rPr>
                <w:rFonts w:eastAsia="Times New Roman" w:cs="Times New Roman"/>
                <w:b/>
                <w:bCs/>
                <w:color w:val="000000"/>
                <w:sz w:val="20"/>
                <w:szCs w:val="20"/>
                <w:lang w:eastAsia="lv-LV"/>
              </w:rPr>
              <w:t xml:space="preserve">Samazinot speciālā darījuma limitus no 42 000 </w:t>
            </w:r>
            <w:r w:rsidRPr="009819BD">
              <w:rPr>
                <w:rFonts w:eastAsia="Times New Roman" w:cs="Times New Roman"/>
                <w:b/>
                <w:bCs/>
                <w:i/>
                <w:color w:val="000000"/>
                <w:sz w:val="20"/>
                <w:szCs w:val="20"/>
                <w:lang w:eastAsia="lv-LV"/>
              </w:rPr>
              <w:t>eur</w:t>
            </w:r>
            <w:r w:rsidR="009819BD" w:rsidRPr="009819BD">
              <w:rPr>
                <w:rFonts w:eastAsia="Times New Roman" w:cs="Times New Roman"/>
                <w:b/>
                <w:bCs/>
                <w:i/>
                <w:color w:val="000000"/>
                <w:sz w:val="20"/>
                <w:szCs w:val="20"/>
                <w:lang w:eastAsia="lv-LV"/>
              </w:rPr>
              <w:t>o</w:t>
            </w:r>
            <w:r w:rsidRPr="0015150F">
              <w:rPr>
                <w:rFonts w:eastAsia="Times New Roman" w:cs="Times New Roman"/>
                <w:b/>
                <w:bCs/>
                <w:color w:val="000000"/>
                <w:sz w:val="20"/>
                <w:szCs w:val="20"/>
                <w:lang w:eastAsia="lv-LV"/>
              </w:rPr>
              <w:t xml:space="preserve"> bez PVN uz 10</w:t>
            </w:r>
            <w:r w:rsidR="00E6741A">
              <w:rPr>
                <w:rFonts w:eastAsia="Times New Roman" w:cs="Times New Roman"/>
                <w:b/>
                <w:bCs/>
                <w:color w:val="000000"/>
                <w:sz w:val="20"/>
                <w:szCs w:val="20"/>
                <w:lang w:eastAsia="lv-LV"/>
              </w:rPr>
              <w:t> </w:t>
            </w:r>
            <w:r w:rsidRPr="0015150F">
              <w:rPr>
                <w:rFonts w:eastAsia="Times New Roman" w:cs="Times New Roman"/>
                <w:b/>
                <w:bCs/>
                <w:color w:val="000000"/>
                <w:sz w:val="20"/>
                <w:szCs w:val="20"/>
                <w:lang w:eastAsia="lv-LV"/>
              </w:rPr>
              <w:t>000</w:t>
            </w:r>
            <w:r w:rsidR="00E6741A">
              <w:rPr>
                <w:rFonts w:eastAsia="Times New Roman" w:cs="Times New Roman"/>
                <w:b/>
                <w:bCs/>
                <w:color w:val="000000"/>
                <w:sz w:val="20"/>
                <w:szCs w:val="20"/>
                <w:lang w:eastAsia="lv-LV"/>
              </w:rPr>
              <w:t xml:space="preserve"> </w:t>
            </w:r>
            <w:r w:rsidR="00E6741A" w:rsidRPr="00E6741A">
              <w:rPr>
                <w:rFonts w:eastAsia="Times New Roman" w:cs="Times New Roman"/>
                <w:b/>
                <w:bCs/>
                <w:i/>
                <w:color w:val="000000"/>
                <w:sz w:val="20"/>
                <w:szCs w:val="20"/>
                <w:lang w:eastAsia="lv-LV"/>
              </w:rPr>
              <w:t>euro</w:t>
            </w:r>
            <w:r w:rsidRPr="0015150F">
              <w:rPr>
                <w:rFonts w:eastAsia="Times New Roman" w:cs="Times New Roman"/>
                <w:b/>
                <w:bCs/>
                <w:color w:val="000000"/>
                <w:sz w:val="20"/>
                <w:szCs w:val="20"/>
                <w:lang w:eastAsia="lv-LV"/>
              </w:rPr>
              <w:t xml:space="preserve"> bez PVN</w:t>
            </w:r>
          </w:p>
        </w:tc>
        <w:tc>
          <w:tcPr>
            <w:tcW w:w="2982" w:type="dxa"/>
            <w:tcBorders>
              <w:top w:val="nil"/>
              <w:left w:val="nil"/>
              <w:bottom w:val="single" w:sz="4" w:space="0" w:color="auto"/>
              <w:right w:val="single" w:sz="4" w:space="0" w:color="auto"/>
            </w:tcBorders>
            <w:shd w:val="clear" w:color="000000" w:fill="E2EFDA"/>
            <w:vAlign w:val="center"/>
            <w:hideMark/>
          </w:tcPr>
          <w:p w:rsidR="00352094" w:rsidRPr="0015150F" w:rsidRDefault="00352094" w:rsidP="00BA616D">
            <w:pPr>
              <w:jc w:val="center"/>
              <w:rPr>
                <w:rFonts w:eastAsia="Times New Roman" w:cs="Times New Roman"/>
                <w:b/>
                <w:bCs/>
                <w:color w:val="000000"/>
                <w:sz w:val="20"/>
                <w:szCs w:val="20"/>
                <w:lang w:eastAsia="lv-LV"/>
              </w:rPr>
            </w:pPr>
            <w:r w:rsidRPr="0015150F">
              <w:rPr>
                <w:rFonts w:eastAsia="Times New Roman" w:cs="Times New Roman"/>
                <w:b/>
                <w:bCs/>
                <w:color w:val="000000"/>
                <w:sz w:val="20"/>
                <w:szCs w:val="20"/>
                <w:lang w:eastAsia="lv-LV"/>
              </w:rPr>
              <w:t xml:space="preserve">Ieviešot iespēju darījumos līdz          10 000 </w:t>
            </w:r>
            <w:r w:rsidRPr="009819BD">
              <w:rPr>
                <w:rFonts w:eastAsia="Times New Roman" w:cs="Times New Roman"/>
                <w:b/>
                <w:bCs/>
                <w:i/>
                <w:color w:val="000000"/>
                <w:sz w:val="20"/>
                <w:szCs w:val="20"/>
                <w:lang w:eastAsia="lv-LV"/>
              </w:rPr>
              <w:t>eur</w:t>
            </w:r>
            <w:r w:rsidR="009819BD" w:rsidRPr="009819BD">
              <w:rPr>
                <w:rFonts w:eastAsia="Times New Roman" w:cs="Times New Roman"/>
                <w:b/>
                <w:bCs/>
                <w:i/>
                <w:color w:val="000000"/>
                <w:sz w:val="20"/>
                <w:szCs w:val="20"/>
                <w:lang w:eastAsia="lv-LV"/>
              </w:rPr>
              <w:t>o</w:t>
            </w:r>
            <w:r w:rsidRPr="0015150F">
              <w:rPr>
                <w:rFonts w:eastAsia="Times New Roman" w:cs="Times New Roman"/>
                <w:b/>
                <w:bCs/>
                <w:color w:val="000000"/>
                <w:sz w:val="20"/>
                <w:szCs w:val="20"/>
                <w:lang w:eastAsia="lv-LV"/>
              </w:rPr>
              <w:t xml:space="preserve"> bez PVN, kuros precēm paredzēts papildaprīkojums, izveidot speciālo darījumu (atlikto grozu)</w:t>
            </w:r>
          </w:p>
        </w:tc>
        <w:tc>
          <w:tcPr>
            <w:tcW w:w="872" w:type="dxa"/>
            <w:tcBorders>
              <w:top w:val="nil"/>
              <w:left w:val="nil"/>
              <w:bottom w:val="single" w:sz="4" w:space="0" w:color="auto"/>
              <w:right w:val="single" w:sz="4" w:space="0" w:color="auto"/>
            </w:tcBorders>
            <w:shd w:val="clear" w:color="000000" w:fill="E2EFDA"/>
            <w:vAlign w:val="center"/>
            <w:hideMark/>
          </w:tcPr>
          <w:p w:rsidR="00352094" w:rsidRPr="0015150F" w:rsidRDefault="00352094" w:rsidP="00BA616D">
            <w:pPr>
              <w:jc w:val="center"/>
              <w:rPr>
                <w:rFonts w:eastAsia="Times New Roman" w:cs="Times New Roman"/>
                <w:b/>
                <w:bCs/>
                <w:color w:val="000000"/>
                <w:sz w:val="20"/>
                <w:szCs w:val="20"/>
                <w:lang w:eastAsia="lv-LV"/>
              </w:rPr>
            </w:pPr>
            <w:r w:rsidRPr="0015150F">
              <w:rPr>
                <w:rFonts w:eastAsia="Times New Roman" w:cs="Times New Roman"/>
                <w:b/>
                <w:bCs/>
                <w:color w:val="000000"/>
                <w:sz w:val="20"/>
                <w:szCs w:val="20"/>
                <w:lang w:eastAsia="lv-LV"/>
              </w:rPr>
              <w:t>Kopā</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9819BD" w:rsidP="00BA616D">
            <w:pPr>
              <w:rPr>
                <w:rFonts w:eastAsia="Times New Roman" w:cs="Times New Roman"/>
                <w:color w:val="000000"/>
                <w:sz w:val="20"/>
                <w:szCs w:val="20"/>
                <w:lang w:eastAsia="lv-LV"/>
              </w:rPr>
            </w:pPr>
            <w:r>
              <w:rPr>
                <w:rFonts w:eastAsia="Times New Roman" w:cs="Times New Roman"/>
                <w:color w:val="000000"/>
                <w:sz w:val="20"/>
                <w:szCs w:val="20"/>
                <w:lang w:eastAsia="lv-LV"/>
              </w:rPr>
              <w:t>Ai</w:t>
            </w:r>
            <w:r w:rsidR="00352094" w:rsidRPr="0015150F">
              <w:rPr>
                <w:rFonts w:eastAsia="Times New Roman" w:cs="Times New Roman"/>
                <w:color w:val="000000"/>
                <w:sz w:val="20"/>
                <w:szCs w:val="20"/>
                <w:lang w:eastAsia="lv-LV"/>
              </w:rPr>
              <w:t>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6 693</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56 720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23 828</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87 241</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2</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F16ECE" w:rsidP="00BA616D">
            <w:pPr>
              <w:rPr>
                <w:rFonts w:eastAsia="Times New Roman" w:cs="Times New Roman"/>
                <w:color w:val="000000"/>
                <w:sz w:val="20"/>
                <w:szCs w:val="20"/>
                <w:lang w:eastAsia="lv-LV"/>
              </w:rPr>
            </w:pPr>
            <w:r>
              <w:rPr>
                <w:rFonts w:eastAsia="Times New Roman" w:cs="Times New Roman"/>
                <w:color w:val="000000"/>
                <w:sz w:val="20"/>
                <w:szCs w:val="20"/>
                <w:lang w:eastAsia="lv-LV"/>
              </w:rPr>
              <w:t>Ā</w:t>
            </w:r>
            <w:r w:rsidR="00352094" w:rsidRPr="0015150F">
              <w:rPr>
                <w:rFonts w:eastAsia="Times New Roman" w:cs="Times New Roman"/>
                <w:color w:val="000000"/>
                <w:sz w:val="20"/>
                <w:szCs w:val="20"/>
                <w:lang w:eastAsia="lv-LV"/>
              </w:rPr>
              <w:t>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10 274</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252</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11 865</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3</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AT</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560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1 899</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4</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EM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14 338</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8 017</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23 694</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5</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FM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6 693</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23 196</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7 951</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37 840</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6</w:t>
            </w:r>
          </w:p>
        </w:tc>
        <w:tc>
          <w:tcPr>
            <w:tcW w:w="1543" w:type="dxa"/>
            <w:tcBorders>
              <w:top w:val="nil"/>
              <w:left w:val="nil"/>
              <w:bottom w:val="single" w:sz="4" w:space="0" w:color="auto"/>
              <w:right w:val="single" w:sz="4" w:space="0" w:color="auto"/>
            </w:tcBorders>
            <w:shd w:val="clear" w:color="auto" w:fill="auto"/>
            <w:noWrap/>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Prokuratūra</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10 854</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7 942</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20 135</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lastRenderedPageBreak/>
              <w:t>7</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IEM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8 031</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46 613</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17 775</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72 419</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8</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IZM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4 016</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13 930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18 168</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36 114</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9</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KM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2 677</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13 301</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15 978</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10</w:t>
            </w:r>
          </w:p>
        </w:tc>
        <w:tc>
          <w:tcPr>
            <w:tcW w:w="1543" w:type="dxa"/>
            <w:tcBorders>
              <w:top w:val="nil"/>
              <w:left w:val="nil"/>
              <w:bottom w:val="single" w:sz="4" w:space="0" w:color="auto"/>
              <w:right w:val="single" w:sz="4" w:space="0" w:color="auto"/>
            </w:tcBorders>
            <w:shd w:val="clear" w:color="auto" w:fill="auto"/>
            <w:noWrap/>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KNAB</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2 034</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119</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2 153</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11</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LM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12 047</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13 155</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13 066</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38 268</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12</w:t>
            </w:r>
          </w:p>
        </w:tc>
        <w:tc>
          <w:tcPr>
            <w:tcW w:w="1543" w:type="dxa"/>
            <w:tcBorders>
              <w:top w:val="nil"/>
              <w:left w:val="nil"/>
              <w:bottom w:val="single" w:sz="4" w:space="0" w:color="auto"/>
              <w:right w:val="single" w:sz="4" w:space="0" w:color="auto"/>
            </w:tcBorders>
            <w:shd w:val="clear" w:color="auto" w:fill="auto"/>
            <w:noWrap/>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PKC</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133</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133</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13</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MK</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977FAD"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2 062</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977FAD"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3 401</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14</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RTV</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15</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Saeima</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7 948</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3 310</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12 597</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16</w:t>
            </w:r>
          </w:p>
        </w:tc>
        <w:tc>
          <w:tcPr>
            <w:tcW w:w="1543" w:type="dxa"/>
            <w:tcBorders>
              <w:top w:val="nil"/>
              <w:left w:val="nil"/>
              <w:bottom w:val="single" w:sz="4" w:space="0" w:color="auto"/>
              <w:right w:val="single" w:sz="4" w:space="0" w:color="auto"/>
            </w:tcBorders>
            <w:shd w:val="clear" w:color="auto" w:fill="auto"/>
            <w:noWrap/>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SIF</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229</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229</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17</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9819BD" w:rsidP="00BA616D">
            <w:pPr>
              <w:rPr>
                <w:rFonts w:eastAsia="Times New Roman" w:cs="Times New Roman"/>
                <w:color w:val="000000"/>
                <w:sz w:val="20"/>
                <w:szCs w:val="20"/>
                <w:lang w:eastAsia="lv-LV"/>
              </w:rPr>
            </w:pPr>
            <w:r>
              <w:rPr>
                <w:rFonts w:eastAsia="Times New Roman" w:cs="Times New Roman"/>
                <w:color w:val="000000"/>
                <w:sz w:val="20"/>
                <w:szCs w:val="20"/>
                <w:lang w:eastAsia="lv-LV"/>
              </w:rPr>
              <w:t>S</w:t>
            </w:r>
            <w:r w:rsidR="00352094" w:rsidRPr="0015150F">
              <w:rPr>
                <w:rFonts w:eastAsia="Times New Roman" w:cs="Times New Roman"/>
                <w:color w:val="000000"/>
                <w:sz w:val="20"/>
                <w:szCs w:val="20"/>
                <w:lang w:eastAsia="lv-LV"/>
              </w:rPr>
              <w:t>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2 677</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2 677</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18</w:t>
            </w:r>
          </w:p>
        </w:tc>
        <w:tc>
          <w:tcPr>
            <w:tcW w:w="1543" w:type="dxa"/>
            <w:tcBorders>
              <w:top w:val="nil"/>
              <w:left w:val="nil"/>
              <w:bottom w:val="single" w:sz="4" w:space="0" w:color="auto"/>
              <w:right w:val="single" w:sz="4" w:space="0" w:color="auto"/>
            </w:tcBorders>
            <w:shd w:val="clear" w:color="auto" w:fill="auto"/>
            <w:noWrap/>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SPRK</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981</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981</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19</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TM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6 693</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18 598</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10 292</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35 583</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20</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VARAM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5 354</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10 390</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6 569</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22 313</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21</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VKo</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3 315</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977FAD"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687</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977FAD"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5 341</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22</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VM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6 693</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9 482</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5 641</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21 816</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23</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VPK</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1 339</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915</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1 407</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3 661</w:t>
            </w:r>
          </w:p>
        </w:tc>
      </w:tr>
      <w:tr w:rsidR="00352094" w:rsidRPr="0015150F" w:rsidTr="00BA616D">
        <w:trPr>
          <w:trHeight w:val="255"/>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both"/>
              <w:rPr>
                <w:rFonts w:eastAsia="Times New Roman" w:cs="Times New Roman"/>
                <w:color w:val="000000"/>
                <w:sz w:val="20"/>
                <w:szCs w:val="20"/>
                <w:lang w:eastAsia="lv-LV"/>
              </w:rPr>
            </w:pPr>
            <w:r w:rsidRPr="0015150F">
              <w:rPr>
                <w:rFonts w:eastAsia="Times New Roman" w:cs="Times New Roman"/>
                <w:color w:val="000000"/>
                <w:sz w:val="20"/>
                <w:szCs w:val="20"/>
                <w:lang w:eastAsia="lv-LV"/>
              </w:rPr>
              <w:t>24</w:t>
            </w:r>
          </w:p>
        </w:tc>
        <w:tc>
          <w:tcPr>
            <w:tcW w:w="1543"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rPr>
                <w:rFonts w:eastAsia="Times New Roman" w:cs="Times New Roman"/>
                <w:color w:val="000000"/>
                <w:sz w:val="20"/>
                <w:szCs w:val="20"/>
                <w:lang w:eastAsia="lv-LV"/>
              </w:rPr>
            </w:pPr>
            <w:r w:rsidRPr="0015150F">
              <w:rPr>
                <w:rFonts w:eastAsia="Times New Roman" w:cs="Times New Roman"/>
                <w:color w:val="000000"/>
                <w:sz w:val="20"/>
                <w:szCs w:val="20"/>
                <w:lang w:eastAsia="lv-LV"/>
              </w:rPr>
              <w:t>ZM</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sidRPr="0015150F">
              <w:rPr>
                <w:rFonts w:eastAsia="Times New Roman" w:cs="Times New Roman"/>
                <w:color w:val="000000"/>
                <w:sz w:val="20"/>
                <w:szCs w:val="20"/>
                <w:lang w:eastAsia="lv-LV"/>
              </w:rPr>
              <w:t>2 677</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19 039</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12 102</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color w:val="000000"/>
                <w:sz w:val="20"/>
                <w:szCs w:val="20"/>
                <w:lang w:eastAsia="lv-LV"/>
              </w:rPr>
            </w:pPr>
            <w:r>
              <w:rPr>
                <w:rFonts w:eastAsia="Times New Roman" w:cs="Times New Roman"/>
                <w:color w:val="000000"/>
                <w:sz w:val="20"/>
                <w:szCs w:val="20"/>
                <w:lang w:eastAsia="lv-LV"/>
              </w:rPr>
              <w:t>33 818</w:t>
            </w:r>
          </w:p>
        </w:tc>
      </w:tr>
      <w:tr w:rsidR="00352094" w:rsidRPr="00525C31" w:rsidTr="00BA616D">
        <w:trPr>
          <w:trHeight w:val="285"/>
        </w:trPr>
        <w:tc>
          <w:tcPr>
            <w:tcW w:w="22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b/>
                <w:color w:val="000000"/>
                <w:sz w:val="20"/>
                <w:szCs w:val="20"/>
                <w:lang w:eastAsia="lv-LV"/>
              </w:rPr>
            </w:pPr>
            <w:r w:rsidRPr="0015150F">
              <w:rPr>
                <w:rFonts w:eastAsia="Times New Roman" w:cs="Times New Roman"/>
                <w:b/>
                <w:color w:val="000000"/>
                <w:sz w:val="20"/>
                <w:szCs w:val="20"/>
                <w:lang w:eastAsia="lv-LV"/>
              </w:rPr>
              <w:t>Kopā</w:t>
            </w:r>
          </w:p>
        </w:tc>
        <w:tc>
          <w:tcPr>
            <w:tcW w:w="1531"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b/>
                <w:color w:val="000000"/>
                <w:sz w:val="20"/>
                <w:szCs w:val="20"/>
                <w:lang w:eastAsia="lv-LV"/>
              </w:rPr>
            </w:pPr>
            <w:r w:rsidRPr="0015150F">
              <w:rPr>
                <w:rFonts w:eastAsia="Times New Roman" w:cs="Times New Roman"/>
                <w:b/>
                <w:color w:val="000000"/>
                <w:sz w:val="20"/>
                <w:szCs w:val="20"/>
                <w:lang w:eastAsia="lv-LV"/>
              </w:rPr>
              <w:t>76 302</w:t>
            </w:r>
          </w:p>
        </w:tc>
        <w:tc>
          <w:tcPr>
            <w:tcW w:w="1716"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b/>
                <w:color w:val="000000"/>
                <w:sz w:val="20"/>
                <w:szCs w:val="20"/>
                <w:lang w:eastAsia="lv-LV"/>
              </w:rPr>
            </w:pPr>
            <w:r>
              <w:rPr>
                <w:rFonts w:eastAsia="Times New Roman" w:cs="Times New Roman"/>
                <w:b/>
                <w:color w:val="000000"/>
                <w:sz w:val="20"/>
                <w:szCs w:val="20"/>
                <w:lang w:eastAsia="lv-LV"/>
              </w:rPr>
              <w:t>261 361</w:t>
            </w:r>
          </w:p>
        </w:tc>
        <w:tc>
          <w:tcPr>
            <w:tcW w:w="298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b/>
                <w:color w:val="000000"/>
                <w:sz w:val="20"/>
                <w:szCs w:val="20"/>
                <w:lang w:eastAsia="lv-LV"/>
              </w:rPr>
            </w:pPr>
            <w:r>
              <w:rPr>
                <w:rFonts w:eastAsia="Times New Roman" w:cs="Times New Roman"/>
                <w:b/>
                <w:color w:val="000000"/>
                <w:sz w:val="20"/>
                <w:szCs w:val="20"/>
                <w:lang w:eastAsia="lv-LV"/>
              </w:rPr>
              <w:t>153 832</w:t>
            </w:r>
          </w:p>
        </w:tc>
        <w:tc>
          <w:tcPr>
            <w:tcW w:w="872" w:type="dxa"/>
            <w:tcBorders>
              <w:top w:val="nil"/>
              <w:left w:val="nil"/>
              <w:bottom w:val="single" w:sz="4" w:space="0" w:color="auto"/>
              <w:right w:val="single" w:sz="4" w:space="0" w:color="auto"/>
            </w:tcBorders>
            <w:shd w:val="clear" w:color="auto" w:fill="auto"/>
            <w:noWrap/>
            <w:vAlign w:val="center"/>
            <w:hideMark/>
          </w:tcPr>
          <w:p w:rsidR="00352094" w:rsidRPr="0015150F" w:rsidRDefault="00352094" w:rsidP="00BA616D">
            <w:pPr>
              <w:jc w:val="center"/>
              <w:rPr>
                <w:rFonts w:eastAsia="Times New Roman" w:cs="Times New Roman"/>
                <w:b/>
                <w:color w:val="000000"/>
                <w:sz w:val="20"/>
                <w:szCs w:val="20"/>
                <w:lang w:eastAsia="lv-LV"/>
              </w:rPr>
            </w:pPr>
            <w:r>
              <w:rPr>
                <w:rFonts w:eastAsia="Times New Roman" w:cs="Times New Roman"/>
                <w:b/>
                <w:color w:val="000000"/>
                <w:sz w:val="20"/>
                <w:szCs w:val="20"/>
                <w:lang w:eastAsia="lv-LV"/>
              </w:rPr>
              <w:t>491</w:t>
            </w:r>
            <w:r w:rsidRPr="0015150F">
              <w:rPr>
                <w:rFonts w:eastAsia="Times New Roman" w:cs="Times New Roman"/>
                <w:b/>
                <w:color w:val="000000"/>
                <w:sz w:val="20"/>
                <w:szCs w:val="20"/>
                <w:lang w:eastAsia="lv-LV"/>
              </w:rPr>
              <w:t xml:space="preserve"> </w:t>
            </w:r>
            <w:r>
              <w:rPr>
                <w:rFonts w:eastAsia="Times New Roman" w:cs="Times New Roman"/>
                <w:b/>
                <w:color w:val="000000"/>
                <w:sz w:val="20"/>
                <w:szCs w:val="20"/>
                <w:lang w:eastAsia="lv-LV"/>
              </w:rPr>
              <w:t>495</w:t>
            </w:r>
          </w:p>
        </w:tc>
      </w:tr>
    </w:tbl>
    <w:p w:rsidR="00352094" w:rsidRPr="000A2605" w:rsidRDefault="00352094" w:rsidP="00BA3D36">
      <w:pPr>
        <w:spacing w:before="120" w:after="120"/>
        <w:jc w:val="both"/>
        <w:rPr>
          <w:b/>
        </w:rPr>
      </w:pPr>
      <w:r w:rsidRPr="000A2605">
        <w:rPr>
          <w:b/>
        </w:rPr>
        <w:t>Secinājumi:</w:t>
      </w:r>
    </w:p>
    <w:p w:rsidR="00352094" w:rsidRDefault="00352094" w:rsidP="008C25BB">
      <w:pPr>
        <w:pStyle w:val="ListParagraph"/>
        <w:numPr>
          <w:ilvl w:val="0"/>
          <w:numId w:val="102"/>
        </w:numPr>
        <w:spacing w:after="120"/>
        <w:ind w:left="714" w:hanging="357"/>
        <w:contextualSpacing w:val="0"/>
        <w:jc w:val="both"/>
        <w:rPr>
          <w:szCs w:val="24"/>
        </w:rPr>
      </w:pPr>
      <w:r>
        <w:rPr>
          <w:szCs w:val="24"/>
        </w:rPr>
        <w:t>EIS piedāvātajām</w:t>
      </w:r>
      <w:r w:rsidRPr="006502D8">
        <w:rPr>
          <w:szCs w:val="24"/>
        </w:rPr>
        <w:t xml:space="preserve"> precēm un pakalpojumiem bieži netiek nodrošināta nepieciešamā kvalitāte un ir noteikta nesamērīgi augsta cena (atsevišķām kancelejas precēm ir zema kvalitāte un īss ekspluatācijas laiks; biroja mēbelēm, piemēram, biroja krēsliem nesamērīgi augsta cena pret tirgū pieejamām līdzvērtīgām un pat labākām precēm, pārtikas preču cenas ir augstākas nekā mazumtirdzniecībā);</w:t>
      </w:r>
    </w:p>
    <w:p w:rsidR="00352094" w:rsidRDefault="00352094" w:rsidP="008C25BB">
      <w:pPr>
        <w:pStyle w:val="ListParagraph"/>
        <w:numPr>
          <w:ilvl w:val="0"/>
          <w:numId w:val="102"/>
        </w:numPr>
        <w:spacing w:after="120"/>
        <w:ind w:left="714" w:hanging="357"/>
        <w:contextualSpacing w:val="0"/>
        <w:jc w:val="both"/>
        <w:rPr>
          <w:szCs w:val="24"/>
        </w:rPr>
      </w:pPr>
      <w:r w:rsidRPr="002B27B1">
        <w:rPr>
          <w:szCs w:val="24"/>
        </w:rPr>
        <w:t>Atsevišķām precēm nav atbilstoša sortimenta (kancelejas preces, reprezentācijas preces, pārtikas preces, biroja mēbeles, biroja krēsli utt.);</w:t>
      </w:r>
    </w:p>
    <w:p w:rsidR="00352094" w:rsidRDefault="00352094" w:rsidP="008C25BB">
      <w:pPr>
        <w:pStyle w:val="ListParagraph"/>
        <w:numPr>
          <w:ilvl w:val="0"/>
          <w:numId w:val="102"/>
        </w:numPr>
        <w:spacing w:after="120"/>
        <w:ind w:left="714" w:hanging="357"/>
        <w:contextualSpacing w:val="0"/>
        <w:jc w:val="both"/>
        <w:rPr>
          <w:szCs w:val="24"/>
        </w:rPr>
      </w:pPr>
      <w:r w:rsidRPr="002B27B1">
        <w:rPr>
          <w:szCs w:val="24"/>
        </w:rPr>
        <w:t>Atsevišķos gadījumos nepieciešams neliels specifisku preču daudzums un netiek sasniegts iegādes minimālais limits iegādei EIS (kancelejas preces, reprezentācijas preces, pārtikas preces);</w:t>
      </w:r>
    </w:p>
    <w:p w:rsidR="00352094" w:rsidRPr="002B27B1" w:rsidRDefault="00352094" w:rsidP="008C25BB">
      <w:pPr>
        <w:pStyle w:val="ListParagraph"/>
        <w:numPr>
          <w:ilvl w:val="0"/>
          <w:numId w:val="102"/>
        </w:numPr>
        <w:spacing w:after="120"/>
        <w:ind w:left="714" w:hanging="357"/>
        <w:contextualSpacing w:val="0"/>
        <w:jc w:val="both"/>
        <w:rPr>
          <w:szCs w:val="24"/>
        </w:rPr>
      </w:pPr>
      <w:r w:rsidRPr="002B27B1">
        <w:rPr>
          <w:rFonts w:eastAsia="Calibri" w:cs="Times New Roman"/>
          <w:szCs w:val="24"/>
        </w:rPr>
        <w:t>Nav iespējams veikt steidzamas iegādes (ir jārēķinās ar laiku piedāvājumu iesniegšanai (piemēram, 3 darba dienas) un piegādes laiku (nav īsāks kā 1 nedēļa, paredz 1 mēnesi);</w:t>
      </w:r>
    </w:p>
    <w:p w:rsidR="00352094" w:rsidRPr="002B27B1" w:rsidRDefault="00352094" w:rsidP="008C25BB">
      <w:pPr>
        <w:pStyle w:val="ListParagraph"/>
        <w:numPr>
          <w:ilvl w:val="0"/>
          <w:numId w:val="102"/>
        </w:numPr>
        <w:spacing w:after="120"/>
        <w:ind w:left="714" w:hanging="357"/>
        <w:contextualSpacing w:val="0"/>
        <w:jc w:val="both"/>
        <w:rPr>
          <w:szCs w:val="24"/>
        </w:rPr>
      </w:pPr>
      <w:r w:rsidRPr="002B27B1">
        <w:rPr>
          <w:rFonts w:eastAsia="Calibri" w:cs="Times New Roman"/>
          <w:szCs w:val="24"/>
        </w:rPr>
        <w:t>Trūkst vizuālas informācijas par visām precēm (piegādājamās preces salīdzināšanai, vai atbilst prasībām);</w:t>
      </w:r>
    </w:p>
    <w:p w:rsidR="00352094" w:rsidRPr="002B27B1" w:rsidRDefault="00352094" w:rsidP="008C25BB">
      <w:pPr>
        <w:pStyle w:val="ListParagraph"/>
        <w:numPr>
          <w:ilvl w:val="0"/>
          <w:numId w:val="102"/>
        </w:numPr>
        <w:spacing w:after="120"/>
        <w:ind w:left="714" w:hanging="357"/>
        <w:contextualSpacing w:val="0"/>
        <w:jc w:val="both"/>
        <w:rPr>
          <w:szCs w:val="24"/>
        </w:rPr>
      </w:pPr>
      <w:r w:rsidRPr="002B27B1">
        <w:rPr>
          <w:rFonts w:eastAsia="Calibri" w:cs="Times New Roman"/>
          <w:szCs w:val="24"/>
        </w:rPr>
        <w:t xml:space="preserve">Ierobežots preču klāsts (piemēram, reprezentatīvie suvenīri), </w:t>
      </w:r>
      <w:r w:rsidRPr="002B27B1">
        <w:rPr>
          <w:szCs w:val="24"/>
        </w:rPr>
        <w:t>nav iekļauti specifiski produkti (piemēra</w:t>
      </w:r>
      <w:r>
        <w:rPr>
          <w:szCs w:val="24"/>
        </w:rPr>
        <w:t>m</w:t>
      </w:r>
      <w:r w:rsidRPr="002B27B1">
        <w:rPr>
          <w:szCs w:val="24"/>
        </w:rPr>
        <w:t xml:space="preserve">, </w:t>
      </w:r>
      <w:r w:rsidRPr="002B27B1">
        <w:rPr>
          <w:bCs/>
          <w:szCs w:val="24"/>
        </w:rPr>
        <w:t>specifiskas laboratorijas mēbeles, arhīva plaukti u.c.);</w:t>
      </w:r>
    </w:p>
    <w:p w:rsidR="00352094" w:rsidRPr="00B2334E" w:rsidRDefault="00352094" w:rsidP="008C25BB">
      <w:pPr>
        <w:pStyle w:val="ListParagraph"/>
        <w:numPr>
          <w:ilvl w:val="0"/>
          <w:numId w:val="102"/>
        </w:numPr>
        <w:spacing w:after="120"/>
        <w:contextualSpacing w:val="0"/>
        <w:jc w:val="both"/>
        <w:rPr>
          <w:szCs w:val="24"/>
        </w:rPr>
      </w:pPr>
      <w:r w:rsidRPr="00B2334E">
        <w:rPr>
          <w:rFonts w:eastAsiaTheme="minorEastAsia" w:cs="Times New Roman"/>
          <w:kern w:val="24"/>
          <w:szCs w:val="24"/>
        </w:rPr>
        <w:t xml:space="preserve">Tehniskajā specifikācijā nav atrunāta piegādātāja </w:t>
      </w:r>
      <w:r w:rsidRPr="00B2334E">
        <w:rPr>
          <w:rFonts w:eastAsiaTheme="minorEastAsia" w:cs="Times New Roman"/>
          <w:bCs/>
          <w:kern w:val="24"/>
          <w:szCs w:val="24"/>
        </w:rPr>
        <w:t xml:space="preserve">minimālā pieredze </w:t>
      </w:r>
      <w:r w:rsidRPr="00B2334E">
        <w:rPr>
          <w:rFonts w:eastAsiaTheme="minorEastAsia" w:cs="Times New Roman"/>
          <w:kern w:val="24"/>
          <w:szCs w:val="24"/>
        </w:rPr>
        <w:t xml:space="preserve">vai pakalpojuma </w:t>
      </w:r>
      <w:r w:rsidRPr="00B2334E">
        <w:rPr>
          <w:rFonts w:eastAsiaTheme="minorEastAsia" w:cs="Times New Roman"/>
          <w:bCs/>
          <w:kern w:val="24"/>
          <w:szCs w:val="24"/>
        </w:rPr>
        <w:t>sniegšanas vieta</w:t>
      </w:r>
      <w:r>
        <w:rPr>
          <w:rFonts w:eastAsiaTheme="minorEastAsia" w:cs="Times New Roman"/>
          <w:kern w:val="24"/>
          <w:szCs w:val="24"/>
        </w:rPr>
        <w:t>;</w:t>
      </w:r>
    </w:p>
    <w:p w:rsidR="00352094" w:rsidRDefault="00352094" w:rsidP="008C25BB">
      <w:pPr>
        <w:pStyle w:val="ListParagraph"/>
        <w:numPr>
          <w:ilvl w:val="0"/>
          <w:numId w:val="102"/>
        </w:numPr>
        <w:spacing w:after="120"/>
        <w:contextualSpacing w:val="0"/>
        <w:jc w:val="both"/>
        <w:rPr>
          <w:rFonts w:eastAsiaTheme="minorEastAsia"/>
          <w:kern w:val="24"/>
          <w:szCs w:val="24"/>
        </w:rPr>
      </w:pPr>
      <w:r w:rsidRPr="00F44938">
        <w:rPr>
          <w:rFonts w:eastAsiaTheme="minorEastAsia"/>
          <w:kern w:val="24"/>
          <w:szCs w:val="24"/>
        </w:rPr>
        <w:t xml:space="preserve">Katalogos pieejamo preču </w:t>
      </w:r>
      <w:r w:rsidRPr="00F44938">
        <w:rPr>
          <w:rFonts w:eastAsiaTheme="minorEastAsia"/>
          <w:bCs/>
          <w:kern w:val="24"/>
          <w:szCs w:val="24"/>
        </w:rPr>
        <w:t xml:space="preserve">tehniskie parametri neatbilst </w:t>
      </w:r>
      <w:r w:rsidRPr="00F44938">
        <w:rPr>
          <w:rFonts w:eastAsiaTheme="minorEastAsia"/>
          <w:kern w:val="24"/>
          <w:szCs w:val="24"/>
        </w:rPr>
        <w:t>iestādes prasībām</w:t>
      </w:r>
      <w:r>
        <w:rPr>
          <w:rFonts w:eastAsiaTheme="minorEastAsia"/>
          <w:kern w:val="24"/>
          <w:szCs w:val="24"/>
        </w:rPr>
        <w:t>;</w:t>
      </w:r>
    </w:p>
    <w:p w:rsidR="00352094" w:rsidRPr="008533CE" w:rsidRDefault="00352094" w:rsidP="008C25BB">
      <w:pPr>
        <w:pStyle w:val="ListParagraph"/>
        <w:numPr>
          <w:ilvl w:val="0"/>
          <w:numId w:val="102"/>
        </w:numPr>
        <w:spacing w:after="120"/>
        <w:contextualSpacing w:val="0"/>
        <w:jc w:val="both"/>
        <w:rPr>
          <w:rFonts w:eastAsiaTheme="minorEastAsia"/>
          <w:kern w:val="24"/>
          <w:szCs w:val="24"/>
        </w:rPr>
      </w:pPr>
      <w:r>
        <w:rPr>
          <w:szCs w:val="24"/>
        </w:rPr>
        <w:t>M</w:t>
      </w:r>
      <w:r w:rsidRPr="008533CE">
        <w:rPr>
          <w:szCs w:val="24"/>
        </w:rPr>
        <w:t>edicīnas precēm ir neatbilstoši piegādes un garantijas termiņi</w:t>
      </w:r>
      <w:r>
        <w:rPr>
          <w:szCs w:val="24"/>
        </w:rPr>
        <w:t xml:space="preserve">, </w:t>
      </w:r>
      <w:r w:rsidRPr="003F0F5A">
        <w:rPr>
          <w:szCs w:val="24"/>
        </w:rPr>
        <w:t>pie nepieciešamā preču daudzuma noteiktajā laikā  nevar nokomplektēt pasūtījuma grozu</w:t>
      </w:r>
      <w:r>
        <w:rPr>
          <w:szCs w:val="24"/>
        </w:rPr>
        <w:t>;</w:t>
      </w:r>
    </w:p>
    <w:p w:rsidR="00352094" w:rsidRDefault="00352094" w:rsidP="008C25BB">
      <w:pPr>
        <w:pStyle w:val="ListParagraph"/>
        <w:numPr>
          <w:ilvl w:val="0"/>
          <w:numId w:val="102"/>
        </w:numPr>
        <w:spacing w:after="120"/>
        <w:contextualSpacing w:val="0"/>
        <w:jc w:val="both"/>
        <w:rPr>
          <w:szCs w:val="24"/>
        </w:rPr>
      </w:pPr>
      <w:r>
        <w:rPr>
          <w:szCs w:val="24"/>
        </w:rPr>
        <w:lastRenderedPageBreak/>
        <w:t>I</w:t>
      </w:r>
      <w:r w:rsidRPr="003831B1">
        <w:rPr>
          <w:szCs w:val="24"/>
        </w:rPr>
        <w:t>lgs piegādes periods (līdz 2 mēneši)</w:t>
      </w:r>
      <w:r>
        <w:rPr>
          <w:szCs w:val="24"/>
        </w:rPr>
        <w:t>,</w:t>
      </w:r>
      <w:r w:rsidRPr="003831B1">
        <w:rPr>
          <w:szCs w:val="24"/>
        </w:rPr>
        <w:t xml:space="preserve"> </w:t>
      </w:r>
      <w:r>
        <w:rPr>
          <w:szCs w:val="24"/>
        </w:rPr>
        <w:t>p</w:t>
      </w:r>
      <w:r w:rsidRPr="003831B1">
        <w:rPr>
          <w:szCs w:val="24"/>
        </w:rPr>
        <w:t>ārtraukuma termiņš kataloga sadaļās nav prognozējams;</w:t>
      </w:r>
    </w:p>
    <w:p w:rsidR="00352094" w:rsidRDefault="00352094" w:rsidP="008C25BB">
      <w:pPr>
        <w:pStyle w:val="ListParagraph"/>
        <w:numPr>
          <w:ilvl w:val="0"/>
          <w:numId w:val="102"/>
        </w:numPr>
        <w:spacing w:after="120"/>
        <w:contextualSpacing w:val="0"/>
        <w:jc w:val="both"/>
        <w:rPr>
          <w:szCs w:val="24"/>
        </w:rPr>
      </w:pPr>
      <w:r>
        <w:rPr>
          <w:szCs w:val="24"/>
        </w:rPr>
        <w:t>Vairākas ministrijas norādījušas, ka izmantojot ministrijas organizēto centralizēto iepirkumu ārpus EIS, iespējams iegādāties kvalitatīvākas un lētākas preces un pakalpojumus;</w:t>
      </w:r>
    </w:p>
    <w:p w:rsidR="00352094" w:rsidRPr="006B785F" w:rsidRDefault="00352094" w:rsidP="008C25BB">
      <w:pPr>
        <w:pStyle w:val="ListParagraph"/>
        <w:numPr>
          <w:ilvl w:val="0"/>
          <w:numId w:val="102"/>
        </w:numPr>
        <w:spacing w:after="120"/>
        <w:contextualSpacing w:val="0"/>
        <w:jc w:val="both"/>
        <w:rPr>
          <w:szCs w:val="24"/>
        </w:rPr>
      </w:pPr>
      <w:r>
        <w:rPr>
          <w:szCs w:val="24"/>
        </w:rPr>
        <w:t>V</w:t>
      </w:r>
      <w:r w:rsidRPr="006B785F">
        <w:rPr>
          <w:szCs w:val="24"/>
        </w:rPr>
        <w:t>eselības apdrošināšanas pakalpojumiem zems programmas segums</w:t>
      </w:r>
      <w:r w:rsidRPr="006B785F">
        <w:rPr>
          <w:bCs/>
          <w:szCs w:val="24"/>
        </w:rPr>
        <w:t>, ja salīdzina to ar iepirkuma procedūras rezultātā piedāvātajiem veselības apdrošināšanas nosacījumiem pie vienādām izmaksām.</w:t>
      </w:r>
    </w:p>
    <w:p w:rsidR="00352094" w:rsidRDefault="00352094" w:rsidP="00352094">
      <w:pPr>
        <w:spacing w:after="120"/>
        <w:jc w:val="both"/>
        <w:rPr>
          <w:b/>
        </w:rPr>
      </w:pPr>
      <w:r w:rsidRPr="00655E65">
        <w:rPr>
          <w:b/>
        </w:rPr>
        <w:t>Priekšlikumi:</w:t>
      </w:r>
    </w:p>
    <w:p w:rsidR="00352094" w:rsidRDefault="00352094" w:rsidP="008C25BB">
      <w:pPr>
        <w:pStyle w:val="ListParagraph"/>
        <w:numPr>
          <w:ilvl w:val="0"/>
          <w:numId w:val="105"/>
        </w:numPr>
        <w:spacing w:after="120"/>
        <w:ind w:left="714" w:hanging="357"/>
        <w:contextualSpacing w:val="0"/>
        <w:jc w:val="both"/>
      </w:pPr>
      <w:r>
        <w:t>VARAM izvērtēt iespēju papildināt EIS ar ministriju ieteiktiem jauniem preču katalogiem;</w:t>
      </w:r>
    </w:p>
    <w:p w:rsidR="00352094" w:rsidRDefault="00352094" w:rsidP="008C25BB">
      <w:pPr>
        <w:pStyle w:val="ListParagraph"/>
        <w:numPr>
          <w:ilvl w:val="0"/>
          <w:numId w:val="105"/>
        </w:numPr>
        <w:spacing w:after="120"/>
        <w:ind w:left="714" w:hanging="357"/>
        <w:contextualSpacing w:val="0"/>
        <w:jc w:val="both"/>
      </w:pPr>
      <w:r>
        <w:t>VARAM uzlabot EIS pieejamos veselības apdrošināšanas katalogus, organizējot darba grupu tehniskās specifikācijas izstrādei jauna iepirkuma rīkošanai, nosakot par obligātu iepirkumu ekspertu piesaisti no dažādām ministrijām un iestrādājot tehniskajā specifikācijā ekspertu izvirzītās vajadzības;</w:t>
      </w:r>
    </w:p>
    <w:p w:rsidR="00352094" w:rsidRPr="001333E6" w:rsidRDefault="00352094" w:rsidP="008C25BB">
      <w:pPr>
        <w:pStyle w:val="ListParagraph"/>
        <w:numPr>
          <w:ilvl w:val="0"/>
          <w:numId w:val="105"/>
        </w:numPr>
        <w:spacing w:after="120"/>
        <w:ind w:left="714" w:hanging="357"/>
        <w:contextualSpacing w:val="0"/>
        <w:jc w:val="both"/>
      </w:pPr>
      <w:r>
        <w:t>Gadījumā, ja ekspertu piedāvātās prasības veselības apdrošināšanai nav iespējams iekļaut vienā iepirkumā, tad to var dalīt divās vai vairākās daļās, saprotot, kuras ministrijas un to padotības iestādes startē vienkopus;</w:t>
      </w:r>
    </w:p>
    <w:p w:rsidR="00352094" w:rsidRDefault="00352094" w:rsidP="008C25BB">
      <w:pPr>
        <w:pStyle w:val="ListParagraph"/>
        <w:numPr>
          <w:ilvl w:val="0"/>
          <w:numId w:val="105"/>
        </w:numPr>
        <w:spacing w:after="120"/>
        <w:ind w:left="714" w:hanging="357"/>
        <w:contextualSpacing w:val="0"/>
        <w:jc w:val="both"/>
      </w:pPr>
      <w:r>
        <w:t>Noteikt vienotu datumu veselības apdrošināšanas atjaunošanai, lai to izlīdzinātu visās tiešās valsts pārvaldes iestādēs, pagarinot jau noslēgto polišu darbības laiku vai slēdzot jaunus līgumus līdz noteiktam datumam;</w:t>
      </w:r>
    </w:p>
    <w:p w:rsidR="00352094" w:rsidRPr="00691D8B" w:rsidRDefault="00352094" w:rsidP="008C25BB">
      <w:pPr>
        <w:pStyle w:val="ListParagraph"/>
        <w:numPr>
          <w:ilvl w:val="0"/>
          <w:numId w:val="105"/>
        </w:numPr>
        <w:spacing w:after="120"/>
        <w:ind w:left="714" w:hanging="357"/>
        <w:contextualSpacing w:val="0"/>
        <w:jc w:val="both"/>
      </w:pPr>
      <w:r>
        <w:t>VARAM papildināt EIS ar komandējumu pakalpojuma iepirkumu, izmantojot TM pozitīvo pieredzi.</w:t>
      </w:r>
    </w:p>
    <w:p w:rsidR="00B003AC" w:rsidRPr="00E6741A" w:rsidRDefault="00B003AC" w:rsidP="00BA3D36">
      <w:pPr>
        <w:pStyle w:val="Heading3"/>
        <w:spacing w:before="240"/>
        <w:jc w:val="center"/>
        <w:rPr>
          <w:color w:val="auto"/>
          <w:sz w:val="28"/>
          <w:szCs w:val="28"/>
        </w:rPr>
      </w:pPr>
      <w:bookmarkStart w:id="16" w:name="_Toc487036800"/>
      <w:r w:rsidRPr="00C90316">
        <w:rPr>
          <w:rFonts w:ascii="Times New Roman" w:hAnsi="Times New Roman" w:cs="Times New Roman"/>
          <w:color w:val="auto"/>
          <w:sz w:val="28"/>
          <w:szCs w:val="28"/>
        </w:rPr>
        <w:t>3.3.2. Izdevumu dalībai starptautiskajās organizācijās pārskatīšana</w:t>
      </w:r>
      <w:bookmarkEnd w:id="16"/>
    </w:p>
    <w:p w:rsidR="00605D5E" w:rsidRDefault="00605D5E" w:rsidP="00605D5E"/>
    <w:p w:rsidR="00BF75BA" w:rsidRDefault="00691D8B" w:rsidP="00BF75BA">
      <w:pPr>
        <w:spacing w:after="120"/>
        <w:ind w:firstLine="720"/>
        <w:jc w:val="both"/>
        <w:rPr>
          <w:rFonts w:cs="Times New Roman"/>
          <w:szCs w:val="24"/>
        </w:rPr>
      </w:pPr>
      <w:r>
        <w:rPr>
          <w:rFonts w:cs="Times New Roman"/>
          <w:szCs w:val="24"/>
        </w:rPr>
        <w:t>FM</w:t>
      </w:r>
      <w:r w:rsidR="00BF75BA" w:rsidRPr="007D043B">
        <w:rPr>
          <w:rFonts w:cs="Times New Roman"/>
          <w:szCs w:val="24"/>
        </w:rPr>
        <w:t xml:space="preserve"> saskaņā ar </w:t>
      </w:r>
      <w:r>
        <w:rPr>
          <w:rFonts w:cs="Times New Roman"/>
          <w:szCs w:val="24"/>
        </w:rPr>
        <w:t>MK</w:t>
      </w:r>
      <w:r w:rsidR="00BF75BA" w:rsidRPr="007D043B">
        <w:rPr>
          <w:rFonts w:cs="Times New Roman"/>
          <w:szCs w:val="24"/>
        </w:rPr>
        <w:t xml:space="preserve"> 2016. gada 31.maija sēdes protokola Nr.26 39.§. “Informatīvais ziņojums “Par valsts budžeta izdevumu pārskatīšanas 2017., 2018. un 2019.gadam rezultātiem un priekšlikumi par šo rezultātu izmantošanu likumprojekta “Par vidēja termiņa budžeta 2017., 2018. un 2019.gadam” un likumprojekta “Par valsts budžetu 2017.gadam” iz</w:t>
      </w:r>
      <w:r w:rsidR="00E6741A">
        <w:rPr>
          <w:rFonts w:cs="Times New Roman"/>
          <w:szCs w:val="24"/>
        </w:rPr>
        <w:t>strādes procesā”” 20.</w:t>
      </w:r>
      <w:r w:rsidR="00BF75BA" w:rsidRPr="007D043B">
        <w:rPr>
          <w:rFonts w:cs="Times New Roman"/>
          <w:szCs w:val="24"/>
        </w:rPr>
        <w:t xml:space="preserve">punktu </w:t>
      </w:r>
      <w:r w:rsidR="00BF75BA" w:rsidRPr="007D043B">
        <w:rPr>
          <w:rFonts w:cs="Times New Roman"/>
          <w:i/>
          <w:szCs w:val="24"/>
        </w:rPr>
        <w:t>“</w:t>
      </w:r>
      <w:r w:rsidR="00BF75BA" w:rsidRPr="007D043B">
        <w:rPr>
          <w:rFonts w:cs="Times New Roman"/>
          <w:i/>
          <w:szCs w:val="24"/>
          <w:shd w:val="clear" w:color="auto" w:fill="FFFFFF"/>
        </w:rPr>
        <w:t>Ņemot vērā Latvijas iestāšanās procesa Ekonomiskās sadarbības un attīstības organizācijā (OECD) noslēgšanos, kā arī vispārēju nepieciešamību aktualizēt dalības un iemaksu starptautiskajās institūcijās lietderību, ministrijām un citām centrālajām valsts iestādēm sagatavot un līdz 2016.gada 1.jūlijam iesniegt Finanšu ministrijā un Ārlietu ministrijā izvērtējumu par turpmāku nepieciešamību Latvijas dalībai katrā no starptautiskajām institūcijām (vienlaikus iesniedz aktuālo sarakstu ar starptautiskajām organizācijām) ar mērķi optimizēt resursu izlietojumu starptautiskās sadarbības nodrošināšanai</w:t>
      </w:r>
      <w:r w:rsidR="00BF75BA" w:rsidRPr="007D043B">
        <w:rPr>
          <w:rFonts w:cs="Times New Roman"/>
          <w:i/>
          <w:szCs w:val="24"/>
        </w:rPr>
        <w:t>”</w:t>
      </w:r>
      <w:r w:rsidR="00BF75BA" w:rsidRPr="007D043B">
        <w:rPr>
          <w:rFonts w:cs="Times New Roman"/>
          <w:szCs w:val="24"/>
          <w:shd w:val="clear" w:color="auto" w:fill="FFFFFF"/>
        </w:rPr>
        <w:t xml:space="preserve"> </w:t>
      </w:r>
      <w:r w:rsidR="00BF75BA" w:rsidRPr="007D043B">
        <w:rPr>
          <w:rFonts w:cs="Times New Roman"/>
          <w:szCs w:val="24"/>
        </w:rPr>
        <w:t>2016.gada 20.jūnijā ministrijām nosūtīja vēstuli (Nr.2-7-03/3311) ar lūgumu sniegt informāciju ar izvērtējumu par turpmāku nepieciešamību Latvijas dalībai katrā no starptautiskajām institūcijām (vienlaikus iesniedzot aktuālo sarakstu ar starptautiskajām organizācijām) atbilstoši vēstulei pievienotajai formai un tās aizpildīšanas norādījumiem. FM saņēma informāciju no 27 ministrijām (VPK, Saeima, VK, KNAB, TB, SPRK, AiM, ĀM, EM, FM, IeM, IZM, ZM, SM, LM, TM, VARAM, KM, VKo, PKC, AT, VM, ST, LRP, CVK, CZK, RTV).</w:t>
      </w:r>
    </w:p>
    <w:p w:rsidR="00BF75BA" w:rsidRPr="007D043B" w:rsidRDefault="00BF75BA" w:rsidP="00BF75BA">
      <w:pPr>
        <w:spacing w:after="120"/>
        <w:ind w:firstLine="720"/>
        <w:jc w:val="both"/>
        <w:rPr>
          <w:rFonts w:cs="Times New Roman"/>
          <w:szCs w:val="24"/>
        </w:rPr>
      </w:pPr>
      <w:r w:rsidRPr="007D043B">
        <w:rPr>
          <w:rFonts w:cs="Times New Roman"/>
          <w:szCs w:val="24"/>
        </w:rPr>
        <w:t>Ministrijām tika lūgts iesniegt informāciju par visām ministrijas plānotajām iemaksām valsts pamatbudžetā un valsts speciālajā budžetā dalībai starptautiskajās organizācijās, norādot plānotos dalības maksas izdevumu</w:t>
      </w:r>
      <w:r w:rsidR="00E6741A">
        <w:rPr>
          <w:rFonts w:cs="Times New Roman"/>
          <w:szCs w:val="24"/>
        </w:rPr>
        <w:t>s pa gadiem, budžeta programmu/</w:t>
      </w:r>
      <w:r w:rsidRPr="007D043B">
        <w:rPr>
          <w:rFonts w:cs="Times New Roman"/>
          <w:szCs w:val="24"/>
        </w:rPr>
        <w:t>apakšprogrammu, kurā plānota dalības maksa attiecīgaj</w:t>
      </w:r>
      <w:r w:rsidR="00E6741A">
        <w:rPr>
          <w:rFonts w:cs="Times New Roman"/>
          <w:szCs w:val="24"/>
        </w:rPr>
        <w:t>ā starptautiskajā organizācijā,</w:t>
      </w:r>
      <w:r w:rsidRPr="007D043B">
        <w:rPr>
          <w:rFonts w:cs="Times New Roman"/>
          <w:szCs w:val="24"/>
        </w:rPr>
        <w:t xml:space="preserve"> starptautiskās organizācijas </w:t>
      </w:r>
      <w:r w:rsidRPr="007D043B">
        <w:rPr>
          <w:rFonts w:cs="Times New Roman"/>
          <w:szCs w:val="24"/>
        </w:rPr>
        <w:lastRenderedPageBreak/>
        <w:t>nosaukumu, starptautiskās organizācijas nosaukuma oficiālo akronīmu, pamatojumu, ar kuru tika nolemta dalība organizācijā (ministrijas pašiniciatīva, MK protokols, MK rīkojums, Saeimas lēmums, cits), lēmuma datumu, mēnesi, gadu, lēmuma numuru, īsi paskaidrojot kādas sekas (valstij, iestādei, noteiktai sabiedrības grupai, u.c.) iestājas gadījumā, ja tiek pārtraukta dalība minētajā organizācijā, ministrijas viedokli, vai dalība minētajā organizācijā ir jāturpina, Latvijas mērķi (ko valsts vēlas sasniegt), piedaloties konkrētajā organizācijā, organizācijas darbības ģeogrāfiju atkarībā no tā, no kurienes organizācijā ir nodrošināta pārstāvība.</w:t>
      </w:r>
    </w:p>
    <w:p w:rsidR="00BF75BA" w:rsidRDefault="00BF75BA" w:rsidP="00BF75BA">
      <w:pPr>
        <w:spacing w:after="120"/>
        <w:ind w:firstLine="720"/>
        <w:jc w:val="both"/>
        <w:rPr>
          <w:rFonts w:cs="Times New Roman"/>
          <w:szCs w:val="24"/>
        </w:rPr>
      </w:pPr>
      <w:r w:rsidRPr="007D043B">
        <w:rPr>
          <w:rFonts w:cs="Times New Roman"/>
          <w:szCs w:val="24"/>
        </w:rPr>
        <w:t>Ministriju iesniegtā informācija apkopota un izmantota šī gada izdevumu pārskatīšanā, analizējot Latvijas turpmākas dalības nepieciešamību katrā no starptautiskajām organizācijām. </w:t>
      </w:r>
    </w:p>
    <w:p w:rsidR="00BF75BA" w:rsidRDefault="00BF75BA" w:rsidP="00BF75BA">
      <w:pPr>
        <w:spacing w:after="120"/>
        <w:ind w:firstLine="720"/>
        <w:jc w:val="both"/>
        <w:rPr>
          <w:rFonts w:cs="Times New Roman"/>
          <w:szCs w:val="24"/>
        </w:rPr>
      </w:pPr>
      <w:r w:rsidRPr="007D043B">
        <w:rPr>
          <w:rFonts w:cs="Times New Roman"/>
          <w:szCs w:val="24"/>
        </w:rPr>
        <w:t>Ņemot vērā to, ka ar likumu “Par valsts budžetu 2017.gadam” ir notikušas izmaiņas ministriju veiktajās iemaksās, augstāk minētais saraksts tika papildināts ar iemaksām, kuras ministrijas sāka veikt 2017.gadā, un dzēstas tās, kuras 2017.gadā vairs neveic.</w:t>
      </w:r>
    </w:p>
    <w:p w:rsidR="00BF75BA" w:rsidRPr="00801647" w:rsidRDefault="00BF75BA" w:rsidP="00BF75BA">
      <w:pPr>
        <w:jc w:val="right"/>
        <w:rPr>
          <w:rFonts w:cs="Times New Roman"/>
          <w:b/>
          <w:szCs w:val="24"/>
        </w:rPr>
      </w:pPr>
      <w:r w:rsidRPr="00C70D7D">
        <w:rPr>
          <w:rFonts w:cs="Times New Roman"/>
          <w:szCs w:val="24"/>
        </w:rPr>
        <w:t>Tabula Nr.</w:t>
      </w:r>
      <w:r w:rsidR="007210A3" w:rsidRPr="00C70D7D">
        <w:rPr>
          <w:rFonts w:cs="Times New Roman"/>
          <w:szCs w:val="24"/>
        </w:rPr>
        <w:t>3.14.</w:t>
      </w:r>
    </w:p>
    <w:p w:rsidR="00BF75BA" w:rsidRPr="00691D8B" w:rsidRDefault="00BF75BA" w:rsidP="007210A3">
      <w:pPr>
        <w:spacing w:before="120" w:after="120"/>
        <w:jc w:val="center"/>
        <w:rPr>
          <w:rFonts w:cs="Times New Roman"/>
          <w:b/>
          <w:i/>
          <w:szCs w:val="24"/>
        </w:rPr>
      </w:pPr>
      <w:r w:rsidRPr="00565537">
        <w:rPr>
          <w:rFonts w:cs="Times New Roman"/>
          <w:b/>
          <w:szCs w:val="24"/>
        </w:rPr>
        <w:t>Maksājumi starptautiskajās institūcijās un programmās</w:t>
      </w:r>
      <w:r>
        <w:rPr>
          <w:rFonts w:cs="Times New Roman"/>
          <w:b/>
          <w:szCs w:val="24"/>
        </w:rPr>
        <w:t xml:space="preserve"> sadalījumā pa iestādēm (pamatfunkcijas), </w:t>
      </w:r>
      <w:r w:rsidR="00691D8B">
        <w:rPr>
          <w:rFonts w:cs="Times New Roman"/>
          <w:b/>
          <w:i/>
          <w:szCs w:val="24"/>
        </w:rPr>
        <w:t>euro</w:t>
      </w:r>
    </w:p>
    <w:tbl>
      <w:tblPr>
        <w:tblW w:w="4930" w:type="pct"/>
        <w:tblInd w:w="-5" w:type="dxa"/>
        <w:tblLayout w:type="fixed"/>
        <w:tblLook w:val="04A0" w:firstRow="1" w:lastRow="0" w:firstColumn="1" w:lastColumn="0" w:noHBand="0" w:noVBand="1"/>
      </w:tblPr>
      <w:tblGrid>
        <w:gridCol w:w="3166"/>
        <w:gridCol w:w="1510"/>
        <w:gridCol w:w="1372"/>
        <w:gridCol w:w="1512"/>
        <w:gridCol w:w="1374"/>
      </w:tblGrid>
      <w:tr w:rsidR="00BF75BA" w:rsidRPr="00061CA2" w:rsidTr="00691D8B">
        <w:trPr>
          <w:trHeight w:val="765"/>
          <w:tblHeader/>
        </w:trPr>
        <w:tc>
          <w:tcPr>
            <w:tcW w:w="1772" w:type="pct"/>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BF75BA" w:rsidRPr="00061CA2" w:rsidRDefault="00BF75BA" w:rsidP="00691D8B">
            <w:pPr>
              <w:jc w:val="center"/>
              <w:rPr>
                <w:rFonts w:eastAsia="Times New Roman" w:cs="Times New Roman"/>
                <w:sz w:val="22"/>
                <w:lang w:eastAsia="lv-LV"/>
              </w:rPr>
            </w:pPr>
          </w:p>
        </w:tc>
        <w:tc>
          <w:tcPr>
            <w:tcW w:w="845" w:type="pct"/>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061CA2" w:rsidRDefault="00BF75BA" w:rsidP="00691D8B">
            <w:pPr>
              <w:jc w:val="center"/>
              <w:rPr>
                <w:rFonts w:eastAsia="Times New Roman" w:cs="Times New Roman"/>
                <w:b/>
                <w:bCs/>
                <w:sz w:val="22"/>
                <w:lang w:eastAsia="lv-LV"/>
              </w:rPr>
            </w:pPr>
            <w:r w:rsidRPr="00061CA2">
              <w:rPr>
                <w:rFonts w:eastAsia="Times New Roman" w:cs="Times New Roman"/>
                <w:b/>
                <w:bCs/>
                <w:sz w:val="22"/>
                <w:lang w:eastAsia="lv-LV"/>
              </w:rPr>
              <w:t>2016.gada precizētais plāns</w:t>
            </w:r>
          </w:p>
        </w:tc>
        <w:tc>
          <w:tcPr>
            <w:tcW w:w="768" w:type="pct"/>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061CA2" w:rsidRDefault="00BF75BA" w:rsidP="00691D8B">
            <w:pPr>
              <w:jc w:val="center"/>
              <w:rPr>
                <w:rFonts w:eastAsia="Times New Roman" w:cs="Times New Roman"/>
                <w:b/>
                <w:bCs/>
                <w:sz w:val="22"/>
                <w:lang w:eastAsia="lv-LV"/>
              </w:rPr>
            </w:pPr>
            <w:r w:rsidRPr="00061CA2">
              <w:rPr>
                <w:rFonts w:eastAsia="Times New Roman" w:cs="Times New Roman"/>
                <w:b/>
                <w:bCs/>
                <w:sz w:val="22"/>
                <w:lang w:eastAsia="lv-LV"/>
              </w:rPr>
              <w:t>2017.gada ietvars</w:t>
            </w:r>
          </w:p>
        </w:tc>
        <w:tc>
          <w:tcPr>
            <w:tcW w:w="846" w:type="pct"/>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061CA2" w:rsidRDefault="00BF75BA" w:rsidP="00691D8B">
            <w:pPr>
              <w:jc w:val="center"/>
              <w:rPr>
                <w:rFonts w:eastAsia="Times New Roman" w:cs="Times New Roman"/>
                <w:b/>
                <w:bCs/>
                <w:sz w:val="22"/>
                <w:lang w:eastAsia="lv-LV"/>
              </w:rPr>
            </w:pPr>
            <w:r w:rsidRPr="00061CA2">
              <w:rPr>
                <w:rFonts w:eastAsia="Times New Roman" w:cs="Times New Roman"/>
                <w:b/>
                <w:bCs/>
                <w:sz w:val="22"/>
                <w:lang w:eastAsia="lv-LV"/>
              </w:rPr>
              <w:t>2018.gada ietvars</w:t>
            </w:r>
          </w:p>
        </w:tc>
        <w:tc>
          <w:tcPr>
            <w:tcW w:w="769" w:type="pct"/>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061CA2" w:rsidRDefault="00BF75BA" w:rsidP="00691D8B">
            <w:pPr>
              <w:jc w:val="center"/>
              <w:rPr>
                <w:rFonts w:eastAsia="Times New Roman" w:cs="Times New Roman"/>
                <w:b/>
                <w:bCs/>
                <w:sz w:val="22"/>
                <w:lang w:eastAsia="lv-LV"/>
              </w:rPr>
            </w:pPr>
            <w:r w:rsidRPr="00061CA2">
              <w:rPr>
                <w:rFonts w:eastAsia="Times New Roman" w:cs="Times New Roman"/>
                <w:b/>
                <w:bCs/>
                <w:sz w:val="22"/>
                <w:lang w:eastAsia="lv-LV"/>
              </w:rPr>
              <w:t>2019.gada ietvars</w:t>
            </w:r>
          </w:p>
        </w:tc>
      </w:tr>
      <w:tr w:rsidR="00BF75BA" w:rsidRPr="00061CA2" w:rsidTr="00E930A9">
        <w:trPr>
          <w:trHeight w:val="765"/>
        </w:trPr>
        <w:tc>
          <w:tcPr>
            <w:tcW w:w="177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F75BA" w:rsidRPr="00061CA2" w:rsidRDefault="00BF75BA" w:rsidP="00691D8B">
            <w:pPr>
              <w:rPr>
                <w:rFonts w:cs="Times New Roman"/>
                <w:b/>
                <w:sz w:val="22"/>
              </w:rPr>
            </w:pPr>
            <w:r w:rsidRPr="00061CA2">
              <w:rPr>
                <w:rFonts w:cs="Times New Roman"/>
                <w:b/>
                <w:sz w:val="22"/>
              </w:rPr>
              <w:t xml:space="preserve">Kārtējie maksājumi </w:t>
            </w:r>
            <w:r w:rsidR="00691D8B" w:rsidRPr="00061CA2">
              <w:rPr>
                <w:rFonts w:cs="Times New Roman"/>
                <w:b/>
                <w:sz w:val="22"/>
              </w:rPr>
              <w:t>ES</w:t>
            </w:r>
            <w:r w:rsidRPr="00061CA2">
              <w:rPr>
                <w:rFonts w:cs="Times New Roman"/>
                <w:b/>
                <w:sz w:val="22"/>
              </w:rPr>
              <w:t xml:space="preserve"> budžetā un starptautiskā sadarbība, t.sk.:</w:t>
            </w:r>
          </w:p>
        </w:tc>
        <w:tc>
          <w:tcPr>
            <w:tcW w:w="845" w:type="pct"/>
            <w:tcBorders>
              <w:top w:val="single" w:sz="4" w:space="0" w:color="auto"/>
              <w:left w:val="nil"/>
              <w:bottom w:val="single" w:sz="4" w:space="0" w:color="auto"/>
              <w:right w:val="single" w:sz="4" w:space="0" w:color="auto"/>
            </w:tcBorders>
            <w:shd w:val="clear" w:color="auto" w:fill="auto"/>
            <w:vAlign w:val="bottom"/>
          </w:tcPr>
          <w:p w:rsidR="00BF75BA" w:rsidRPr="00061CA2" w:rsidRDefault="00BF75BA" w:rsidP="00E930A9">
            <w:pPr>
              <w:jc w:val="right"/>
              <w:rPr>
                <w:rFonts w:cs="Times New Roman"/>
                <w:b/>
                <w:sz w:val="22"/>
              </w:rPr>
            </w:pPr>
            <w:r w:rsidRPr="00061CA2">
              <w:rPr>
                <w:rFonts w:cs="Times New Roman"/>
                <w:b/>
                <w:sz w:val="22"/>
              </w:rPr>
              <w:t>301 191 992</w:t>
            </w:r>
          </w:p>
        </w:tc>
        <w:tc>
          <w:tcPr>
            <w:tcW w:w="768" w:type="pct"/>
            <w:tcBorders>
              <w:top w:val="single" w:sz="4" w:space="0" w:color="auto"/>
              <w:left w:val="nil"/>
              <w:bottom w:val="single" w:sz="4" w:space="0" w:color="auto"/>
              <w:right w:val="single" w:sz="4" w:space="0" w:color="auto"/>
            </w:tcBorders>
            <w:shd w:val="clear" w:color="auto" w:fill="auto"/>
            <w:vAlign w:val="bottom"/>
          </w:tcPr>
          <w:p w:rsidR="00BF75BA" w:rsidRPr="00061CA2" w:rsidRDefault="00BF75BA" w:rsidP="00E930A9">
            <w:pPr>
              <w:jc w:val="right"/>
              <w:rPr>
                <w:rFonts w:cs="Times New Roman"/>
                <w:b/>
                <w:sz w:val="22"/>
              </w:rPr>
            </w:pPr>
            <w:r w:rsidRPr="00061CA2">
              <w:rPr>
                <w:rFonts w:cs="Times New Roman"/>
                <w:b/>
                <w:sz w:val="22"/>
              </w:rPr>
              <w:t>313 885 384</w:t>
            </w:r>
          </w:p>
        </w:tc>
        <w:tc>
          <w:tcPr>
            <w:tcW w:w="846" w:type="pct"/>
            <w:tcBorders>
              <w:top w:val="single" w:sz="4" w:space="0" w:color="auto"/>
              <w:left w:val="nil"/>
              <w:bottom w:val="single" w:sz="4" w:space="0" w:color="auto"/>
              <w:right w:val="single" w:sz="4" w:space="0" w:color="auto"/>
            </w:tcBorders>
            <w:shd w:val="clear" w:color="auto" w:fill="auto"/>
            <w:vAlign w:val="bottom"/>
          </w:tcPr>
          <w:p w:rsidR="00BF75BA" w:rsidRPr="00061CA2" w:rsidRDefault="00BF75BA" w:rsidP="00E930A9">
            <w:pPr>
              <w:jc w:val="right"/>
              <w:rPr>
                <w:rFonts w:cs="Times New Roman"/>
                <w:b/>
                <w:sz w:val="22"/>
              </w:rPr>
            </w:pPr>
            <w:r w:rsidRPr="00061CA2">
              <w:rPr>
                <w:rFonts w:cs="Times New Roman"/>
                <w:b/>
                <w:sz w:val="22"/>
              </w:rPr>
              <w:t>329 592 261</w:t>
            </w:r>
          </w:p>
        </w:tc>
        <w:tc>
          <w:tcPr>
            <w:tcW w:w="769" w:type="pct"/>
            <w:tcBorders>
              <w:top w:val="single" w:sz="4" w:space="0" w:color="auto"/>
              <w:left w:val="nil"/>
              <w:bottom w:val="single" w:sz="4" w:space="0" w:color="auto"/>
              <w:right w:val="single" w:sz="4" w:space="0" w:color="auto"/>
            </w:tcBorders>
            <w:shd w:val="clear" w:color="auto" w:fill="auto"/>
            <w:vAlign w:val="bottom"/>
          </w:tcPr>
          <w:p w:rsidR="00BF75BA" w:rsidRPr="00061CA2" w:rsidRDefault="00BF75BA" w:rsidP="00E930A9">
            <w:pPr>
              <w:jc w:val="right"/>
              <w:rPr>
                <w:rFonts w:cs="Times New Roman"/>
                <w:b/>
                <w:sz w:val="22"/>
              </w:rPr>
            </w:pPr>
            <w:r w:rsidRPr="00061CA2">
              <w:rPr>
                <w:rFonts w:cs="Times New Roman"/>
                <w:b/>
                <w:sz w:val="22"/>
              </w:rPr>
              <w:t>357 419 708</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vAlign w:val="bottom"/>
            <w:hideMark/>
          </w:tcPr>
          <w:p w:rsidR="00BF75BA" w:rsidRPr="00061CA2" w:rsidRDefault="00BF75BA" w:rsidP="00E930A9">
            <w:pPr>
              <w:rPr>
                <w:rFonts w:eastAsia="Times New Roman" w:cs="Times New Roman"/>
                <w:b/>
                <w:bCs/>
                <w:i/>
                <w:sz w:val="22"/>
                <w:lang w:eastAsia="lv-LV"/>
              </w:rPr>
            </w:pPr>
            <w:r w:rsidRPr="00061CA2">
              <w:rPr>
                <w:rFonts w:eastAsia="Times New Roman" w:cs="Times New Roman"/>
                <w:b/>
                <w:bCs/>
                <w:i/>
                <w:sz w:val="22"/>
                <w:lang w:eastAsia="lv-LV"/>
              </w:rPr>
              <w:t>Kārtējie maksājumi ES budžetā (netika vērtētas)</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i/>
                <w:sz w:val="22"/>
                <w:lang w:eastAsia="lv-LV"/>
              </w:rPr>
            </w:pPr>
            <w:r w:rsidRPr="00061CA2">
              <w:rPr>
                <w:rFonts w:eastAsia="Times New Roman" w:cs="Times New Roman"/>
                <w:b/>
                <w:bCs/>
                <w:i/>
                <w:sz w:val="22"/>
                <w:lang w:eastAsia="lv-LV"/>
              </w:rPr>
              <w:t>279 200 000</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i/>
                <w:sz w:val="22"/>
                <w:lang w:eastAsia="lv-LV"/>
              </w:rPr>
            </w:pPr>
            <w:r w:rsidRPr="00061CA2">
              <w:rPr>
                <w:rFonts w:eastAsia="Times New Roman" w:cs="Times New Roman"/>
                <w:b/>
                <w:bCs/>
                <w:i/>
                <w:sz w:val="22"/>
                <w:lang w:eastAsia="lv-LV"/>
              </w:rPr>
              <w:t>291 341 262</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i/>
                <w:sz w:val="22"/>
                <w:lang w:eastAsia="lv-LV"/>
              </w:rPr>
            </w:pPr>
            <w:r w:rsidRPr="00061CA2">
              <w:rPr>
                <w:rFonts w:eastAsia="Times New Roman" w:cs="Times New Roman"/>
                <w:b/>
                <w:bCs/>
                <w:i/>
                <w:sz w:val="22"/>
                <w:lang w:eastAsia="lv-LV"/>
              </w:rPr>
              <w:t>303 974 574</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i/>
                <w:sz w:val="22"/>
                <w:lang w:eastAsia="lv-LV"/>
              </w:rPr>
            </w:pPr>
            <w:r w:rsidRPr="00061CA2">
              <w:rPr>
                <w:rFonts w:eastAsia="Times New Roman" w:cs="Times New Roman"/>
                <w:b/>
                <w:bCs/>
                <w:i/>
                <w:sz w:val="22"/>
                <w:lang w:eastAsia="lv-LV"/>
              </w:rPr>
              <w:t>331 650 709</w:t>
            </w:r>
          </w:p>
        </w:tc>
      </w:tr>
      <w:tr w:rsidR="00BF75BA" w:rsidRPr="00061CA2" w:rsidTr="00E930A9">
        <w:trPr>
          <w:trHeight w:val="327"/>
        </w:trPr>
        <w:tc>
          <w:tcPr>
            <w:tcW w:w="1772" w:type="pct"/>
            <w:tcBorders>
              <w:top w:val="nil"/>
              <w:left w:val="single" w:sz="4" w:space="0" w:color="auto"/>
              <w:bottom w:val="single" w:sz="4" w:space="0" w:color="auto"/>
              <w:right w:val="single" w:sz="4" w:space="0" w:color="auto"/>
            </w:tcBorders>
            <w:shd w:val="clear" w:color="auto" w:fill="auto"/>
            <w:vAlign w:val="bottom"/>
          </w:tcPr>
          <w:p w:rsidR="00BF75BA" w:rsidRPr="00061CA2" w:rsidRDefault="00BF75BA" w:rsidP="00E930A9">
            <w:pPr>
              <w:rPr>
                <w:rFonts w:cs="Times New Roman"/>
                <w:b/>
                <w:i/>
                <w:sz w:val="22"/>
              </w:rPr>
            </w:pPr>
            <w:r w:rsidRPr="00061CA2">
              <w:rPr>
                <w:rFonts w:cs="Times New Roman"/>
                <w:b/>
                <w:i/>
                <w:sz w:val="22"/>
              </w:rPr>
              <w:t>Starptautiskā sadarbība, t.sk.:</w:t>
            </w:r>
          </w:p>
        </w:tc>
        <w:tc>
          <w:tcPr>
            <w:tcW w:w="845" w:type="pct"/>
            <w:tcBorders>
              <w:top w:val="nil"/>
              <w:left w:val="nil"/>
              <w:bottom w:val="single" w:sz="4" w:space="0" w:color="auto"/>
              <w:right w:val="single" w:sz="4" w:space="0" w:color="auto"/>
            </w:tcBorders>
            <w:shd w:val="clear" w:color="auto" w:fill="auto"/>
            <w:noWrap/>
            <w:vAlign w:val="bottom"/>
          </w:tcPr>
          <w:p w:rsidR="00BF75BA" w:rsidRPr="00061CA2" w:rsidRDefault="00BF75BA" w:rsidP="00E930A9">
            <w:pPr>
              <w:jc w:val="right"/>
              <w:rPr>
                <w:rFonts w:cs="Times New Roman"/>
                <w:b/>
                <w:i/>
                <w:sz w:val="22"/>
              </w:rPr>
            </w:pPr>
            <w:r w:rsidRPr="00061CA2">
              <w:rPr>
                <w:rFonts w:cs="Times New Roman"/>
                <w:b/>
                <w:i/>
                <w:sz w:val="22"/>
              </w:rPr>
              <w:t>21 991 992</w:t>
            </w:r>
          </w:p>
        </w:tc>
        <w:tc>
          <w:tcPr>
            <w:tcW w:w="768" w:type="pct"/>
            <w:tcBorders>
              <w:top w:val="nil"/>
              <w:left w:val="nil"/>
              <w:bottom w:val="single" w:sz="4" w:space="0" w:color="auto"/>
              <w:right w:val="single" w:sz="4" w:space="0" w:color="auto"/>
            </w:tcBorders>
            <w:shd w:val="clear" w:color="auto" w:fill="auto"/>
            <w:noWrap/>
            <w:vAlign w:val="bottom"/>
          </w:tcPr>
          <w:p w:rsidR="00BF75BA" w:rsidRPr="00061CA2" w:rsidRDefault="00BF75BA" w:rsidP="00E930A9">
            <w:pPr>
              <w:jc w:val="right"/>
              <w:rPr>
                <w:rFonts w:cs="Times New Roman"/>
                <w:b/>
                <w:i/>
                <w:sz w:val="22"/>
              </w:rPr>
            </w:pPr>
            <w:r w:rsidRPr="00061CA2">
              <w:rPr>
                <w:rFonts w:cs="Times New Roman"/>
                <w:b/>
                <w:i/>
                <w:sz w:val="22"/>
              </w:rPr>
              <w:t>22 544 122</w:t>
            </w:r>
          </w:p>
        </w:tc>
        <w:tc>
          <w:tcPr>
            <w:tcW w:w="846" w:type="pct"/>
            <w:tcBorders>
              <w:top w:val="nil"/>
              <w:left w:val="nil"/>
              <w:bottom w:val="single" w:sz="4" w:space="0" w:color="auto"/>
              <w:right w:val="single" w:sz="4" w:space="0" w:color="auto"/>
            </w:tcBorders>
            <w:shd w:val="clear" w:color="auto" w:fill="auto"/>
            <w:noWrap/>
            <w:vAlign w:val="bottom"/>
          </w:tcPr>
          <w:p w:rsidR="00BF75BA" w:rsidRPr="00061CA2" w:rsidRDefault="00BF75BA" w:rsidP="00E930A9">
            <w:pPr>
              <w:jc w:val="right"/>
              <w:rPr>
                <w:rFonts w:cs="Times New Roman"/>
                <w:b/>
                <w:i/>
                <w:sz w:val="22"/>
              </w:rPr>
            </w:pPr>
            <w:r w:rsidRPr="00061CA2">
              <w:rPr>
                <w:rFonts w:cs="Times New Roman"/>
                <w:b/>
                <w:i/>
                <w:sz w:val="22"/>
              </w:rPr>
              <w:t>25 617 687</w:t>
            </w:r>
          </w:p>
        </w:tc>
        <w:tc>
          <w:tcPr>
            <w:tcW w:w="769" w:type="pct"/>
            <w:tcBorders>
              <w:top w:val="nil"/>
              <w:left w:val="nil"/>
              <w:bottom w:val="single" w:sz="4" w:space="0" w:color="auto"/>
              <w:right w:val="single" w:sz="4" w:space="0" w:color="auto"/>
            </w:tcBorders>
            <w:shd w:val="clear" w:color="auto" w:fill="auto"/>
            <w:noWrap/>
            <w:vAlign w:val="bottom"/>
          </w:tcPr>
          <w:p w:rsidR="00BF75BA" w:rsidRPr="00061CA2" w:rsidRDefault="00BF75BA" w:rsidP="00E930A9">
            <w:pPr>
              <w:jc w:val="right"/>
              <w:rPr>
                <w:rFonts w:cs="Times New Roman"/>
                <w:b/>
                <w:i/>
                <w:sz w:val="22"/>
              </w:rPr>
            </w:pPr>
            <w:r w:rsidRPr="00061CA2">
              <w:rPr>
                <w:rFonts w:cs="Times New Roman"/>
                <w:b/>
                <w:i/>
                <w:sz w:val="22"/>
              </w:rPr>
              <w:t>25 768 999</w:t>
            </w:r>
          </w:p>
        </w:tc>
      </w:tr>
      <w:tr w:rsidR="00BF75BA" w:rsidRPr="00061CA2" w:rsidTr="00E930A9">
        <w:trPr>
          <w:trHeight w:val="327"/>
        </w:trPr>
        <w:tc>
          <w:tcPr>
            <w:tcW w:w="1772" w:type="pct"/>
            <w:tcBorders>
              <w:top w:val="nil"/>
              <w:left w:val="single" w:sz="4" w:space="0" w:color="auto"/>
              <w:bottom w:val="single" w:sz="4" w:space="0" w:color="auto"/>
              <w:right w:val="single" w:sz="4" w:space="0" w:color="auto"/>
            </w:tcBorders>
            <w:shd w:val="clear" w:color="auto" w:fill="auto"/>
            <w:vAlign w:val="bottom"/>
          </w:tcPr>
          <w:p w:rsidR="00BF75BA" w:rsidRPr="00061CA2" w:rsidRDefault="00BF75BA" w:rsidP="00E930A9">
            <w:pPr>
              <w:rPr>
                <w:rFonts w:cs="Times New Roman"/>
                <w:b/>
                <w:sz w:val="22"/>
              </w:rPr>
            </w:pPr>
            <w:r w:rsidRPr="00061CA2">
              <w:rPr>
                <w:rFonts w:cs="Times New Roman"/>
                <w:b/>
                <w:sz w:val="22"/>
              </w:rPr>
              <w:t xml:space="preserve">Netika vērtētas, t.sk.: </w:t>
            </w:r>
          </w:p>
        </w:tc>
        <w:tc>
          <w:tcPr>
            <w:tcW w:w="845" w:type="pct"/>
            <w:tcBorders>
              <w:top w:val="nil"/>
              <w:left w:val="nil"/>
              <w:bottom w:val="single" w:sz="4" w:space="0" w:color="auto"/>
              <w:right w:val="single" w:sz="4" w:space="0" w:color="auto"/>
            </w:tcBorders>
            <w:shd w:val="clear" w:color="auto" w:fill="auto"/>
            <w:noWrap/>
            <w:vAlign w:val="center"/>
          </w:tcPr>
          <w:p w:rsidR="00BF75BA" w:rsidRPr="00061CA2" w:rsidRDefault="00B26394" w:rsidP="00E930A9">
            <w:pPr>
              <w:jc w:val="right"/>
              <w:rPr>
                <w:rFonts w:cs="Times New Roman"/>
                <w:b/>
                <w:bCs/>
                <w:color w:val="000000"/>
                <w:sz w:val="22"/>
              </w:rPr>
            </w:pPr>
            <w:r>
              <w:rPr>
                <w:rFonts w:cs="Times New Roman"/>
                <w:b/>
                <w:bCs/>
                <w:color w:val="000000"/>
                <w:sz w:val="22"/>
              </w:rPr>
              <w:t>13 41</w:t>
            </w:r>
            <w:r w:rsidR="001D2D6E">
              <w:rPr>
                <w:rFonts w:cs="Times New Roman"/>
                <w:b/>
                <w:bCs/>
                <w:color w:val="000000"/>
                <w:sz w:val="22"/>
              </w:rPr>
              <w:t>7 507</w:t>
            </w:r>
          </w:p>
        </w:tc>
        <w:tc>
          <w:tcPr>
            <w:tcW w:w="768" w:type="pct"/>
            <w:tcBorders>
              <w:top w:val="nil"/>
              <w:left w:val="nil"/>
              <w:bottom w:val="single" w:sz="4" w:space="0" w:color="auto"/>
              <w:right w:val="single" w:sz="4" w:space="0" w:color="auto"/>
            </w:tcBorders>
            <w:shd w:val="clear" w:color="auto" w:fill="auto"/>
            <w:noWrap/>
            <w:vAlign w:val="center"/>
          </w:tcPr>
          <w:p w:rsidR="00BF75BA" w:rsidRPr="00061CA2" w:rsidRDefault="001D2D6E" w:rsidP="00E930A9">
            <w:pPr>
              <w:jc w:val="right"/>
              <w:rPr>
                <w:rFonts w:cs="Times New Roman"/>
                <w:b/>
                <w:bCs/>
                <w:color w:val="000000"/>
                <w:sz w:val="22"/>
              </w:rPr>
            </w:pPr>
            <w:r>
              <w:rPr>
                <w:rFonts w:cs="Times New Roman"/>
                <w:b/>
                <w:bCs/>
                <w:color w:val="000000"/>
                <w:sz w:val="22"/>
              </w:rPr>
              <w:t>10 640 651</w:t>
            </w:r>
          </w:p>
        </w:tc>
        <w:tc>
          <w:tcPr>
            <w:tcW w:w="846" w:type="pct"/>
            <w:tcBorders>
              <w:top w:val="nil"/>
              <w:left w:val="nil"/>
              <w:bottom w:val="single" w:sz="4" w:space="0" w:color="auto"/>
              <w:right w:val="single" w:sz="4" w:space="0" w:color="auto"/>
            </w:tcBorders>
            <w:shd w:val="clear" w:color="auto" w:fill="auto"/>
            <w:noWrap/>
            <w:vAlign w:val="center"/>
          </w:tcPr>
          <w:p w:rsidR="00BF75BA" w:rsidRPr="00061CA2" w:rsidRDefault="001D2D6E" w:rsidP="00E930A9">
            <w:pPr>
              <w:jc w:val="right"/>
              <w:rPr>
                <w:rFonts w:cs="Times New Roman"/>
                <w:b/>
                <w:bCs/>
                <w:color w:val="000000"/>
                <w:sz w:val="22"/>
              </w:rPr>
            </w:pPr>
            <w:r>
              <w:rPr>
                <w:rFonts w:cs="Times New Roman"/>
                <w:b/>
                <w:bCs/>
                <w:color w:val="000000"/>
                <w:sz w:val="22"/>
              </w:rPr>
              <w:t>13 522 451</w:t>
            </w:r>
          </w:p>
        </w:tc>
        <w:tc>
          <w:tcPr>
            <w:tcW w:w="769" w:type="pct"/>
            <w:tcBorders>
              <w:top w:val="nil"/>
              <w:left w:val="nil"/>
              <w:bottom w:val="single" w:sz="4" w:space="0" w:color="auto"/>
              <w:right w:val="single" w:sz="4" w:space="0" w:color="auto"/>
            </w:tcBorders>
            <w:shd w:val="clear" w:color="auto" w:fill="auto"/>
            <w:noWrap/>
            <w:vAlign w:val="center"/>
          </w:tcPr>
          <w:p w:rsidR="00BF75BA" w:rsidRPr="00061CA2" w:rsidRDefault="001D2D6E" w:rsidP="00E930A9">
            <w:pPr>
              <w:jc w:val="right"/>
              <w:rPr>
                <w:rFonts w:cs="Times New Roman"/>
                <w:b/>
                <w:bCs/>
                <w:color w:val="000000"/>
                <w:sz w:val="22"/>
              </w:rPr>
            </w:pPr>
            <w:r>
              <w:rPr>
                <w:rFonts w:cs="Times New Roman"/>
                <w:b/>
                <w:bCs/>
                <w:color w:val="000000"/>
                <w:sz w:val="22"/>
              </w:rPr>
              <w:t>13 551 751</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vAlign w:val="bottom"/>
            <w:hideMark/>
          </w:tcPr>
          <w:p w:rsidR="00BF75BA" w:rsidRPr="00061CA2" w:rsidRDefault="00BF75BA" w:rsidP="00E930A9">
            <w:pPr>
              <w:rPr>
                <w:rFonts w:eastAsia="Times New Roman" w:cs="Times New Roman"/>
                <w:i/>
                <w:iCs/>
                <w:sz w:val="22"/>
                <w:lang w:eastAsia="lv-LV"/>
              </w:rPr>
            </w:pPr>
            <w:r w:rsidRPr="00061CA2">
              <w:rPr>
                <w:rFonts w:eastAsia="Times New Roman" w:cs="Times New Roman"/>
                <w:i/>
                <w:iCs/>
                <w:sz w:val="22"/>
                <w:lang w:eastAsia="lv-LV"/>
              </w:rPr>
              <w:t>OECD (kopā no starptautiskās sadarbības)</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i/>
                <w:sz w:val="22"/>
                <w:lang w:eastAsia="lv-LV"/>
              </w:rPr>
            </w:pPr>
            <w:r w:rsidRPr="00061CA2">
              <w:rPr>
                <w:rFonts w:eastAsia="Times New Roman" w:cs="Times New Roman"/>
                <w:i/>
                <w:sz w:val="22"/>
                <w:lang w:eastAsia="lv-LV"/>
              </w:rPr>
              <w:t>3 328 812</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i/>
                <w:sz w:val="22"/>
                <w:lang w:eastAsia="lv-LV"/>
              </w:rPr>
            </w:pPr>
            <w:r w:rsidRPr="00061CA2">
              <w:rPr>
                <w:rFonts w:eastAsia="Times New Roman" w:cs="Times New Roman"/>
                <w:i/>
                <w:sz w:val="22"/>
                <w:lang w:eastAsia="lv-LV"/>
              </w:rPr>
              <w:t>147 096</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i/>
                <w:sz w:val="22"/>
                <w:lang w:eastAsia="lv-LV"/>
              </w:rPr>
            </w:pPr>
            <w:r w:rsidRPr="00061CA2">
              <w:rPr>
                <w:rFonts w:eastAsia="Times New Roman" w:cs="Times New Roman"/>
                <w:i/>
                <w:sz w:val="22"/>
                <w:lang w:eastAsia="lv-LV"/>
              </w:rPr>
              <w:t>3 028 696</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i/>
                <w:sz w:val="22"/>
                <w:lang w:eastAsia="lv-LV"/>
              </w:rPr>
            </w:pPr>
            <w:r w:rsidRPr="00061CA2">
              <w:rPr>
                <w:rFonts w:eastAsia="Times New Roman" w:cs="Times New Roman"/>
                <w:i/>
                <w:sz w:val="22"/>
                <w:lang w:eastAsia="lv-LV"/>
              </w:rPr>
              <w:t>3 033 096</w:t>
            </w:r>
          </w:p>
        </w:tc>
      </w:tr>
      <w:tr w:rsidR="00E121EC" w:rsidRPr="00061CA2" w:rsidTr="00EA3393">
        <w:trPr>
          <w:trHeight w:val="255"/>
        </w:trPr>
        <w:tc>
          <w:tcPr>
            <w:tcW w:w="1772" w:type="pct"/>
            <w:tcBorders>
              <w:top w:val="nil"/>
              <w:left w:val="single" w:sz="4" w:space="0" w:color="auto"/>
              <w:bottom w:val="single" w:sz="4" w:space="0" w:color="auto"/>
              <w:right w:val="single" w:sz="4" w:space="0" w:color="auto"/>
            </w:tcBorders>
            <w:shd w:val="clear" w:color="auto" w:fill="auto"/>
            <w:vAlign w:val="bottom"/>
            <w:hideMark/>
          </w:tcPr>
          <w:p w:rsidR="00E121EC" w:rsidRPr="00061CA2" w:rsidRDefault="00E121EC" w:rsidP="00E121EC">
            <w:pPr>
              <w:rPr>
                <w:rFonts w:eastAsia="Times New Roman" w:cs="Times New Roman"/>
                <w:i/>
                <w:iCs/>
                <w:sz w:val="22"/>
                <w:lang w:eastAsia="lv-LV"/>
              </w:rPr>
            </w:pPr>
            <w:r w:rsidRPr="00061CA2">
              <w:rPr>
                <w:rFonts w:eastAsia="Times New Roman" w:cs="Times New Roman"/>
                <w:i/>
                <w:iCs/>
                <w:sz w:val="22"/>
                <w:lang w:eastAsia="lv-LV"/>
              </w:rPr>
              <w:t>NATO (kopā no starptautiskās sadarbības)</w:t>
            </w:r>
          </w:p>
        </w:tc>
        <w:tc>
          <w:tcPr>
            <w:tcW w:w="845" w:type="pct"/>
            <w:tcBorders>
              <w:top w:val="nil"/>
              <w:left w:val="nil"/>
              <w:bottom w:val="single" w:sz="4" w:space="0" w:color="auto"/>
              <w:right w:val="single" w:sz="4" w:space="0" w:color="auto"/>
            </w:tcBorders>
            <w:shd w:val="clear" w:color="auto" w:fill="auto"/>
            <w:noWrap/>
            <w:vAlign w:val="center"/>
            <w:hideMark/>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7 475 115</w:t>
            </w:r>
          </w:p>
        </w:tc>
        <w:tc>
          <w:tcPr>
            <w:tcW w:w="768" w:type="pct"/>
            <w:tcBorders>
              <w:top w:val="nil"/>
              <w:left w:val="nil"/>
              <w:bottom w:val="single" w:sz="4" w:space="0" w:color="auto"/>
              <w:right w:val="single" w:sz="4" w:space="0" w:color="auto"/>
            </w:tcBorders>
            <w:shd w:val="clear" w:color="auto" w:fill="auto"/>
            <w:noWrap/>
            <w:vAlign w:val="center"/>
            <w:hideMark/>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7 614 922</w:t>
            </w:r>
          </w:p>
        </w:tc>
        <w:tc>
          <w:tcPr>
            <w:tcW w:w="846" w:type="pct"/>
            <w:tcBorders>
              <w:top w:val="nil"/>
              <w:left w:val="nil"/>
              <w:bottom w:val="single" w:sz="4" w:space="0" w:color="auto"/>
              <w:right w:val="single" w:sz="4" w:space="0" w:color="auto"/>
            </w:tcBorders>
            <w:shd w:val="clear" w:color="auto" w:fill="auto"/>
            <w:noWrap/>
            <w:vAlign w:val="center"/>
            <w:hideMark/>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7 591 984</w:t>
            </w:r>
          </w:p>
        </w:tc>
        <w:tc>
          <w:tcPr>
            <w:tcW w:w="769" w:type="pct"/>
            <w:tcBorders>
              <w:top w:val="nil"/>
              <w:left w:val="nil"/>
              <w:bottom w:val="single" w:sz="4" w:space="0" w:color="auto"/>
              <w:right w:val="single" w:sz="4" w:space="0" w:color="auto"/>
            </w:tcBorders>
            <w:shd w:val="clear" w:color="auto" w:fill="auto"/>
            <w:noWrap/>
            <w:vAlign w:val="center"/>
            <w:hideMark/>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7 587 223</w:t>
            </w:r>
          </w:p>
        </w:tc>
      </w:tr>
      <w:tr w:rsidR="00E121EC" w:rsidRPr="00061CA2" w:rsidTr="001D2D6E">
        <w:trPr>
          <w:trHeight w:val="510"/>
        </w:trPr>
        <w:tc>
          <w:tcPr>
            <w:tcW w:w="1772" w:type="pct"/>
            <w:tcBorders>
              <w:top w:val="nil"/>
              <w:left w:val="single" w:sz="4" w:space="0" w:color="auto"/>
              <w:bottom w:val="single" w:sz="4" w:space="0" w:color="auto"/>
              <w:right w:val="single" w:sz="4" w:space="0" w:color="auto"/>
            </w:tcBorders>
            <w:shd w:val="clear" w:color="auto" w:fill="auto"/>
            <w:vAlign w:val="bottom"/>
            <w:hideMark/>
          </w:tcPr>
          <w:p w:rsidR="00E121EC" w:rsidRPr="00061CA2" w:rsidRDefault="00E121EC" w:rsidP="00E121EC">
            <w:pPr>
              <w:rPr>
                <w:rFonts w:eastAsia="Times New Roman" w:cs="Times New Roman"/>
                <w:bCs/>
                <w:i/>
                <w:sz w:val="22"/>
                <w:lang w:eastAsia="lv-LV"/>
              </w:rPr>
            </w:pPr>
            <w:r w:rsidRPr="00061CA2">
              <w:rPr>
                <w:rFonts w:eastAsia="Times New Roman" w:cs="Times New Roman"/>
                <w:bCs/>
                <w:i/>
                <w:sz w:val="22"/>
                <w:lang w:eastAsia="lv-LV"/>
              </w:rPr>
              <w:t>Iestādes, kuru iemaksas netika vērtētas (atskaitot OECD, NATO)</w:t>
            </w:r>
          </w:p>
        </w:tc>
        <w:tc>
          <w:tcPr>
            <w:tcW w:w="845" w:type="pct"/>
            <w:tcBorders>
              <w:top w:val="nil"/>
              <w:left w:val="nil"/>
              <w:bottom w:val="single" w:sz="4" w:space="0" w:color="auto"/>
              <w:right w:val="single" w:sz="4" w:space="0" w:color="auto"/>
            </w:tcBorders>
            <w:shd w:val="clear" w:color="auto" w:fill="auto"/>
            <w:noWrap/>
            <w:vAlign w:val="center"/>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2 613 580</w:t>
            </w:r>
          </w:p>
        </w:tc>
        <w:tc>
          <w:tcPr>
            <w:tcW w:w="768" w:type="pct"/>
            <w:tcBorders>
              <w:top w:val="nil"/>
              <w:left w:val="nil"/>
              <w:bottom w:val="single" w:sz="4" w:space="0" w:color="auto"/>
              <w:right w:val="single" w:sz="4" w:space="0" w:color="auto"/>
            </w:tcBorders>
            <w:shd w:val="clear" w:color="auto" w:fill="auto"/>
            <w:noWrap/>
            <w:vAlign w:val="center"/>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2 878 633</w:t>
            </w:r>
          </w:p>
        </w:tc>
        <w:tc>
          <w:tcPr>
            <w:tcW w:w="846" w:type="pct"/>
            <w:tcBorders>
              <w:top w:val="nil"/>
              <w:left w:val="nil"/>
              <w:bottom w:val="single" w:sz="4" w:space="0" w:color="auto"/>
              <w:right w:val="single" w:sz="4" w:space="0" w:color="auto"/>
            </w:tcBorders>
            <w:shd w:val="clear" w:color="auto" w:fill="auto"/>
            <w:noWrap/>
            <w:vAlign w:val="center"/>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2 901 771</w:t>
            </w:r>
          </w:p>
        </w:tc>
        <w:tc>
          <w:tcPr>
            <w:tcW w:w="769" w:type="pct"/>
            <w:tcBorders>
              <w:top w:val="nil"/>
              <w:left w:val="nil"/>
              <w:bottom w:val="single" w:sz="4" w:space="0" w:color="auto"/>
              <w:right w:val="single" w:sz="4" w:space="0" w:color="auto"/>
            </w:tcBorders>
            <w:shd w:val="clear" w:color="auto" w:fill="auto"/>
            <w:noWrap/>
            <w:vAlign w:val="center"/>
          </w:tcPr>
          <w:p w:rsidR="00E121EC" w:rsidRPr="00E121EC" w:rsidRDefault="00E121EC" w:rsidP="00E121EC">
            <w:pPr>
              <w:jc w:val="right"/>
              <w:rPr>
                <w:rFonts w:eastAsia="Times New Roman" w:cs="Times New Roman"/>
                <w:i/>
                <w:sz w:val="22"/>
                <w:lang w:eastAsia="lv-LV"/>
              </w:rPr>
            </w:pPr>
            <w:r w:rsidRPr="00E121EC">
              <w:rPr>
                <w:rFonts w:eastAsia="Times New Roman" w:cs="Times New Roman"/>
                <w:i/>
                <w:sz w:val="22"/>
                <w:lang w:eastAsia="lv-LV"/>
              </w:rPr>
              <w:t>2 931 432</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Saeima</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139 112</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139 056</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139 256</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139 256</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TB</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8 500</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10 700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10 700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10 700</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SPRK</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26394" w:rsidP="00E930A9">
            <w:pPr>
              <w:jc w:val="right"/>
              <w:rPr>
                <w:rFonts w:eastAsia="Times New Roman" w:cs="Times New Roman"/>
                <w:sz w:val="22"/>
                <w:lang w:eastAsia="lv-LV"/>
              </w:rPr>
            </w:pPr>
            <w:r>
              <w:rPr>
                <w:rFonts w:eastAsia="Times New Roman" w:cs="Times New Roman"/>
                <w:sz w:val="22"/>
                <w:lang w:eastAsia="lv-LV"/>
              </w:rPr>
              <w:t>2</w:t>
            </w:r>
            <w:r w:rsidR="001D2D6E">
              <w:rPr>
                <w:rFonts w:eastAsia="Times New Roman" w:cs="Times New Roman"/>
                <w:sz w:val="22"/>
                <w:lang w:eastAsia="lv-LV"/>
              </w:rPr>
              <w:t>5 765</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25 765</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25 765</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25 765</w:t>
            </w:r>
          </w:p>
        </w:tc>
      </w:tr>
      <w:tr w:rsidR="00E121EC" w:rsidRPr="00061CA2" w:rsidTr="00EA3393">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E121EC" w:rsidRPr="00061CA2" w:rsidRDefault="00E121EC" w:rsidP="00E121EC">
            <w:pPr>
              <w:rPr>
                <w:rFonts w:eastAsia="Times New Roman" w:cs="Times New Roman"/>
                <w:i/>
                <w:sz w:val="22"/>
                <w:highlight w:val="yellow"/>
                <w:lang w:eastAsia="lv-LV"/>
              </w:rPr>
            </w:pPr>
            <w:r w:rsidRPr="00061CA2">
              <w:rPr>
                <w:rFonts w:eastAsia="Times New Roman" w:cs="Times New Roman"/>
                <w:i/>
                <w:sz w:val="22"/>
                <w:lang w:eastAsia="lv-LV"/>
              </w:rPr>
              <w:t>AiM</w:t>
            </w:r>
          </w:p>
        </w:tc>
        <w:tc>
          <w:tcPr>
            <w:tcW w:w="845" w:type="pct"/>
            <w:tcBorders>
              <w:top w:val="nil"/>
              <w:left w:val="nil"/>
              <w:bottom w:val="single" w:sz="4" w:space="0" w:color="auto"/>
              <w:right w:val="single" w:sz="4" w:space="0" w:color="auto"/>
            </w:tcBorders>
            <w:shd w:val="clear" w:color="auto" w:fill="auto"/>
            <w:noWrap/>
            <w:vAlign w:val="center"/>
            <w:hideMark/>
          </w:tcPr>
          <w:p w:rsidR="00E121EC" w:rsidRDefault="00E121EC" w:rsidP="00E121EC">
            <w:pPr>
              <w:jc w:val="right"/>
              <w:rPr>
                <w:sz w:val="22"/>
              </w:rPr>
            </w:pPr>
            <w:r>
              <w:rPr>
                <w:sz w:val="22"/>
              </w:rPr>
              <w:t>2 426 881</w:t>
            </w:r>
          </w:p>
        </w:tc>
        <w:tc>
          <w:tcPr>
            <w:tcW w:w="768" w:type="pct"/>
            <w:tcBorders>
              <w:top w:val="nil"/>
              <w:left w:val="nil"/>
              <w:bottom w:val="single" w:sz="4" w:space="0" w:color="auto"/>
              <w:right w:val="single" w:sz="4" w:space="0" w:color="auto"/>
            </w:tcBorders>
            <w:shd w:val="clear" w:color="auto" w:fill="auto"/>
            <w:noWrap/>
            <w:vAlign w:val="center"/>
            <w:hideMark/>
          </w:tcPr>
          <w:p w:rsidR="00E121EC" w:rsidRDefault="00E121EC" w:rsidP="00E121EC">
            <w:pPr>
              <w:jc w:val="right"/>
              <w:rPr>
                <w:sz w:val="22"/>
              </w:rPr>
            </w:pPr>
            <w:r>
              <w:rPr>
                <w:sz w:val="22"/>
              </w:rPr>
              <w:t>2 689 790</w:t>
            </w:r>
          </w:p>
        </w:tc>
        <w:tc>
          <w:tcPr>
            <w:tcW w:w="846" w:type="pct"/>
            <w:tcBorders>
              <w:top w:val="nil"/>
              <w:left w:val="nil"/>
              <w:bottom w:val="single" w:sz="4" w:space="0" w:color="auto"/>
              <w:right w:val="single" w:sz="4" w:space="0" w:color="auto"/>
            </w:tcBorders>
            <w:shd w:val="clear" w:color="auto" w:fill="auto"/>
            <w:noWrap/>
            <w:vAlign w:val="center"/>
            <w:hideMark/>
          </w:tcPr>
          <w:p w:rsidR="00E121EC" w:rsidRDefault="00E121EC" w:rsidP="00E121EC">
            <w:pPr>
              <w:jc w:val="right"/>
              <w:rPr>
                <w:sz w:val="22"/>
              </w:rPr>
            </w:pPr>
            <w:r>
              <w:rPr>
                <w:sz w:val="22"/>
              </w:rPr>
              <w:t>2 712 728</w:t>
            </w:r>
          </w:p>
        </w:tc>
        <w:tc>
          <w:tcPr>
            <w:tcW w:w="769" w:type="pct"/>
            <w:tcBorders>
              <w:top w:val="nil"/>
              <w:left w:val="nil"/>
              <w:bottom w:val="single" w:sz="4" w:space="0" w:color="auto"/>
              <w:right w:val="single" w:sz="4" w:space="0" w:color="auto"/>
            </w:tcBorders>
            <w:shd w:val="clear" w:color="auto" w:fill="auto"/>
            <w:noWrap/>
            <w:vAlign w:val="center"/>
            <w:hideMark/>
          </w:tcPr>
          <w:p w:rsidR="00E121EC" w:rsidRDefault="00E121EC" w:rsidP="00E121EC">
            <w:pPr>
              <w:jc w:val="right"/>
              <w:rPr>
                <w:sz w:val="22"/>
              </w:rPr>
            </w:pPr>
            <w:r>
              <w:rPr>
                <w:sz w:val="22"/>
              </w:rPr>
              <w:t>2 742 389</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VKo</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1 422</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1 422</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1 422</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1 422</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AT</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8 500</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8 500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8 500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8 500</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ST</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1 000</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1 000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1 000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1 000</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RTV</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2 400</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2 400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2 400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2 400</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b/>
                <w:bCs/>
                <w:sz w:val="22"/>
                <w:lang w:eastAsia="lv-LV"/>
              </w:rPr>
            </w:pPr>
            <w:r w:rsidRPr="00061CA2">
              <w:rPr>
                <w:rFonts w:eastAsia="Times New Roman" w:cs="Times New Roman"/>
                <w:b/>
                <w:bCs/>
                <w:sz w:val="22"/>
                <w:lang w:eastAsia="lv-LV"/>
              </w:rPr>
              <w:t>Vērtēšanai pakļautā summa:</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sz w:val="22"/>
                <w:lang w:eastAsia="lv-LV"/>
              </w:rPr>
            </w:pPr>
            <w:r w:rsidRPr="00061CA2">
              <w:rPr>
                <w:rFonts w:eastAsia="Times New Roman" w:cs="Times New Roman"/>
                <w:b/>
                <w:bCs/>
                <w:sz w:val="22"/>
                <w:lang w:eastAsia="lv-LV"/>
              </w:rPr>
              <w:t>8 574 485</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sz w:val="22"/>
                <w:lang w:eastAsia="lv-LV"/>
              </w:rPr>
            </w:pPr>
            <w:r w:rsidRPr="00061CA2">
              <w:rPr>
                <w:rFonts w:eastAsia="Times New Roman" w:cs="Times New Roman"/>
                <w:b/>
                <w:bCs/>
                <w:sz w:val="22"/>
                <w:lang w:eastAsia="lv-LV"/>
              </w:rPr>
              <w:t>11 903 471</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sz w:val="22"/>
                <w:lang w:eastAsia="lv-LV"/>
              </w:rPr>
            </w:pPr>
            <w:r w:rsidRPr="00061CA2">
              <w:rPr>
                <w:rFonts w:eastAsia="Times New Roman" w:cs="Times New Roman"/>
                <w:b/>
                <w:bCs/>
                <w:sz w:val="22"/>
                <w:lang w:eastAsia="lv-LV"/>
              </w:rPr>
              <w:t>12 095 236</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b/>
                <w:bCs/>
                <w:sz w:val="22"/>
                <w:lang w:eastAsia="lv-LV"/>
              </w:rPr>
            </w:pPr>
            <w:r w:rsidRPr="00061CA2">
              <w:rPr>
                <w:rFonts w:eastAsia="Times New Roman" w:cs="Times New Roman"/>
                <w:b/>
                <w:bCs/>
                <w:sz w:val="22"/>
                <w:lang w:eastAsia="lv-LV"/>
              </w:rPr>
              <w:t>12 217 248</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MK</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6 399</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6 399</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6 399</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6 399</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KNAB</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7 782</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8 964</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8 964</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8 964</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highlight w:val="yellow"/>
                <w:lang w:eastAsia="lv-LV"/>
              </w:rPr>
            </w:pPr>
            <w:r w:rsidRPr="00061CA2">
              <w:rPr>
                <w:rFonts w:eastAsia="Times New Roman" w:cs="Times New Roman"/>
                <w:i/>
                <w:sz w:val="22"/>
                <w:lang w:eastAsia="lv-LV"/>
              </w:rPr>
              <w:t>ĀM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highlight w:val="yellow"/>
                <w:lang w:eastAsia="lv-LV"/>
              </w:rPr>
            </w:pPr>
            <w:r w:rsidRPr="00061CA2">
              <w:rPr>
                <w:rFonts w:eastAsia="Times New Roman" w:cs="Times New Roman"/>
                <w:sz w:val="22"/>
                <w:lang w:eastAsia="lv-LV"/>
              </w:rPr>
              <w:t>5 449 102</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7 004 758</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7 199 092</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7 287 886</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EM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230 083</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230 083</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230 083</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230 083</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FM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57 169</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56 200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57 950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57 950</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IeM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100 393</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105 295</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102 101</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102 101</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IZM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36 491</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1 485 049</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1 531 912</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1 571 912</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ZM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431 675</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442 475</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394 487</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387 705</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SM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285 874</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285 148</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285 148</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285 148</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lastRenderedPageBreak/>
              <w:t>LM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179 026</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220 430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220 430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220 430</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TM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174 080</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155 333</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155 333</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155 333</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VARAM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1 100 582</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1 360 780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1 360 780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1 360 780</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KM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190 264</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190 264</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190 264</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190 264</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VM</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323 765</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350 493</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350 493</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350 493</w:t>
            </w:r>
          </w:p>
        </w:tc>
      </w:tr>
      <w:tr w:rsidR="00BF75BA" w:rsidRPr="00061CA2" w:rsidTr="00E930A9">
        <w:trPr>
          <w:trHeight w:val="255"/>
        </w:trPr>
        <w:tc>
          <w:tcPr>
            <w:tcW w:w="1772" w:type="pct"/>
            <w:tcBorders>
              <w:top w:val="nil"/>
              <w:left w:val="single" w:sz="4" w:space="0" w:color="auto"/>
              <w:bottom w:val="single" w:sz="4" w:space="0" w:color="auto"/>
              <w:right w:val="single" w:sz="4" w:space="0" w:color="auto"/>
            </w:tcBorders>
            <w:shd w:val="clear" w:color="auto" w:fill="auto"/>
            <w:noWrap/>
            <w:vAlign w:val="bottom"/>
            <w:hideMark/>
          </w:tcPr>
          <w:p w:rsidR="00BF75BA" w:rsidRPr="00061CA2" w:rsidRDefault="00BF75BA" w:rsidP="00E930A9">
            <w:pPr>
              <w:rPr>
                <w:rFonts w:eastAsia="Times New Roman" w:cs="Times New Roman"/>
                <w:i/>
                <w:sz w:val="22"/>
                <w:lang w:eastAsia="lv-LV"/>
              </w:rPr>
            </w:pPr>
            <w:r w:rsidRPr="00061CA2">
              <w:rPr>
                <w:rFonts w:eastAsia="Times New Roman" w:cs="Times New Roman"/>
                <w:i/>
                <w:sz w:val="22"/>
                <w:lang w:eastAsia="lv-LV"/>
              </w:rPr>
              <w:t>CVK</w:t>
            </w:r>
          </w:p>
        </w:tc>
        <w:tc>
          <w:tcPr>
            <w:tcW w:w="845"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1 800</w:t>
            </w:r>
          </w:p>
        </w:tc>
        <w:tc>
          <w:tcPr>
            <w:tcW w:w="768"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1 800</w:t>
            </w:r>
          </w:p>
        </w:tc>
        <w:tc>
          <w:tcPr>
            <w:tcW w:w="846"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1 800</w:t>
            </w:r>
          </w:p>
        </w:tc>
        <w:tc>
          <w:tcPr>
            <w:tcW w:w="769" w:type="pct"/>
            <w:tcBorders>
              <w:top w:val="nil"/>
              <w:left w:val="nil"/>
              <w:bottom w:val="single" w:sz="4" w:space="0" w:color="auto"/>
              <w:right w:val="single" w:sz="4" w:space="0" w:color="auto"/>
            </w:tcBorders>
            <w:shd w:val="clear" w:color="auto" w:fill="auto"/>
            <w:noWrap/>
            <w:vAlign w:val="bottom"/>
            <w:hideMark/>
          </w:tcPr>
          <w:p w:rsidR="00BF75BA" w:rsidRPr="00061CA2" w:rsidRDefault="00BF75BA" w:rsidP="00E930A9">
            <w:pPr>
              <w:jc w:val="right"/>
              <w:rPr>
                <w:rFonts w:eastAsia="Times New Roman" w:cs="Times New Roman"/>
                <w:sz w:val="22"/>
                <w:lang w:eastAsia="lv-LV"/>
              </w:rPr>
            </w:pPr>
            <w:r w:rsidRPr="00061CA2">
              <w:rPr>
                <w:rFonts w:eastAsia="Times New Roman" w:cs="Times New Roman"/>
                <w:sz w:val="22"/>
                <w:lang w:eastAsia="lv-LV"/>
              </w:rPr>
              <w:t>1 800</w:t>
            </w:r>
          </w:p>
        </w:tc>
      </w:tr>
    </w:tbl>
    <w:p w:rsidR="00BF75BA" w:rsidRDefault="00BF75BA" w:rsidP="00BF75BA">
      <w:pPr>
        <w:autoSpaceDE w:val="0"/>
        <w:autoSpaceDN w:val="0"/>
        <w:adjustRightInd w:val="0"/>
        <w:spacing w:before="120" w:after="144"/>
        <w:ind w:firstLine="709"/>
        <w:jc w:val="both"/>
        <w:rPr>
          <w:rFonts w:cs="Times New Roman"/>
          <w:szCs w:val="24"/>
        </w:rPr>
      </w:pPr>
      <w:r w:rsidRPr="00B71F7C">
        <w:rPr>
          <w:rFonts w:cs="Times New Roman"/>
          <w:szCs w:val="24"/>
        </w:rPr>
        <w:t>Izvērtēšana netika attiecināta uz kārtēji</w:t>
      </w:r>
      <w:r w:rsidR="00691D8B">
        <w:rPr>
          <w:rFonts w:cs="Times New Roman"/>
          <w:szCs w:val="24"/>
        </w:rPr>
        <w:t>em maksājumiem Eiropas Kopienas</w:t>
      </w:r>
      <w:r w:rsidRPr="00B71F7C">
        <w:rPr>
          <w:rFonts w:cs="Times New Roman"/>
          <w:szCs w:val="24"/>
        </w:rPr>
        <w:t xml:space="preserve"> budžetā, kas paredzēti Latvijas Republikas kā ES dalībvalsts saistību izpildes nodrošināšanai, piedaloties ES pašu resursu sistēmā atbilstoši attiecīgajam Eiropas Komisijas </w:t>
      </w:r>
      <w:r w:rsidRPr="00B71F7C">
        <w:rPr>
          <w:rFonts w:cs="Times New Roman"/>
          <w:i/>
          <w:iCs/>
          <w:szCs w:val="24"/>
        </w:rPr>
        <w:t xml:space="preserve">acquis communautaire </w:t>
      </w:r>
      <w:r w:rsidRPr="00B71F7C">
        <w:rPr>
          <w:rFonts w:cs="Times New Roman"/>
          <w:szCs w:val="24"/>
        </w:rPr>
        <w:t xml:space="preserve">(Eiropas Komisijas tiesību aktu un pienākumu kopums). Tāpat netika izvērtētas iemaksas Ziemeļatlantijas līguma organizācijā (NATO), </w:t>
      </w:r>
      <w:r w:rsidRPr="00B71F7C">
        <w:rPr>
          <w:rStyle w:val="Heading2Char"/>
          <w:rFonts w:ascii="Times New Roman" w:hAnsi="Times New Roman" w:cs="Times New Roman"/>
          <w:color w:val="1B1D1F"/>
          <w:sz w:val="24"/>
          <w:szCs w:val="24"/>
          <w:shd w:val="clear" w:color="auto" w:fill="FFFFFF"/>
        </w:rPr>
        <w:t xml:space="preserve">OECD, </w:t>
      </w:r>
      <w:r w:rsidRPr="00B71F7C">
        <w:rPr>
          <w:rFonts w:cs="Times New Roman"/>
          <w:szCs w:val="24"/>
        </w:rPr>
        <w:t>neatkarīgo iestāžu veiktās iemaksas (Saeima, TB, SPRK, VKo, AT, ST, RTV), kā arī AiM veiktās iemaksas</w:t>
      </w:r>
      <w:r w:rsidR="00C70D7D">
        <w:rPr>
          <w:rFonts w:cs="Times New Roman"/>
          <w:szCs w:val="24"/>
        </w:rPr>
        <w:t xml:space="preserve"> (skat. tabulu Nr.3.14.)</w:t>
      </w:r>
      <w:r w:rsidRPr="00B71F7C">
        <w:rPr>
          <w:rFonts w:cs="Times New Roman"/>
          <w:szCs w:val="24"/>
        </w:rPr>
        <w:t>.</w:t>
      </w:r>
      <w:r w:rsidRPr="007D043B">
        <w:rPr>
          <w:rFonts w:cs="Times New Roman"/>
          <w:szCs w:val="24"/>
        </w:rPr>
        <w:t xml:space="preserve"> </w:t>
      </w:r>
    </w:p>
    <w:p w:rsidR="00BF75BA" w:rsidRPr="003F7973" w:rsidRDefault="00BF75BA" w:rsidP="00BF75BA">
      <w:pPr>
        <w:spacing w:after="120"/>
        <w:ind w:firstLine="720"/>
        <w:jc w:val="both"/>
        <w:rPr>
          <w:rFonts w:cs="Times New Roman"/>
          <w:szCs w:val="24"/>
        </w:rPr>
      </w:pPr>
      <w:r w:rsidRPr="003F7973">
        <w:rPr>
          <w:rFonts w:cs="Times New Roman"/>
          <w:szCs w:val="24"/>
        </w:rPr>
        <w:t xml:space="preserve">Latvijai īpaši būtiska ir dalība </w:t>
      </w:r>
      <w:r>
        <w:rPr>
          <w:rFonts w:cs="Times New Roman"/>
          <w:szCs w:val="24"/>
        </w:rPr>
        <w:t>NATO</w:t>
      </w:r>
      <w:r w:rsidRPr="003F7973">
        <w:rPr>
          <w:rFonts w:cs="Times New Roman"/>
          <w:szCs w:val="24"/>
        </w:rPr>
        <w:t xml:space="preserve">, lai nodrošinātu visu dalībvalstu drošību. Latvijai attiecībā pret citām dalībvalstīm ir pastāvīgi jāpilda arī noteiktas finansiālās saistības, veicot iemaksas NATO budžetā, tādēļ šīs iemaksas netika pakļautas izdevumu izvērtēšanai. Tāpat ļoti liela nozīme valsts ilgtspējīgas tautsaimniecības attīstības sekmēšanā ir Latvijas dalībai </w:t>
      </w:r>
      <w:r>
        <w:rPr>
          <w:rStyle w:val="Heading2Char"/>
          <w:rFonts w:ascii="Times New Roman" w:hAnsi="Times New Roman" w:cs="Times New Roman"/>
          <w:color w:val="1B1D1F"/>
          <w:sz w:val="24"/>
          <w:szCs w:val="24"/>
          <w:shd w:val="clear" w:color="auto" w:fill="FFFFFF"/>
        </w:rPr>
        <w:t>OECD</w:t>
      </w:r>
      <w:r w:rsidRPr="003F7973">
        <w:rPr>
          <w:rStyle w:val="Heading2Char"/>
          <w:rFonts w:ascii="Times New Roman" w:hAnsi="Times New Roman" w:cs="Times New Roman"/>
          <w:color w:val="1B1D1F"/>
          <w:sz w:val="24"/>
          <w:szCs w:val="24"/>
          <w:shd w:val="clear" w:color="auto" w:fill="FFFFFF"/>
        </w:rPr>
        <w:t>, tādēļ arī uz šīm iemaksām netika attiecināta izvērtēšana.</w:t>
      </w:r>
    </w:p>
    <w:p w:rsidR="00BF75BA" w:rsidRPr="007D043B" w:rsidRDefault="00BF75BA" w:rsidP="00BA3D36">
      <w:pPr>
        <w:spacing w:after="360"/>
        <w:ind w:firstLine="720"/>
        <w:jc w:val="both"/>
        <w:rPr>
          <w:rFonts w:cs="Times New Roman"/>
          <w:szCs w:val="24"/>
        </w:rPr>
      </w:pPr>
      <w:r w:rsidRPr="007D043B">
        <w:rPr>
          <w:rFonts w:cs="Times New Roman"/>
          <w:szCs w:val="24"/>
        </w:rPr>
        <w:t>Pēc priekšlikumu apkopošanas un uz izvērtēšanu neattiecināmo iemaksu atņemšanas, izvērtēšanai 2017</w:t>
      </w:r>
      <w:r w:rsidRPr="00F3215A">
        <w:rPr>
          <w:rFonts w:cs="Times New Roman"/>
          <w:szCs w:val="24"/>
        </w:rPr>
        <w:t>.-2019.gadā kopā tika pakļautas 153 iemaksas ar kopējo iemaksu apmēru 11,9</w:t>
      </w:r>
      <w:r w:rsidR="00781A2B" w:rsidRPr="00F3215A">
        <w:rPr>
          <w:rFonts w:cs="Times New Roman"/>
          <w:szCs w:val="24"/>
        </w:rPr>
        <w:t> </w:t>
      </w:r>
      <w:r w:rsidRPr="00F3215A">
        <w:rPr>
          <w:rFonts w:cs="Times New Roman"/>
          <w:szCs w:val="24"/>
        </w:rPr>
        <w:t xml:space="preserve">milj. </w:t>
      </w:r>
      <w:r w:rsidRPr="00F3215A">
        <w:rPr>
          <w:rFonts w:cs="Times New Roman"/>
          <w:i/>
          <w:szCs w:val="24"/>
        </w:rPr>
        <w:t>euro</w:t>
      </w:r>
      <w:r w:rsidRPr="00F3215A">
        <w:rPr>
          <w:rFonts w:cs="Times New Roman"/>
          <w:szCs w:val="24"/>
        </w:rPr>
        <w:t xml:space="preserve"> 2017.gadā, 12,1 milj. </w:t>
      </w:r>
      <w:r w:rsidRPr="00F3215A">
        <w:rPr>
          <w:rFonts w:cs="Times New Roman"/>
          <w:i/>
          <w:szCs w:val="24"/>
        </w:rPr>
        <w:t>euro</w:t>
      </w:r>
      <w:r w:rsidRPr="00F3215A">
        <w:rPr>
          <w:rFonts w:cs="Times New Roman"/>
          <w:szCs w:val="24"/>
        </w:rPr>
        <w:t xml:space="preserve"> 2018.gadā un 12,2 milj. </w:t>
      </w:r>
      <w:r w:rsidRPr="00F3215A">
        <w:rPr>
          <w:rFonts w:cs="Times New Roman"/>
          <w:i/>
          <w:szCs w:val="24"/>
        </w:rPr>
        <w:t>euro</w:t>
      </w:r>
      <w:r w:rsidRPr="00F3215A">
        <w:rPr>
          <w:rFonts w:cs="Times New Roman"/>
          <w:szCs w:val="24"/>
        </w:rPr>
        <w:t xml:space="preserve"> 2019.gadā (</w:t>
      </w:r>
      <w:r w:rsidR="00781A2B" w:rsidRPr="00F3215A">
        <w:rPr>
          <w:rFonts w:cs="Times New Roman"/>
          <w:szCs w:val="24"/>
        </w:rPr>
        <w:t>skat</w:t>
      </w:r>
      <w:r w:rsidR="00F3215A" w:rsidRPr="00F3215A">
        <w:rPr>
          <w:rFonts w:cs="Times New Roman"/>
          <w:szCs w:val="24"/>
        </w:rPr>
        <w:t>.</w:t>
      </w:r>
      <w:r w:rsidR="00781A2B" w:rsidRPr="00F3215A">
        <w:rPr>
          <w:rFonts w:cs="Times New Roman"/>
          <w:szCs w:val="24"/>
        </w:rPr>
        <w:t xml:space="preserve"> </w:t>
      </w:r>
      <w:r w:rsidR="00F3215A" w:rsidRPr="00B47ECF">
        <w:rPr>
          <w:rFonts w:cs="Times New Roman"/>
          <w:szCs w:val="24"/>
        </w:rPr>
        <w:t>3.7.</w:t>
      </w:r>
      <w:r w:rsidRPr="00B47ECF">
        <w:rPr>
          <w:rFonts w:cs="Times New Roman"/>
          <w:szCs w:val="24"/>
        </w:rPr>
        <w:t>att</w:t>
      </w:r>
      <w:r w:rsidR="00781A2B" w:rsidRPr="00B47ECF">
        <w:rPr>
          <w:rFonts w:cs="Times New Roman"/>
          <w:szCs w:val="24"/>
        </w:rPr>
        <w:t>ēlu</w:t>
      </w:r>
      <w:r w:rsidRPr="00B47ECF">
        <w:rPr>
          <w:rFonts w:cs="Times New Roman"/>
          <w:szCs w:val="24"/>
        </w:rPr>
        <w:t>).</w:t>
      </w:r>
      <w:r w:rsidRPr="007D043B">
        <w:rPr>
          <w:rFonts w:cs="Times New Roman"/>
          <w:szCs w:val="24"/>
        </w:rPr>
        <w:t xml:space="preserve"> </w:t>
      </w:r>
    </w:p>
    <w:p w:rsidR="00BF75BA" w:rsidRDefault="00BF75BA" w:rsidP="00BF75BA">
      <w:pPr>
        <w:rPr>
          <w:rFonts w:cs="Times New Roman"/>
          <w:szCs w:val="24"/>
        </w:rPr>
      </w:pPr>
      <w:r>
        <w:rPr>
          <w:noProof/>
          <w:lang w:eastAsia="lv-LV"/>
        </w:rPr>
        <w:drawing>
          <wp:inline distT="0" distB="0" distL="0" distR="0" wp14:anchorId="5522C058" wp14:editId="3139D74C">
            <wp:extent cx="5848350" cy="4016044"/>
            <wp:effectExtent l="0" t="0" r="0" b="38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BF75BA" w:rsidRPr="00641BE2" w:rsidRDefault="00F3215A" w:rsidP="00061CA2">
      <w:pPr>
        <w:spacing w:before="60" w:after="120"/>
        <w:jc w:val="center"/>
        <w:rPr>
          <w:rFonts w:cs="Times New Roman"/>
          <w:b/>
          <w:i/>
          <w:sz w:val="22"/>
        </w:rPr>
      </w:pPr>
      <w:r w:rsidRPr="00641BE2">
        <w:rPr>
          <w:rFonts w:cs="Times New Roman"/>
          <w:i/>
          <w:sz w:val="22"/>
        </w:rPr>
        <w:t>3.7.</w:t>
      </w:r>
      <w:r w:rsidR="00BF75BA" w:rsidRPr="00641BE2">
        <w:rPr>
          <w:rFonts w:cs="Times New Roman"/>
          <w:i/>
          <w:sz w:val="22"/>
        </w:rPr>
        <w:t>att.</w:t>
      </w:r>
      <w:r w:rsidR="00BF75BA" w:rsidRPr="00641BE2">
        <w:rPr>
          <w:rFonts w:cs="Times New Roman"/>
          <w:sz w:val="22"/>
        </w:rPr>
        <w:t xml:space="preserve"> </w:t>
      </w:r>
      <w:r w:rsidR="00BF75BA" w:rsidRPr="00641BE2">
        <w:rPr>
          <w:rFonts w:cs="Times New Roman"/>
          <w:b/>
          <w:sz w:val="22"/>
        </w:rPr>
        <w:t xml:space="preserve">Izdevumi starptautiskajai sadarbībai (pamatfunkcijas), </w:t>
      </w:r>
      <w:r w:rsidR="00BF75BA" w:rsidRPr="00641BE2">
        <w:rPr>
          <w:rFonts w:cs="Times New Roman"/>
          <w:b/>
          <w:i/>
          <w:sz w:val="22"/>
        </w:rPr>
        <w:t>euro</w:t>
      </w:r>
    </w:p>
    <w:p w:rsidR="00506E33" w:rsidRDefault="00BE280D" w:rsidP="00061CA2">
      <w:pPr>
        <w:spacing w:before="120" w:after="120"/>
        <w:ind w:firstLine="720"/>
        <w:jc w:val="both"/>
        <w:rPr>
          <w:rFonts w:cs="Times New Roman"/>
          <w:szCs w:val="24"/>
        </w:rPr>
      </w:pPr>
      <w:r w:rsidRPr="00BE280D">
        <w:rPr>
          <w:rFonts w:cs="Times New Roman"/>
          <w:szCs w:val="24"/>
        </w:rPr>
        <w:lastRenderedPageBreak/>
        <w:t>Apskatot kopējos iemaksu apmērus grafikā ir redzams, ka naudas izteiksmē lielākās iemaksu veicējas ir Ai</w:t>
      </w:r>
      <w:r>
        <w:rPr>
          <w:rFonts w:cs="Times New Roman"/>
          <w:szCs w:val="24"/>
        </w:rPr>
        <w:t>M un ĀM</w:t>
      </w:r>
      <w:r w:rsidRPr="00BE280D">
        <w:rPr>
          <w:rFonts w:cs="Times New Roman"/>
          <w:szCs w:val="24"/>
        </w:rPr>
        <w:t xml:space="preserve"> (skat</w:t>
      </w:r>
      <w:r>
        <w:rPr>
          <w:rFonts w:cs="Times New Roman"/>
          <w:szCs w:val="24"/>
        </w:rPr>
        <w:t>. 3.8.attēlu</w:t>
      </w:r>
      <w:r w:rsidRPr="00BE280D">
        <w:rPr>
          <w:rFonts w:cs="Times New Roman"/>
          <w:szCs w:val="24"/>
        </w:rPr>
        <w:t>)</w:t>
      </w:r>
      <w:r>
        <w:rPr>
          <w:rFonts w:cs="Times New Roman"/>
          <w:szCs w:val="24"/>
        </w:rPr>
        <w:t>.</w:t>
      </w:r>
      <w:r w:rsidR="00506E33">
        <w:rPr>
          <w:rFonts w:cs="Times New Roman"/>
          <w:szCs w:val="24"/>
        </w:rPr>
        <w:t xml:space="preserve"> </w:t>
      </w:r>
    </w:p>
    <w:p w:rsidR="00BF75BA" w:rsidRDefault="00BF75BA" w:rsidP="00506E33">
      <w:pPr>
        <w:spacing w:before="120" w:after="120"/>
        <w:jc w:val="center"/>
        <w:rPr>
          <w:rFonts w:cs="Times New Roman"/>
          <w:szCs w:val="24"/>
        </w:rPr>
      </w:pPr>
      <w:r>
        <w:rPr>
          <w:noProof/>
          <w:lang w:eastAsia="lv-LV"/>
        </w:rPr>
        <w:drawing>
          <wp:inline distT="0" distB="0" distL="0" distR="0" wp14:anchorId="13054498" wp14:editId="4C2547B8">
            <wp:extent cx="5793639" cy="3760470"/>
            <wp:effectExtent l="0" t="0" r="17145"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F75BA" w:rsidRPr="00691D8B" w:rsidRDefault="00641BE2" w:rsidP="00691D8B">
      <w:pPr>
        <w:spacing w:after="120"/>
        <w:jc w:val="center"/>
        <w:rPr>
          <w:rFonts w:cs="Times New Roman"/>
          <w:i/>
          <w:sz w:val="22"/>
        </w:rPr>
      </w:pPr>
      <w:r w:rsidRPr="00CC0E99">
        <w:rPr>
          <w:rFonts w:cs="Times New Roman"/>
          <w:i/>
          <w:sz w:val="22"/>
        </w:rPr>
        <w:t>3.8.</w:t>
      </w:r>
      <w:r w:rsidR="00BF75BA" w:rsidRPr="00CC0E99">
        <w:rPr>
          <w:rFonts w:cs="Times New Roman"/>
          <w:i/>
          <w:sz w:val="22"/>
        </w:rPr>
        <w:t xml:space="preserve">att. </w:t>
      </w:r>
      <w:r w:rsidR="00BF75BA" w:rsidRPr="00CC0E99">
        <w:rPr>
          <w:rFonts w:cs="Times New Roman"/>
          <w:b/>
          <w:sz w:val="22"/>
        </w:rPr>
        <w:t>Izdevumi</w:t>
      </w:r>
      <w:r w:rsidR="00BF75BA" w:rsidRPr="00691D8B">
        <w:rPr>
          <w:rFonts w:cs="Times New Roman"/>
          <w:b/>
          <w:sz w:val="22"/>
        </w:rPr>
        <w:t xml:space="preserve"> starptautiskajai sadarbībai sadalījumā pa iestādēm (pamatfunkcijas), </w:t>
      </w:r>
      <w:r w:rsidR="00BF75BA" w:rsidRPr="00691D8B">
        <w:rPr>
          <w:rFonts w:cs="Times New Roman"/>
          <w:b/>
          <w:i/>
          <w:sz w:val="22"/>
        </w:rPr>
        <w:t>euro</w:t>
      </w:r>
    </w:p>
    <w:p w:rsidR="00BF75BA" w:rsidRDefault="00BF75BA" w:rsidP="00BF75BA">
      <w:pPr>
        <w:spacing w:after="120"/>
        <w:ind w:firstLine="720"/>
        <w:jc w:val="both"/>
        <w:rPr>
          <w:rFonts w:eastAsia="Verdana"/>
          <w:color w:val="000000" w:themeColor="text1"/>
          <w:kern w:val="24"/>
        </w:rPr>
      </w:pPr>
      <w:r>
        <w:rPr>
          <w:rFonts w:cs="Times New Roman"/>
          <w:szCs w:val="24"/>
        </w:rPr>
        <w:t xml:space="preserve">Izskatot ministriju norādītos ieguvumus no dalības starptautiskajās organizācijās, kā arī </w:t>
      </w:r>
      <w:r w:rsidRPr="007D043B">
        <w:rPr>
          <w:rFonts w:cs="Times New Roman"/>
          <w:szCs w:val="24"/>
        </w:rPr>
        <w:t>paskaidroj</w:t>
      </w:r>
      <w:r>
        <w:rPr>
          <w:rFonts w:cs="Times New Roman"/>
          <w:szCs w:val="24"/>
        </w:rPr>
        <w:t>umus par sekām</w:t>
      </w:r>
      <w:r w:rsidRPr="007D043B">
        <w:rPr>
          <w:rFonts w:cs="Times New Roman"/>
          <w:szCs w:val="24"/>
        </w:rPr>
        <w:t xml:space="preserve"> (valstij, iestādei, noteiktai sabiedrības grupai, u.c.)</w:t>
      </w:r>
      <w:r>
        <w:rPr>
          <w:rFonts w:cs="Times New Roman"/>
          <w:szCs w:val="24"/>
        </w:rPr>
        <w:t xml:space="preserve">, kādas </w:t>
      </w:r>
      <w:r w:rsidRPr="007D043B">
        <w:rPr>
          <w:rFonts w:cs="Times New Roman"/>
          <w:szCs w:val="24"/>
        </w:rPr>
        <w:t>iestā</w:t>
      </w:r>
      <w:r>
        <w:rPr>
          <w:rFonts w:cs="Times New Roman"/>
          <w:szCs w:val="24"/>
        </w:rPr>
        <w:t>tos gadījumā, ja ti</w:t>
      </w:r>
      <w:r w:rsidRPr="007D043B">
        <w:rPr>
          <w:rFonts w:cs="Times New Roman"/>
          <w:szCs w:val="24"/>
        </w:rPr>
        <w:t>k</w:t>
      </w:r>
      <w:r>
        <w:rPr>
          <w:rFonts w:cs="Times New Roman"/>
          <w:szCs w:val="24"/>
        </w:rPr>
        <w:t>tu</w:t>
      </w:r>
      <w:r w:rsidRPr="007D043B">
        <w:rPr>
          <w:rFonts w:cs="Times New Roman"/>
          <w:szCs w:val="24"/>
        </w:rPr>
        <w:t xml:space="preserve"> pārtraukta dalība minētajā</w:t>
      </w:r>
      <w:r>
        <w:rPr>
          <w:rFonts w:cs="Times New Roman"/>
          <w:szCs w:val="24"/>
        </w:rPr>
        <w:t>s</w:t>
      </w:r>
      <w:r w:rsidRPr="007D043B">
        <w:rPr>
          <w:rFonts w:cs="Times New Roman"/>
          <w:szCs w:val="24"/>
        </w:rPr>
        <w:t xml:space="preserve"> organizācijā</w:t>
      </w:r>
      <w:r>
        <w:rPr>
          <w:rFonts w:cs="Times New Roman"/>
          <w:szCs w:val="24"/>
        </w:rPr>
        <w:t>s</w:t>
      </w:r>
      <w:r w:rsidRPr="007D043B">
        <w:rPr>
          <w:rFonts w:cs="Times New Roman"/>
          <w:szCs w:val="24"/>
        </w:rPr>
        <w:t xml:space="preserve">, </w:t>
      </w:r>
      <w:r>
        <w:rPr>
          <w:rFonts w:cs="Times New Roman"/>
          <w:szCs w:val="24"/>
        </w:rPr>
        <w:t xml:space="preserve">secināms, ka lielākā daļa </w:t>
      </w:r>
      <w:r>
        <w:rPr>
          <w:rFonts w:eastAsia="Verdana"/>
          <w:color w:val="000000" w:themeColor="text1"/>
          <w:kern w:val="24"/>
        </w:rPr>
        <w:t xml:space="preserve">starptautisko iemaksu tiek veikta </w:t>
      </w:r>
      <w:r w:rsidRPr="00DB7A49">
        <w:rPr>
          <w:szCs w:val="24"/>
        </w:rPr>
        <w:t>saskaņā ar starptautiskajiem un nacionālajiem normatīvajiem aktiem</w:t>
      </w:r>
      <w:r>
        <w:rPr>
          <w:rFonts w:eastAsia="Verdana"/>
          <w:color w:val="000000" w:themeColor="text1"/>
          <w:kern w:val="24"/>
        </w:rPr>
        <w:t>, kur pārstāvība organizācijās ir cieši saistīta ar dalību ES, ļaujot nodrošināt Latvijas interešu pārstāvību starptautiskajā līmenī un dalības pārtraukšana var ietekmēt Latvijas starptautisko prestižu, zaudēt tiesības kā līdzvērtīgam partnerim piedalīties lēmumu pieņemšanā.</w:t>
      </w:r>
    </w:p>
    <w:p w:rsidR="00BF75BA" w:rsidRDefault="00BF75BA" w:rsidP="00BF75BA">
      <w:pPr>
        <w:spacing w:after="120"/>
        <w:ind w:firstLine="720"/>
        <w:jc w:val="both"/>
        <w:rPr>
          <w:bCs/>
        </w:rPr>
      </w:pPr>
      <w:r w:rsidRPr="00B47ECF">
        <w:rPr>
          <w:rFonts w:eastAsia="Verdana"/>
          <w:color w:val="000000" w:themeColor="text1"/>
          <w:kern w:val="24"/>
        </w:rPr>
        <w:t>Tikai nelielai daļai organizāciju kā pamatojums dalībai ir minēta ministrijas pašiniciatīva (</w:t>
      </w:r>
      <w:r w:rsidR="00781A2B" w:rsidRPr="00B47ECF">
        <w:rPr>
          <w:rFonts w:eastAsia="Verdana"/>
          <w:color w:val="000000" w:themeColor="text1"/>
          <w:kern w:val="24"/>
        </w:rPr>
        <w:t xml:space="preserve">skat. </w:t>
      </w:r>
      <w:r w:rsidRPr="00B47ECF">
        <w:rPr>
          <w:rFonts w:eastAsia="Verdana"/>
          <w:color w:val="000000" w:themeColor="text1"/>
          <w:kern w:val="24"/>
        </w:rPr>
        <w:t>tabul</w:t>
      </w:r>
      <w:r w:rsidR="00781A2B" w:rsidRPr="00B47ECF">
        <w:rPr>
          <w:rFonts w:eastAsia="Verdana"/>
          <w:color w:val="000000" w:themeColor="text1"/>
          <w:kern w:val="24"/>
        </w:rPr>
        <w:t>u</w:t>
      </w:r>
      <w:r w:rsidRPr="00B47ECF">
        <w:rPr>
          <w:rFonts w:eastAsia="Verdana"/>
          <w:color w:val="000000" w:themeColor="text1"/>
          <w:kern w:val="24"/>
        </w:rPr>
        <w:t xml:space="preserve"> Nr.</w:t>
      </w:r>
      <w:r w:rsidR="00B47ECF" w:rsidRPr="00B47ECF">
        <w:rPr>
          <w:rFonts w:eastAsia="Verdana"/>
          <w:color w:val="000000" w:themeColor="text1"/>
          <w:kern w:val="24"/>
        </w:rPr>
        <w:t>3.15</w:t>
      </w:r>
      <w:r w:rsidR="008B457B">
        <w:rPr>
          <w:rFonts w:eastAsia="Verdana"/>
          <w:color w:val="000000" w:themeColor="text1"/>
          <w:kern w:val="24"/>
        </w:rPr>
        <w:t>.</w:t>
      </w:r>
      <w:r w:rsidRPr="00B47ECF">
        <w:rPr>
          <w:rFonts w:eastAsia="Verdana"/>
          <w:color w:val="000000" w:themeColor="text1"/>
          <w:kern w:val="24"/>
        </w:rPr>
        <w:t>). Tomēr</w:t>
      </w:r>
      <w:r>
        <w:rPr>
          <w:rFonts w:eastAsia="Verdana"/>
          <w:color w:val="000000" w:themeColor="text1"/>
          <w:kern w:val="24"/>
        </w:rPr>
        <w:t xml:space="preserve"> ministrijas ir paudušas viedokli par nepieciešamību turpināt dalību tajās, </w:t>
      </w:r>
      <w:r>
        <w:rPr>
          <w:rFonts w:cs="Times New Roman"/>
          <w:szCs w:val="24"/>
        </w:rPr>
        <w:t xml:space="preserve">kā </w:t>
      </w:r>
      <w:r w:rsidRPr="00342D04">
        <w:rPr>
          <w:bCs/>
        </w:rPr>
        <w:t>ieguvum</w:t>
      </w:r>
      <w:r>
        <w:rPr>
          <w:bCs/>
        </w:rPr>
        <w:t>us</w:t>
      </w:r>
      <w:r w:rsidRPr="00342D04">
        <w:rPr>
          <w:bCs/>
        </w:rPr>
        <w:t xml:space="preserve"> </w:t>
      </w:r>
      <w:r>
        <w:rPr>
          <w:bCs/>
        </w:rPr>
        <w:t>minot</w:t>
      </w:r>
      <w:r w:rsidRPr="00342D04">
        <w:rPr>
          <w:bCs/>
        </w:rPr>
        <w:t xml:space="preserve"> valsts interešu pārstāvniecīb</w:t>
      </w:r>
      <w:r>
        <w:rPr>
          <w:bCs/>
        </w:rPr>
        <w:t>u</w:t>
      </w:r>
      <w:r w:rsidRPr="00342D04">
        <w:rPr>
          <w:bCs/>
        </w:rPr>
        <w:t>, pieredzes apmaiņ</w:t>
      </w:r>
      <w:r>
        <w:rPr>
          <w:bCs/>
        </w:rPr>
        <w:t>as iespējas</w:t>
      </w:r>
      <w:r w:rsidRPr="00342D04">
        <w:rPr>
          <w:bCs/>
        </w:rPr>
        <w:t>, labās prakses pārņemšan</w:t>
      </w:r>
      <w:r>
        <w:rPr>
          <w:bCs/>
        </w:rPr>
        <w:t>u</w:t>
      </w:r>
      <w:r w:rsidRPr="00342D04">
        <w:rPr>
          <w:bCs/>
        </w:rPr>
        <w:t>, kopīgu projektu īstenošan</w:t>
      </w:r>
      <w:r>
        <w:rPr>
          <w:bCs/>
        </w:rPr>
        <w:t>u</w:t>
      </w:r>
      <w:r w:rsidRPr="00342D04">
        <w:rPr>
          <w:bCs/>
        </w:rPr>
        <w:t>, iespēj</w:t>
      </w:r>
      <w:r>
        <w:rPr>
          <w:bCs/>
        </w:rPr>
        <w:t>u</w:t>
      </w:r>
      <w:r w:rsidRPr="00342D04">
        <w:rPr>
          <w:bCs/>
        </w:rPr>
        <w:t xml:space="preserve"> saņemt atbalstu projektu īstenošanai</w:t>
      </w:r>
      <w:r>
        <w:rPr>
          <w:bCs/>
        </w:rPr>
        <w:t>.</w:t>
      </w:r>
    </w:p>
    <w:p w:rsidR="00BF75BA" w:rsidRDefault="00BF75BA" w:rsidP="00BF75BA">
      <w:pPr>
        <w:jc w:val="right"/>
        <w:rPr>
          <w:rFonts w:cs="Times New Roman"/>
          <w:szCs w:val="24"/>
        </w:rPr>
      </w:pPr>
      <w:r w:rsidRPr="00B47ECF">
        <w:rPr>
          <w:rFonts w:cs="Times New Roman"/>
          <w:szCs w:val="24"/>
        </w:rPr>
        <w:t>Tabula Nr.</w:t>
      </w:r>
      <w:r w:rsidR="00B47ECF" w:rsidRPr="00B47ECF">
        <w:rPr>
          <w:rFonts w:cs="Times New Roman"/>
          <w:szCs w:val="24"/>
        </w:rPr>
        <w:t>3.15</w:t>
      </w:r>
      <w:r w:rsidR="008B457B">
        <w:rPr>
          <w:rFonts w:cs="Times New Roman"/>
          <w:szCs w:val="24"/>
        </w:rPr>
        <w:t>.</w:t>
      </w:r>
    </w:p>
    <w:p w:rsidR="00691D8B" w:rsidRPr="00B47ECF" w:rsidRDefault="00691D8B" w:rsidP="00691D8B">
      <w:pPr>
        <w:jc w:val="center"/>
        <w:rPr>
          <w:rFonts w:cs="Times New Roman"/>
          <w:b/>
          <w:sz w:val="20"/>
          <w:szCs w:val="20"/>
        </w:rPr>
      </w:pPr>
    </w:p>
    <w:p w:rsidR="00BF75BA" w:rsidRPr="00691D8B" w:rsidRDefault="00BF75BA" w:rsidP="00691D8B">
      <w:pPr>
        <w:spacing w:after="120"/>
        <w:jc w:val="center"/>
        <w:rPr>
          <w:rFonts w:cs="Times New Roman"/>
          <w:b/>
          <w:i/>
          <w:szCs w:val="24"/>
        </w:rPr>
      </w:pPr>
      <w:r w:rsidRPr="00B71F7C">
        <w:rPr>
          <w:rFonts w:cs="Times New Roman"/>
          <w:b/>
          <w:szCs w:val="24"/>
        </w:rPr>
        <w:t xml:space="preserve">Ministrijas kā dalības pamatojumu norādījušas pašiniciatīvu, </w:t>
      </w:r>
      <w:r w:rsidR="00691D8B">
        <w:rPr>
          <w:rFonts w:cs="Times New Roman"/>
          <w:b/>
          <w:i/>
          <w:szCs w:val="24"/>
        </w:rPr>
        <w:t>euro</w:t>
      </w:r>
    </w:p>
    <w:tbl>
      <w:tblPr>
        <w:tblW w:w="9356" w:type="dxa"/>
        <w:tblInd w:w="-5" w:type="dxa"/>
        <w:tblLayout w:type="fixed"/>
        <w:tblLook w:val="04A0" w:firstRow="1" w:lastRow="0" w:firstColumn="1" w:lastColumn="0" w:noHBand="0" w:noVBand="1"/>
      </w:tblPr>
      <w:tblGrid>
        <w:gridCol w:w="1560"/>
        <w:gridCol w:w="992"/>
        <w:gridCol w:w="992"/>
        <w:gridCol w:w="992"/>
        <w:gridCol w:w="1067"/>
        <w:gridCol w:w="3753"/>
      </w:tblGrid>
      <w:tr w:rsidR="00BF75BA" w:rsidRPr="00691D8B" w:rsidTr="00691D8B">
        <w:trPr>
          <w:trHeight w:val="924"/>
          <w:tblHeader/>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F75BA" w:rsidRPr="00691D8B" w:rsidRDefault="00BF75BA" w:rsidP="00E930A9">
            <w:pPr>
              <w:jc w:val="center"/>
              <w:rPr>
                <w:rFonts w:eastAsia="Times New Roman" w:cs="Times New Roman"/>
                <w:b/>
                <w:sz w:val="20"/>
                <w:szCs w:val="20"/>
                <w:lang w:eastAsia="lv-LV"/>
              </w:rPr>
            </w:pPr>
            <w:r w:rsidRPr="00691D8B">
              <w:rPr>
                <w:rFonts w:eastAsia="Times New Roman" w:cs="Times New Roman"/>
                <w:b/>
                <w:sz w:val="20"/>
                <w:szCs w:val="20"/>
                <w:lang w:eastAsia="lv-LV"/>
              </w:rPr>
              <w:t>Projekta/pasākuma nosaukums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04" w:right="-107"/>
              <w:jc w:val="center"/>
              <w:rPr>
                <w:rFonts w:eastAsia="Times New Roman" w:cs="Times New Roman"/>
                <w:b/>
                <w:sz w:val="20"/>
                <w:szCs w:val="20"/>
                <w:lang w:eastAsia="lv-LV"/>
              </w:rPr>
            </w:pPr>
            <w:r w:rsidRPr="00691D8B">
              <w:rPr>
                <w:rFonts w:eastAsia="Times New Roman" w:cs="Times New Roman"/>
                <w:b/>
                <w:sz w:val="20"/>
                <w:szCs w:val="20"/>
                <w:lang w:eastAsia="lv-LV"/>
              </w:rPr>
              <w:t>2016.gada izpilde</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02" w:right="-109"/>
              <w:jc w:val="center"/>
              <w:rPr>
                <w:rFonts w:eastAsia="Times New Roman" w:cs="Times New Roman"/>
                <w:b/>
                <w:sz w:val="20"/>
                <w:szCs w:val="20"/>
                <w:lang w:eastAsia="lv-LV"/>
              </w:rPr>
            </w:pPr>
            <w:r w:rsidRPr="00691D8B">
              <w:rPr>
                <w:rFonts w:eastAsia="Times New Roman" w:cs="Times New Roman"/>
                <w:b/>
                <w:sz w:val="20"/>
                <w:szCs w:val="20"/>
                <w:lang w:eastAsia="lv-LV"/>
              </w:rPr>
              <w:t>2017.gada plāns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00" w:right="-111"/>
              <w:jc w:val="center"/>
              <w:rPr>
                <w:rFonts w:eastAsia="Times New Roman" w:cs="Times New Roman"/>
                <w:b/>
                <w:sz w:val="20"/>
                <w:szCs w:val="20"/>
                <w:lang w:eastAsia="lv-LV"/>
              </w:rPr>
            </w:pPr>
            <w:r w:rsidRPr="00691D8B">
              <w:rPr>
                <w:rFonts w:eastAsia="Times New Roman" w:cs="Times New Roman"/>
                <w:b/>
                <w:sz w:val="20"/>
                <w:szCs w:val="20"/>
                <w:lang w:eastAsia="lv-LV"/>
              </w:rPr>
              <w:t>2018.gada ietvars</w:t>
            </w:r>
          </w:p>
        </w:tc>
        <w:tc>
          <w:tcPr>
            <w:tcW w:w="106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13" w:right="-39"/>
              <w:jc w:val="center"/>
              <w:rPr>
                <w:rFonts w:eastAsia="Times New Roman" w:cs="Times New Roman"/>
                <w:b/>
                <w:sz w:val="20"/>
                <w:szCs w:val="20"/>
                <w:lang w:eastAsia="lv-LV"/>
              </w:rPr>
            </w:pPr>
            <w:r w:rsidRPr="00691D8B">
              <w:rPr>
                <w:rFonts w:eastAsia="Times New Roman" w:cs="Times New Roman"/>
                <w:b/>
                <w:sz w:val="20"/>
                <w:szCs w:val="20"/>
                <w:lang w:eastAsia="lv-LV"/>
              </w:rPr>
              <w:t>2019.gada ietvars</w:t>
            </w:r>
          </w:p>
        </w:tc>
        <w:tc>
          <w:tcPr>
            <w:tcW w:w="375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E930A9">
            <w:pPr>
              <w:jc w:val="center"/>
              <w:rPr>
                <w:rFonts w:eastAsia="Times New Roman" w:cs="Times New Roman"/>
                <w:b/>
                <w:sz w:val="20"/>
                <w:szCs w:val="20"/>
                <w:lang w:eastAsia="lv-LV"/>
              </w:rPr>
            </w:pPr>
            <w:r w:rsidRPr="00691D8B">
              <w:rPr>
                <w:rFonts w:eastAsia="Times New Roman" w:cs="Times New Roman"/>
                <w:b/>
                <w:sz w:val="20"/>
                <w:szCs w:val="20"/>
                <w:lang w:eastAsia="lv-LV"/>
              </w:rPr>
              <w:t xml:space="preserve">Sekas, ja dalība tiek pārtraukta </w:t>
            </w:r>
          </w:p>
        </w:tc>
      </w:tr>
      <w:tr w:rsidR="00B47DD1" w:rsidRPr="00691D8B" w:rsidTr="00C3105A">
        <w:trPr>
          <w:trHeight w:val="255"/>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B47DD1" w:rsidRPr="00691D8B" w:rsidRDefault="00B47DD1" w:rsidP="00B47DD1">
            <w:pPr>
              <w:jc w:val="center"/>
              <w:rPr>
                <w:rFonts w:eastAsia="Times New Roman" w:cs="Times New Roman"/>
                <w:b/>
                <w:bCs/>
                <w:sz w:val="20"/>
                <w:szCs w:val="20"/>
                <w:lang w:eastAsia="lv-LV"/>
              </w:rPr>
            </w:pPr>
            <w:r w:rsidRPr="00691D8B">
              <w:rPr>
                <w:rFonts w:eastAsia="Times New Roman" w:cs="Times New Roman"/>
                <w:b/>
                <w:bCs/>
                <w:sz w:val="20"/>
                <w:szCs w:val="20"/>
                <w:lang w:eastAsia="lv-LV"/>
              </w:rPr>
              <w:t>KOPĀ</w:t>
            </w:r>
          </w:p>
        </w:tc>
        <w:tc>
          <w:tcPr>
            <w:tcW w:w="992" w:type="dxa"/>
            <w:tcBorders>
              <w:top w:val="nil"/>
              <w:left w:val="nil"/>
              <w:bottom w:val="single" w:sz="4" w:space="0" w:color="auto"/>
              <w:right w:val="single" w:sz="4" w:space="0" w:color="auto"/>
            </w:tcBorders>
            <w:shd w:val="clear" w:color="auto" w:fill="auto"/>
            <w:vAlign w:val="bottom"/>
            <w:hideMark/>
          </w:tcPr>
          <w:p w:rsidR="00B47DD1" w:rsidRPr="00B47DD1" w:rsidRDefault="00B47DD1" w:rsidP="00B47DD1">
            <w:pPr>
              <w:jc w:val="center"/>
              <w:rPr>
                <w:rFonts w:eastAsia="Times New Roman" w:cs="Times New Roman"/>
                <w:b/>
                <w:bCs/>
                <w:sz w:val="20"/>
                <w:szCs w:val="20"/>
                <w:lang w:eastAsia="lv-LV"/>
              </w:rPr>
            </w:pPr>
            <w:r w:rsidRPr="00B47DD1">
              <w:rPr>
                <w:rFonts w:eastAsia="Times New Roman" w:cs="Times New Roman"/>
                <w:b/>
                <w:bCs/>
                <w:sz w:val="20"/>
                <w:szCs w:val="20"/>
                <w:lang w:eastAsia="lv-LV"/>
              </w:rPr>
              <w:t>61 030</w:t>
            </w:r>
          </w:p>
        </w:tc>
        <w:tc>
          <w:tcPr>
            <w:tcW w:w="992" w:type="dxa"/>
            <w:tcBorders>
              <w:top w:val="nil"/>
              <w:left w:val="nil"/>
              <w:bottom w:val="single" w:sz="4" w:space="0" w:color="auto"/>
              <w:right w:val="single" w:sz="4" w:space="0" w:color="auto"/>
            </w:tcBorders>
            <w:shd w:val="clear" w:color="auto" w:fill="auto"/>
            <w:vAlign w:val="bottom"/>
            <w:hideMark/>
          </w:tcPr>
          <w:p w:rsidR="00B47DD1" w:rsidRPr="00B47DD1" w:rsidRDefault="00B47DD1" w:rsidP="00B47DD1">
            <w:pPr>
              <w:jc w:val="center"/>
              <w:rPr>
                <w:rFonts w:eastAsia="Times New Roman" w:cs="Times New Roman"/>
                <w:b/>
                <w:bCs/>
                <w:sz w:val="20"/>
                <w:szCs w:val="20"/>
                <w:lang w:eastAsia="lv-LV"/>
              </w:rPr>
            </w:pPr>
            <w:r w:rsidRPr="00B47DD1">
              <w:rPr>
                <w:rFonts w:eastAsia="Times New Roman" w:cs="Times New Roman"/>
                <w:b/>
                <w:bCs/>
                <w:sz w:val="20"/>
                <w:szCs w:val="20"/>
                <w:lang w:eastAsia="lv-LV"/>
              </w:rPr>
              <w:t>60 547</w:t>
            </w:r>
          </w:p>
        </w:tc>
        <w:tc>
          <w:tcPr>
            <w:tcW w:w="992" w:type="dxa"/>
            <w:tcBorders>
              <w:top w:val="nil"/>
              <w:left w:val="nil"/>
              <w:bottom w:val="single" w:sz="4" w:space="0" w:color="auto"/>
              <w:right w:val="single" w:sz="4" w:space="0" w:color="auto"/>
            </w:tcBorders>
            <w:shd w:val="clear" w:color="auto" w:fill="auto"/>
            <w:vAlign w:val="bottom"/>
            <w:hideMark/>
          </w:tcPr>
          <w:p w:rsidR="00B47DD1" w:rsidRPr="00B47DD1" w:rsidRDefault="00B47DD1" w:rsidP="00B47DD1">
            <w:pPr>
              <w:jc w:val="center"/>
              <w:rPr>
                <w:rFonts w:eastAsia="Times New Roman" w:cs="Times New Roman"/>
                <w:b/>
                <w:bCs/>
                <w:sz w:val="20"/>
                <w:szCs w:val="20"/>
                <w:lang w:eastAsia="lv-LV"/>
              </w:rPr>
            </w:pPr>
            <w:r w:rsidRPr="00B47DD1">
              <w:rPr>
                <w:rFonts w:eastAsia="Times New Roman" w:cs="Times New Roman"/>
                <w:b/>
                <w:bCs/>
                <w:sz w:val="20"/>
                <w:szCs w:val="20"/>
                <w:lang w:eastAsia="lv-LV"/>
              </w:rPr>
              <w:t>60 547</w:t>
            </w:r>
          </w:p>
        </w:tc>
        <w:tc>
          <w:tcPr>
            <w:tcW w:w="1067" w:type="dxa"/>
            <w:tcBorders>
              <w:top w:val="nil"/>
              <w:left w:val="nil"/>
              <w:bottom w:val="single" w:sz="4" w:space="0" w:color="auto"/>
              <w:right w:val="single" w:sz="4" w:space="0" w:color="auto"/>
            </w:tcBorders>
            <w:shd w:val="clear" w:color="auto" w:fill="auto"/>
            <w:vAlign w:val="bottom"/>
            <w:hideMark/>
          </w:tcPr>
          <w:p w:rsidR="00B47DD1" w:rsidRPr="00B47DD1" w:rsidRDefault="00B47DD1" w:rsidP="00B47DD1">
            <w:pPr>
              <w:jc w:val="center"/>
              <w:rPr>
                <w:rFonts w:eastAsia="Times New Roman" w:cs="Times New Roman"/>
                <w:b/>
                <w:bCs/>
                <w:sz w:val="20"/>
                <w:szCs w:val="20"/>
                <w:lang w:eastAsia="lv-LV"/>
              </w:rPr>
            </w:pPr>
            <w:r w:rsidRPr="00B47DD1">
              <w:rPr>
                <w:rFonts w:eastAsia="Times New Roman" w:cs="Times New Roman"/>
                <w:b/>
                <w:bCs/>
                <w:sz w:val="20"/>
                <w:szCs w:val="20"/>
                <w:lang w:eastAsia="lv-LV"/>
              </w:rPr>
              <w:t>60 547</w:t>
            </w:r>
          </w:p>
        </w:tc>
        <w:tc>
          <w:tcPr>
            <w:tcW w:w="3753" w:type="dxa"/>
            <w:tcBorders>
              <w:top w:val="nil"/>
              <w:left w:val="nil"/>
              <w:bottom w:val="single" w:sz="4" w:space="0" w:color="auto"/>
              <w:right w:val="single" w:sz="4" w:space="0" w:color="auto"/>
            </w:tcBorders>
            <w:shd w:val="clear" w:color="auto" w:fill="auto"/>
            <w:vAlign w:val="center"/>
            <w:hideMark/>
          </w:tcPr>
          <w:p w:rsidR="00B47DD1" w:rsidRPr="00691D8B" w:rsidRDefault="00B47DD1" w:rsidP="00B47DD1">
            <w:pPr>
              <w:jc w:val="center"/>
              <w:rPr>
                <w:rFonts w:eastAsia="Times New Roman" w:cs="Times New Roman"/>
                <w:b/>
                <w:bCs/>
                <w:sz w:val="20"/>
                <w:szCs w:val="20"/>
                <w:lang w:eastAsia="lv-LV"/>
              </w:rPr>
            </w:pPr>
            <w:r w:rsidRPr="00691D8B">
              <w:rPr>
                <w:rFonts w:eastAsia="Times New Roman" w:cs="Times New Roman"/>
                <w:b/>
                <w:bCs/>
                <w:sz w:val="20"/>
                <w:szCs w:val="20"/>
                <w:lang w:eastAsia="lv-LV"/>
              </w:rPr>
              <w:t> </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EM</w:t>
            </w:r>
          </w:p>
        </w:tc>
        <w:tc>
          <w:tcPr>
            <w:tcW w:w="992" w:type="dxa"/>
            <w:tcBorders>
              <w:top w:val="nil"/>
              <w:left w:val="nil"/>
              <w:bottom w:val="single" w:sz="4" w:space="0" w:color="auto"/>
              <w:right w:val="single" w:sz="4" w:space="0" w:color="auto"/>
            </w:tcBorders>
            <w:shd w:val="clear" w:color="auto" w:fill="auto"/>
            <w:noWrap/>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w:t>
            </w:r>
          </w:p>
        </w:tc>
        <w:tc>
          <w:tcPr>
            <w:tcW w:w="1067" w:type="dxa"/>
            <w:tcBorders>
              <w:top w:val="nil"/>
              <w:left w:val="nil"/>
              <w:bottom w:val="single" w:sz="4" w:space="0" w:color="auto"/>
              <w:right w:val="single" w:sz="4" w:space="0" w:color="auto"/>
            </w:tcBorders>
            <w:shd w:val="clear" w:color="auto" w:fill="auto"/>
            <w:noWrap/>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w:t>
            </w:r>
          </w:p>
        </w:tc>
        <w:tc>
          <w:tcPr>
            <w:tcW w:w="3753" w:type="dxa"/>
            <w:tcBorders>
              <w:top w:val="nil"/>
              <w:left w:val="nil"/>
              <w:bottom w:val="single" w:sz="4" w:space="0" w:color="auto"/>
              <w:right w:val="single" w:sz="4" w:space="0" w:color="auto"/>
            </w:tcBorders>
            <w:shd w:val="clear" w:color="auto" w:fill="auto"/>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w:t>
            </w:r>
          </w:p>
        </w:tc>
      </w:tr>
      <w:tr w:rsidR="00BF75BA" w:rsidRPr="00691D8B" w:rsidTr="00E930A9">
        <w:trPr>
          <w:trHeight w:val="76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i/>
                <w:sz w:val="20"/>
                <w:szCs w:val="20"/>
                <w:lang w:eastAsia="lv-LV"/>
              </w:rPr>
              <w:t>Consumers International CI</w:t>
            </w:r>
            <w:r w:rsidRPr="00691D8B">
              <w:rPr>
                <w:rFonts w:eastAsia="Times New Roman" w:cs="Times New Roman"/>
                <w:sz w:val="20"/>
                <w:szCs w:val="20"/>
                <w:lang w:eastAsia="lv-LV"/>
              </w:rPr>
              <w:t xml:space="preserve"> Starptautiskā patērētāju </w:t>
            </w:r>
            <w:r w:rsidRPr="00691D8B">
              <w:rPr>
                <w:rFonts w:eastAsia="Times New Roman" w:cs="Times New Roman"/>
                <w:sz w:val="20"/>
                <w:szCs w:val="20"/>
                <w:lang w:eastAsia="lv-LV"/>
              </w:rPr>
              <w:lastRenderedPageBreak/>
              <w:t>organizāciju savienība</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lastRenderedPageBreak/>
              <w:t>3 000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3 500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3 500</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3 500</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xml:space="preserve">Latvija zaudēs Consumers International biedra statusu. Informācijas un pieredzes apmaiņa par praktiskām problēmām, kādas pēdējā laikā pasaulē radušās patērētāju </w:t>
            </w:r>
            <w:r w:rsidRPr="00691D8B">
              <w:rPr>
                <w:rFonts w:eastAsia="Times New Roman" w:cs="Times New Roman"/>
                <w:sz w:val="20"/>
                <w:szCs w:val="20"/>
                <w:lang w:eastAsia="lv-LV"/>
              </w:rPr>
              <w:lastRenderedPageBreak/>
              <w:t>aizsardzības jomā, dalība patērētājiem draudzīgas politikas veidošanā. Dalība starptautiskās kampaņās. CI pētījumi, ko dalībvalstis var izmantot savām vajadzībām politikas veidošanā un uzraudzībā.</w:t>
            </w:r>
          </w:p>
        </w:tc>
      </w:tr>
      <w:tr w:rsidR="00BF75BA" w:rsidRPr="00691D8B" w:rsidTr="00E930A9">
        <w:trPr>
          <w:trHeight w:val="557"/>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i/>
                <w:sz w:val="20"/>
                <w:szCs w:val="20"/>
                <w:lang w:eastAsia="lv-LV"/>
              </w:rPr>
              <w:lastRenderedPageBreak/>
              <w:t>ETC</w:t>
            </w:r>
            <w:r w:rsidRPr="00691D8B">
              <w:rPr>
                <w:rFonts w:eastAsia="Times New Roman" w:cs="Times New Roman"/>
                <w:sz w:val="20"/>
                <w:szCs w:val="20"/>
                <w:lang w:eastAsia="lv-LV"/>
              </w:rPr>
              <w:t xml:space="preserve"> Eiropas ceļojumu komisija</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20 200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20 200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20 200</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20 200</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460EBA" w:rsidP="00E930A9">
            <w:pPr>
              <w:jc w:val="both"/>
              <w:rPr>
                <w:rFonts w:eastAsia="Times New Roman" w:cs="Times New Roman"/>
                <w:sz w:val="20"/>
                <w:szCs w:val="20"/>
                <w:lang w:eastAsia="lv-LV"/>
              </w:rPr>
            </w:pPr>
            <w:r w:rsidRPr="00460EBA">
              <w:rPr>
                <w:rFonts w:eastAsia="Times New Roman" w:cs="Times New Roman"/>
                <w:sz w:val="20"/>
                <w:szCs w:val="20"/>
                <w:lang w:eastAsia="lv-LV"/>
              </w:rPr>
              <w:t>Tiks liegta pieeja veiktajiem pētījumiem par tūrisma tirgus segmentiem, tirgu monitoringu (ASV, Brazīlijas, Ķīnas, Japānas, Krievijas). Tikai 2016.gadā sagatavoti 23 pētījumi, kas pieejami organizācijas biedriem. Mārketinga aktivitāšu īstenošanai tālajos tirgos izveidotas operacionālās grupas Ķīnā, ASV, Brazīlijā, Kanādā, kurā var iesaistīties organizācijas biedri. Latvijas pārstāvniecība nodrošināta Ķīnas operacionālajā grupā. Latvijas tūrisma popularizēšana un informācijas iekļaušana Eiropas tūrisma portālā visiteurope.com</w:t>
            </w:r>
            <w:r>
              <w:rPr>
                <w:rFonts w:eastAsia="Times New Roman" w:cs="Times New Roman"/>
                <w:sz w:val="20"/>
                <w:szCs w:val="20"/>
                <w:lang w:eastAsia="lv-LV"/>
              </w:rPr>
              <w:t xml:space="preserve"> </w:t>
            </w:r>
          </w:p>
        </w:tc>
      </w:tr>
      <w:tr w:rsidR="00BF75BA" w:rsidRPr="00691D8B" w:rsidTr="00E930A9">
        <w:trPr>
          <w:trHeight w:val="1558"/>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i/>
                <w:sz w:val="20"/>
                <w:szCs w:val="20"/>
                <w:lang w:eastAsia="lv-LV"/>
              </w:rPr>
            </w:pPr>
            <w:r w:rsidRPr="00691D8B">
              <w:rPr>
                <w:rFonts w:eastAsia="Times New Roman" w:cs="Times New Roman"/>
                <w:i/>
                <w:sz w:val="20"/>
                <w:szCs w:val="20"/>
                <w:lang w:eastAsia="lv-LV"/>
              </w:rPr>
              <w:t>International Input-Output Associacion IIOA</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783</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0</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0</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Dati Latvijas izmaksu-izlaides tabulām tiek apkopoti ar lielu aizkavēšanos (šobrīd jaunākā informācija ir pieejama par 2011. gadu) un nav iespējams pilnībā izmantot Starptautiskās izmaksu-izlaides asociācijas datus (International Input-Output Association (IIOA).</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ZM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76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xml:space="preserve">Dzīvnieku audzēšanas Eiropas asociācija </w:t>
            </w:r>
            <w:r w:rsidRPr="00691D8B">
              <w:rPr>
                <w:rFonts w:eastAsia="Times New Roman" w:cs="Times New Roman"/>
                <w:i/>
                <w:sz w:val="20"/>
                <w:szCs w:val="20"/>
                <w:lang w:eastAsia="lv-LV"/>
              </w:rPr>
              <w:t>(EAAP)</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3 660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3 660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3 660</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3 660</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Netiek veicināta zinātniskā izpēte par  lopkopības sektora ilgtspējīgu attīstību.</w:t>
            </w:r>
          </w:p>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Dalība rada iespēju aktīvi sadarbojoties, veicināt zinātnisko izpēti, ražošanas ilgtspējīgu attīstību. Uzlabot lopkopības sektora tehniskos un ekonomiskos apstākļus. Veicināt lauksaimniecības dzīvnieku labklājību un lauku vides saglabāšanu. Kontrolēt un optimizēt dabas resursu un jo īpaši dzīvnieku ģenētisko resursu izmantošanai.</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SM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416"/>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Eiropas pasta un telekomunikāciju konference (</w:t>
            </w:r>
            <w:r w:rsidRPr="00691D8B">
              <w:rPr>
                <w:rFonts w:eastAsia="Times New Roman" w:cs="Times New Roman"/>
                <w:i/>
                <w:sz w:val="20"/>
                <w:szCs w:val="20"/>
                <w:lang w:eastAsia="lv-LV"/>
              </w:rPr>
              <w:t>CEPT) (ECO)</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551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200</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200</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Ja dalība CEPT tiktu pārtraukta, Satiksmes ministrija nevarēs: veiksmīgi pildīt savus pamatuzdevumus un nodrošināt Latvijas Republikas saistības pret ITU, UPU un arī ES (piemēram, harmonizācijas lēmumu izpildē), aizstāvēt valsts intereses Eiropas reģiona  priekšlikumu izstrādē uz ITU un UPU konferencēm un tehnisko priekšlikumu līmenī CEPT rekomendāciju izstrādē.</w:t>
            </w:r>
          </w:p>
        </w:tc>
      </w:tr>
      <w:tr w:rsidR="00BF75BA" w:rsidRPr="00691D8B" w:rsidTr="00E930A9">
        <w:trPr>
          <w:trHeight w:val="947"/>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xml:space="preserve">Sakaru reģionālā padome </w:t>
            </w:r>
            <w:r w:rsidRPr="00691D8B">
              <w:rPr>
                <w:rFonts w:eastAsia="Times New Roman" w:cs="Times New Roman"/>
                <w:i/>
                <w:sz w:val="20"/>
                <w:szCs w:val="20"/>
                <w:lang w:eastAsia="lv-LV"/>
              </w:rPr>
              <w:t>(RCC)</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2 419</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1 546</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1 546</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1 546</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Latvija nevarēs veicināt sadarbību ar NVS valstīm, kā arī  sakaru nozares uzņēmumu izaugsmes iespēju stiprināšanu, īpaši ņemot vērā, ka Latvija robežojas ar NVS valstīm.</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LM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1431"/>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lastRenderedPageBreak/>
              <w:t>Starptautiskā darba inspekciju asociācija</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826</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977</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977</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977</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Tiks liegta piekļuve Starptautiskās darba inspekciju asociācijas resursiem, kā arī starptautiskās sadarbības iespējām, kas svarīgas Valsts darba inspekcijas darbības profesionalitātes un efektivitātes tālākai attīstībai.</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TM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1271"/>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xml:space="preserve">Dalība  </w:t>
            </w:r>
            <w:r w:rsidRPr="00691D8B">
              <w:rPr>
                <w:rFonts w:eastAsia="Times New Roman" w:cs="Times New Roman"/>
                <w:i/>
                <w:sz w:val="20"/>
                <w:szCs w:val="20"/>
                <w:lang w:eastAsia="lv-LV"/>
              </w:rPr>
              <w:t>ENFSI</w:t>
            </w:r>
            <w:r w:rsidRPr="00691D8B">
              <w:rPr>
                <w:rFonts w:eastAsia="Times New Roman" w:cs="Times New Roman"/>
                <w:sz w:val="20"/>
                <w:szCs w:val="20"/>
                <w:lang w:eastAsia="lv-LV"/>
              </w:rPr>
              <w:t xml:space="preserve"> Starptautiskā organizācijā</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3 756</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3 756</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3 756</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3 756</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Tiesu eksperti zaudē iespēju celt kvalifikāciju, zūd iespēja ieviest jaunākās metodes tiesu ekspertīzē, kas nodrošina arvien lielākas iespējas  iegūt vairāk informāciju no nozieguma vietā izņemtām pēdām un lietiskajiem pierādījumiem.</w:t>
            </w:r>
          </w:p>
        </w:tc>
      </w:tr>
      <w:tr w:rsidR="00BF75BA" w:rsidRPr="00691D8B" w:rsidTr="00E930A9">
        <w:trPr>
          <w:trHeight w:val="879"/>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691D8B">
            <w:pPr>
              <w:ind w:right="-105"/>
              <w:rPr>
                <w:rFonts w:eastAsia="Times New Roman" w:cs="Times New Roman"/>
                <w:sz w:val="20"/>
                <w:szCs w:val="20"/>
                <w:lang w:eastAsia="lv-LV"/>
              </w:rPr>
            </w:pPr>
            <w:r w:rsidRPr="00691D8B">
              <w:rPr>
                <w:rFonts w:eastAsia="Times New Roman" w:cs="Times New Roman"/>
                <w:sz w:val="20"/>
                <w:szCs w:val="20"/>
                <w:lang w:eastAsia="lv-LV"/>
              </w:rPr>
              <w:t>Dalības maksa  starptautiskajās organizācijās -</w:t>
            </w:r>
            <w:r w:rsidRPr="00691D8B">
              <w:rPr>
                <w:rFonts w:eastAsia="Times New Roman" w:cs="Times New Roman"/>
                <w:i/>
                <w:sz w:val="20"/>
                <w:szCs w:val="20"/>
                <w:lang w:eastAsia="lv-LV"/>
              </w:rPr>
              <w:t>EuroGeographic</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6 892</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6 892</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6 892</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6 892</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Nebūs iespēju ietekmēt procesus  dažādu ar nozari saistītu jautājumu risināšanā, lai panāktu vienotu izpratni Eiropas savienības dalībvalstu vidū.</w:t>
            </w:r>
          </w:p>
        </w:tc>
      </w:tr>
      <w:tr w:rsidR="00BF75BA" w:rsidRPr="00691D8B" w:rsidTr="00E930A9">
        <w:trPr>
          <w:trHeight w:val="1077"/>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xml:space="preserve">Dalības maksa Eiropas Komercreģistru Forumā </w:t>
            </w:r>
            <w:r w:rsidRPr="00691D8B">
              <w:rPr>
                <w:rFonts w:eastAsia="Times New Roman" w:cs="Times New Roman"/>
                <w:i/>
                <w:sz w:val="20"/>
                <w:szCs w:val="20"/>
                <w:lang w:eastAsia="lv-LV"/>
              </w:rPr>
              <w:t>(ECRF)</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3 401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3 401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3 401</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3 401</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Pārtraucot dalību, Uzņēmumu reģistrs nevarēs piekļūt pētījumiem par citu valstu reģistru darbiem un attīstību. ECRF kā organizācija aizstāv savu biedru intereses Eiropas savienībā un ANO.</w:t>
            </w:r>
          </w:p>
        </w:tc>
      </w:tr>
      <w:tr w:rsidR="00BF75BA" w:rsidRPr="00691D8B" w:rsidTr="00E930A9">
        <w:trPr>
          <w:trHeight w:val="133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Iemaksas starptautiskajā nevalstiskā organizācijā Eiropas probācijas konference</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3 030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3 030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3 030</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3 030</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xml:space="preserve">Ierobežotas iespējas saņemt savlaicīgu un kvalitatīvu informāciju par zinātniskiem, praktiskiem un politiskiem aspektiem probācijas jomā, ārvalstu līdzfinansējuma un uzticamu, kompetentu partneru piesaistei starptautisku projektu īstenošanai. </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KM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153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Dalība Eiropas Savienības Jauniešu simfoniskajā orķestrī</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5 000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5 000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5 000</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5 000</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Latvijas jaunajiem mūziķiem nebūtu iespēja piedalīties šajā kopīgajā ES iniciatīvā un citas dalībvalstis to varētu uztvert kā signālu, ka Latvijai ES sadarbība kultūras jomā nav nozīmīga.</w:t>
            </w:r>
          </w:p>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Orķestris simbolizē Eiropas sadarbību - nāciju savienību miera, harmonijas, sociālā taisnīguma un humānisma vārdā. Divas reizes tas ir uzstājies arī Latvijā.</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VM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76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Eiropas Medicīnas speciālistu apvienība</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2 531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2 531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2 531</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2 531</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Netiks nodrošināta Latvijas interešu pārstāvība veselības nozares jautājumos.</w:t>
            </w:r>
          </w:p>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Tikšanās laikā VM norādīja, ka dalība organizācijā jāturpina.</w:t>
            </w:r>
          </w:p>
        </w:tc>
      </w:tr>
      <w:tr w:rsidR="00BF75BA" w:rsidRPr="00691D8B" w:rsidTr="00E930A9">
        <w:trPr>
          <w:trHeight w:val="76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Eiropas Savienības ārstu Pastāvīgā komiteja</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2 581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2 809</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2 809</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2 809</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Netiks nodrošināta Latvijas interešu pārstāvība veselības nozares jautājumos.</w:t>
            </w:r>
          </w:p>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Tikšanās laikā VM norādīja, ka dalība organizācijā jāturpina.</w:t>
            </w:r>
          </w:p>
        </w:tc>
      </w:tr>
      <w:tr w:rsidR="00BF75BA" w:rsidRPr="00691D8B" w:rsidTr="00E930A9">
        <w:trPr>
          <w:trHeight w:val="76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Pasaules Ārstu asociācija</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2 400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3 045</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3 045</w:t>
            </w:r>
          </w:p>
        </w:tc>
        <w:tc>
          <w:tcPr>
            <w:tcW w:w="106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3 045</w:t>
            </w:r>
          </w:p>
        </w:tc>
        <w:tc>
          <w:tcPr>
            <w:tcW w:w="3753"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Netiks nodrošināta Latvijas interešu pārstāvība veselības nozares jautājumos.</w:t>
            </w:r>
          </w:p>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Tikšanās laikā VM norādīja, ka dalība organizācijā jāturpina.</w:t>
            </w:r>
          </w:p>
        </w:tc>
      </w:tr>
    </w:tbl>
    <w:p w:rsidR="00BF75BA" w:rsidRDefault="00BF75BA" w:rsidP="00BF75BA">
      <w:pPr>
        <w:rPr>
          <w:rFonts w:cs="Times New Roman"/>
          <w:szCs w:val="24"/>
        </w:rPr>
      </w:pPr>
    </w:p>
    <w:p w:rsidR="00BF75BA" w:rsidRPr="00B47ECF" w:rsidRDefault="00BF75BA" w:rsidP="00EF0588">
      <w:pPr>
        <w:ind w:firstLine="720"/>
        <w:jc w:val="both"/>
        <w:rPr>
          <w:rFonts w:cs="Times New Roman"/>
          <w:szCs w:val="24"/>
        </w:rPr>
      </w:pPr>
      <w:r>
        <w:rPr>
          <w:rFonts w:cs="Times New Roman"/>
          <w:szCs w:val="24"/>
        </w:rPr>
        <w:t>Gatavība turpmāk atteikties no dalības ir izteikta tikai par trīs starptautiskajām organizācijām (</w:t>
      </w:r>
      <w:r w:rsidR="00781A2B">
        <w:rPr>
          <w:rFonts w:cs="Times New Roman"/>
          <w:szCs w:val="24"/>
        </w:rPr>
        <w:t xml:space="preserve">skat. </w:t>
      </w:r>
      <w:r w:rsidRPr="00B47ECF">
        <w:rPr>
          <w:rFonts w:cs="Times New Roman"/>
          <w:szCs w:val="24"/>
        </w:rPr>
        <w:t>tabul</w:t>
      </w:r>
      <w:r w:rsidR="00781A2B" w:rsidRPr="00B47ECF">
        <w:rPr>
          <w:rFonts w:cs="Times New Roman"/>
          <w:szCs w:val="24"/>
        </w:rPr>
        <w:t>u</w:t>
      </w:r>
      <w:r w:rsidRPr="00B47ECF">
        <w:rPr>
          <w:rFonts w:cs="Times New Roman"/>
          <w:szCs w:val="24"/>
        </w:rPr>
        <w:t xml:space="preserve"> Nr.3</w:t>
      </w:r>
      <w:r w:rsidR="00B47ECF" w:rsidRPr="00B47ECF">
        <w:rPr>
          <w:rFonts w:cs="Times New Roman"/>
          <w:szCs w:val="24"/>
        </w:rPr>
        <w:t>.16.</w:t>
      </w:r>
      <w:r w:rsidRPr="00B47ECF">
        <w:rPr>
          <w:rFonts w:cs="Times New Roman"/>
          <w:szCs w:val="24"/>
        </w:rPr>
        <w:t>).</w:t>
      </w:r>
    </w:p>
    <w:p w:rsidR="00BF75BA" w:rsidRPr="00B47ECF" w:rsidRDefault="00BF75BA" w:rsidP="00BF75BA">
      <w:pPr>
        <w:jc w:val="right"/>
        <w:rPr>
          <w:rFonts w:cs="Times New Roman"/>
          <w:szCs w:val="24"/>
        </w:rPr>
      </w:pPr>
    </w:p>
    <w:p w:rsidR="00BF75BA" w:rsidRPr="00801647" w:rsidRDefault="00BF75BA" w:rsidP="00BF75BA">
      <w:pPr>
        <w:jc w:val="right"/>
        <w:rPr>
          <w:rFonts w:cs="Times New Roman"/>
          <w:b/>
          <w:szCs w:val="24"/>
        </w:rPr>
      </w:pPr>
      <w:r w:rsidRPr="00B47ECF">
        <w:rPr>
          <w:rFonts w:cs="Times New Roman"/>
          <w:szCs w:val="24"/>
        </w:rPr>
        <w:lastRenderedPageBreak/>
        <w:t>Tabula Nr.3</w:t>
      </w:r>
      <w:r w:rsidR="00B47ECF" w:rsidRPr="00B47ECF">
        <w:rPr>
          <w:rFonts w:cs="Times New Roman"/>
          <w:szCs w:val="24"/>
        </w:rPr>
        <w:t>.16.</w:t>
      </w:r>
    </w:p>
    <w:p w:rsidR="00BF75BA" w:rsidRPr="00691D8B" w:rsidRDefault="00BF75BA" w:rsidP="00061CA2">
      <w:pPr>
        <w:spacing w:before="120" w:after="120"/>
        <w:jc w:val="center"/>
        <w:rPr>
          <w:rFonts w:cs="Times New Roman"/>
          <w:b/>
          <w:i/>
          <w:szCs w:val="24"/>
        </w:rPr>
      </w:pPr>
      <w:r w:rsidRPr="00B71F7C">
        <w:rPr>
          <w:rFonts w:cs="Times New Roman"/>
          <w:b/>
          <w:szCs w:val="24"/>
        </w:rPr>
        <w:t xml:space="preserve">Ministrijas pašas norādījušas, ka nav nepieciešama turpmāka dalība organizācijā, </w:t>
      </w:r>
      <w:r w:rsidR="00691D8B">
        <w:rPr>
          <w:rFonts w:cs="Times New Roman"/>
          <w:b/>
          <w:i/>
          <w:szCs w:val="24"/>
        </w:rPr>
        <w:t>euro</w:t>
      </w:r>
    </w:p>
    <w:tbl>
      <w:tblPr>
        <w:tblW w:w="9356" w:type="dxa"/>
        <w:tblInd w:w="-5" w:type="dxa"/>
        <w:tblLayout w:type="fixed"/>
        <w:tblLook w:val="04A0" w:firstRow="1" w:lastRow="0" w:firstColumn="1" w:lastColumn="0" w:noHBand="0" w:noVBand="1"/>
      </w:tblPr>
      <w:tblGrid>
        <w:gridCol w:w="1560"/>
        <w:gridCol w:w="992"/>
        <w:gridCol w:w="992"/>
        <w:gridCol w:w="992"/>
        <w:gridCol w:w="993"/>
        <w:gridCol w:w="3827"/>
      </w:tblGrid>
      <w:tr w:rsidR="00BF75BA" w:rsidRPr="00691D8B" w:rsidTr="00691D8B">
        <w:trPr>
          <w:trHeight w:val="626"/>
          <w:tblHeader/>
        </w:trPr>
        <w:tc>
          <w:tcPr>
            <w:tcW w:w="156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BF75BA" w:rsidRPr="00691D8B" w:rsidRDefault="00BF75BA" w:rsidP="00E930A9">
            <w:pPr>
              <w:jc w:val="center"/>
              <w:rPr>
                <w:rFonts w:eastAsia="Times New Roman" w:cs="Times New Roman"/>
                <w:b/>
                <w:sz w:val="20"/>
                <w:szCs w:val="20"/>
                <w:lang w:eastAsia="lv-LV"/>
              </w:rPr>
            </w:pPr>
            <w:r w:rsidRPr="00691D8B">
              <w:rPr>
                <w:rFonts w:eastAsia="Times New Roman" w:cs="Times New Roman"/>
                <w:b/>
                <w:sz w:val="20"/>
                <w:szCs w:val="20"/>
                <w:lang w:eastAsia="lv-LV"/>
              </w:rPr>
              <w:t>Projekta/pasākuma nosaukums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04" w:right="-107"/>
              <w:jc w:val="center"/>
              <w:rPr>
                <w:rFonts w:eastAsia="Times New Roman" w:cs="Times New Roman"/>
                <w:b/>
                <w:sz w:val="20"/>
                <w:szCs w:val="20"/>
                <w:lang w:eastAsia="lv-LV"/>
              </w:rPr>
            </w:pPr>
            <w:r w:rsidRPr="00691D8B">
              <w:rPr>
                <w:rFonts w:eastAsia="Times New Roman" w:cs="Times New Roman"/>
                <w:b/>
                <w:sz w:val="20"/>
                <w:szCs w:val="20"/>
                <w:lang w:eastAsia="lv-LV"/>
              </w:rPr>
              <w:t>2016.gada plāns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04" w:right="-107"/>
              <w:jc w:val="center"/>
              <w:rPr>
                <w:rFonts w:eastAsia="Times New Roman" w:cs="Times New Roman"/>
                <w:b/>
                <w:sz w:val="20"/>
                <w:szCs w:val="20"/>
                <w:lang w:eastAsia="lv-LV"/>
              </w:rPr>
            </w:pPr>
            <w:r w:rsidRPr="00691D8B">
              <w:rPr>
                <w:rFonts w:eastAsia="Times New Roman" w:cs="Times New Roman"/>
                <w:b/>
                <w:sz w:val="20"/>
                <w:szCs w:val="20"/>
                <w:lang w:eastAsia="lv-LV"/>
              </w:rPr>
              <w:t>2017.gada plāns</w:t>
            </w:r>
          </w:p>
        </w:tc>
        <w:tc>
          <w:tcPr>
            <w:tcW w:w="992"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04" w:right="-107"/>
              <w:jc w:val="center"/>
              <w:rPr>
                <w:rFonts w:eastAsia="Times New Roman" w:cs="Times New Roman"/>
                <w:b/>
                <w:sz w:val="20"/>
                <w:szCs w:val="20"/>
                <w:lang w:eastAsia="lv-LV"/>
              </w:rPr>
            </w:pPr>
            <w:r w:rsidRPr="00691D8B">
              <w:rPr>
                <w:rFonts w:eastAsia="Times New Roman" w:cs="Times New Roman"/>
                <w:b/>
                <w:sz w:val="20"/>
                <w:szCs w:val="20"/>
                <w:lang w:eastAsia="lv-LV"/>
              </w:rPr>
              <w:t>2018.gada ietvars</w:t>
            </w:r>
          </w:p>
        </w:tc>
        <w:tc>
          <w:tcPr>
            <w:tcW w:w="993"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691D8B">
            <w:pPr>
              <w:ind w:left="-104" w:right="-107"/>
              <w:jc w:val="center"/>
              <w:rPr>
                <w:rFonts w:eastAsia="Times New Roman" w:cs="Times New Roman"/>
                <w:b/>
                <w:sz w:val="20"/>
                <w:szCs w:val="20"/>
                <w:lang w:eastAsia="lv-LV"/>
              </w:rPr>
            </w:pPr>
            <w:r w:rsidRPr="00691D8B">
              <w:rPr>
                <w:rFonts w:eastAsia="Times New Roman" w:cs="Times New Roman"/>
                <w:b/>
                <w:sz w:val="20"/>
                <w:szCs w:val="20"/>
                <w:lang w:eastAsia="lv-LV"/>
              </w:rPr>
              <w:t>2019.gada ietvars</w:t>
            </w:r>
          </w:p>
        </w:tc>
        <w:tc>
          <w:tcPr>
            <w:tcW w:w="3827" w:type="dxa"/>
            <w:tcBorders>
              <w:top w:val="single" w:sz="4" w:space="0" w:color="auto"/>
              <w:left w:val="nil"/>
              <w:bottom w:val="single" w:sz="4" w:space="0" w:color="auto"/>
              <w:right w:val="single" w:sz="4" w:space="0" w:color="auto"/>
            </w:tcBorders>
            <w:shd w:val="clear" w:color="auto" w:fill="E2EFD9" w:themeFill="accent6" w:themeFillTint="33"/>
            <w:vAlign w:val="center"/>
            <w:hideMark/>
          </w:tcPr>
          <w:p w:rsidR="00BF75BA" w:rsidRPr="00691D8B" w:rsidRDefault="00BF75BA" w:rsidP="00E930A9">
            <w:pPr>
              <w:jc w:val="center"/>
              <w:rPr>
                <w:rFonts w:eastAsia="Times New Roman" w:cs="Times New Roman"/>
                <w:b/>
                <w:sz w:val="20"/>
                <w:szCs w:val="20"/>
                <w:lang w:eastAsia="lv-LV"/>
              </w:rPr>
            </w:pPr>
            <w:r w:rsidRPr="00691D8B">
              <w:rPr>
                <w:rFonts w:eastAsia="Times New Roman" w:cs="Times New Roman"/>
                <w:b/>
                <w:sz w:val="20"/>
                <w:szCs w:val="20"/>
                <w:lang w:eastAsia="lv-LV"/>
              </w:rPr>
              <w:t xml:space="preserve">Sekas, ja dalība tiek pārtraukta </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KOPĀ</w:t>
            </w:r>
          </w:p>
        </w:tc>
        <w:tc>
          <w:tcPr>
            <w:tcW w:w="992" w:type="dxa"/>
            <w:tcBorders>
              <w:top w:val="nil"/>
              <w:left w:val="nil"/>
              <w:bottom w:val="single" w:sz="4" w:space="0" w:color="auto"/>
              <w:right w:val="single" w:sz="4" w:space="0" w:color="auto"/>
            </w:tcBorders>
            <w:shd w:val="clear" w:color="auto" w:fill="auto"/>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xml:space="preserve">  1 591</w:t>
            </w:r>
          </w:p>
        </w:tc>
        <w:tc>
          <w:tcPr>
            <w:tcW w:w="992" w:type="dxa"/>
            <w:tcBorders>
              <w:top w:val="nil"/>
              <w:left w:val="nil"/>
              <w:bottom w:val="single" w:sz="4" w:space="0" w:color="auto"/>
              <w:right w:val="single" w:sz="4" w:space="0" w:color="auto"/>
            </w:tcBorders>
            <w:shd w:val="clear" w:color="auto" w:fill="auto"/>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xml:space="preserve">  1 591</w:t>
            </w:r>
          </w:p>
        </w:tc>
        <w:tc>
          <w:tcPr>
            <w:tcW w:w="992" w:type="dxa"/>
            <w:tcBorders>
              <w:top w:val="nil"/>
              <w:left w:val="nil"/>
              <w:bottom w:val="single" w:sz="4" w:space="0" w:color="auto"/>
              <w:right w:val="single" w:sz="4" w:space="0" w:color="auto"/>
            </w:tcBorders>
            <w:shd w:val="clear" w:color="auto" w:fill="auto"/>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xml:space="preserve">  1 591</w:t>
            </w:r>
          </w:p>
        </w:tc>
        <w:tc>
          <w:tcPr>
            <w:tcW w:w="993" w:type="dxa"/>
            <w:tcBorders>
              <w:top w:val="nil"/>
              <w:left w:val="nil"/>
              <w:bottom w:val="single" w:sz="4" w:space="0" w:color="auto"/>
              <w:right w:val="single" w:sz="4" w:space="0" w:color="auto"/>
            </w:tcBorders>
            <w:shd w:val="clear" w:color="auto" w:fill="auto"/>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xml:space="preserve">  1 591</w:t>
            </w:r>
          </w:p>
        </w:tc>
        <w:tc>
          <w:tcPr>
            <w:tcW w:w="3827" w:type="dxa"/>
            <w:tcBorders>
              <w:top w:val="nil"/>
              <w:left w:val="nil"/>
              <w:bottom w:val="single" w:sz="4" w:space="0" w:color="auto"/>
              <w:right w:val="single" w:sz="4" w:space="0" w:color="auto"/>
            </w:tcBorders>
            <w:shd w:val="clear" w:color="auto" w:fill="auto"/>
            <w:vAlign w:val="center"/>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 </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MK</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3"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1020"/>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xml:space="preserve">Gadskārtējā biedra nauda </w:t>
            </w:r>
            <w:r w:rsidRPr="00691D8B">
              <w:rPr>
                <w:rFonts w:eastAsia="Times New Roman" w:cs="Times New Roman"/>
                <w:i/>
                <w:sz w:val="20"/>
                <w:szCs w:val="20"/>
                <w:lang w:eastAsia="lv-LV"/>
              </w:rPr>
              <w:t>NISPAcee</w:t>
            </w:r>
            <w:r w:rsidRPr="00691D8B">
              <w:rPr>
                <w:rFonts w:eastAsia="Times New Roman" w:cs="Times New Roman"/>
                <w:sz w:val="20"/>
                <w:szCs w:val="20"/>
                <w:lang w:eastAsia="lv-LV"/>
              </w:rPr>
              <w:t xml:space="preserve"> (Centrālās un Austrumeiropas skolu un institūtu tīkls)</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351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351</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351</w:t>
            </w:r>
          </w:p>
        </w:tc>
        <w:tc>
          <w:tcPr>
            <w:tcW w:w="993"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351</w:t>
            </w:r>
          </w:p>
        </w:tc>
        <w:tc>
          <w:tcPr>
            <w:tcW w:w="3827"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xml:space="preserve">2015.gadā Valsts administrācijas skola  (VAS) pēdējo reizi piedalījās NISPAcee konferencē, 2016.gadā tika pieņemts lēmums turpmāk nepiedalīties, jo saturs un formāts nav saistošs VAS vajadzībām. Līdz ar to no 2016.gada netiek veiktas iemaksas par dalību šajā tīklā un VAS nav sūtījusi komandējumos  savus un citu iestāžu darbiniekus. 2016.gada beigās neizlietoti līdzekļi tika atmaksāti valsts budžetā. </w:t>
            </w:r>
          </w:p>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Attiecīgi priekšlikumi par apropriācijas pārdali tiks izvērtēti un, ja nepieciešams, tiks sagatavoti pēc VAS jauna direktora  iecelšanas amatā un atbilstoši VAS darbības stratēģijai 2017.-2019.gadam.</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ZM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3"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82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1321"/>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xml:space="preserve">Starptautiskā dārzkopības asociācija </w:t>
            </w:r>
            <w:r w:rsidRPr="00691D8B">
              <w:rPr>
                <w:rFonts w:eastAsia="Times New Roman" w:cs="Times New Roman"/>
                <w:i/>
                <w:sz w:val="20"/>
                <w:szCs w:val="20"/>
                <w:lang w:eastAsia="lv-LV"/>
              </w:rPr>
              <w:t>(ISHS)</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640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640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640</w:t>
            </w:r>
          </w:p>
        </w:tc>
        <w:tc>
          <w:tcPr>
            <w:tcW w:w="993"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640</w:t>
            </w:r>
          </w:p>
        </w:tc>
        <w:tc>
          <w:tcPr>
            <w:tcW w:w="3827"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Tiek apvienotas dārzkopības nozares starptautiskai kooperācijai pētījumos, apmācībai un tiek veicināta zināšanu apmaiņa starp ekspertiem. Zemkopības ministrija ir gatava no šīs organizācijas izstāties.</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vAlign w:val="bottom"/>
            <w:hideMark/>
          </w:tcPr>
          <w:p w:rsidR="00BF75BA" w:rsidRPr="00691D8B" w:rsidRDefault="00BF75BA" w:rsidP="00E930A9">
            <w:pPr>
              <w:jc w:val="center"/>
              <w:rPr>
                <w:rFonts w:eastAsia="Times New Roman" w:cs="Times New Roman"/>
                <w:b/>
                <w:bCs/>
                <w:sz w:val="20"/>
                <w:szCs w:val="20"/>
                <w:lang w:eastAsia="lv-LV"/>
              </w:rPr>
            </w:pPr>
            <w:r w:rsidRPr="00691D8B">
              <w:rPr>
                <w:rFonts w:eastAsia="Times New Roman" w:cs="Times New Roman"/>
                <w:b/>
                <w:bCs/>
                <w:sz w:val="20"/>
                <w:szCs w:val="20"/>
                <w:lang w:eastAsia="lv-LV"/>
              </w:rPr>
              <w:t>KM</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993"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sz w:val="20"/>
                <w:szCs w:val="20"/>
                <w:lang w:eastAsia="lv-LV"/>
              </w:rPr>
              <w:t> </w:t>
            </w:r>
          </w:p>
        </w:tc>
        <w:tc>
          <w:tcPr>
            <w:tcW w:w="3827" w:type="dxa"/>
            <w:tcBorders>
              <w:top w:val="nil"/>
              <w:left w:val="nil"/>
              <w:bottom w:val="single" w:sz="4" w:space="0" w:color="auto"/>
              <w:right w:val="single" w:sz="4" w:space="0" w:color="auto"/>
            </w:tcBorders>
            <w:shd w:val="clear" w:color="auto" w:fill="auto"/>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 </w:t>
            </w:r>
          </w:p>
        </w:tc>
      </w:tr>
      <w:tr w:rsidR="00BF75BA" w:rsidRPr="00691D8B" w:rsidTr="00E930A9">
        <w:trPr>
          <w:trHeight w:val="255"/>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BF75BA" w:rsidRPr="00691D8B" w:rsidRDefault="00BF75BA" w:rsidP="00E930A9">
            <w:pPr>
              <w:rPr>
                <w:rFonts w:eastAsia="Times New Roman" w:cs="Times New Roman"/>
                <w:sz w:val="20"/>
                <w:szCs w:val="20"/>
                <w:lang w:eastAsia="lv-LV"/>
              </w:rPr>
            </w:pPr>
            <w:r w:rsidRPr="00691D8B">
              <w:rPr>
                <w:rFonts w:eastAsia="Times New Roman" w:cs="Times New Roman"/>
                <w:i/>
                <w:sz w:val="20"/>
                <w:szCs w:val="20"/>
                <w:lang w:eastAsia="lv-LV"/>
              </w:rPr>
              <w:t xml:space="preserve">Impact </w:t>
            </w:r>
            <w:r w:rsidRPr="00691D8B">
              <w:rPr>
                <w:rFonts w:eastAsia="Times New Roman" w:cs="Times New Roman"/>
                <w:sz w:val="20"/>
                <w:szCs w:val="20"/>
                <w:lang w:eastAsia="lv-LV"/>
              </w:rPr>
              <w:t xml:space="preserve">kompetences centrs </w:t>
            </w:r>
            <w:r w:rsidRPr="00691D8B">
              <w:rPr>
                <w:rFonts w:eastAsia="Times New Roman" w:cs="Times New Roman"/>
                <w:i/>
                <w:sz w:val="20"/>
                <w:szCs w:val="20"/>
                <w:lang w:eastAsia="lv-LV"/>
              </w:rPr>
              <w:t>(Impact)</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600</w:t>
            </w:r>
          </w:p>
        </w:tc>
        <w:tc>
          <w:tcPr>
            <w:tcW w:w="992"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600</w:t>
            </w:r>
          </w:p>
        </w:tc>
        <w:tc>
          <w:tcPr>
            <w:tcW w:w="993"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right"/>
              <w:rPr>
                <w:rFonts w:eastAsia="Times New Roman" w:cs="Times New Roman"/>
                <w:sz w:val="20"/>
                <w:szCs w:val="20"/>
                <w:lang w:eastAsia="lv-LV"/>
              </w:rPr>
            </w:pPr>
            <w:r w:rsidRPr="00691D8B">
              <w:rPr>
                <w:rFonts w:eastAsia="Times New Roman" w:cs="Times New Roman"/>
                <w:sz w:val="20"/>
                <w:szCs w:val="20"/>
                <w:lang w:eastAsia="lv-LV"/>
              </w:rPr>
              <w:t>600</w:t>
            </w:r>
          </w:p>
        </w:tc>
        <w:tc>
          <w:tcPr>
            <w:tcW w:w="3827" w:type="dxa"/>
            <w:tcBorders>
              <w:top w:val="nil"/>
              <w:left w:val="nil"/>
              <w:bottom w:val="single" w:sz="4" w:space="0" w:color="auto"/>
              <w:right w:val="single" w:sz="4" w:space="0" w:color="auto"/>
            </w:tcBorders>
            <w:shd w:val="clear" w:color="auto" w:fill="auto"/>
            <w:noWrap/>
            <w:vAlign w:val="bottom"/>
            <w:hideMark/>
          </w:tcPr>
          <w:p w:rsidR="00BF75BA" w:rsidRPr="00691D8B" w:rsidRDefault="00BF75BA" w:rsidP="00E930A9">
            <w:pPr>
              <w:jc w:val="both"/>
              <w:rPr>
                <w:rFonts w:eastAsia="Times New Roman" w:cs="Times New Roman"/>
                <w:sz w:val="20"/>
                <w:szCs w:val="20"/>
                <w:lang w:eastAsia="lv-LV"/>
              </w:rPr>
            </w:pPr>
            <w:r w:rsidRPr="00691D8B">
              <w:rPr>
                <w:rFonts w:eastAsia="Times New Roman" w:cs="Times New Roman"/>
                <w:sz w:val="20"/>
                <w:szCs w:val="20"/>
                <w:lang w:eastAsia="lv-LV"/>
              </w:rPr>
              <w:t>LNB iestājās šajā organizācijā 2013.gada nogalē, bet nepilnu 3 gadu laikā LNB ieguvums bija minimāls, tāpēc 2016.gada novembrī tiks pārtraukta LNB dalība šajā organizācijā.</w:t>
            </w:r>
          </w:p>
        </w:tc>
      </w:tr>
    </w:tbl>
    <w:p w:rsidR="00BF75BA" w:rsidRDefault="00BF75BA" w:rsidP="00BF75BA">
      <w:pPr>
        <w:rPr>
          <w:rFonts w:cs="Times New Roman"/>
          <w:szCs w:val="24"/>
        </w:rPr>
      </w:pPr>
    </w:p>
    <w:p w:rsidR="00BF75BA" w:rsidRDefault="00BF75BA" w:rsidP="00781A2B">
      <w:pPr>
        <w:spacing w:after="120"/>
        <w:ind w:firstLine="720"/>
        <w:jc w:val="both"/>
        <w:rPr>
          <w:rFonts w:cs="Times New Roman"/>
          <w:szCs w:val="24"/>
        </w:rPr>
      </w:pPr>
      <w:r w:rsidRPr="00E741A8">
        <w:rPr>
          <w:rFonts w:cs="Times New Roman"/>
          <w:szCs w:val="24"/>
        </w:rPr>
        <w:t xml:space="preserve">Tikšanās laikā par budžeta izdevumu </w:t>
      </w:r>
      <w:r>
        <w:rPr>
          <w:rFonts w:cs="Times New Roman"/>
          <w:szCs w:val="24"/>
        </w:rPr>
        <w:t>pārskatīšanas</w:t>
      </w:r>
      <w:r w:rsidRPr="00E741A8">
        <w:rPr>
          <w:rFonts w:cs="Times New Roman"/>
          <w:szCs w:val="24"/>
        </w:rPr>
        <w:t xml:space="preserve"> rezultātiem </w:t>
      </w:r>
      <w:r>
        <w:rPr>
          <w:rFonts w:cs="Times New Roman"/>
          <w:szCs w:val="24"/>
        </w:rPr>
        <w:t xml:space="preserve">ar ministrijām tika diskutēts </w:t>
      </w:r>
      <w:r w:rsidRPr="00E741A8">
        <w:rPr>
          <w:rFonts w:cs="Times New Roman"/>
          <w:szCs w:val="24"/>
        </w:rPr>
        <w:t xml:space="preserve">par </w:t>
      </w:r>
      <w:r>
        <w:rPr>
          <w:rFonts w:cs="Times New Roman"/>
          <w:b/>
          <w:bCs/>
          <w:szCs w:val="24"/>
        </w:rPr>
        <w:t xml:space="preserve">iespējām </w:t>
      </w:r>
      <w:r w:rsidRPr="00E741A8">
        <w:rPr>
          <w:rFonts w:cs="Times New Roman"/>
          <w:b/>
          <w:bCs/>
          <w:szCs w:val="24"/>
        </w:rPr>
        <w:t>dalības starptautiskajās organizācijās pārskatīšanai</w:t>
      </w:r>
      <w:r>
        <w:rPr>
          <w:rFonts w:cs="Times New Roman"/>
          <w:b/>
          <w:bCs/>
          <w:szCs w:val="24"/>
        </w:rPr>
        <w:t xml:space="preserve">. </w:t>
      </w:r>
      <w:r>
        <w:rPr>
          <w:rFonts w:cs="Times New Roman"/>
          <w:szCs w:val="24"/>
        </w:rPr>
        <w:t>Ministrijām tika lūgts s</w:t>
      </w:r>
      <w:r w:rsidRPr="00E741A8">
        <w:rPr>
          <w:rFonts w:cs="Times New Roman"/>
          <w:szCs w:val="24"/>
        </w:rPr>
        <w:t>aranžēt visas starptautiskās organizāc</w:t>
      </w:r>
      <w:r>
        <w:rPr>
          <w:rFonts w:cs="Times New Roman"/>
          <w:szCs w:val="24"/>
        </w:rPr>
        <w:t xml:space="preserve">ijas, kurās tās veic iemaksas, prioritārā secībā, norādot </w:t>
      </w:r>
      <w:r w:rsidRPr="00E741A8">
        <w:rPr>
          <w:rFonts w:cs="Times New Roman"/>
          <w:szCs w:val="24"/>
        </w:rPr>
        <w:t>2016.gadā iemaksājamo summu</w:t>
      </w:r>
      <w:r>
        <w:rPr>
          <w:rFonts w:cs="Times New Roman"/>
          <w:szCs w:val="24"/>
        </w:rPr>
        <w:t xml:space="preserve">, </w:t>
      </w:r>
      <w:r w:rsidRPr="00E741A8">
        <w:rPr>
          <w:rFonts w:cs="Times New Roman"/>
          <w:szCs w:val="24"/>
        </w:rPr>
        <w:t>2016.gadā pārējos ar dalību saistītos izdevumus (komandējumi u.c.)</w:t>
      </w:r>
      <w:r>
        <w:rPr>
          <w:rFonts w:cs="Times New Roman"/>
          <w:szCs w:val="24"/>
        </w:rPr>
        <w:t xml:space="preserve">, </w:t>
      </w:r>
      <w:r w:rsidRPr="00E741A8">
        <w:rPr>
          <w:rFonts w:cs="Times New Roman"/>
          <w:szCs w:val="24"/>
        </w:rPr>
        <w:t>valsts ieguvumus (mērāmu rādītāju izteiksmē) no dalības katrā organizācijā</w:t>
      </w:r>
      <w:r>
        <w:rPr>
          <w:rFonts w:cs="Times New Roman"/>
          <w:szCs w:val="24"/>
        </w:rPr>
        <w:t>, kā arī norādīt organizācijas, kura</w:t>
      </w:r>
      <w:r w:rsidRPr="00E741A8">
        <w:rPr>
          <w:rFonts w:cs="Times New Roman"/>
          <w:szCs w:val="24"/>
        </w:rPr>
        <w:t>s iemaksas ir mainīgas (iemaksu summa i</w:t>
      </w:r>
      <w:r>
        <w:rPr>
          <w:rFonts w:cs="Times New Roman"/>
          <w:szCs w:val="24"/>
        </w:rPr>
        <w:t xml:space="preserve">r mainīga vienošanās rezultātā) un </w:t>
      </w:r>
      <w:r w:rsidRPr="00E741A8">
        <w:rPr>
          <w:rFonts w:cs="Times New Roman"/>
          <w:szCs w:val="24"/>
        </w:rPr>
        <w:t>kuru organizāciju funkcijas tiek nodrošinātas arī OECD</w:t>
      </w:r>
      <w:r>
        <w:rPr>
          <w:rFonts w:cs="Times New Roman"/>
          <w:szCs w:val="24"/>
        </w:rPr>
        <w:t>.</w:t>
      </w:r>
    </w:p>
    <w:p w:rsidR="00BF75BA" w:rsidRDefault="00BF75BA" w:rsidP="00781A2B">
      <w:pPr>
        <w:pStyle w:val="NormalWeb"/>
        <w:spacing w:before="0" w:beforeAutospacing="0" w:after="120" w:afterAutospacing="0"/>
        <w:ind w:firstLine="720"/>
        <w:jc w:val="both"/>
        <w:rPr>
          <w:rFonts w:eastAsiaTheme="minorEastAsia"/>
          <w:color w:val="000000" w:themeColor="text1"/>
          <w:kern w:val="24"/>
        </w:rPr>
      </w:pPr>
      <w:r>
        <w:t>Ministrijas ir norādījušas, ka c</w:t>
      </w:r>
      <w:r w:rsidRPr="00BB0195">
        <w:rPr>
          <w:rFonts w:eastAsiaTheme="minorEastAsia"/>
          <w:color w:val="000000" w:themeColor="text1"/>
          <w:kern w:val="24"/>
        </w:rPr>
        <w:t>aur dalību starptautiskajās organizācijās tiek veidota starptautiskā politika ar mērķi palielināt drošību un stabilitāti, vairot iedzīvotāju labklājību, veicināt starptautisko tiesību ievērošanu, kā arī samazināt starptautisko konfliktu un krīžu izcelšanās iespējas. Izmantojot starptautisko tiesību un organizāciju sistēmu, Latvija, kā starptautisko organizāciju locekle, kopīgi ar citām valstīm stājas pretī starptautiskās drošības apdraudējumiem. Ņemot vērā augstāk minēto, valsts ieguvumi no dalības starptautiskajās organizācijās konkrētos skaitļos mērāmu rādītāju izteiksmē precīzi nevar tikt noteikti.</w:t>
      </w:r>
      <w:r>
        <w:rPr>
          <w:rFonts w:eastAsiaTheme="minorEastAsia"/>
          <w:color w:val="000000" w:themeColor="text1"/>
          <w:kern w:val="24"/>
        </w:rPr>
        <w:t xml:space="preserve"> </w:t>
      </w:r>
      <w:r w:rsidRPr="00342D04">
        <w:rPr>
          <w:bCs/>
        </w:rPr>
        <w:t>Valsts ieguvumi iemaksām galvenokārt ir valsts interešu pārstāvniecība, pieredzes apmaiņa, labās prakses pārņemšana, kopīgu projektu īstenošana, iespēja saņemt atbalstu projektu īstenošanai</w:t>
      </w:r>
      <w:r>
        <w:rPr>
          <w:bCs/>
        </w:rPr>
        <w:t>.</w:t>
      </w:r>
      <w:r>
        <w:rPr>
          <w:rFonts w:eastAsiaTheme="minorEastAsia"/>
          <w:color w:val="000000" w:themeColor="text1"/>
          <w:kern w:val="24"/>
        </w:rPr>
        <w:t xml:space="preserve"> Tāpat o</w:t>
      </w:r>
      <w:r w:rsidRPr="00BB0195">
        <w:rPr>
          <w:rFonts w:eastAsiaTheme="minorEastAsia"/>
          <w:color w:val="000000" w:themeColor="text1"/>
          <w:kern w:val="24"/>
        </w:rPr>
        <w:t xml:space="preserve">rganizācijas nav </w:t>
      </w:r>
      <w:r>
        <w:rPr>
          <w:rFonts w:eastAsiaTheme="minorEastAsia"/>
          <w:color w:val="000000" w:themeColor="text1"/>
          <w:kern w:val="24"/>
        </w:rPr>
        <w:t>iespējams sakārtot</w:t>
      </w:r>
      <w:r w:rsidRPr="00BB0195">
        <w:rPr>
          <w:rFonts w:eastAsiaTheme="minorEastAsia"/>
          <w:color w:val="000000" w:themeColor="text1"/>
          <w:kern w:val="24"/>
        </w:rPr>
        <w:t xml:space="preserve"> prioritārā secībā</w:t>
      </w:r>
      <w:r>
        <w:rPr>
          <w:rFonts w:eastAsiaTheme="minorEastAsia"/>
          <w:color w:val="000000" w:themeColor="text1"/>
          <w:kern w:val="24"/>
        </w:rPr>
        <w:t>, jo</w:t>
      </w:r>
      <w:r w:rsidRPr="00BB0195">
        <w:rPr>
          <w:rFonts w:eastAsiaTheme="minorEastAsia"/>
          <w:color w:val="000000" w:themeColor="text1"/>
          <w:kern w:val="24"/>
        </w:rPr>
        <w:t xml:space="preserve"> katra organizācija savā darbības jomā ir līdzvērtīgi svarīga, pretējā gadījumā netiktu pieņemti lēmumi iestāties vienā vai otrā organizācijā. </w:t>
      </w:r>
    </w:p>
    <w:p w:rsidR="00BF75BA" w:rsidRPr="00BB0195" w:rsidRDefault="00BF75BA" w:rsidP="00AF148E">
      <w:pPr>
        <w:pStyle w:val="NormalWeb"/>
        <w:spacing w:before="0" w:beforeAutospacing="0" w:after="0" w:afterAutospacing="0"/>
        <w:ind w:firstLine="720"/>
        <w:jc w:val="both"/>
      </w:pPr>
      <w:r w:rsidRPr="00BB0195">
        <w:rPr>
          <w:rFonts w:eastAsiaTheme="minorEastAsia"/>
          <w:color w:val="000000" w:themeColor="text1"/>
          <w:kern w:val="24"/>
        </w:rPr>
        <w:lastRenderedPageBreak/>
        <w:t>Starptautisko organizāciju budžeti tiek izstrādāti starpvaldību sarunu procesu rezultātā, kurā piedalās visas dalībvalstis vienlaicīgi. Dalībvalstu iemaksu apmērs ir atkarīgs no katrā organizācijā izstrādātās iemaksu formulas, kurā tiek ņemti vērā valsts iedzīvotāju</w:t>
      </w:r>
      <w:r w:rsidR="00781A2B">
        <w:rPr>
          <w:rFonts w:eastAsiaTheme="minorEastAsia"/>
          <w:color w:val="000000" w:themeColor="text1"/>
          <w:kern w:val="24"/>
        </w:rPr>
        <w:t xml:space="preserve"> daudzums, ekonomiskie rādītāji</w:t>
      </w:r>
      <w:r w:rsidRPr="00BB0195">
        <w:rPr>
          <w:rFonts w:eastAsiaTheme="minorEastAsia"/>
          <w:color w:val="000000" w:themeColor="text1"/>
          <w:kern w:val="24"/>
        </w:rPr>
        <w:t xml:space="preserve"> u.c</w:t>
      </w:r>
      <w:r>
        <w:t xml:space="preserve">. </w:t>
      </w:r>
      <w:r w:rsidRPr="00BB0195">
        <w:rPr>
          <w:rFonts w:eastAsiaTheme="minorEastAsia"/>
          <w:color w:val="000000" w:themeColor="text1"/>
          <w:kern w:val="24"/>
        </w:rPr>
        <w:t xml:space="preserve">Jāņem vērā, ka </w:t>
      </w:r>
      <w:r>
        <w:rPr>
          <w:rFonts w:eastAsiaTheme="minorEastAsia"/>
          <w:color w:val="000000" w:themeColor="text1"/>
          <w:kern w:val="24"/>
        </w:rPr>
        <w:t>i</w:t>
      </w:r>
      <w:r w:rsidRPr="00BB0195">
        <w:rPr>
          <w:rFonts w:eastAsiaTheme="minorEastAsia"/>
          <w:color w:val="000000" w:themeColor="text1"/>
          <w:kern w:val="24"/>
        </w:rPr>
        <w:t>emaksu apjoms ir atkarīgs gan no katras organizācijas budžeta tendencēm, gan iemaksu skalas un valūtas kursa svārstībām, tāpēc precīzas iemaksu summas nav iespējams prognozēt līdz rēķina saņemšanas brīd</w:t>
      </w:r>
      <w:r>
        <w:rPr>
          <w:rFonts w:eastAsiaTheme="minorEastAsia"/>
          <w:color w:val="000000" w:themeColor="text1"/>
          <w:kern w:val="24"/>
        </w:rPr>
        <w:t>im un</w:t>
      </w:r>
      <w:r w:rsidRPr="00BB0195">
        <w:rPr>
          <w:rFonts w:eastAsiaTheme="minorEastAsia"/>
          <w:color w:val="000000" w:themeColor="text1"/>
          <w:kern w:val="24"/>
        </w:rPr>
        <w:t xml:space="preserve"> atsevišķi saņemtie rēķini </w:t>
      </w:r>
      <w:r>
        <w:rPr>
          <w:rFonts w:eastAsiaTheme="minorEastAsia"/>
          <w:color w:val="000000" w:themeColor="text1"/>
          <w:kern w:val="24"/>
        </w:rPr>
        <w:t>var atšķirties no ieplānotajiem līdzekļiem.</w:t>
      </w:r>
      <w:r w:rsidRPr="00BB0195">
        <w:rPr>
          <w:rFonts w:eastAsiaTheme="minorEastAsia"/>
          <w:color w:val="000000" w:themeColor="text1"/>
          <w:kern w:val="24"/>
        </w:rPr>
        <w:t xml:space="preserve"> </w:t>
      </w:r>
    </w:p>
    <w:p w:rsidR="00BF75BA" w:rsidRPr="00EE6E55" w:rsidRDefault="00BF75BA" w:rsidP="00AF148E">
      <w:pPr>
        <w:ind w:firstLine="720"/>
        <w:jc w:val="both"/>
        <w:rPr>
          <w:szCs w:val="24"/>
        </w:rPr>
      </w:pPr>
      <w:r w:rsidRPr="00EE6E55">
        <w:rPr>
          <w:szCs w:val="24"/>
        </w:rPr>
        <w:t xml:space="preserve">VARAM informē, ka iemaksu apmēru nosaka katra starptautiskā institūcija saskaņā ar savas pārvaldības institūcijas noteiktu algoritmu. Lielākoties starptautisko organizāciju iemaksu apjomi atkarīgi no konvenciju vai organizāciju kopējiem ikgadējiem budžetiem, ANO skalas, valsts iekšzemes kopprodukta rādītājiem, pēc kuriem attiecīgi tiek noteikti iemaksu apjomi. </w:t>
      </w:r>
    </w:p>
    <w:p w:rsidR="00BF75BA" w:rsidRPr="00AF148E" w:rsidRDefault="00BF75BA" w:rsidP="00AF148E">
      <w:pPr>
        <w:ind w:firstLine="720"/>
        <w:jc w:val="both"/>
        <w:rPr>
          <w:szCs w:val="24"/>
        </w:rPr>
      </w:pPr>
      <w:r w:rsidRPr="00EE6E55">
        <w:rPr>
          <w:szCs w:val="24"/>
        </w:rPr>
        <w:t>Latvijas dalība visās starptautiskajās organizācijās ir vienlīdz svarīga, jo katra no organizācijām ir ar atšķirīgiem darbības mērķiem, tādēļ nav iespējams noteikt, kurā no tām dalība būtu prioritārāka. Nevar piekrist uzstādījumiem par izstāšanos no kādas no ANO konvencijām – katras attīstītas valsts, jo īpaši ES un OECD pienākums ir aktīvi iesaistīties globālās politikas veidošanā. Tādejādi Latvijas dalība OECD nedublē dalību starptautiskajās organizācijās. OECD fokuss ir valstu ekonomiskā attīstība, turklāt lai Latvija spētu pilnvērtīgi piedalīties OECD darbā, priekšnoteikums ir aktīva dalība ANO konvenciju darbā un citu institūciju formātos. Ņemot vērā augstāk minēto, VARAM neredz iespējas samazināt starptautiskās iemaksas vai atteikties n</w:t>
      </w:r>
      <w:r w:rsidR="00AF148E">
        <w:rPr>
          <w:szCs w:val="24"/>
        </w:rPr>
        <w:t xml:space="preserve">o dalības kādā no konvencijām. </w:t>
      </w:r>
    </w:p>
    <w:p w:rsidR="00BF75BA" w:rsidRPr="00056DBE" w:rsidRDefault="00BF75BA" w:rsidP="00BF75BA">
      <w:pPr>
        <w:pStyle w:val="NormalWeb"/>
        <w:spacing w:before="0" w:beforeAutospacing="0" w:after="120" w:afterAutospacing="0"/>
        <w:jc w:val="both"/>
        <w:rPr>
          <w:rFonts w:eastAsia="Verdana"/>
          <w:b/>
          <w:color w:val="000000" w:themeColor="text1"/>
          <w:kern w:val="24"/>
        </w:rPr>
      </w:pPr>
      <w:r w:rsidRPr="00056DBE">
        <w:rPr>
          <w:rFonts w:eastAsia="Verdana"/>
          <w:b/>
          <w:color w:val="000000" w:themeColor="text1"/>
          <w:kern w:val="24"/>
        </w:rPr>
        <w:t>Secinājumi:</w:t>
      </w:r>
    </w:p>
    <w:p w:rsidR="00BF75BA" w:rsidRDefault="00BF75BA" w:rsidP="00AF148E">
      <w:pPr>
        <w:pStyle w:val="NormalWeb"/>
        <w:numPr>
          <w:ilvl w:val="0"/>
          <w:numId w:val="122"/>
        </w:numPr>
        <w:spacing w:before="0" w:beforeAutospacing="0" w:after="60" w:afterAutospacing="0"/>
        <w:ind w:left="714" w:hanging="357"/>
        <w:jc w:val="both"/>
        <w:rPr>
          <w:rFonts w:eastAsia="Verdana"/>
          <w:color w:val="000000" w:themeColor="text1"/>
          <w:kern w:val="24"/>
        </w:rPr>
      </w:pPr>
      <w:r>
        <w:rPr>
          <w:rFonts w:eastAsia="Verdana"/>
          <w:color w:val="000000" w:themeColor="text1"/>
          <w:kern w:val="24"/>
        </w:rPr>
        <w:t xml:space="preserve">Lielākā daļa starptautisko iemaksu tiek veikta </w:t>
      </w:r>
      <w:r w:rsidRPr="00DB7A49">
        <w:t>saskaņā ar starptautiskajiem un nacionālajiem normatīvajiem aktiem</w:t>
      </w:r>
      <w:r>
        <w:rPr>
          <w:rFonts w:eastAsia="Verdana"/>
          <w:color w:val="000000" w:themeColor="text1"/>
          <w:kern w:val="24"/>
        </w:rPr>
        <w:t xml:space="preserve"> (saprašanās memorandiem, konvencijām, Augstākās Padomes lēmumiem, Augstākās Padomes deklarāciju, Ministru Padomes lēmumiem, Saeimas lēmumiem, likumiem, Ministru prezidenta lēmumiem, MK noteikumiem, MK rīkojumiem, MK protokoliem);</w:t>
      </w:r>
    </w:p>
    <w:p w:rsidR="00BF75BA" w:rsidRPr="0009606F" w:rsidRDefault="00BF75BA" w:rsidP="00AF148E">
      <w:pPr>
        <w:pStyle w:val="NormalWeb"/>
        <w:numPr>
          <w:ilvl w:val="0"/>
          <w:numId w:val="122"/>
        </w:numPr>
        <w:spacing w:before="0" w:beforeAutospacing="0" w:after="60" w:afterAutospacing="0"/>
        <w:ind w:left="714" w:hanging="357"/>
        <w:jc w:val="both"/>
        <w:rPr>
          <w:rFonts w:eastAsia="Verdana"/>
          <w:color w:val="000000" w:themeColor="text1"/>
          <w:kern w:val="24"/>
        </w:rPr>
      </w:pPr>
      <w:r>
        <w:t>Par dalību atsevišķās starptautiskajās organizācijās m</w:t>
      </w:r>
      <w:r w:rsidRPr="0009606F">
        <w:t xml:space="preserve">inistrijas </w:t>
      </w:r>
      <w:r>
        <w:t xml:space="preserve">ir lēmušas </w:t>
      </w:r>
      <w:r w:rsidRPr="0009606F">
        <w:t>paš</w:t>
      </w:r>
      <w:r>
        <w:t>as</w:t>
      </w:r>
      <w:r w:rsidRPr="00D977E4">
        <w:rPr>
          <w:rFonts w:eastAsiaTheme="minorEastAsia"/>
          <w:color w:val="000000" w:themeColor="text1"/>
          <w:kern w:val="24"/>
        </w:rPr>
        <w:t xml:space="preserve"> </w:t>
      </w:r>
      <w:r>
        <w:rPr>
          <w:rFonts w:eastAsiaTheme="minorEastAsia"/>
          <w:color w:val="000000" w:themeColor="text1"/>
          <w:kern w:val="24"/>
        </w:rPr>
        <w:t>bez ārējā normatīvā akta deleģējuma</w:t>
      </w:r>
      <w:r>
        <w:t>;</w:t>
      </w:r>
    </w:p>
    <w:p w:rsidR="00BF75BA" w:rsidRDefault="00BF75BA" w:rsidP="00AF148E">
      <w:pPr>
        <w:pStyle w:val="NormalWeb"/>
        <w:numPr>
          <w:ilvl w:val="0"/>
          <w:numId w:val="122"/>
        </w:numPr>
        <w:spacing w:before="0" w:beforeAutospacing="0" w:after="60" w:afterAutospacing="0"/>
        <w:ind w:left="714" w:hanging="357"/>
        <w:jc w:val="both"/>
        <w:rPr>
          <w:rFonts w:eastAsia="Verdana"/>
          <w:color w:val="000000" w:themeColor="text1"/>
          <w:kern w:val="24"/>
        </w:rPr>
      </w:pPr>
      <w:r>
        <w:rPr>
          <w:rFonts w:eastAsia="Verdana"/>
          <w:color w:val="000000" w:themeColor="text1"/>
          <w:kern w:val="24"/>
        </w:rPr>
        <w:t>Atsevišķu ministriju pārstāvību starptautisko organizāciju sanāksmēs un darba grupās daļēji vai pilnībā nodrošina kapitālsabiedrības, kurās ministrijas ir kapitāldaļu turētājas.</w:t>
      </w:r>
    </w:p>
    <w:p w:rsidR="00BF75BA" w:rsidRPr="00056DBE" w:rsidRDefault="00BF75BA" w:rsidP="00E30A45">
      <w:pPr>
        <w:pStyle w:val="NormalWeb"/>
        <w:spacing w:before="240" w:beforeAutospacing="0" w:after="120" w:afterAutospacing="0"/>
        <w:jc w:val="both"/>
        <w:rPr>
          <w:rFonts w:eastAsia="Verdana"/>
          <w:b/>
          <w:color w:val="000000" w:themeColor="text1"/>
          <w:kern w:val="24"/>
        </w:rPr>
      </w:pPr>
      <w:r w:rsidRPr="00056DBE">
        <w:rPr>
          <w:rFonts w:eastAsia="Verdana"/>
          <w:b/>
          <w:color w:val="000000" w:themeColor="text1"/>
          <w:kern w:val="24"/>
        </w:rPr>
        <w:t>Priekšlikumi:</w:t>
      </w:r>
    </w:p>
    <w:p w:rsidR="00BF75BA" w:rsidRDefault="00BF75BA" w:rsidP="00AF148E">
      <w:pPr>
        <w:pStyle w:val="NormalWeb"/>
        <w:numPr>
          <w:ilvl w:val="0"/>
          <w:numId w:val="123"/>
        </w:numPr>
        <w:spacing w:before="0" w:beforeAutospacing="0" w:after="0" w:afterAutospacing="0"/>
        <w:ind w:left="714" w:hanging="357"/>
        <w:jc w:val="both"/>
        <w:rPr>
          <w:rFonts w:eastAsiaTheme="minorEastAsia"/>
          <w:color w:val="000000" w:themeColor="text1"/>
          <w:kern w:val="24"/>
        </w:rPr>
      </w:pPr>
      <w:r>
        <w:rPr>
          <w:rFonts w:eastAsiaTheme="minorEastAsia"/>
          <w:color w:val="000000" w:themeColor="text1"/>
          <w:kern w:val="24"/>
        </w:rPr>
        <w:t>Izskatīt iespēju atteikties no starptautiskām iemaksām, kuras ministrijas veic bez ārējā normatīvā akta deleģējuma;</w:t>
      </w:r>
    </w:p>
    <w:p w:rsidR="00BF75BA" w:rsidRPr="00B47ECF" w:rsidRDefault="00BF75BA" w:rsidP="00AF148E">
      <w:pPr>
        <w:pStyle w:val="NormalWeb"/>
        <w:numPr>
          <w:ilvl w:val="0"/>
          <w:numId w:val="123"/>
        </w:numPr>
        <w:spacing w:before="0" w:beforeAutospacing="0" w:after="0" w:afterAutospacing="0"/>
        <w:ind w:left="714" w:hanging="357"/>
        <w:jc w:val="both"/>
        <w:rPr>
          <w:rFonts w:eastAsiaTheme="minorEastAsia"/>
          <w:color w:val="000000" w:themeColor="text1"/>
          <w:kern w:val="24"/>
        </w:rPr>
      </w:pPr>
      <w:r>
        <w:rPr>
          <w:rFonts w:eastAsiaTheme="minorEastAsia"/>
          <w:color w:val="000000" w:themeColor="text1"/>
          <w:kern w:val="24"/>
        </w:rPr>
        <w:t xml:space="preserve">Atsakoties no dalības starptautiskajās organizācijās atbilstoši </w:t>
      </w:r>
      <w:r w:rsidRPr="00B47ECF">
        <w:rPr>
          <w:rFonts w:eastAsiaTheme="minorEastAsia"/>
          <w:color w:val="000000" w:themeColor="text1"/>
          <w:kern w:val="24"/>
        </w:rPr>
        <w:t>tabulā Nr.3</w:t>
      </w:r>
      <w:r w:rsidR="00B47ECF" w:rsidRPr="00B47ECF">
        <w:rPr>
          <w:rFonts w:eastAsiaTheme="minorEastAsia"/>
          <w:color w:val="000000" w:themeColor="text1"/>
          <w:kern w:val="24"/>
        </w:rPr>
        <w:t>.16.</w:t>
      </w:r>
      <w:r w:rsidRPr="00B47ECF">
        <w:rPr>
          <w:rFonts w:eastAsiaTheme="minorEastAsia"/>
          <w:color w:val="000000" w:themeColor="text1"/>
          <w:kern w:val="24"/>
        </w:rPr>
        <w:t xml:space="preserve"> norādītajam, atbrīvotos resursus iespējams novirzīt citiem prioritārajiem pasākumiem;</w:t>
      </w:r>
    </w:p>
    <w:p w:rsidR="009F420E" w:rsidRPr="00AF148E" w:rsidRDefault="00BF75BA" w:rsidP="00AF148E">
      <w:pPr>
        <w:pStyle w:val="ListParagraph"/>
        <w:numPr>
          <w:ilvl w:val="0"/>
          <w:numId w:val="123"/>
        </w:numPr>
        <w:ind w:left="714" w:hanging="357"/>
        <w:jc w:val="both"/>
      </w:pPr>
      <w:r>
        <w:t>SM</w:t>
      </w:r>
      <w:r w:rsidRPr="0033666C">
        <w:t xml:space="preserve"> </w:t>
      </w:r>
      <w:r w:rsidR="00A972F8">
        <w:t xml:space="preserve">sadarbībā ar TM </w:t>
      </w:r>
      <w:r w:rsidRPr="00781A2B">
        <w:t>s</w:t>
      </w:r>
      <w:r w:rsidRPr="0033666C">
        <w:t>agatavot priekšlikumus nepieciešamajiem grozījumiem normatīvajos aktos, lai ministriju darbinieku komandējumu izmaksas (viesnīcas, transporta, dalības maksas) segtu no to valsts kapitālsabiedrību līdzekļiem, kuru darbības jomu ietvaros attiecīgais komandējums ir nepieciešams.</w:t>
      </w:r>
    </w:p>
    <w:p w:rsidR="00B003AC" w:rsidRPr="00781A2B" w:rsidRDefault="00B003AC" w:rsidP="00691D8B">
      <w:pPr>
        <w:pStyle w:val="Heading3"/>
        <w:spacing w:before="360"/>
        <w:jc w:val="center"/>
        <w:rPr>
          <w:color w:val="auto"/>
          <w:sz w:val="28"/>
          <w:szCs w:val="28"/>
        </w:rPr>
      </w:pPr>
      <w:bookmarkStart w:id="17" w:name="_Toc487036801"/>
      <w:r w:rsidRPr="00C90316">
        <w:rPr>
          <w:rFonts w:ascii="Times New Roman" w:hAnsi="Times New Roman" w:cs="Times New Roman"/>
          <w:color w:val="auto"/>
          <w:sz w:val="28"/>
          <w:szCs w:val="28"/>
        </w:rPr>
        <w:t>3.3.3. Atbalsta funkciju ar veicošo amata vietu analīze</w:t>
      </w:r>
      <w:bookmarkEnd w:id="17"/>
    </w:p>
    <w:p w:rsidR="00B4290F" w:rsidRDefault="00B4290F" w:rsidP="0055760A">
      <w:pPr>
        <w:rPr>
          <w:b/>
          <w:u w:val="single"/>
        </w:rPr>
      </w:pPr>
    </w:p>
    <w:p w:rsidR="00937763" w:rsidRPr="0022023A" w:rsidRDefault="00937763" w:rsidP="00937763">
      <w:pPr>
        <w:ind w:firstLine="720"/>
        <w:jc w:val="both"/>
        <w:rPr>
          <w:rFonts w:cs="Times New Roman"/>
          <w:color w:val="000000" w:themeColor="text1"/>
          <w:szCs w:val="24"/>
        </w:rPr>
      </w:pPr>
      <w:r w:rsidRPr="0022023A">
        <w:rPr>
          <w:rFonts w:cs="Times New Roman"/>
          <w:szCs w:val="24"/>
        </w:rPr>
        <w:t xml:space="preserve">Lai nodrošinātu </w:t>
      </w:r>
      <w:r w:rsidRPr="0022023A">
        <w:rPr>
          <w:rFonts w:cs="Times New Roman"/>
          <w:color w:val="000000" w:themeColor="text1"/>
          <w:szCs w:val="24"/>
        </w:rPr>
        <w:t xml:space="preserve">valsts budžeta līdzekļu ekonomisku un racionālu izlietošanu, </w:t>
      </w:r>
      <w:r w:rsidR="004275DE">
        <w:rPr>
          <w:rFonts w:cs="Times New Roman"/>
          <w:color w:val="000000" w:themeColor="text1"/>
          <w:szCs w:val="24"/>
        </w:rPr>
        <w:t>FM</w:t>
      </w:r>
      <w:r w:rsidRPr="0022023A">
        <w:rPr>
          <w:rFonts w:cs="Times New Roman"/>
          <w:color w:val="000000" w:themeColor="text1"/>
          <w:szCs w:val="24"/>
        </w:rPr>
        <w:t xml:space="preserve"> ir izvērtējusi atbalsta funkciju veicēju īpatsvaru valsts pārvaldes iestādēs. Datu analīzē ir izmantota informācija uz 2017.gada 31.martu, kas saskaņā ar </w:t>
      </w:r>
      <w:r w:rsidR="004275DE">
        <w:rPr>
          <w:rFonts w:cs="Times New Roman"/>
          <w:color w:val="000000" w:themeColor="text1"/>
          <w:szCs w:val="24"/>
        </w:rPr>
        <w:t>MK</w:t>
      </w:r>
      <w:r w:rsidRPr="0022023A">
        <w:rPr>
          <w:rFonts w:cs="Times New Roman"/>
          <w:color w:val="000000" w:themeColor="text1"/>
          <w:szCs w:val="24"/>
        </w:rPr>
        <w:t xml:space="preserve"> 2010.gada 21</w:t>
      </w:r>
      <w:r>
        <w:rPr>
          <w:rFonts w:cs="Times New Roman"/>
          <w:color w:val="000000" w:themeColor="text1"/>
          <w:szCs w:val="24"/>
        </w:rPr>
        <w:t>.</w:t>
      </w:r>
      <w:r w:rsidRPr="0022023A">
        <w:rPr>
          <w:rFonts w:cs="Times New Roman"/>
          <w:color w:val="000000" w:themeColor="text1"/>
          <w:szCs w:val="24"/>
        </w:rPr>
        <w:t>jūnija noteikumos Nr.541 “Noteikumi par valsts un pašvaldību institūciju amatpersonu un darbinieku atlīdzības uzskaites sistēmu”, noteikto kārtību iesniegta atlīdzības uzskaites sistēmā (datu bāzē).</w:t>
      </w:r>
    </w:p>
    <w:p w:rsidR="00937763" w:rsidRDefault="00937763" w:rsidP="0094202F">
      <w:pPr>
        <w:spacing w:after="120"/>
        <w:ind w:firstLine="720"/>
        <w:jc w:val="both"/>
        <w:rPr>
          <w:rFonts w:cs="Times New Roman"/>
          <w:color w:val="000000" w:themeColor="text1"/>
          <w:szCs w:val="24"/>
        </w:rPr>
      </w:pPr>
      <w:r w:rsidRPr="0022023A">
        <w:rPr>
          <w:rFonts w:cs="Times New Roman"/>
          <w:color w:val="000000" w:themeColor="text1"/>
          <w:szCs w:val="24"/>
        </w:rPr>
        <w:lastRenderedPageBreak/>
        <w:t xml:space="preserve">Veicot analīzi, amati tika atlasīti atbilstoši </w:t>
      </w:r>
      <w:r w:rsidR="004275DE">
        <w:rPr>
          <w:rFonts w:cs="Times New Roman"/>
          <w:color w:val="000000" w:themeColor="text1"/>
          <w:szCs w:val="24"/>
        </w:rPr>
        <w:t>MK</w:t>
      </w:r>
      <w:r w:rsidRPr="0022023A">
        <w:rPr>
          <w:rFonts w:cs="Times New Roman"/>
          <w:color w:val="000000" w:themeColor="text1"/>
          <w:szCs w:val="24"/>
        </w:rPr>
        <w:t xml:space="preserve"> 2010.gada 14.decembra ieteikumiem Nr.2 </w:t>
      </w:r>
      <w:r>
        <w:rPr>
          <w:rFonts w:cs="Times New Roman"/>
          <w:color w:val="000000" w:themeColor="text1"/>
          <w:szCs w:val="24"/>
        </w:rPr>
        <w:t>“</w:t>
      </w:r>
      <w:r w:rsidRPr="0022023A">
        <w:rPr>
          <w:rFonts w:cs="Times New Roman"/>
          <w:color w:val="000000" w:themeColor="text1"/>
          <w:szCs w:val="24"/>
        </w:rPr>
        <w:t>Valsts pārvaldes iestādes struktūras izveidošanas kārtība</w:t>
      </w:r>
      <w:r>
        <w:rPr>
          <w:rFonts w:cs="Times New Roman"/>
          <w:color w:val="000000" w:themeColor="text1"/>
          <w:szCs w:val="24"/>
        </w:rPr>
        <w:t>”</w:t>
      </w:r>
      <w:r w:rsidRPr="0022023A">
        <w:rPr>
          <w:rFonts w:cs="Times New Roman"/>
          <w:color w:val="000000" w:themeColor="text1"/>
          <w:szCs w:val="24"/>
        </w:rPr>
        <w:t>, kuru pielikumā ir definēti amati, kas nodrošina atbalsta funkcijas. Vienlaikus tika ņemts vērā, ka atsevišķām iestādēm šie amati klasificējas kā pamatfunkciju veicēju amati, piemēram, Latvijas Nacionālais arhīvs, VRAA, Maksātnespējas administ</w:t>
      </w:r>
      <w:r w:rsidR="00781A2B">
        <w:rPr>
          <w:rFonts w:cs="Times New Roman"/>
          <w:color w:val="000000" w:themeColor="text1"/>
          <w:szCs w:val="24"/>
        </w:rPr>
        <w:t>rācija</w:t>
      </w:r>
      <w:r w:rsidRPr="0022023A">
        <w:rPr>
          <w:rFonts w:cs="Times New Roman"/>
          <w:color w:val="000000" w:themeColor="text1"/>
          <w:szCs w:val="24"/>
        </w:rPr>
        <w:t xml:space="preserve"> u.c.</w:t>
      </w:r>
    </w:p>
    <w:p w:rsidR="00937763" w:rsidRDefault="00937763" w:rsidP="00937763">
      <w:pPr>
        <w:rPr>
          <w:rFonts w:cs="Times New Roman"/>
          <w:color w:val="000000" w:themeColor="text1"/>
          <w:szCs w:val="24"/>
        </w:rPr>
      </w:pPr>
      <w:r>
        <w:rPr>
          <w:noProof/>
          <w:lang w:eastAsia="lv-LV"/>
        </w:rPr>
        <w:drawing>
          <wp:inline distT="0" distB="0" distL="0" distR="0" wp14:anchorId="06A44101" wp14:editId="665E7124">
            <wp:extent cx="5891530" cy="3972153"/>
            <wp:effectExtent l="0" t="0" r="1397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937763" w:rsidRPr="00E30A45" w:rsidRDefault="00AC0FA0" w:rsidP="00E30A45">
      <w:pPr>
        <w:spacing w:before="120" w:after="200"/>
        <w:jc w:val="center"/>
        <w:rPr>
          <w:b/>
          <w:sz w:val="22"/>
        </w:rPr>
      </w:pPr>
      <w:r w:rsidRPr="00E30A45">
        <w:rPr>
          <w:rFonts w:cs="Times New Roman"/>
          <w:i/>
          <w:sz w:val="22"/>
        </w:rPr>
        <w:t>3.9.</w:t>
      </w:r>
      <w:r w:rsidR="00937763" w:rsidRPr="00E30A45">
        <w:rPr>
          <w:rFonts w:cs="Times New Roman"/>
          <w:i/>
          <w:sz w:val="22"/>
        </w:rPr>
        <w:t>att.</w:t>
      </w:r>
      <w:r w:rsidR="00937763" w:rsidRPr="00E30A45">
        <w:rPr>
          <w:rFonts w:cs="Times New Roman"/>
          <w:sz w:val="22"/>
        </w:rPr>
        <w:t xml:space="preserve"> </w:t>
      </w:r>
      <w:r w:rsidR="00937763" w:rsidRPr="00E30A45">
        <w:rPr>
          <w:b/>
          <w:bCs/>
          <w:sz w:val="22"/>
        </w:rPr>
        <w:t>Pamatfunkciju veicēju un atbalsta funkciju veicēju amat</w:t>
      </w:r>
      <w:r w:rsidR="00781A2B" w:rsidRPr="00E30A45">
        <w:rPr>
          <w:b/>
          <w:bCs/>
          <w:sz w:val="22"/>
        </w:rPr>
        <w:t xml:space="preserve">u īpatsvars ministriju resoros </w:t>
      </w:r>
      <w:r w:rsidR="00937763" w:rsidRPr="00E30A45">
        <w:rPr>
          <w:b/>
          <w:bCs/>
          <w:sz w:val="22"/>
        </w:rPr>
        <w:t>un vidēji valsts pārvaldē, %</w:t>
      </w:r>
    </w:p>
    <w:p w:rsidR="00937763" w:rsidRPr="0022023A" w:rsidRDefault="00937763" w:rsidP="00781A2B">
      <w:pPr>
        <w:ind w:firstLine="720"/>
        <w:jc w:val="both"/>
        <w:rPr>
          <w:szCs w:val="24"/>
        </w:rPr>
      </w:pPr>
      <w:r w:rsidRPr="0022023A">
        <w:rPr>
          <w:rFonts w:cs="Times New Roman"/>
          <w:color w:val="000000" w:themeColor="text1"/>
          <w:szCs w:val="24"/>
        </w:rPr>
        <w:t>Izvērtējot informāciju tika secināts, ka vidēji valsts pārvaldē</w:t>
      </w:r>
      <w:r>
        <w:rPr>
          <w:rFonts w:cs="Times New Roman"/>
          <w:color w:val="000000" w:themeColor="text1"/>
          <w:szCs w:val="24"/>
        </w:rPr>
        <w:t xml:space="preserve"> 2016.gadā</w:t>
      </w:r>
      <w:r w:rsidRPr="0022023A">
        <w:rPr>
          <w:rFonts w:cs="Times New Roman"/>
          <w:color w:val="000000" w:themeColor="text1"/>
          <w:szCs w:val="24"/>
        </w:rPr>
        <w:t xml:space="preserve"> 73% nodarbināto veicamie pienākumi </w:t>
      </w:r>
      <w:r>
        <w:rPr>
          <w:rFonts w:cs="Times New Roman"/>
          <w:color w:val="000000" w:themeColor="text1"/>
          <w:szCs w:val="24"/>
        </w:rPr>
        <w:t>bija</w:t>
      </w:r>
      <w:r w:rsidRPr="0022023A">
        <w:rPr>
          <w:rFonts w:cs="Times New Roman"/>
          <w:color w:val="000000" w:themeColor="text1"/>
          <w:szCs w:val="24"/>
        </w:rPr>
        <w:t xml:space="preserve"> saistīti ar pamatfunkciju nodrošināšanu, savukārt, 27% nodrošin</w:t>
      </w:r>
      <w:r>
        <w:rPr>
          <w:rFonts w:cs="Times New Roman"/>
          <w:color w:val="000000" w:themeColor="text1"/>
          <w:szCs w:val="24"/>
        </w:rPr>
        <w:t>āj</w:t>
      </w:r>
      <w:r w:rsidRPr="0022023A">
        <w:rPr>
          <w:rFonts w:cs="Times New Roman"/>
          <w:color w:val="000000" w:themeColor="text1"/>
          <w:szCs w:val="24"/>
        </w:rPr>
        <w:t>a atbalsta funkcijas</w:t>
      </w:r>
      <w:r w:rsidR="00781A2B">
        <w:rPr>
          <w:rFonts w:cs="Times New Roman"/>
          <w:color w:val="000000" w:themeColor="text1"/>
          <w:szCs w:val="24"/>
        </w:rPr>
        <w:t xml:space="preserve"> (</w:t>
      </w:r>
      <w:r w:rsidR="00781A2B" w:rsidRPr="00AC0FA0">
        <w:rPr>
          <w:rFonts w:cs="Times New Roman"/>
          <w:color w:val="000000" w:themeColor="text1"/>
          <w:szCs w:val="24"/>
        </w:rPr>
        <w:t xml:space="preserve">skat. </w:t>
      </w:r>
      <w:r w:rsidR="00AC0FA0" w:rsidRPr="00AC0FA0">
        <w:rPr>
          <w:rFonts w:cs="Times New Roman"/>
          <w:color w:val="000000" w:themeColor="text1"/>
          <w:szCs w:val="24"/>
        </w:rPr>
        <w:t>3.9</w:t>
      </w:r>
      <w:r w:rsidR="00781A2B" w:rsidRPr="00AC0FA0">
        <w:rPr>
          <w:rFonts w:cs="Times New Roman"/>
          <w:color w:val="000000" w:themeColor="text1"/>
          <w:szCs w:val="24"/>
        </w:rPr>
        <w:t>.attēlu</w:t>
      </w:r>
      <w:r w:rsidR="00781A2B">
        <w:rPr>
          <w:rFonts w:cs="Times New Roman"/>
          <w:color w:val="000000" w:themeColor="text1"/>
          <w:szCs w:val="24"/>
        </w:rPr>
        <w:t>)</w:t>
      </w:r>
      <w:r w:rsidRPr="0022023A">
        <w:rPr>
          <w:rFonts w:cs="Times New Roman"/>
          <w:color w:val="000000" w:themeColor="text1"/>
          <w:szCs w:val="24"/>
        </w:rPr>
        <w:t xml:space="preserve">. </w:t>
      </w:r>
      <w:r>
        <w:rPr>
          <w:rFonts w:cs="Times New Roman"/>
          <w:color w:val="000000" w:themeColor="text1"/>
          <w:szCs w:val="24"/>
        </w:rPr>
        <w:t>Ņemot vērā, ka vairākos resoros šobrīd ir veikta daļēja atbalsta funkciju centralizācija, 2017.gada martā situācija ir mainījusies un redzams, ka jau 81</w:t>
      </w:r>
      <w:r w:rsidRPr="0022023A">
        <w:rPr>
          <w:rFonts w:cs="Times New Roman"/>
          <w:color w:val="000000" w:themeColor="text1"/>
          <w:szCs w:val="24"/>
        </w:rPr>
        <w:t xml:space="preserve">% nodarbināto veicamie pienākumi </w:t>
      </w:r>
      <w:r>
        <w:rPr>
          <w:rFonts w:cs="Times New Roman"/>
          <w:color w:val="000000" w:themeColor="text1"/>
          <w:szCs w:val="24"/>
        </w:rPr>
        <w:t>ir</w:t>
      </w:r>
      <w:r w:rsidRPr="0022023A">
        <w:rPr>
          <w:rFonts w:cs="Times New Roman"/>
          <w:color w:val="000000" w:themeColor="text1"/>
          <w:szCs w:val="24"/>
        </w:rPr>
        <w:t xml:space="preserve"> saistīti ar pamatfunkciju nodrošināšanu, savukārt, </w:t>
      </w:r>
      <w:r>
        <w:rPr>
          <w:rFonts w:cs="Times New Roman"/>
          <w:color w:val="000000" w:themeColor="text1"/>
          <w:szCs w:val="24"/>
        </w:rPr>
        <w:t>tikai 19</w:t>
      </w:r>
      <w:r w:rsidRPr="0022023A">
        <w:rPr>
          <w:rFonts w:cs="Times New Roman"/>
          <w:color w:val="000000" w:themeColor="text1"/>
          <w:szCs w:val="24"/>
        </w:rPr>
        <w:t>% nodrošin</w:t>
      </w:r>
      <w:r>
        <w:rPr>
          <w:rFonts w:cs="Times New Roman"/>
          <w:color w:val="000000" w:themeColor="text1"/>
          <w:szCs w:val="24"/>
        </w:rPr>
        <w:t>a atbalsta funkcijas, līdz ar to</w:t>
      </w:r>
      <w:r w:rsidRPr="007D2510">
        <w:rPr>
          <w:rFonts w:cs="Times New Roman"/>
          <w:color w:val="000000" w:themeColor="text1"/>
          <w:szCs w:val="24"/>
        </w:rPr>
        <w:t xml:space="preserve"> </w:t>
      </w:r>
      <w:r w:rsidRPr="0022023A">
        <w:rPr>
          <w:rFonts w:cs="Times New Roman"/>
          <w:color w:val="000000" w:themeColor="text1"/>
          <w:szCs w:val="24"/>
        </w:rPr>
        <w:t>atsevišķās iestādēs amati, kas būtu klasificējami</w:t>
      </w:r>
      <w:r>
        <w:rPr>
          <w:rFonts w:cs="Times New Roman"/>
          <w:color w:val="000000" w:themeColor="text1"/>
          <w:szCs w:val="24"/>
        </w:rPr>
        <w:t>,</w:t>
      </w:r>
      <w:r w:rsidRPr="0022023A">
        <w:rPr>
          <w:rFonts w:cs="Times New Roman"/>
          <w:color w:val="000000" w:themeColor="text1"/>
          <w:szCs w:val="24"/>
        </w:rPr>
        <w:t xml:space="preserve"> piemēram, personālvadība</w:t>
      </w:r>
      <w:r>
        <w:rPr>
          <w:rFonts w:cs="Times New Roman"/>
          <w:color w:val="000000" w:themeColor="text1"/>
          <w:szCs w:val="24"/>
        </w:rPr>
        <w:t>s</w:t>
      </w:r>
      <w:r w:rsidRPr="0022023A">
        <w:rPr>
          <w:rFonts w:cs="Times New Roman"/>
          <w:color w:val="000000" w:themeColor="text1"/>
          <w:szCs w:val="24"/>
        </w:rPr>
        <w:t xml:space="preserve"> un grāmatvedība</w:t>
      </w:r>
      <w:r>
        <w:rPr>
          <w:rFonts w:cs="Times New Roman"/>
          <w:color w:val="000000" w:themeColor="text1"/>
          <w:szCs w:val="24"/>
        </w:rPr>
        <w:t>s</w:t>
      </w:r>
      <w:r w:rsidRPr="0022023A">
        <w:rPr>
          <w:rFonts w:cs="Times New Roman"/>
          <w:color w:val="000000" w:themeColor="text1"/>
          <w:szCs w:val="24"/>
        </w:rPr>
        <w:t xml:space="preserve"> </w:t>
      </w:r>
      <w:r>
        <w:rPr>
          <w:rFonts w:cs="Times New Roman"/>
          <w:color w:val="000000" w:themeColor="text1"/>
          <w:szCs w:val="24"/>
        </w:rPr>
        <w:t>saimēs</w:t>
      </w:r>
      <w:r w:rsidRPr="0022023A">
        <w:rPr>
          <w:rFonts w:cs="Times New Roman"/>
          <w:color w:val="000000" w:themeColor="text1"/>
          <w:szCs w:val="24"/>
        </w:rPr>
        <w:t xml:space="preserve"> nav identificēti. Bez tam tika konstatēts, ka atsevišķās mazās iestādēs ir samērā liels atbalsta funkciju veicēju īpatsvars</w:t>
      </w:r>
      <w:r>
        <w:rPr>
          <w:rFonts w:cs="Times New Roman"/>
          <w:color w:val="000000" w:themeColor="text1"/>
          <w:szCs w:val="24"/>
        </w:rPr>
        <w:t>.</w:t>
      </w:r>
      <w:r w:rsidRPr="0022023A">
        <w:rPr>
          <w:rFonts w:cs="Times New Roman"/>
          <w:color w:val="000000" w:themeColor="text1"/>
          <w:szCs w:val="24"/>
        </w:rPr>
        <w:t xml:space="preserve"> Līdz ar to ir izvērtējama šo atbalsta funkciju nodošana centralizēšanai, </w:t>
      </w:r>
      <w:r w:rsidRPr="0022023A">
        <w:rPr>
          <w:szCs w:val="24"/>
        </w:rPr>
        <w:t>tādējādi efektivizējot procesus un centralizācijas rezultātā radušos finanšu līdzekļu ekonomiju un atbrīvojušās amata vietas novirzot citu pamatfunkciju īstenošanai,</w:t>
      </w:r>
      <w:r>
        <w:rPr>
          <w:szCs w:val="24"/>
        </w:rPr>
        <w:t xml:space="preserve"> kā arī</w:t>
      </w:r>
      <w:r w:rsidRPr="0022023A">
        <w:rPr>
          <w:szCs w:val="24"/>
        </w:rPr>
        <w:t xml:space="preserve"> </w:t>
      </w:r>
      <w:r>
        <w:rPr>
          <w:szCs w:val="24"/>
        </w:rPr>
        <w:t>iestādes</w:t>
      </w:r>
      <w:r w:rsidRPr="0022023A">
        <w:rPr>
          <w:szCs w:val="24"/>
        </w:rPr>
        <w:t xml:space="preserve"> amatpersonu un darbinieku motivēšanai.</w:t>
      </w:r>
    </w:p>
    <w:p w:rsidR="00937763" w:rsidRPr="0022023A" w:rsidRDefault="00937763" w:rsidP="00781A2B">
      <w:pPr>
        <w:ind w:firstLine="720"/>
        <w:jc w:val="both"/>
        <w:rPr>
          <w:szCs w:val="24"/>
        </w:rPr>
      </w:pPr>
      <w:r w:rsidRPr="0022023A">
        <w:rPr>
          <w:szCs w:val="24"/>
        </w:rPr>
        <w:t xml:space="preserve">Papildus tika izvērtēts amatu skaits, kas klasificēts </w:t>
      </w:r>
      <w:r>
        <w:rPr>
          <w:szCs w:val="24"/>
        </w:rPr>
        <w:t>14. un 30.</w:t>
      </w:r>
      <w:r w:rsidRPr="0022023A">
        <w:rPr>
          <w:szCs w:val="24"/>
        </w:rPr>
        <w:t xml:space="preserve">amatu saimēs “Grāmatvedība” un “Personālvadība”. Datu salīdzināšanai starp iestādēm tika piemērota metodika pārrēķinot attiecīgajā iestādē, attiecīgajā saimē klasificētos amatus uz 100 amata vietām. </w:t>
      </w:r>
    </w:p>
    <w:p w:rsidR="00937763" w:rsidRDefault="00937763" w:rsidP="0094202F">
      <w:pPr>
        <w:spacing w:after="120"/>
        <w:ind w:firstLine="720"/>
        <w:jc w:val="both"/>
        <w:rPr>
          <w:szCs w:val="24"/>
        </w:rPr>
      </w:pPr>
      <w:r>
        <w:rPr>
          <w:rFonts w:cs="Times New Roman"/>
          <w:color w:val="000000" w:themeColor="text1"/>
          <w:szCs w:val="24"/>
        </w:rPr>
        <w:t>T</w:t>
      </w:r>
      <w:r w:rsidRPr="0022023A">
        <w:rPr>
          <w:rFonts w:cs="Times New Roman"/>
          <w:color w:val="000000" w:themeColor="text1"/>
          <w:szCs w:val="24"/>
        </w:rPr>
        <w:t xml:space="preserve">ika secināts, ka vidēji valsts pārvaldē </w:t>
      </w:r>
      <w:r>
        <w:rPr>
          <w:rFonts w:cs="Times New Roman"/>
          <w:color w:val="000000" w:themeColor="text1"/>
          <w:szCs w:val="24"/>
        </w:rPr>
        <w:t>14.</w:t>
      </w:r>
      <w:r w:rsidRPr="0022023A">
        <w:rPr>
          <w:szCs w:val="24"/>
        </w:rPr>
        <w:t xml:space="preserve">amatu saimē “Grāmatvedība” </w:t>
      </w:r>
      <w:r w:rsidRPr="0022023A">
        <w:rPr>
          <w:rFonts w:cs="Times New Roman"/>
          <w:color w:val="000000" w:themeColor="text1"/>
          <w:szCs w:val="24"/>
        </w:rPr>
        <w:t>ir klasificēti 2 grāmatveži uz 100 amata vietām</w:t>
      </w:r>
      <w:r w:rsidR="00F37EAC">
        <w:rPr>
          <w:rFonts w:cs="Times New Roman"/>
          <w:color w:val="000000" w:themeColor="text1"/>
          <w:szCs w:val="24"/>
        </w:rPr>
        <w:t xml:space="preserve"> </w:t>
      </w:r>
      <w:r w:rsidR="00F37EAC">
        <w:rPr>
          <w:szCs w:val="24"/>
        </w:rPr>
        <w:t>(skat. 3.10.attēlu)</w:t>
      </w:r>
      <w:r w:rsidRPr="0022023A">
        <w:rPr>
          <w:rFonts w:cs="Times New Roman"/>
          <w:color w:val="000000" w:themeColor="text1"/>
          <w:szCs w:val="24"/>
        </w:rPr>
        <w:t xml:space="preserve">. </w:t>
      </w:r>
      <w:r w:rsidRPr="0022023A">
        <w:rPr>
          <w:szCs w:val="24"/>
        </w:rPr>
        <w:t xml:space="preserve">Tai pat laikā ir arī iestāde, kurā </w:t>
      </w:r>
      <w:r>
        <w:rPr>
          <w:szCs w:val="24"/>
        </w:rPr>
        <w:t>14.</w:t>
      </w:r>
      <w:r w:rsidRPr="0022023A">
        <w:rPr>
          <w:szCs w:val="24"/>
        </w:rPr>
        <w:t>amatu saimē “Grāmatvedība” uz 100 amata vietām ir klasificēti pat 18</w:t>
      </w:r>
      <w:r>
        <w:rPr>
          <w:szCs w:val="24"/>
        </w:rPr>
        <w:t>,</w:t>
      </w:r>
      <w:r w:rsidRPr="0022023A">
        <w:rPr>
          <w:szCs w:val="24"/>
        </w:rPr>
        <w:t xml:space="preserve">2 grāmatveži, kas pēc būtības ir neefektīvs resursu izlietojums. Tomēr jāatzīmē, ka </w:t>
      </w:r>
      <w:r>
        <w:rPr>
          <w:szCs w:val="24"/>
        </w:rPr>
        <w:t>14.</w:t>
      </w:r>
      <w:r w:rsidRPr="0022023A">
        <w:rPr>
          <w:szCs w:val="24"/>
        </w:rPr>
        <w:t xml:space="preserve">amatu saimē “Grāmatvedība” zemākajā </w:t>
      </w:r>
      <w:r w:rsidRPr="0022023A">
        <w:rPr>
          <w:szCs w:val="24"/>
        </w:rPr>
        <w:lastRenderedPageBreak/>
        <w:t>līmenī tiek klasificēti tādi amati kā muzeju kasieri, kas pēc būtības veic muzeju darbības pamatfunkciju, līdz ar ko tie nebūtu viennozīmīgi pieskaitāmi atbalsta funkciju veicējiem.</w:t>
      </w:r>
    </w:p>
    <w:p w:rsidR="00937763" w:rsidRPr="0022023A" w:rsidRDefault="00937763" w:rsidP="00E30A45">
      <w:pPr>
        <w:jc w:val="center"/>
        <w:rPr>
          <w:szCs w:val="24"/>
        </w:rPr>
      </w:pPr>
      <w:r w:rsidRPr="0022023A">
        <w:rPr>
          <w:noProof/>
          <w:szCs w:val="24"/>
          <w:lang w:eastAsia="lv-LV"/>
        </w:rPr>
        <w:drawing>
          <wp:inline distT="0" distB="0" distL="0" distR="0" wp14:anchorId="5027719B" wp14:editId="143E26FF">
            <wp:extent cx="5749290" cy="2816352"/>
            <wp:effectExtent l="0" t="0" r="3810" b="317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937763" w:rsidRPr="00AC0FA0" w:rsidRDefault="00AC0FA0" w:rsidP="00E30A45">
      <w:pPr>
        <w:pStyle w:val="NormalWeb"/>
        <w:spacing w:before="80" w:beforeAutospacing="0" w:after="0" w:afterAutospacing="0"/>
        <w:jc w:val="center"/>
        <w:rPr>
          <w:b/>
          <w:sz w:val="22"/>
          <w:szCs w:val="22"/>
        </w:rPr>
      </w:pPr>
      <w:r w:rsidRPr="00F37EAC">
        <w:rPr>
          <w:i/>
          <w:sz w:val="22"/>
          <w:szCs w:val="22"/>
        </w:rPr>
        <w:t>3.10</w:t>
      </w:r>
      <w:r w:rsidR="00937763" w:rsidRPr="00F37EAC">
        <w:rPr>
          <w:i/>
          <w:sz w:val="22"/>
          <w:szCs w:val="22"/>
        </w:rPr>
        <w:t>.att</w:t>
      </w:r>
      <w:r w:rsidRPr="00F37EAC">
        <w:rPr>
          <w:rFonts w:eastAsiaTheme="minorEastAsia"/>
          <w:bCs/>
          <w:kern w:val="24"/>
          <w:sz w:val="22"/>
          <w:szCs w:val="22"/>
        </w:rPr>
        <w:t>.</w:t>
      </w:r>
      <w:r w:rsidR="00937763" w:rsidRPr="00F37EAC">
        <w:rPr>
          <w:rFonts w:eastAsiaTheme="minorEastAsia"/>
          <w:bCs/>
          <w:kern w:val="24"/>
          <w:sz w:val="22"/>
          <w:szCs w:val="22"/>
        </w:rPr>
        <w:t xml:space="preserve"> </w:t>
      </w:r>
      <w:r w:rsidR="00937763" w:rsidRPr="00F37EAC">
        <w:rPr>
          <w:rFonts w:eastAsiaTheme="minorEastAsia"/>
          <w:b/>
          <w:bCs/>
          <w:kern w:val="24"/>
          <w:sz w:val="22"/>
          <w:szCs w:val="22"/>
        </w:rPr>
        <w:t>14.</w:t>
      </w:r>
      <w:r w:rsidR="00937763" w:rsidRPr="00F37EAC">
        <w:rPr>
          <w:rFonts w:eastAsiaTheme="minorEastAsia"/>
          <w:bCs/>
          <w:kern w:val="24"/>
          <w:sz w:val="22"/>
          <w:szCs w:val="22"/>
        </w:rPr>
        <w:t xml:space="preserve"> </w:t>
      </w:r>
      <w:r w:rsidR="00937763" w:rsidRPr="00F37EAC">
        <w:rPr>
          <w:rFonts w:eastAsiaTheme="minorEastAsia"/>
          <w:b/>
          <w:bCs/>
          <w:kern w:val="24"/>
          <w:sz w:val="22"/>
          <w:szCs w:val="22"/>
        </w:rPr>
        <w:t>amatu saimē "Grāmatvedība" amata vietu skaits uz 100 amata vietām valsts</w:t>
      </w:r>
      <w:r w:rsidR="00937763" w:rsidRPr="00AC0FA0">
        <w:rPr>
          <w:rFonts w:eastAsiaTheme="minorEastAsia"/>
          <w:b/>
          <w:bCs/>
          <w:kern w:val="24"/>
          <w:sz w:val="22"/>
          <w:szCs w:val="22"/>
        </w:rPr>
        <w:t xml:space="preserve"> pārvaldē un  korelācija ar nodarbināto skaitu iestādē</w:t>
      </w:r>
    </w:p>
    <w:p w:rsidR="00937763" w:rsidRPr="00761A0A" w:rsidRDefault="00937763" w:rsidP="00937763">
      <w:pPr>
        <w:ind w:firstLine="720"/>
        <w:jc w:val="both"/>
        <w:rPr>
          <w:szCs w:val="24"/>
        </w:rPr>
      </w:pPr>
    </w:p>
    <w:p w:rsidR="00937763" w:rsidRPr="0022023A" w:rsidRDefault="00937763" w:rsidP="00F37EAC">
      <w:pPr>
        <w:spacing w:after="120"/>
        <w:ind w:firstLine="720"/>
        <w:jc w:val="both"/>
        <w:rPr>
          <w:szCs w:val="24"/>
        </w:rPr>
      </w:pPr>
      <w:r w:rsidRPr="0022023A">
        <w:rPr>
          <w:szCs w:val="24"/>
        </w:rPr>
        <w:t xml:space="preserve">Savukārt </w:t>
      </w:r>
      <w:r>
        <w:rPr>
          <w:szCs w:val="24"/>
        </w:rPr>
        <w:t>30.</w:t>
      </w:r>
      <w:r w:rsidRPr="0022023A">
        <w:rPr>
          <w:szCs w:val="24"/>
        </w:rPr>
        <w:t xml:space="preserve">amatu saimē “Personālvadība” </w:t>
      </w:r>
      <w:r w:rsidRPr="0022023A">
        <w:rPr>
          <w:rFonts w:cs="Times New Roman"/>
          <w:color w:val="000000" w:themeColor="text1"/>
          <w:szCs w:val="24"/>
        </w:rPr>
        <w:t>vidēji valsts pārvaldē ir klasificēti 1,2 personāla speciālisti uz 100 amata vietām</w:t>
      </w:r>
      <w:r w:rsidR="00F37EAC">
        <w:rPr>
          <w:rFonts w:cs="Times New Roman"/>
          <w:color w:val="000000" w:themeColor="text1"/>
          <w:szCs w:val="24"/>
        </w:rPr>
        <w:t xml:space="preserve"> </w:t>
      </w:r>
      <w:r w:rsidR="00F37EAC">
        <w:rPr>
          <w:szCs w:val="24"/>
        </w:rPr>
        <w:t>(skat. 3.11.attēlu)</w:t>
      </w:r>
      <w:r w:rsidRPr="0022023A">
        <w:rPr>
          <w:rFonts w:cs="Times New Roman"/>
          <w:color w:val="000000" w:themeColor="text1"/>
          <w:szCs w:val="24"/>
        </w:rPr>
        <w:t>. Vienlaikus tika konstatēts, ka ir arī iestāde, kurā</w:t>
      </w:r>
      <w:r w:rsidRPr="0022023A">
        <w:rPr>
          <w:szCs w:val="24"/>
        </w:rPr>
        <w:t xml:space="preserve"> </w:t>
      </w:r>
      <w:r>
        <w:rPr>
          <w:szCs w:val="24"/>
        </w:rPr>
        <w:t>30.</w:t>
      </w:r>
      <w:r w:rsidRPr="0022023A">
        <w:rPr>
          <w:szCs w:val="24"/>
        </w:rPr>
        <w:t xml:space="preserve">amatu saimē “Personālvadība” uz 100 amata vietām ir klasificēts 9,1 personāla speciālists. Ņemot vērā, ka šī iestāde atbilst ļoti mazas iestāde statusam ar mazu kopējo nodarbināto skaitu, tad būtu izvērtējama turpmāka attiecīgās funkcijas centralizācija.  </w:t>
      </w:r>
    </w:p>
    <w:p w:rsidR="00937763" w:rsidRPr="0022023A" w:rsidRDefault="00937763" w:rsidP="00E30A45">
      <w:pPr>
        <w:jc w:val="center"/>
        <w:rPr>
          <w:szCs w:val="24"/>
        </w:rPr>
      </w:pPr>
      <w:r w:rsidRPr="0022023A">
        <w:rPr>
          <w:noProof/>
          <w:szCs w:val="24"/>
          <w:lang w:eastAsia="lv-LV"/>
        </w:rPr>
        <w:drawing>
          <wp:inline distT="0" distB="0" distL="0" distR="0" wp14:anchorId="2F6AB664" wp14:editId="2BE3E52F">
            <wp:extent cx="5654675" cy="2765145"/>
            <wp:effectExtent l="0" t="0" r="3175" b="1651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D6172" w:rsidRPr="009F420E" w:rsidRDefault="00AC0FA0" w:rsidP="009F420E">
      <w:pPr>
        <w:pStyle w:val="NormalWeb"/>
        <w:spacing w:before="80" w:beforeAutospacing="0" w:after="0" w:afterAutospacing="0"/>
        <w:jc w:val="center"/>
        <w:rPr>
          <w:sz w:val="22"/>
          <w:szCs w:val="22"/>
        </w:rPr>
      </w:pPr>
      <w:r w:rsidRPr="00F37EAC">
        <w:rPr>
          <w:i/>
          <w:sz w:val="22"/>
          <w:szCs w:val="22"/>
        </w:rPr>
        <w:t>3.11.</w:t>
      </w:r>
      <w:r w:rsidR="00937763" w:rsidRPr="00F37EAC">
        <w:rPr>
          <w:i/>
          <w:sz w:val="22"/>
          <w:szCs w:val="22"/>
        </w:rPr>
        <w:t>att</w:t>
      </w:r>
      <w:r w:rsidRPr="00F37EAC">
        <w:rPr>
          <w:rFonts w:eastAsiaTheme="minorEastAsia"/>
          <w:bCs/>
          <w:kern w:val="24"/>
          <w:sz w:val="22"/>
          <w:szCs w:val="22"/>
        </w:rPr>
        <w:t>.</w:t>
      </w:r>
      <w:r w:rsidR="00937763" w:rsidRPr="00F37EAC">
        <w:rPr>
          <w:rFonts w:eastAsiaTheme="minorEastAsia"/>
          <w:bCs/>
          <w:kern w:val="24"/>
          <w:sz w:val="22"/>
          <w:szCs w:val="22"/>
        </w:rPr>
        <w:t xml:space="preserve"> </w:t>
      </w:r>
      <w:r w:rsidR="00937763" w:rsidRPr="00F37EAC">
        <w:rPr>
          <w:rFonts w:eastAsiaTheme="minorEastAsia"/>
          <w:b/>
          <w:bCs/>
          <w:kern w:val="24"/>
          <w:sz w:val="22"/>
          <w:szCs w:val="22"/>
        </w:rPr>
        <w:t>30.</w:t>
      </w:r>
      <w:r w:rsidR="00937763" w:rsidRPr="00F37EAC">
        <w:rPr>
          <w:rFonts w:eastAsiaTheme="minorEastAsia"/>
          <w:bCs/>
          <w:kern w:val="24"/>
          <w:sz w:val="22"/>
          <w:szCs w:val="22"/>
        </w:rPr>
        <w:t xml:space="preserve"> </w:t>
      </w:r>
      <w:r w:rsidR="00937763" w:rsidRPr="00F37EAC">
        <w:rPr>
          <w:rFonts w:eastAsiaTheme="minorEastAsia"/>
          <w:b/>
          <w:bCs/>
          <w:kern w:val="24"/>
          <w:sz w:val="22"/>
          <w:szCs w:val="22"/>
        </w:rPr>
        <w:t>amatu saimē "Personālvadība" amata vietu skaits uz 100 amata vietām valsts</w:t>
      </w:r>
      <w:r w:rsidR="00937763" w:rsidRPr="00AC0FA0">
        <w:rPr>
          <w:rFonts w:eastAsiaTheme="minorEastAsia"/>
          <w:b/>
          <w:bCs/>
          <w:kern w:val="24"/>
          <w:sz w:val="22"/>
          <w:szCs w:val="22"/>
        </w:rPr>
        <w:t xml:space="preserve"> pārvaldē un korelācij</w:t>
      </w:r>
      <w:r>
        <w:rPr>
          <w:rFonts w:eastAsiaTheme="minorEastAsia"/>
          <w:b/>
          <w:bCs/>
          <w:kern w:val="24"/>
          <w:sz w:val="22"/>
          <w:szCs w:val="22"/>
        </w:rPr>
        <w:t>a ar nodarbināto skaitu iestādē</w:t>
      </w:r>
    </w:p>
    <w:p w:rsidR="00E30A45" w:rsidRPr="001002C3" w:rsidRDefault="001002C3" w:rsidP="0094202F">
      <w:pPr>
        <w:spacing w:before="240"/>
        <w:ind w:firstLine="720"/>
        <w:rPr>
          <w:b/>
          <w:szCs w:val="24"/>
        </w:rPr>
      </w:pPr>
      <w:r w:rsidRPr="001002C3">
        <w:rPr>
          <w:b/>
          <w:szCs w:val="24"/>
        </w:rPr>
        <w:t>Turpmākā rīcība</w:t>
      </w:r>
    </w:p>
    <w:p w:rsidR="001002C3" w:rsidRPr="009F420E" w:rsidRDefault="001002C3" w:rsidP="0094202F">
      <w:pPr>
        <w:spacing w:before="120"/>
        <w:ind w:firstLine="720"/>
        <w:jc w:val="both"/>
        <w:rPr>
          <w:bCs/>
        </w:rPr>
      </w:pPr>
      <w:r>
        <w:rPr>
          <w:bCs/>
        </w:rPr>
        <w:t>Ar 2016.</w:t>
      </w:r>
      <w:r w:rsidRPr="001002C3">
        <w:rPr>
          <w:bCs/>
        </w:rPr>
        <w:t>gad</w:t>
      </w:r>
      <w:r>
        <w:rPr>
          <w:bCs/>
        </w:rPr>
        <w:t>a 4.</w:t>
      </w:r>
      <w:r w:rsidRPr="001002C3">
        <w:rPr>
          <w:bCs/>
        </w:rPr>
        <w:t>oktobra V</w:t>
      </w:r>
      <w:r>
        <w:rPr>
          <w:bCs/>
        </w:rPr>
        <w:t>K</w:t>
      </w:r>
      <w:r w:rsidRPr="001002C3">
        <w:rPr>
          <w:bCs/>
        </w:rPr>
        <w:t xml:space="preserve"> direktora rīkojumu “Par darba grupu” tika izveidota darba grupa </w:t>
      </w:r>
      <w:r>
        <w:rPr>
          <w:bCs/>
        </w:rPr>
        <w:t>M</w:t>
      </w:r>
      <w:r w:rsidRPr="001002C3">
        <w:rPr>
          <w:bCs/>
        </w:rPr>
        <w:t xml:space="preserve">inistriju administratīvo izdevumu vērtēšanai, kuras sastāvā iekļauti FM, PKC, EM, VARAM, LM, IeM, KM un LB pārstāvji. Darba grupa vienojās par atbalsta funkcijām, kas ir vienveidīgas visās institūcijās un kuras būtu salīdzinoši viegli atlasāmas un vērtējamas. Kā </w:t>
      </w:r>
      <w:r w:rsidRPr="001002C3">
        <w:rPr>
          <w:bCs/>
        </w:rPr>
        <w:lastRenderedPageBreak/>
        <w:t>prioritāri izvērtējamās atbalsta funkcijas tika izvēlētas algu grāmatvedība, iepirkumi, personāla lietvedība un personāla atlase. Tā rezultātā 2017.gada martā un aprīlī notika resoru anketēšana un ir veikta saņemto datu analīze. Darba grupas piedāvājums atbalsta funkciju centralizēšanai un sasniedzamajiem mērķa atsauces rādītājiem tiks piedāvāts lēmuma pieņemšanai Valsts sekretā</w:t>
      </w:r>
      <w:r>
        <w:rPr>
          <w:bCs/>
        </w:rPr>
        <w:t>ru sanāksmē līdz 2017.</w:t>
      </w:r>
      <w:r w:rsidR="009F420E">
        <w:rPr>
          <w:bCs/>
        </w:rPr>
        <w:t>gada 28.septembrim.</w:t>
      </w:r>
    </w:p>
    <w:p w:rsidR="00B003AC" w:rsidRPr="009E7330" w:rsidRDefault="00B003AC" w:rsidP="0094202F">
      <w:pPr>
        <w:pStyle w:val="Heading3"/>
        <w:spacing w:before="360" w:after="240"/>
        <w:jc w:val="center"/>
        <w:rPr>
          <w:rFonts w:ascii="Times New Roman" w:hAnsi="Times New Roman" w:cs="Times New Roman"/>
          <w:color w:val="auto"/>
          <w:sz w:val="28"/>
          <w:szCs w:val="28"/>
        </w:rPr>
      </w:pPr>
      <w:bookmarkStart w:id="18" w:name="_Toc487036802"/>
      <w:r w:rsidRPr="00C90316">
        <w:rPr>
          <w:rFonts w:ascii="Times New Roman" w:hAnsi="Times New Roman" w:cs="Times New Roman"/>
          <w:color w:val="auto"/>
          <w:sz w:val="28"/>
          <w:szCs w:val="28"/>
        </w:rPr>
        <w:t>3.3</w:t>
      </w:r>
      <w:r w:rsidR="00441307" w:rsidRPr="00C90316">
        <w:rPr>
          <w:rFonts w:ascii="Times New Roman" w:hAnsi="Times New Roman" w:cs="Times New Roman"/>
          <w:color w:val="auto"/>
          <w:sz w:val="28"/>
          <w:szCs w:val="28"/>
        </w:rPr>
        <w:t>.4</w:t>
      </w:r>
      <w:r w:rsidRPr="00C90316">
        <w:rPr>
          <w:rFonts w:ascii="Times New Roman" w:hAnsi="Times New Roman" w:cs="Times New Roman"/>
          <w:color w:val="auto"/>
          <w:sz w:val="28"/>
          <w:szCs w:val="28"/>
        </w:rPr>
        <w:t>. Ministriju iestāžu efektivizēšanas iespējas</w:t>
      </w:r>
      <w:bookmarkEnd w:id="18"/>
    </w:p>
    <w:p w:rsidR="0055760A" w:rsidRPr="009E7330" w:rsidRDefault="0055760A" w:rsidP="0094202F">
      <w:pPr>
        <w:spacing w:after="120"/>
        <w:rPr>
          <w:b/>
          <w:u w:val="single"/>
        </w:rPr>
      </w:pPr>
      <w:r w:rsidRPr="00B003AC">
        <w:rPr>
          <w:b/>
          <w:u w:val="single"/>
        </w:rPr>
        <w:t>V</w:t>
      </w:r>
      <w:r w:rsidR="009E7330">
        <w:rPr>
          <w:b/>
          <w:u w:val="single"/>
        </w:rPr>
        <w:t xml:space="preserve">ARAM </w:t>
      </w:r>
    </w:p>
    <w:p w:rsidR="007D4D4C" w:rsidRDefault="007D4D4C" w:rsidP="00906B34">
      <w:pPr>
        <w:spacing w:after="120"/>
        <w:ind w:firstLine="720"/>
        <w:jc w:val="both"/>
      </w:pPr>
      <w:r>
        <w:t>VARAM p</w:t>
      </w:r>
      <w:r w:rsidR="009E7330">
        <w:t>akļautībā ir 11 institūcijas, tai skaitā</w:t>
      </w:r>
      <w:r>
        <w:t xml:space="preserve"> 6 tiešās pārvaldes iestādes, 2 atvasinātas publiskas personas un 3 kapitālsabiedrības</w:t>
      </w:r>
      <w:r w:rsidR="00F37EAC">
        <w:t xml:space="preserve"> (skat. 3.12.attēlu)</w:t>
      </w:r>
      <w:r>
        <w:t>. Lai arī VARAM ir vadošā pārvalde vairākās jomās</w:t>
      </w:r>
      <w:r>
        <w:rPr>
          <w:rStyle w:val="FootnoteReference"/>
        </w:rPr>
        <w:footnoteReference w:id="23"/>
      </w:r>
      <w:r>
        <w:t xml:space="preserve"> (vides aizsardzība, reģionālās attīstības plānošana un koordinācija; pašvaldību attīstība un pārraudzība; teritorijas attīstības plānošana un zemes pārvaldība; vienas pieturas aģentūras principa ieviešana valsts un pašvaldību pakalpojumu pieejamībā un informācijas sabiedrība, elektroniskā pārvalde un valsts </w:t>
      </w:r>
      <w:r w:rsidR="009E7330">
        <w:t>IKT</w:t>
      </w:r>
      <w:r>
        <w:t xml:space="preserve"> pārvaldība), tomēr 9 no 11 padotām institūcijām ir saistītas tieši ar vides jomu</w:t>
      </w:r>
      <w:r w:rsidR="00F37EAC">
        <w:t>.</w:t>
      </w:r>
    </w:p>
    <w:p w:rsidR="007D4D4C" w:rsidRDefault="007D4D4C" w:rsidP="007D4D4C">
      <w:pPr>
        <w:jc w:val="both"/>
      </w:pPr>
      <w:r>
        <w:rPr>
          <w:noProof/>
          <w:lang w:eastAsia="lv-LV"/>
        </w:rPr>
        <w:drawing>
          <wp:inline distT="0" distB="0" distL="0" distR="0" wp14:anchorId="4280A95C" wp14:editId="5CEE0ACF">
            <wp:extent cx="5880649" cy="3364992"/>
            <wp:effectExtent l="0" t="0" r="635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58323" cy="3409438"/>
                    </a:xfrm>
                    <a:prstGeom prst="rect">
                      <a:avLst/>
                    </a:prstGeom>
                    <a:noFill/>
                    <a:ln>
                      <a:noFill/>
                    </a:ln>
                  </pic:spPr>
                </pic:pic>
              </a:graphicData>
            </a:graphic>
          </wp:inline>
        </w:drawing>
      </w:r>
    </w:p>
    <w:p w:rsidR="007D4D4C" w:rsidRPr="003F5587" w:rsidRDefault="00F37EAC" w:rsidP="00F30CB1">
      <w:pPr>
        <w:spacing w:before="120" w:after="240"/>
        <w:jc w:val="center"/>
      </w:pPr>
      <w:r w:rsidRPr="0094202F">
        <w:rPr>
          <w:sz w:val="22"/>
        </w:rPr>
        <w:t>3.12</w:t>
      </w:r>
      <w:r w:rsidR="007D4D4C" w:rsidRPr="0094202F">
        <w:rPr>
          <w:sz w:val="22"/>
        </w:rPr>
        <w:t>.</w:t>
      </w:r>
      <w:r w:rsidR="007D4D4C" w:rsidRPr="0094202F">
        <w:rPr>
          <w:i/>
          <w:sz w:val="22"/>
        </w:rPr>
        <w:t>att.</w:t>
      </w:r>
      <w:r w:rsidR="007D4D4C" w:rsidRPr="00F37EAC">
        <w:rPr>
          <w:sz w:val="22"/>
        </w:rPr>
        <w:t xml:space="preserve"> </w:t>
      </w:r>
      <w:r w:rsidR="007D4D4C" w:rsidRPr="00F37EAC">
        <w:rPr>
          <w:b/>
          <w:sz w:val="22"/>
        </w:rPr>
        <w:t>VARAM</w:t>
      </w:r>
      <w:r w:rsidR="007D4D4C">
        <w:rPr>
          <w:b/>
          <w:sz w:val="22"/>
        </w:rPr>
        <w:t xml:space="preserve"> pakļautās institūcijas</w:t>
      </w:r>
    </w:p>
    <w:p w:rsidR="007D4D4C" w:rsidRPr="009E7330" w:rsidRDefault="007D4D4C" w:rsidP="009E7330">
      <w:pPr>
        <w:ind w:firstLine="720"/>
        <w:jc w:val="both"/>
      </w:pPr>
      <w:r>
        <w:t xml:space="preserve">Šo institūciju funkciju īstenošanai un atsevišķu deleģēto pārvaldes uzdevumu izpildei tiek novirzīts valsts budžeta finansējums vairāk kā 20 milj. </w:t>
      </w:r>
      <w:r w:rsidRPr="00E53431">
        <w:rPr>
          <w:i/>
        </w:rPr>
        <w:t>euro</w:t>
      </w:r>
      <w:r>
        <w:t xml:space="preserve"> apmērā</w:t>
      </w:r>
      <w:r>
        <w:rPr>
          <w:rStyle w:val="FootnoteReference"/>
        </w:rPr>
        <w:footnoteReference w:id="24"/>
      </w:r>
      <w:r w:rsidR="009E7330">
        <w:t>, tai skaitā</w:t>
      </w:r>
      <w:r>
        <w:t xml:space="preserve"> ar vides jomu saistītām institūcijām vairāk kā 16 milj. </w:t>
      </w:r>
      <w:r w:rsidRPr="00B74048">
        <w:rPr>
          <w:i/>
        </w:rPr>
        <w:t>euro</w:t>
      </w:r>
      <w:r>
        <w:t xml:space="preserve"> apmērā</w:t>
      </w:r>
      <w:r w:rsidRPr="00B74048">
        <w:rPr>
          <w:rStyle w:val="FootnoteReference"/>
        </w:rPr>
        <w:footnoteReference w:id="25"/>
      </w:r>
      <w:r w:rsidRPr="00B74048">
        <w:t>.</w:t>
      </w:r>
      <w:r>
        <w:t xml:space="preserve"> Ņemot vērā iepriekš minēto, būtu izvērtējama ar vides jomu saistīto institūciju darbības efektivitāte un funkcionālā aktualitāte.</w:t>
      </w:r>
    </w:p>
    <w:p w:rsidR="007D4D4C" w:rsidRDefault="007D4D4C" w:rsidP="0094202F">
      <w:pPr>
        <w:spacing w:before="60" w:after="60"/>
        <w:jc w:val="both"/>
        <w:rPr>
          <w:i/>
        </w:rPr>
      </w:pPr>
      <w:r w:rsidRPr="009041C1">
        <w:rPr>
          <w:i/>
        </w:rPr>
        <w:t>Tiešās pārvaldes iestādes</w:t>
      </w:r>
      <w:r w:rsidR="009E7330">
        <w:rPr>
          <w:i/>
        </w:rPr>
        <w:t xml:space="preserve"> – priekšlikumi izmaiņām</w:t>
      </w:r>
    </w:p>
    <w:p w:rsidR="007D4D4C" w:rsidRDefault="007D4D4C" w:rsidP="007125EF">
      <w:pPr>
        <w:spacing w:after="120"/>
        <w:ind w:firstLine="720"/>
        <w:jc w:val="both"/>
      </w:pPr>
      <w:r>
        <w:lastRenderedPageBreak/>
        <w:t xml:space="preserve">VARAM 6 tiešās pārvaldes iestāžu funkciju īstenošanai nepieciešamais finansējums 2017.gadā plānots 17,0 milj. </w:t>
      </w:r>
      <w:r w:rsidRPr="00B20EE3">
        <w:rPr>
          <w:i/>
        </w:rPr>
        <w:t>euro</w:t>
      </w:r>
      <w:r>
        <w:t xml:space="preserve"> apmērā un tajās tiek nodarbināti vairāk kā 600 darbinieki, kuru atlīdzībai novirzāmais finansējums 2017.gadā sasniedz 8,7 milj. </w:t>
      </w:r>
      <w:r w:rsidRPr="00B20EE3">
        <w:rPr>
          <w:i/>
        </w:rPr>
        <w:t>euro</w:t>
      </w:r>
      <w:r>
        <w:t>. Lielākā daļa no šī finansējuma tiek novirzīts VRAA, VVD un DAP funkciju izpildei, savukārt LDM, VPVB un LVAFA funkciju īstenošanai nepieciešams ievērojamo mazāks finansējums, jo tām noteiktās funkcijas un to īstenošanā iesaistītie darbinieki ir būtiski mazāk nekā VRAA, VVD un DAP</w:t>
      </w:r>
      <w:r w:rsidR="007125EF">
        <w:t xml:space="preserve"> (skat. 3.13.attēlu)</w:t>
      </w:r>
      <w:r>
        <w:t>.</w:t>
      </w:r>
    </w:p>
    <w:p w:rsidR="003D2149" w:rsidRDefault="003D2149" w:rsidP="003D2149">
      <w:pPr>
        <w:jc w:val="center"/>
      </w:pPr>
      <w:r>
        <w:rPr>
          <w:noProof/>
          <w:lang w:eastAsia="lv-LV"/>
        </w:rPr>
        <w:drawing>
          <wp:inline distT="0" distB="0" distL="0" distR="0" wp14:anchorId="2B9CD4A4" wp14:editId="3A96710B">
            <wp:extent cx="5857875" cy="2465223"/>
            <wp:effectExtent l="0" t="0" r="0" b="0"/>
            <wp:docPr id="106" name="Chart 106">
              <a:extLst xmlns:a="http://schemas.openxmlformats.org/drawingml/2006/main">
                <a:ext uri="{FF2B5EF4-FFF2-40B4-BE49-F238E27FC236}">
                  <a16:creationId xmlns:a16="http://schemas.microsoft.com/office/drawing/2014/main" id="{00000000-0008-0000-0A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D4D4C" w:rsidRPr="009E7330" w:rsidRDefault="007125EF" w:rsidP="00E30A45">
      <w:pPr>
        <w:spacing w:before="120" w:after="240"/>
        <w:jc w:val="center"/>
        <w:rPr>
          <w:b/>
          <w:sz w:val="22"/>
        </w:rPr>
      </w:pPr>
      <w:r w:rsidRPr="007125EF">
        <w:rPr>
          <w:i/>
          <w:sz w:val="22"/>
        </w:rPr>
        <w:t>3.13</w:t>
      </w:r>
      <w:r w:rsidR="003D2149" w:rsidRPr="007125EF">
        <w:rPr>
          <w:i/>
          <w:sz w:val="22"/>
        </w:rPr>
        <w:t>.att.</w:t>
      </w:r>
      <w:r w:rsidR="003D2149" w:rsidRPr="007125EF">
        <w:rPr>
          <w:sz w:val="22"/>
        </w:rPr>
        <w:t xml:space="preserve"> </w:t>
      </w:r>
      <w:r w:rsidR="003D2149" w:rsidRPr="007125EF">
        <w:rPr>
          <w:b/>
          <w:sz w:val="22"/>
        </w:rPr>
        <w:t xml:space="preserve">Valsts budžeta finansējums VARAM pakļautībā esošām tiešām pārvaldes iestādēm, milj. </w:t>
      </w:r>
      <w:r w:rsidR="003D2149" w:rsidRPr="007125EF">
        <w:rPr>
          <w:b/>
          <w:i/>
          <w:sz w:val="22"/>
        </w:rPr>
        <w:t>euro</w:t>
      </w:r>
      <w:r w:rsidR="003D2149" w:rsidRPr="007125EF">
        <w:rPr>
          <w:rStyle w:val="FootnoteReference"/>
          <w:b/>
          <w:i/>
          <w:sz w:val="22"/>
        </w:rPr>
        <w:footnoteReference w:id="26"/>
      </w:r>
    </w:p>
    <w:p w:rsidR="007D4D4C" w:rsidRDefault="007D4D4C" w:rsidP="0094202F">
      <w:pPr>
        <w:ind w:firstLine="720"/>
        <w:jc w:val="both"/>
      </w:pPr>
      <w:r>
        <w:t>Izskatot minēto tiešo pārvalžu iestāžu nolikumus</w:t>
      </w:r>
      <w:r>
        <w:rPr>
          <w:rStyle w:val="FootnoteReference"/>
        </w:rPr>
        <w:footnoteReference w:id="27"/>
      </w:r>
      <w:r>
        <w:t>, var secināt, ka atsevišķas iestādes veic līdzvērtīgas funkcijas, tāpēc būtu izvērtējama to apvienošana, kā arī divas no sešām tiešās pārvaldes iestādēm ir mazas, tāpēc būtu izvērtējams, vai tās jāuztur kā atsevišķas iestādes, vai arī tās būtu reorganizējamas par struktūrvienībām, kas pievienojamas kādai padotības iestādei vai centrālajam aparātam.</w:t>
      </w:r>
      <w:r w:rsidRPr="002650AF">
        <w:t xml:space="preserve"> </w:t>
      </w:r>
    </w:p>
    <w:p w:rsidR="007D4D4C" w:rsidRDefault="007D4D4C" w:rsidP="0094202F">
      <w:pPr>
        <w:ind w:firstLine="720"/>
        <w:jc w:val="both"/>
      </w:pPr>
      <w:r>
        <w:t>FM vērtējumā līdzvērtīgas funkcijas un uzdevumus vides aizsardzības jomā</w:t>
      </w:r>
      <w:r w:rsidRPr="008473F0">
        <w:t xml:space="preserve"> </w:t>
      </w:r>
      <w:r>
        <w:t xml:space="preserve">veic VVD un DAP, attiecīgi tālāk ziņojumā tiek analizēti potenciālie minimālie resursi, kas iegūstami no šo iestāžu apvienošanas. Iestāžu apvienošanas gadījumā primāri pārskatāmais finansējums ir tas, kas nepieciešams cilvēkresursiem, kuri nodrošina iestāžu atbalsta funkciju īstenošanu, piemēram, iestādes grāmatvedību, lietvedību, personāla vadību un tamlīdzīgi. </w:t>
      </w:r>
    </w:p>
    <w:p w:rsidR="007D4D4C" w:rsidRPr="003C27AD" w:rsidRDefault="007D4D4C" w:rsidP="0094202F">
      <w:pPr>
        <w:spacing w:before="120"/>
        <w:ind w:firstLine="720"/>
        <w:jc w:val="right"/>
        <w:rPr>
          <w:szCs w:val="24"/>
        </w:rPr>
      </w:pPr>
      <w:r w:rsidRPr="00EF0588">
        <w:rPr>
          <w:szCs w:val="24"/>
        </w:rPr>
        <w:t>Tabula Nr.</w:t>
      </w:r>
      <w:r w:rsidR="00EF0588" w:rsidRPr="00EF0588">
        <w:rPr>
          <w:szCs w:val="24"/>
        </w:rPr>
        <w:t>3.17.</w:t>
      </w:r>
    </w:p>
    <w:p w:rsidR="007D4D4C" w:rsidRPr="003C27AD" w:rsidRDefault="007D4D4C" w:rsidP="0094202F">
      <w:pPr>
        <w:jc w:val="center"/>
        <w:rPr>
          <w:b/>
          <w:szCs w:val="24"/>
        </w:rPr>
      </w:pPr>
      <w:r>
        <w:rPr>
          <w:b/>
          <w:szCs w:val="24"/>
        </w:rPr>
        <w:t xml:space="preserve">Amata </w:t>
      </w:r>
      <w:r w:rsidRPr="003C27AD">
        <w:rPr>
          <w:b/>
          <w:szCs w:val="24"/>
        </w:rPr>
        <w:t>vietu</w:t>
      </w:r>
      <w:r>
        <w:rPr>
          <w:b/>
          <w:szCs w:val="24"/>
        </w:rPr>
        <w:t>, vakanču</w:t>
      </w:r>
      <w:r w:rsidRPr="003C27AD">
        <w:rPr>
          <w:b/>
          <w:szCs w:val="24"/>
        </w:rPr>
        <w:t xml:space="preserve"> un faktisko darbinieku skaits</w:t>
      </w:r>
      <w:r>
        <w:rPr>
          <w:rStyle w:val="FootnoteReference"/>
          <w:b/>
          <w:szCs w:val="24"/>
        </w:rPr>
        <w:footnoteReference w:id="28"/>
      </w:r>
    </w:p>
    <w:tbl>
      <w:tblPr>
        <w:tblW w:w="5000" w:type="pct"/>
        <w:tblLook w:val="04A0" w:firstRow="1" w:lastRow="0" w:firstColumn="1" w:lastColumn="0" w:noHBand="0" w:noVBand="1"/>
      </w:tblPr>
      <w:tblGrid>
        <w:gridCol w:w="3539"/>
        <w:gridCol w:w="1183"/>
        <w:gridCol w:w="1095"/>
        <w:gridCol w:w="1073"/>
        <w:gridCol w:w="1076"/>
        <w:gridCol w:w="1095"/>
      </w:tblGrid>
      <w:tr w:rsidR="007D4D4C" w:rsidRPr="0094202F" w:rsidTr="0094202F">
        <w:trPr>
          <w:trHeight w:val="270"/>
          <w:tblHeader/>
        </w:trPr>
        <w:tc>
          <w:tcPr>
            <w:tcW w:w="1953"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both"/>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 </w:t>
            </w:r>
          </w:p>
        </w:tc>
        <w:tc>
          <w:tcPr>
            <w:tcW w:w="1849" w:type="pct"/>
            <w:gridSpan w:val="3"/>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cente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VVD</w:t>
            </w:r>
          </w:p>
        </w:tc>
        <w:tc>
          <w:tcPr>
            <w:tcW w:w="1198" w:type="pct"/>
            <w:gridSpan w:val="2"/>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cente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DAP</w:t>
            </w:r>
          </w:p>
        </w:tc>
      </w:tr>
      <w:tr w:rsidR="007D4D4C" w:rsidRPr="0094202F" w:rsidTr="0094202F">
        <w:trPr>
          <w:trHeight w:val="810"/>
          <w:tblHeader/>
        </w:trPr>
        <w:tc>
          <w:tcPr>
            <w:tcW w:w="1953" w:type="pct"/>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rPr>
                <w:rFonts w:eastAsia="Times New Roman" w:cs="Times New Roman"/>
                <w:b/>
                <w:color w:val="000000"/>
                <w:sz w:val="20"/>
                <w:szCs w:val="20"/>
                <w:lang w:eastAsia="lv-LV"/>
              </w:rPr>
            </w:pPr>
          </w:p>
        </w:tc>
        <w:tc>
          <w:tcPr>
            <w:tcW w:w="653" w:type="pct"/>
            <w:tcBorders>
              <w:top w:val="nil"/>
              <w:left w:val="nil"/>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cente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centrālās struktūr-vienības</w:t>
            </w:r>
          </w:p>
        </w:tc>
        <w:tc>
          <w:tcPr>
            <w:tcW w:w="604" w:type="pct"/>
            <w:tcBorders>
              <w:top w:val="nil"/>
              <w:left w:val="nil"/>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cente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reģionālās pārvaldes</w:t>
            </w:r>
          </w:p>
        </w:tc>
        <w:tc>
          <w:tcPr>
            <w:tcW w:w="592" w:type="pct"/>
            <w:tcBorders>
              <w:top w:val="nil"/>
              <w:left w:val="nil"/>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cente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RDC</w:t>
            </w:r>
          </w:p>
        </w:tc>
        <w:tc>
          <w:tcPr>
            <w:tcW w:w="594" w:type="pct"/>
            <w:tcBorders>
              <w:top w:val="nil"/>
              <w:left w:val="nil"/>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cente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centrālās struktūr-vienības</w:t>
            </w:r>
          </w:p>
        </w:tc>
        <w:tc>
          <w:tcPr>
            <w:tcW w:w="604" w:type="pct"/>
            <w:tcBorders>
              <w:top w:val="nil"/>
              <w:left w:val="nil"/>
              <w:bottom w:val="single" w:sz="4" w:space="0" w:color="auto"/>
              <w:right w:val="single" w:sz="4" w:space="0" w:color="auto"/>
            </w:tcBorders>
            <w:shd w:val="clear" w:color="auto" w:fill="C5E0B3" w:themeFill="accent6" w:themeFillTint="66"/>
            <w:vAlign w:val="center"/>
            <w:hideMark/>
          </w:tcPr>
          <w:p w:rsidR="007D4D4C" w:rsidRPr="0094202F" w:rsidRDefault="007D4D4C" w:rsidP="007D4D4C">
            <w:pPr>
              <w:jc w:val="cente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reģionālās admini-strācijas</w:t>
            </w:r>
          </w:p>
        </w:tc>
      </w:tr>
      <w:tr w:rsidR="007D4D4C" w:rsidRPr="0094202F" w:rsidTr="0094202F">
        <w:trPr>
          <w:trHeight w:val="270"/>
        </w:trPr>
        <w:tc>
          <w:tcPr>
            <w:tcW w:w="1953" w:type="pct"/>
            <w:tcBorders>
              <w:top w:val="nil"/>
              <w:left w:val="single" w:sz="4" w:space="0" w:color="auto"/>
              <w:bottom w:val="single" w:sz="4" w:space="0" w:color="auto"/>
              <w:right w:val="single" w:sz="4" w:space="0" w:color="auto"/>
            </w:tcBorders>
            <w:shd w:val="clear" w:color="auto" w:fill="auto"/>
            <w:vAlign w:val="center"/>
            <w:hideMark/>
          </w:tcPr>
          <w:p w:rsidR="007D4D4C" w:rsidRPr="0094202F" w:rsidRDefault="007D4D4C" w:rsidP="007D4D4C">
            <w:pP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Amata vietu skaits, t.sk.</w:t>
            </w:r>
          </w:p>
        </w:tc>
        <w:tc>
          <w:tcPr>
            <w:tcW w:w="653"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84</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227</w:t>
            </w:r>
          </w:p>
        </w:tc>
        <w:tc>
          <w:tcPr>
            <w:tcW w:w="592"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16</w:t>
            </w:r>
          </w:p>
        </w:tc>
        <w:tc>
          <w:tcPr>
            <w:tcW w:w="59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51</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82</w:t>
            </w:r>
          </w:p>
        </w:tc>
      </w:tr>
      <w:tr w:rsidR="007D4D4C" w:rsidRPr="0094202F" w:rsidTr="0094202F">
        <w:trPr>
          <w:trHeight w:val="270"/>
        </w:trPr>
        <w:tc>
          <w:tcPr>
            <w:tcW w:w="1953" w:type="pct"/>
            <w:tcBorders>
              <w:top w:val="nil"/>
              <w:left w:val="single" w:sz="4" w:space="0" w:color="auto"/>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vakances</w:t>
            </w:r>
          </w:p>
        </w:tc>
        <w:tc>
          <w:tcPr>
            <w:tcW w:w="653"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9</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15</w:t>
            </w:r>
          </w:p>
        </w:tc>
        <w:tc>
          <w:tcPr>
            <w:tcW w:w="592"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2</w:t>
            </w:r>
          </w:p>
        </w:tc>
        <w:tc>
          <w:tcPr>
            <w:tcW w:w="59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6</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2</w:t>
            </w:r>
          </w:p>
        </w:tc>
      </w:tr>
      <w:tr w:rsidR="007D4D4C" w:rsidRPr="0094202F" w:rsidTr="0094202F">
        <w:trPr>
          <w:trHeight w:val="270"/>
        </w:trPr>
        <w:tc>
          <w:tcPr>
            <w:tcW w:w="1953" w:type="pct"/>
            <w:tcBorders>
              <w:top w:val="nil"/>
              <w:left w:val="single" w:sz="4" w:space="0" w:color="auto"/>
              <w:bottom w:val="single" w:sz="4" w:space="0" w:color="auto"/>
              <w:right w:val="single" w:sz="4" w:space="0" w:color="auto"/>
            </w:tcBorders>
            <w:shd w:val="clear" w:color="auto" w:fill="auto"/>
            <w:vAlign w:val="center"/>
            <w:hideMark/>
          </w:tcPr>
          <w:p w:rsidR="007D4D4C" w:rsidRPr="0094202F" w:rsidRDefault="007D4D4C" w:rsidP="007D4D4C">
            <w:pPr>
              <w:rPr>
                <w:rFonts w:eastAsia="Times New Roman" w:cs="Times New Roman"/>
                <w:b/>
                <w:color w:val="000000"/>
                <w:sz w:val="20"/>
                <w:szCs w:val="20"/>
                <w:lang w:eastAsia="lv-LV"/>
              </w:rPr>
            </w:pPr>
            <w:r w:rsidRPr="0094202F">
              <w:rPr>
                <w:rFonts w:eastAsia="Times New Roman" w:cs="Times New Roman"/>
                <w:b/>
                <w:color w:val="000000"/>
                <w:sz w:val="20"/>
                <w:szCs w:val="20"/>
                <w:lang w:eastAsia="lv-LV"/>
              </w:rPr>
              <w:t>Faktisko darbinieku skaits, t.sk.</w:t>
            </w:r>
          </w:p>
        </w:tc>
        <w:tc>
          <w:tcPr>
            <w:tcW w:w="653"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75</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212</w:t>
            </w:r>
          </w:p>
        </w:tc>
        <w:tc>
          <w:tcPr>
            <w:tcW w:w="592"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14</w:t>
            </w:r>
          </w:p>
        </w:tc>
        <w:tc>
          <w:tcPr>
            <w:tcW w:w="59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45</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80</w:t>
            </w:r>
          </w:p>
        </w:tc>
      </w:tr>
      <w:tr w:rsidR="007D4D4C" w:rsidRPr="0094202F" w:rsidTr="0094202F">
        <w:trPr>
          <w:trHeight w:val="270"/>
        </w:trPr>
        <w:tc>
          <w:tcPr>
            <w:tcW w:w="1953" w:type="pct"/>
            <w:tcBorders>
              <w:top w:val="nil"/>
              <w:left w:val="single" w:sz="4" w:space="0" w:color="auto"/>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iCs/>
                <w:color w:val="000000"/>
                <w:sz w:val="20"/>
                <w:szCs w:val="20"/>
                <w:lang w:eastAsia="lv-LV"/>
              </w:rPr>
            </w:pPr>
            <w:r w:rsidRPr="0094202F">
              <w:rPr>
                <w:rFonts w:eastAsia="Times New Roman" w:cs="Times New Roman"/>
                <w:iCs/>
                <w:color w:val="000000"/>
                <w:sz w:val="20"/>
                <w:szCs w:val="20"/>
                <w:lang w:eastAsia="lv-LV"/>
              </w:rPr>
              <w:lastRenderedPageBreak/>
              <w:t>nepilnas slodzes nodarbinātie</w:t>
            </w:r>
          </w:p>
        </w:tc>
        <w:tc>
          <w:tcPr>
            <w:tcW w:w="653"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4</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1</w:t>
            </w:r>
          </w:p>
        </w:tc>
        <w:tc>
          <w:tcPr>
            <w:tcW w:w="592"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0</w:t>
            </w:r>
          </w:p>
        </w:tc>
        <w:tc>
          <w:tcPr>
            <w:tcW w:w="59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0</w:t>
            </w:r>
          </w:p>
        </w:tc>
        <w:tc>
          <w:tcPr>
            <w:tcW w:w="604" w:type="pct"/>
            <w:tcBorders>
              <w:top w:val="nil"/>
              <w:left w:val="nil"/>
              <w:bottom w:val="single" w:sz="4" w:space="0" w:color="auto"/>
              <w:right w:val="single" w:sz="4" w:space="0" w:color="auto"/>
            </w:tcBorders>
            <w:shd w:val="clear" w:color="auto" w:fill="auto"/>
            <w:vAlign w:val="center"/>
            <w:hideMark/>
          </w:tcPr>
          <w:p w:rsidR="007D4D4C" w:rsidRPr="0094202F" w:rsidRDefault="007D4D4C" w:rsidP="007D4D4C">
            <w:pPr>
              <w:jc w:val="right"/>
              <w:rPr>
                <w:rFonts w:eastAsia="Times New Roman" w:cs="Times New Roman"/>
                <w:color w:val="000000"/>
                <w:sz w:val="20"/>
                <w:szCs w:val="20"/>
                <w:lang w:eastAsia="lv-LV"/>
              </w:rPr>
            </w:pPr>
            <w:r w:rsidRPr="0094202F">
              <w:rPr>
                <w:rFonts w:eastAsia="Times New Roman" w:cs="Times New Roman"/>
                <w:color w:val="000000"/>
                <w:sz w:val="20"/>
                <w:szCs w:val="20"/>
                <w:lang w:eastAsia="lv-LV"/>
              </w:rPr>
              <w:t>5</w:t>
            </w:r>
          </w:p>
        </w:tc>
      </w:tr>
    </w:tbl>
    <w:p w:rsidR="0094202F" w:rsidRDefault="0094202F" w:rsidP="0094202F">
      <w:pPr>
        <w:spacing w:before="240"/>
        <w:ind w:firstLine="720"/>
        <w:jc w:val="both"/>
      </w:pPr>
      <w:r>
        <w:t xml:space="preserve">VVD un DAP kopā ir 460 amata vietas, no tām 34 ir vakantas, savukārt faktisko darbinieku skaita noteiktais pilna laika atalgojums mēnesī svārstās no 385 </w:t>
      </w:r>
      <w:r w:rsidRPr="008135F0">
        <w:rPr>
          <w:i/>
        </w:rPr>
        <w:t>euro</w:t>
      </w:r>
      <w:r>
        <w:t xml:space="preserve"> līdz 2 348 </w:t>
      </w:r>
      <w:r w:rsidRPr="008135F0">
        <w:rPr>
          <w:i/>
        </w:rPr>
        <w:t>euro</w:t>
      </w:r>
      <w:r>
        <w:rPr>
          <w:i/>
        </w:rPr>
        <w:t xml:space="preserve"> </w:t>
      </w:r>
      <w:r>
        <w:t>(skat. tabulu Nr.3.17.).</w:t>
      </w:r>
    </w:p>
    <w:p w:rsidR="007D4D4C" w:rsidRDefault="007D4D4C" w:rsidP="0094202F">
      <w:pPr>
        <w:ind w:firstLine="720"/>
        <w:jc w:val="both"/>
      </w:pPr>
      <w:r>
        <w:t xml:space="preserve">Aptuveni 43 % no šo iestāžu darbiniekiem pilna darba laika atalgojums ir 700-800 </w:t>
      </w:r>
      <w:r w:rsidRPr="00037C4A">
        <w:rPr>
          <w:i/>
        </w:rPr>
        <w:t>euro</w:t>
      </w:r>
      <w:r>
        <w:rPr>
          <w:i/>
        </w:rPr>
        <w:t xml:space="preserve"> </w:t>
      </w:r>
      <w:r w:rsidRPr="00440269">
        <w:t>robežās</w:t>
      </w:r>
      <w:r>
        <w:t xml:space="preserve">, kā arī 64% darbinieku atalgojums ir 60-70% robežās no maksimāli iespējamās skalas. Iepriekšējos gados iestāžu darbinieku atlīdzības sistēmas sakārtošanai tika piešķirts finansējums </w:t>
      </w:r>
      <w:r w:rsidR="009E7330">
        <w:t>JPI</w:t>
      </w:r>
      <w:r>
        <w:t xml:space="preserve"> ietvaros, tomēr iestādes joprojām saskaras ar situāciju, ka tās nevar nodrošināt konkurētspējīgu atalgojumu iestādes referentiem un inspektoriem, attiecīgi darbinieku atlīdzības sistēmas turpmākai sakārtošanai būtu iespējams novirzīt finanšu resursus, kas tiek atbrīvoti iestāžu apvienošanas rezultātā.</w:t>
      </w:r>
    </w:p>
    <w:p w:rsidR="00906B34" w:rsidRDefault="007D4D4C" w:rsidP="00906B34">
      <w:pPr>
        <w:spacing w:after="120"/>
        <w:ind w:firstLine="720"/>
        <w:jc w:val="both"/>
      </w:pPr>
      <w:r>
        <w:t>Ņemot vērā, ka VVD un DAP ir gan centrālās struktūrvienības, gan reģionālās pārvaldes/administrācijas, kas atrodas dažādās adresēs visā Latvijas teritorijā, tad atbalsta funkciju nodrošināšanai nepieciešamais cilvēkresursu apmērs tiek pārskatīts tikai iestāžu centrālajās struktūrvienībās. FM vērtējumā VVD centrālajās struktūrās atbalsta funkcijas nodrošina 40 darbinieki un DAP – 31 darbinieks, turklāt abās iestādēs vadību nodrošina 1 ģenerāldirektors un 1 ģenerāldirektora vietnieks, attiecīgi iestādes vadību un atbalsta funkciju nodrošināšanu veic 75 darbinieki</w:t>
      </w:r>
      <w:r>
        <w:rPr>
          <w:rStyle w:val="FootnoteReference"/>
        </w:rPr>
        <w:footnoteReference w:id="29"/>
      </w:r>
      <w:r w:rsidR="00BA1D1A">
        <w:t xml:space="preserve">. </w:t>
      </w:r>
    </w:p>
    <w:p w:rsidR="007D4D4C" w:rsidRDefault="007D4D4C" w:rsidP="007D4D4C">
      <w:pPr>
        <w:jc w:val="both"/>
      </w:pPr>
      <w:r>
        <w:rPr>
          <w:noProof/>
          <w:lang w:eastAsia="lv-LV"/>
        </w:rPr>
        <w:drawing>
          <wp:inline distT="0" distB="0" distL="0" distR="0" wp14:anchorId="00A363CF" wp14:editId="17389CF2">
            <wp:extent cx="5881967" cy="400873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15450" cy="4031549"/>
                    </a:xfrm>
                    <a:prstGeom prst="rect">
                      <a:avLst/>
                    </a:prstGeom>
                    <a:noFill/>
                  </pic:spPr>
                </pic:pic>
              </a:graphicData>
            </a:graphic>
          </wp:inline>
        </w:drawing>
      </w:r>
    </w:p>
    <w:p w:rsidR="007D4D4C" w:rsidRPr="00C72061" w:rsidRDefault="00442135" w:rsidP="00ED6172">
      <w:pPr>
        <w:spacing w:before="120" w:after="160"/>
        <w:jc w:val="center"/>
        <w:rPr>
          <w:b/>
          <w:sz w:val="22"/>
        </w:rPr>
      </w:pPr>
      <w:r w:rsidRPr="001170B3">
        <w:rPr>
          <w:i/>
          <w:sz w:val="22"/>
        </w:rPr>
        <w:t>3.14</w:t>
      </w:r>
      <w:r w:rsidR="007D4D4C" w:rsidRPr="001170B3">
        <w:rPr>
          <w:i/>
          <w:sz w:val="22"/>
        </w:rPr>
        <w:t>.att</w:t>
      </w:r>
      <w:r w:rsidR="007D4D4C" w:rsidRPr="00442135">
        <w:rPr>
          <w:i/>
          <w:sz w:val="22"/>
        </w:rPr>
        <w:t>.</w:t>
      </w:r>
      <w:r w:rsidR="007D4D4C" w:rsidRPr="00442135">
        <w:rPr>
          <w:sz w:val="22"/>
        </w:rPr>
        <w:t xml:space="preserve"> </w:t>
      </w:r>
      <w:r w:rsidR="007D4D4C" w:rsidRPr="00442135">
        <w:rPr>
          <w:b/>
          <w:sz w:val="22"/>
        </w:rPr>
        <w:t>VVD</w:t>
      </w:r>
      <w:r w:rsidR="007D4D4C" w:rsidRPr="00C72061">
        <w:rPr>
          <w:b/>
          <w:sz w:val="22"/>
        </w:rPr>
        <w:t xml:space="preserve"> un DAP iestādes vadībā un atbalsta funkciju nodrošināšanā iesaistītās struktūrvienības un </w:t>
      </w:r>
      <w:r w:rsidR="007D4D4C">
        <w:rPr>
          <w:b/>
          <w:sz w:val="22"/>
        </w:rPr>
        <w:t xml:space="preserve">to </w:t>
      </w:r>
      <w:r w:rsidR="007D4D4C" w:rsidRPr="00C72061">
        <w:rPr>
          <w:b/>
          <w:sz w:val="22"/>
        </w:rPr>
        <w:t>darbinieku skaits</w:t>
      </w:r>
      <w:r w:rsidR="007D4D4C">
        <w:rPr>
          <w:rStyle w:val="FootnoteReference"/>
          <w:b/>
          <w:sz w:val="22"/>
        </w:rPr>
        <w:footnoteReference w:id="30"/>
      </w:r>
    </w:p>
    <w:p w:rsidR="00F9691E" w:rsidRDefault="00F9691E" w:rsidP="0094202F">
      <w:pPr>
        <w:ind w:firstLine="720"/>
        <w:jc w:val="both"/>
      </w:pPr>
      <w:r>
        <w:lastRenderedPageBreak/>
        <w:t>Iestāžu struktūrvienības, kas veic atbalsta funkcijas, pēc to piederības var sadalīt 6 daļās: budžets un finanses, personāla vadība un lietvedība, saimniecība un īpašuma pārvaldīšana, sabiedriskās attiecības un kvalitātes vadība, projektu vadība un uzraudzība, darbs ar tiesību aktiem un administratīviem sodiem</w:t>
      </w:r>
      <w:r w:rsidR="001170B3">
        <w:t xml:space="preserve"> (skat</w:t>
      </w:r>
      <w:r w:rsidR="00F16ECE">
        <w:t>.</w:t>
      </w:r>
      <w:r w:rsidR="001170B3">
        <w:t xml:space="preserve"> 3.14.attēlu)</w:t>
      </w:r>
      <w:r>
        <w:t xml:space="preserve">. Ņemot vērā katrā jomā nodarbināto darbinieku skaitu un tam noteikto mēnešalgu, ir iespējams aprēķināt, ka ikgadēji šo darbinieku darba algas un valsts sociālās apdrošināšanas obligāto iemaksu nodrošināšanai tiek novirzīts finansējums 1 034 878 </w:t>
      </w:r>
      <w:r w:rsidRPr="00376437">
        <w:rPr>
          <w:i/>
        </w:rPr>
        <w:t>euro</w:t>
      </w:r>
      <w:r>
        <w:t xml:space="preserve"> apmērā</w:t>
      </w:r>
      <w:r>
        <w:rPr>
          <w:rStyle w:val="FootnoteReference"/>
        </w:rPr>
        <w:footnoteReference w:id="31"/>
      </w:r>
      <w:r>
        <w:t>.</w:t>
      </w:r>
    </w:p>
    <w:p w:rsidR="00F9691E" w:rsidRPr="000A3593" w:rsidRDefault="00F9691E" w:rsidP="0094202F">
      <w:pPr>
        <w:ind w:firstLine="720"/>
        <w:jc w:val="both"/>
      </w:pPr>
      <w:r w:rsidRPr="00C34D8B">
        <w:t>Pieņemot, ka iestāžu apvienošanas rezultātā tiek reorganizētas iepriekš minētās struktūrvienības un tajās esošie cilvēkresursi, un pārskatot tika</w:t>
      </w:r>
      <w:r>
        <w:t>i</w:t>
      </w:r>
      <w:r w:rsidRPr="00C34D8B">
        <w:t xml:space="preserve"> to atlīdzības finansējuma daļu, kas nepieciešama noteiktās darba algas un valsts sociālās apdrošināšanas obligāto iemaksu nodrošināšanai darbiniekiem</w:t>
      </w:r>
      <w:r>
        <w:t>, kas veic atbalsta funkcijas</w:t>
      </w:r>
      <w:r w:rsidRPr="00C34D8B">
        <w:t xml:space="preserve">, tad saskaņā ar FM novērtējumu ir iespējams rast finansējumu vismaz 367 849 </w:t>
      </w:r>
      <w:r w:rsidRPr="00C34D8B">
        <w:rPr>
          <w:i/>
        </w:rPr>
        <w:t>euro</w:t>
      </w:r>
      <w:r w:rsidRPr="00C34D8B">
        <w:t xml:space="preserve"> apmērā</w:t>
      </w:r>
      <w:r>
        <w:t xml:space="preserve"> </w:t>
      </w:r>
      <w:r w:rsidR="004C75EF" w:rsidRPr="004C75EF">
        <w:t xml:space="preserve">(skat. </w:t>
      </w:r>
      <w:r w:rsidR="00517B32">
        <w:t>8</w:t>
      </w:r>
      <w:r w:rsidRPr="004C75EF">
        <w:t>.pielikumu).</w:t>
      </w:r>
      <w:r w:rsidRPr="00C34D8B">
        <w:t xml:space="preserve"> Iegūtais rezultāts ir aprēķināts, pieņemot, ka jaunizveidoto iestādi vadīs viens ģenerāldirektors ar 2 vietniekiem un atbalsta funkciju nodrošināšanai tiks izveidoti 2 departamenti (attiecīgi 2 departamenta direktori) ar sešām nodaļām (iepriekš minētajās jomas), kurās katrā tiks nodarbināti 70 % no šobrīd esošā darbinieku skaita. Savukārt, lai iestāžu apvienošanas rezultātā sistēma nezaudētu jau esošos darbiniekus, tad šādu situāciju var risināt, piedāvājot šo darbinieku pārkvalificēšanu darbam </w:t>
      </w:r>
      <w:r>
        <w:t xml:space="preserve">citās </w:t>
      </w:r>
      <w:r w:rsidRPr="00C34D8B">
        <w:t>iestādes kompetences jomā</w:t>
      </w:r>
      <w:r>
        <w:t>s</w:t>
      </w:r>
      <w:r w:rsidRPr="00C34D8B">
        <w:t>, kuras iestāžu apvienošanas gadījumā netiek pārskatītas un tajās saglabājas vakantas amata vietas.</w:t>
      </w:r>
      <w:r>
        <w:t xml:space="preserve"> </w:t>
      </w:r>
      <w:r w:rsidRPr="000A3593">
        <w:t>Vienlaikus ņemot vērā, ka potenciāli atbrīvojamie resursi ir saistīti ar cilvēkresursiem, tad jāņem vērā, ka to izmantošana būtu iespējama gadu vēlāk nekā veiktas attiecīgās darbības attiecībā uz iestāžu efektivizēšanu.</w:t>
      </w:r>
    </w:p>
    <w:p w:rsidR="00846DAA" w:rsidRDefault="00F9691E" w:rsidP="00906B34">
      <w:pPr>
        <w:ind w:firstLine="720"/>
        <w:jc w:val="both"/>
      </w:pPr>
      <w:r w:rsidRPr="000A3593">
        <w:t>Vienlaikus uzskatām, ka iestāžu apvienošanas gadījumā ir iespējams ietaupīt finansējumu, kas paredzēts iestāžu pārējo funkciju īstenošanai vismaz 1% apmērā no plānotā finansējuma</w:t>
      </w:r>
      <w:r w:rsidR="001170B3">
        <w:t xml:space="preserve"> (skat</w:t>
      </w:r>
      <w:r w:rsidR="00F16ECE">
        <w:t>.</w:t>
      </w:r>
      <w:r w:rsidR="001170B3">
        <w:t xml:space="preserve"> tabulu Nr.3.18.)</w:t>
      </w:r>
      <w:r w:rsidRPr="000A3593">
        <w:t>.</w:t>
      </w:r>
    </w:p>
    <w:p w:rsidR="00846DAA" w:rsidRDefault="004C75EF" w:rsidP="00906B34">
      <w:pPr>
        <w:spacing w:before="120" w:after="120"/>
        <w:jc w:val="right"/>
      </w:pPr>
      <w:r w:rsidRPr="001170B3">
        <w:t>Tabula Nr.3.18.</w:t>
      </w:r>
    </w:p>
    <w:p w:rsidR="00846DAA" w:rsidRPr="008248DE" w:rsidRDefault="00846DAA" w:rsidP="00846DAA">
      <w:pPr>
        <w:spacing w:after="120"/>
        <w:jc w:val="center"/>
        <w:rPr>
          <w:b/>
        </w:rPr>
      </w:pPr>
      <w:r w:rsidRPr="008248DE">
        <w:rPr>
          <w:b/>
        </w:rPr>
        <w:t>Aprēķins finansējuma ietaupījumam VVD un DAP pārējo funkciju īstenošanai</w:t>
      </w:r>
      <w:r>
        <w:rPr>
          <w:rStyle w:val="FootnoteReference"/>
          <w:b/>
        </w:rPr>
        <w:footnoteReference w:id="32"/>
      </w:r>
    </w:p>
    <w:tbl>
      <w:tblPr>
        <w:tblW w:w="9351" w:type="dxa"/>
        <w:tblLook w:val="04A0" w:firstRow="1" w:lastRow="0" w:firstColumn="1" w:lastColumn="0" w:noHBand="0" w:noVBand="1"/>
      </w:tblPr>
      <w:tblGrid>
        <w:gridCol w:w="5240"/>
        <w:gridCol w:w="1276"/>
        <w:gridCol w:w="1417"/>
        <w:gridCol w:w="1418"/>
      </w:tblGrid>
      <w:tr w:rsidR="00846DAA" w:rsidRPr="008248DE" w:rsidTr="00F30CB1">
        <w:trPr>
          <w:trHeight w:val="270"/>
        </w:trPr>
        <w:tc>
          <w:tcPr>
            <w:tcW w:w="52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rsidR="00846DAA" w:rsidRPr="00906B34" w:rsidRDefault="00846DAA" w:rsidP="000D7F55">
            <w:pPr>
              <w:jc w:val="center"/>
              <w:rPr>
                <w:rFonts w:eastAsia="Times New Roman" w:cs="Times New Roman"/>
                <w:b/>
                <w:color w:val="000000"/>
                <w:sz w:val="21"/>
                <w:szCs w:val="21"/>
                <w:lang w:eastAsia="lv-LV"/>
              </w:rPr>
            </w:pPr>
            <w:r w:rsidRPr="00906B34">
              <w:rPr>
                <w:rFonts w:eastAsia="Times New Roman" w:cs="Times New Roman"/>
                <w:b/>
                <w:color w:val="000000"/>
                <w:sz w:val="21"/>
                <w:szCs w:val="21"/>
                <w:lang w:eastAsia="lv-LV"/>
              </w:rPr>
              <w:t> </w:t>
            </w:r>
          </w:p>
        </w:tc>
        <w:tc>
          <w:tcPr>
            <w:tcW w:w="1276"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rsidR="00846DAA" w:rsidRPr="00906B34" w:rsidRDefault="00846DAA" w:rsidP="000D7F55">
            <w:pPr>
              <w:jc w:val="center"/>
              <w:rPr>
                <w:rFonts w:eastAsia="Times New Roman" w:cs="Times New Roman"/>
                <w:b/>
                <w:color w:val="000000"/>
                <w:sz w:val="21"/>
                <w:szCs w:val="21"/>
                <w:lang w:eastAsia="lv-LV"/>
              </w:rPr>
            </w:pPr>
            <w:r w:rsidRPr="00906B34">
              <w:rPr>
                <w:rFonts w:eastAsia="Times New Roman" w:cs="Times New Roman"/>
                <w:b/>
                <w:color w:val="000000"/>
                <w:sz w:val="21"/>
                <w:szCs w:val="21"/>
                <w:lang w:eastAsia="lv-LV"/>
              </w:rPr>
              <w:t>2018</w:t>
            </w:r>
          </w:p>
        </w:tc>
        <w:tc>
          <w:tcPr>
            <w:tcW w:w="1417"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rsidR="00846DAA" w:rsidRPr="00906B34" w:rsidRDefault="00846DAA" w:rsidP="000D7F55">
            <w:pPr>
              <w:jc w:val="center"/>
              <w:rPr>
                <w:rFonts w:eastAsia="Times New Roman" w:cs="Times New Roman"/>
                <w:b/>
                <w:color w:val="000000"/>
                <w:sz w:val="21"/>
                <w:szCs w:val="21"/>
                <w:lang w:eastAsia="lv-LV"/>
              </w:rPr>
            </w:pPr>
            <w:r w:rsidRPr="00906B34">
              <w:rPr>
                <w:rFonts w:eastAsia="Times New Roman" w:cs="Times New Roman"/>
                <w:b/>
                <w:color w:val="000000"/>
                <w:sz w:val="21"/>
                <w:szCs w:val="21"/>
                <w:lang w:eastAsia="lv-LV"/>
              </w:rPr>
              <w:t>2019</w:t>
            </w:r>
          </w:p>
        </w:tc>
        <w:tc>
          <w:tcPr>
            <w:tcW w:w="1418"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rsidR="00846DAA" w:rsidRPr="00906B34" w:rsidRDefault="00846DAA" w:rsidP="000D7F55">
            <w:pPr>
              <w:jc w:val="center"/>
              <w:rPr>
                <w:rFonts w:eastAsia="Times New Roman" w:cs="Times New Roman"/>
                <w:b/>
                <w:color w:val="000000"/>
                <w:sz w:val="21"/>
                <w:szCs w:val="21"/>
                <w:lang w:eastAsia="lv-LV"/>
              </w:rPr>
            </w:pPr>
            <w:r w:rsidRPr="00906B34">
              <w:rPr>
                <w:rFonts w:eastAsia="Times New Roman" w:cs="Times New Roman"/>
                <w:b/>
                <w:color w:val="000000"/>
                <w:sz w:val="21"/>
                <w:szCs w:val="21"/>
                <w:lang w:eastAsia="lv-LV"/>
              </w:rPr>
              <w:t>2020</w:t>
            </w:r>
          </w:p>
        </w:tc>
      </w:tr>
      <w:tr w:rsidR="00846DAA" w:rsidRPr="008248DE" w:rsidTr="000D7F55">
        <w:trPr>
          <w:trHeight w:val="120"/>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846DAA" w:rsidRPr="008248DE" w:rsidRDefault="00846DAA" w:rsidP="000D7F55">
            <w:pPr>
              <w:rPr>
                <w:rFonts w:eastAsia="Times New Roman" w:cs="Times New Roman"/>
                <w:color w:val="000000"/>
                <w:sz w:val="21"/>
                <w:szCs w:val="21"/>
                <w:lang w:eastAsia="lv-LV"/>
              </w:rPr>
            </w:pPr>
            <w:r w:rsidRPr="008248DE">
              <w:rPr>
                <w:rFonts w:eastAsia="Times New Roman" w:cs="Times New Roman"/>
                <w:color w:val="000000"/>
                <w:sz w:val="21"/>
                <w:szCs w:val="21"/>
                <w:lang w:eastAsia="lv-LV"/>
              </w:rPr>
              <w:t>VVD finansējums (23.01.00)</w:t>
            </w:r>
          </w:p>
        </w:tc>
        <w:tc>
          <w:tcPr>
            <w:tcW w:w="1276"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5 713 565</w:t>
            </w:r>
          </w:p>
        </w:tc>
        <w:tc>
          <w:tcPr>
            <w:tcW w:w="1417"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5 771 235</w:t>
            </w:r>
          </w:p>
        </w:tc>
        <w:tc>
          <w:tcPr>
            <w:tcW w:w="1418"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5 771 235</w:t>
            </w:r>
          </w:p>
        </w:tc>
      </w:tr>
      <w:tr w:rsidR="00846DAA" w:rsidRPr="008248DE" w:rsidTr="000D7F55">
        <w:trPr>
          <w:trHeight w:val="70"/>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846DAA" w:rsidRPr="008248DE" w:rsidRDefault="00846DAA" w:rsidP="000D7F55">
            <w:pPr>
              <w:rPr>
                <w:rFonts w:eastAsia="Times New Roman" w:cs="Times New Roman"/>
                <w:color w:val="000000"/>
                <w:sz w:val="21"/>
                <w:szCs w:val="21"/>
                <w:lang w:eastAsia="lv-LV"/>
              </w:rPr>
            </w:pPr>
            <w:r w:rsidRPr="008248DE">
              <w:rPr>
                <w:rFonts w:eastAsia="Times New Roman" w:cs="Times New Roman"/>
                <w:color w:val="000000"/>
                <w:sz w:val="21"/>
                <w:szCs w:val="21"/>
                <w:lang w:eastAsia="lv-LV"/>
              </w:rPr>
              <w:t>DAP finansējums (24.08.00)</w:t>
            </w:r>
          </w:p>
        </w:tc>
        <w:tc>
          <w:tcPr>
            <w:tcW w:w="1276"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4 813 097</w:t>
            </w:r>
          </w:p>
        </w:tc>
        <w:tc>
          <w:tcPr>
            <w:tcW w:w="1417"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4 812 811</w:t>
            </w:r>
          </w:p>
        </w:tc>
        <w:tc>
          <w:tcPr>
            <w:tcW w:w="1418"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4 812 352</w:t>
            </w:r>
          </w:p>
        </w:tc>
      </w:tr>
      <w:tr w:rsidR="00846DAA" w:rsidRPr="008248DE" w:rsidTr="000D7F55">
        <w:trPr>
          <w:trHeight w:val="270"/>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846DAA" w:rsidRPr="008248DE" w:rsidRDefault="00846DAA" w:rsidP="000D7F55">
            <w:pPr>
              <w:rPr>
                <w:rFonts w:eastAsia="Times New Roman" w:cs="Times New Roman"/>
                <w:bCs/>
                <w:color w:val="000000"/>
                <w:sz w:val="21"/>
                <w:szCs w:val="21"/>
                <w:lang w:eastAsia="lv-LV"/>
              </w:rPr>
            </w:pPr>
            <w:r w:rsidRPr="008248DE">
              <w:rPr>
                <w:rFonts w:eastAsia="Times New Roman" w:cs="Times New Roman"/>
                <w:bCs/>
                <w:color w:val="000000"/>
                <w:sz w:val="21"/>
                <w:szCs w:val="21"/>
                <w:lang w:eastAsia="lv-LV"/>
              </w:rPr>
              <w:t>KOPĀ</w:t>
            </w:r>
          </w:p>
        </w:tc>
        <w:tc>
          <w:tcPr>
            <w:tcW w:w="1276"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bCs/>
                <w:color w:val="000000"/>
                <w:sz w:val="21"/>
                <w:szCs w:val="21"/>
                <w:lang w:eastAsia="lv-LV"/>
              </w:rPr>
            </w:pPr>
            <w:r w:rsidRPr="008248DE">
              <w:rPr>
                <w:rFonts w:eastAsia="Times New Roman" w:cs="Times New Roman"/>
                <w:bCs/>
                <w:color w:val="000000"/>
                <w:sz w:val="21"/>
                <w:szCs w:val="21"/>
                <w:lang w:eastAsia="lv-LV"/>
              </w:rPr>
              <w:t>10 526 662</w:t>
            </w:r>
          </w:p>
        </w:tc>
        <w:tc>
          <w:tcPr>
            <w:tcW w:w="1417"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bCs/>
                <w:color w:val="000000"/>
                <w:sz w:val="21"/>
                <w:szCs w:val="21"/>
                <w:lang w:eastAsia="lv-LV"/>
              </w:rPr>
            </w:pPr>
            <w:r w:rsidRPr="008248DE">
              <w:rPr>
                <w:rFonts w:eastAsia="Times New Roman" w:cs="Times New Roman"/>
                <w:bCs/>
                <w:color w:val="000000"/>
                <w:sz w:val="21"/>
                <w:szCs w:val="21"/>
                <w:lang w:eastAsia="lv-LV"/>
              </w:rPr>
              <w:t>10 584 046</w:t>
            </w:r>
          </w:p>
        </w:tc>
        <w:tc>
          <w:tcPr>
            <w:tcW w:w="1418"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bCs/>
                <w:color w:val="000000"/>
                <w:sz w:val="21"/>
                <w:szCs w:val="21"/>
                <w:lang w:eastAsia="lv-LV"/>
              </w:rPr>
            </w:pPr>
            <w:r w:rsidRPr="008248DE">
              <w:rPr>
                <w:rFonts w:eastAsia="Times New Roman" w:cs="Times New Roman"/>
                <w:bCs/>
                <w:color w:val="000000"/>
                <w:sz w:val="21"/>
                <w:szCs w:val="21"/>
                <w:lang w:eastAsia="lv-LV"/>
              </w:rPr>
              <w:t>10 583 587</w:t>
            </w:r>
          </w:p>
        </w:tc>
      </w:tr>
      <w:tr w:rsidR="00846DAA" w:rsidRPr="008248DE" w:rsidTr="000D7F55">
        <w:trPr>
          <w:trHeight w:val="329"/>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846DAA" w:rsidRPr="008248DE" w:rsidRDefault="00846DAA" w:rsidP="000D7F55">
            <w:pPr>
              <w:rPr>
                <w:rFonts w:eastAsia="Times New Roman" w:cs="Times New Roman"/>
                <w:color w:val="000000"/>
                <w:sz w:val="21"/>
                <w:szCs w:val="21"/>
                <w:lang w:eastAsia="lv-LV"/>
              </w:rPr>
            </w:pPr>
            <w:r w:rsidRPr="008248DE">
              <w:rPr>
                <w:rFonts w:eastAsia="Times New Roman" w:cs="Times New Roman"/>
                <w:color w:val="000000"/>
                <w:sz w:val="21"/>
                <w:szCs w:val="21"/>
                <w:lang w:eastAsia="lv-LV"/>
              </w:rPr>
              <w:t>Pārskatītais finansējums atbalsta funkciju īstenošanā iesaistīto darbinieku noteiktām darba algām un VSAOI</w:t>
            </w:r>
          </w:p>
        </w:tc>
        <w:tc>
          <w:tcPr>
            <w:tcW w:w="1276"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1 034 878</w:t>
            </w:r>
          </w:p>
        </w:tc>
        <w:tc>
          <w:tcPr>
            <w:tcW w:w="1417"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1 034 878</w:t>
            </w:r>
          </w:p>
        </w:tc>
        <w:tc>
          <w:tcPr>
            <w:tcW w:w="1418"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1 034 878</w:t>
            </w:r>
          </w:p>
        </w:tc>
      </w:tr>
      <w:tr w:rsidR="00846DAA" w:rsidRPr="008248DE" w:rsidTr="000D7F55">
        <w:trPr>
          <w:trHeight w:val="124"/>
        </w:trPr>
        <w:tc>
          <w:tcPr>
            <w:tcW w:w="5240" w:type="dxa"/>
            <w:tcBorders>
              <w:top w:val="nil"/>
              <w:left w:val="single" w:sz="4" w:space="0" w:color="auto"/>
              <w:bottom w:val="single" w:sz="4" w:space="0" w:color="auto"/>
              <w:right w:val="single" w:sz="4" w:space="0" w:color="auto"/>
            </w:tcBorders>
            <w:shd w:val="clear" w:color="auto" w:fill="auto"/>
            <w:vAlign w:val="bottom"/>
            <w:hideMark/>
          </w:tcPr>
          <w:p w:rsidR="00846DAA" w:rsidRPr="008248DE" w:rsidRDefault="00846DAA" w:rsidP="000D7F55">
            <w:pPr>
              <w:rPr>
                <w:rFonts w:eastAsia="Times New Roman" w:cs="Times New Roman"/>
                <w:color w:val="000000"/>
                <w:sz w:val="21"/>
                <w:szCs w:val="21"/>
                <w:lang w:eastAsia="lv-LV"/>
              </w:rPr>
            </w:pPr>
            <w:r w:rsidRPr="008248DE">
              <w:rPr>
                <w:rFonts w:eastAsia="Times New Roman" w:cs="Times New Roman"/>
                <w:color w:val="000000"/>
                <w:sz w:val="21"/>
                <w:szCs w:val="21"/>
                <w:lang w:eastAsia="lv-LV"/>
              </w:rPr>
              <w:t>Finansējums pārējo funkciju īstenošanai</w:t>
            </w:r>
          </w:p>
        </w:tc>
        <w:tc>
          <w:tcPr>
            <w:tcW w:w="1276"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9 491 784</w:t>
            </w:r>
          </w:p>
        </w:tc>
        <w:tc>
          <w:tcPr>
            <w:tcW w:w="1417"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9 549 168</w:t>
            </w:r>
          </w:p>
        </w:tc>
        <w:tc>
          <w:tcPr>
            <w:tcW w:w="1418" w:type="dxa"/>
            <w:tcBorders>
              <w:top w:val="nil"/>
              <w:left w:val="nil"/>
              <w:bottom w:val="single" w:sz="4" w:space="0" w:color="auto"/>
              <w:right w:val="single" w:sz="4" w:space="0" w:color="auto"/>
            </w:tcBorders>
            <w:shd w:val="clear" w:color="auto" w:fill="auto"/>
            <w:vAlign w:val="bottom"/>
            <w:hideMark/>
          </w:tcPr>
          <w:p w:rsidR="00846DAA" w:rsidRPr="008248DE" w:rsidRDefault="00846DAA" w:rsidP="000D7F55">
            <w:pPr>
              <w:jc w:val="right"/>
              <w:rPr>
                <w:rFonts w:eastAsia="Times New Roman" w:cs="Times New Roman"/>
                <w:color w:val="000000"/>
                <w:sz w:val="21"/>
                <w:szCs w:val="21"/>
                <w:lang w:eastAsia="lv-LV"/>
              </w:rPr>
            </w:pPr>
            <w:r w:rsidRPr="008248DE">
              <w:rPr>
                <w:rFonts w:eastAsia="Times New Roman" w:cs="Times New Roman"/>
                <w:color w:val="000000"/>
                <w:sz w:val="21"/>
                <w:szCs w:val="21"/>
                <w:lang w:eastAsia="lv-LV"/>
              </w:rPr>
              <w:t>9 548 709</w:t>
            </w:r>
          </w:p>
        </w:tc>
      </w:tr>
      <w:tr w:rsidR="00846DAA" w:rsidRPr="008248DE" w:rsidTr="000D7F55">
        <w:trPr>
          <w:trHeight w:val="453"/>
        </w:trPr>
        <w:tc>
          <w:tcPr>
            <w:tcW w:w="5240" w:type="dxa"/>
            <w:tcBorders>
              <w:top w:val="nil"/>
              <w:left w:val="single" w:sz="4" w:space="0" w:color="auto"/>
              <w:bottom w:val="single" w:sz="4" w:space="0" w:color="auto"/>
              <w:right w:val="single" w:sz="4" w:space="0" w:color="auto"/>
            </w:tcBorders>
            <w:shd w:val="clear" w:color="auto" w:fill="F2F2F2" w:themeFill="background1" w:themeFillShade="F2"/>
            <w:vAlign w:val="bottom"/>
            <w:hideMark/>
          </w:tcPr>
          <w:p w:rsidR="00846DAA" w:rsidRPr="008248DE" w:rsidRDefault="00846DAA" w:rsidP="000D7F55">
            <w:pPr>
              <w:rPr>
                <w:rFonts w:eastAsia="Times New Roman" w:cs="Times New Roman"/>
                <w:bCs/>
                <w:color w:val="000000"/>
                <w:sz w:val="21"/>
                <w:szCs w:val="21"/>
                <w:lang w:eastAsia="lv-LV"/>
              </w:rPr>
            </w:pPr>
            <w:r w:rsidRPr="00605942">
              <w:rPr>
                <w:rFonts w:eastAsia="Times New Roman" w:cs="Times New Roman"/>
                <w:bCs/>
                <w:color w:val="000000"/>
                <w:sz w:val="21"/>
                <w:szCs w:val="21"/>
                <w:lang w:eastAsia="lv-LV"/>
              </w:rPr>
              <w:t>Iestāž</w:t>
            </w:r>
            <w:r w:rsidRPr="008248DE">
              <w:rPr>
                <w:rFonts w:eastAsia="Times New Roman" w:cs="Times New Roman"/>
                <w:bCs/>
                <w:color w:val="000000"/>
                <w:sz w:val="21"/>
                <w:szCs w:val="21"/>
                <w:lang w:eastAsia="lv-LV"/>
              </w:rPr>
              <w:t>u apvienošanas gadījumā, pārējo funkciju izpildei nepieciešamā finansējuma potenciālais ietaupījums (1%)</w:t>
            </w:r>
          </w:p>
        </w:tc>
        <w:tc>
          <w:tcPr>
            <w:tcW w:w="1276" w:type="dxa"/>
            <w:tcBorders>
              <w:top w:val="nil"/>
              <w:left w:val="nil"/>
              <w:bottom w:val="single" w:sz="4" w:space="0" w:color="auto"/>
              <w:right w:val="single" w:sz="4" w:space="0" w:color="auto"/>
            </w:tcBorders>
            <w:shd w:val="clear" w:color="auto" w:fill="F2F2F2" w:themeFill="background1" w:themeFillShade="F2"/>
            <w:vAlign w:val="bottom"/>
            <w:hideMark/>
          </w:tcPr>
          <w:p w:rsidR="00846DAA" w:rsidRPr="008248DE" w:rsidRDefault="00846DAA" w:rsidP="000D7F55">
            <w:pPr>
              <w:jc w:val="right"/>
              <w:rPr>
                <w:rFonts w:eastAsia="Times New Roman" w:cs="Times New Roman"/>
                <w:bCs/>
                <w:color w:val="000000"/>
                <w:sz w:val="21"/>
                <w:szCs w:val="21"/>
                <w:lang w:eastAsia="lv-LV"/>
              </w:rPr>
            </w:pPr>
            <w:r w:rsidRPr="008248DE">
              <w:rPr>
                <w:rFonts w:eastAsia="Times New Roman" w:cs="Times New Roman"/>
                <w:bCs/>
                <w:color w:val="000000"/>
                <w:sz w:val="21"/>
                <w:szCs w:val="21"/>
                <w:lang w:eastAsia="lv-LV"/>
              </w:rPr>
              <w:t>94 918</w:t>
            </w:r>
          </w:p>
        </w:tc>
        <w:tc>
          <w:tcPr>
            <w:tcW w:w="1417" w:type="dxa"/>
            <w:tcBorders>
              <w:top w:val="nil"/>
              <w:left w:val="nil"/>
              <w:bottom w:val="single" w:sz="4" w:space="0" w:color="auto"/>
              <w:right w:val="single" w:sz="4" w:space="0" w:color="auto"/>
            </w:tcBorders>
            <w:shd w:val="clear" w:color="auto" w:fill="F2F2F2" w:themeFill="background1" w:themeFillShade="F2"/>
            <w:vAlign w:val="bottom"/>
            <w:hideMark/>
          </w:tcPr>
          <w:p w:rsidR="00846DAA" w:rsidRPr="008248DE" w:rsidRDefault="00846DAA" w:rsidP="000D7F55">
            <w:pPr>
              <w:jc w:val="right"/>
              <w:rPr>
                <w:rFonts w:eastAsia="Times New Roman" w:cs="Times New Roman"/>
                <w:bCs/>
                <w:color w:val="000000"/>
                <w:sz w:val="21"/>
                <w:szCs w:val="21"/>
                <w:lang w:eastAsia="lv-LV"/>
              </w:rPr>
            </w:pPr>
            <w:r w:rsidRPr="008248DE">
              <w:rPr>
                <w:rFonts w:eastAsia="Times New Roman" w:cs="Times New Roman"/>
                <w:bCs/>
                <w:color w:val="000000"/>
                <w:sz w:val="21"/>
                <w:szCs w:val="21"/>
                <w:lang w:eastAsia="lv-LV"/>
              </w:rPr>
              <w:t>95 492</w:t>
            </w:r>
          </w:p>
        </w:tc>
        <w:tc>
          <w:tcPr>
            <w:tcW w:w="1418" w:type="dxa"/>
            <w:tcBorders>
              <w:top w:val="nil"/>
              <w:left w:val="nil"/>
              <w:bottom w:val="single" w:sz="4" w:space="0" w:color="auto"/>
              <w:right w:val="single" w:sz="4" w:space="0" w:color="auto"/>
            </w:tcBorders>
            <w:shd w:val="clear" w:color="auto" w:fill="F2F2F2" w:themeFill="background1" w:themeFillShade="F2"/>
            <w:vAlign w:val="bottom"/>
            <w:hideMark/>
          </w:tcPr>
          <w:p w:rsidR="00846DAA" w:rsidRPr="008248DE" w:rsidRDefault="00846DAA" w:rsidP="000D7F55">
            <w:pPr>
              <w:jc w:val="right"/>
              <w:rPr>
                <w:rFonts w:eastAsia="Times New Roman" w:cs="Times New Roman"/>
                <w:bCs/>
                <w:color w:val="000000"/>
                <w:sz w:val="21"/>
                <w:szCs w:val="21"/>
                <w:lang w:eastAsia="lv-LV"/>
              </w:rPr>
            </w:pPr>
            <w:r w:rsidRPr="008248DE">
              <w:rPr>
                <w:rFonts w:eastAsia="Times New Roman" w:cs="Times New Roman"/>
                <w:bCs/>
                <w:color w:val="000000"/>
                <w:sz w:val="21"/>
                <w:szCs w:val="21"/>
                <w:lang w:eastAsia="lv-LV"/>
              </w:rPr>
              <w:t>95 487</w:t>
            </w:r>
          </w:p>
        </w:tc>
      </w:tr>
    </w:tbl>
    <w:p w:rsidR="00846DAA" w:rsidRDefault="00846DAA" w:rsidP="00846DAA">
      <w:pPr>
        <w:jc w:val="both"/>
      </w:pPr>
    </w:p>
    <w:p w:rsidR="00F9691E" w:rsidRPr="000A3593" w:rsidRDefault="00F9691E" w:rsidP="0094202F">
      <w:pPr>
        <w:ind w:firstLine="720"/>
        <w:jc w:val="both"/>
      </w:pPr>
      <w:r w:rsidRPr="000A3593">
        <w:t xml:space="preserve">Ņemot vērā minēto, iestāžu apvienošanas rezultātā potenciāli atbrīvojamais finansējums 2018.gadā ir 94 918 </w:t>
      </w:r>
      <w:r w:rsidRPr="000A3593">
        <w:rPr>
          <w:i/>
        </w:rPr>
        <w:t>euro</w:t>
      </w:r>
      <w:r w:rsidRPr="000A3593">
        <w:t xml:space="preserve">, 2019.gadā – 463 341 </w:t>
      </w:r>
      <w:r w:rsidRPr="000A3593">
        <w:rPr>
          <w:i/>
        </w:rPr>
        <w:t>euro</w:t>
      </w:r>
      <w:r w:rsidRPr="000A3593">
        <w:t xml:space="preserve">, 2020.gadā un turpmāk – 463 337 </w:t>
      </w:r>
      <w:r w:rsidRPr="000A3593">
        <w:rPr>
          <w:i/>
        </w:rPr>
        <w:t>euro</w:t>
      </w:r>
      <w:r w:rsidRPr="000A3593">
        <w:t xml:space="preserve"> un tas uzskatāms par finansējumu, kas novirzāms citām VARAM aktualitātēm 2018.gadā un turpmāk, ja iestāžu apvienošana tiks veikta līdz 2018.gada 1.janvārim. </w:t>
      </w:r>
    </w:p>
    <w:p w:rsidR="007D4D4C" w:rsidRDefault="00F9691E" w:rsidP="0094202F">
      <w:pPr>
        <w:ind w:firstLine="720"/>
        <w:jc w:val="both"/>
      </w:pPr>
      <w:r w:rsidRPr="000A3593">
        <w:t>VPVB ir iestāde, kas izskata iesniegumus par VARAM padotības iestāžu izdoto administratīvo aktu apstrīdēšanu vides aizsardzību regulējošajos normatīvajos aktos noteiktajos gadījumos, kā arī veic citas normatīvos aktos noteiktās funkcijas uz uzdevumus</w:t>
      </w:r>
      <w:r w:rsidRPr="000A3593">
        <w:rPr>
          <w:rStyle w:val="FootnoteReference"/>
        </w:rPr>
        <w:footnoteReference w:id="33"/>
      </w:r>
      <w:r w:rsidRPr="000A3593">
        <w:t>, sniedzot šādus pakalpojumus:</w:t>
      </w:r>
    </w:p>
    <w:p w:rsidR="007D4D4C" w:rsidRDefault="007D4D4C" w:rsidP="0094202F">
      <w:pPr>
        <w:pStyle w:val="ListParagraph"/>
        <w:numPr>
          <w:ilvl w:val="0"/>
          <w:numId w:val="28"/>
        </w:numPr>
        <w:spacing w:after="40"/>
        <w:ind w:left="993" w:hanging="284"/>
        <w:contextualSpacing w:val="0"/>
        <w:jc w:val="both"/>
      </w:pPr>
      <w:r>
        <w:lastRenderedPageBreak/>
        <w:t>drošības pārskata vai rūpniecisko avāriju riska novēršanas programmas izvērtēšana,</w:t>
      </w:r>
    </w:p>
    <w:p w:rsidR="007D4D4C" w:rsidRDefault="00F607CC" w:rsidP="0094202F">
      <w:pPr>
        <w:pStyle w:val="ListParagraph"/>
        <w:numPr>
          <w:ilvl w:val="0"/>
          <w:numId w:val="28"/>
        </w:numPr>
        <w:spacing w:after="40"/>
        <w:ind w:left="993" w:hanging="284"/>
        <w:contextualSpacing w:val="0"/>
        <w:jc w:val="both"/>
      </w:pPr>
      <w:r>
        <w:t>ES</w:t>
      </w:r>
      <w:r w:rsidR="007D4D4C">
        <w:t xml:space="preserve"> ekomarķējuma piešķiršana,</w:t>
      </w:r>
    </w:p>
    <w:p w:rsidR="007D4D4C" w:rsidRDefault="007D4D4C" w:rsidP="0094202F">
      <w:pPr>
        <w:pStyle w:val="ListParagraph"/>
        <w:numPr>
          <w:ilvl w:val="0"/>
          <w:numId w:val="28"/>
        </w:numPr>
        <w:spacing w:after="40"/>
        <w:ind w:left="993" w:hanging="284"/>
        <w:contextualSpacing w:val="0"/>
        <w:jc w:val="both"/>
      </w:pPr>
      <w:r>
        <w:t>ietekmes uz vidi novērtējuma procedūras nodrošināšana,</w:t>
      </w:r>
    </w:p>
    <w:p w:rsidR="007D4D4C" w:rsidRDefault="007D4D4C" w:rsidP="0094202F">
      <w:pPr>
        <w:pStyle w:val="ListParagraph"/>
        <w:numPr>
          <w:ilvl w:val="0"/>
          <w:numId w:val="28"/>
        </w:numPr>
        <w:spacing w:after="40"/>
        <w:ind w:left="993" w:hanging="284"/>
        <w:contextualSpacing w:val="0"/>
        <w:jc w:val="both"/>
      </w:pPr>
      <w:r>
        <w:t>informācijas nodrošināšana par atļaujām A un B kategorijas piesārņojošo darbību veikšanai,</w:t>
      </w:r>
    </w:p>
    <w:p w:rsidR="007D4D4C" w:rsidRDefault="007D4D4C" w:rsidP="0094202F">
      <w:pPr>
        <w:pStyle w:val="ListParagraph"/>
        <w:numPr>
          <w:ilvl w:val="0"/>
          <w:numId w:val="28"/>
        </w:numPr>
        <w:spacing w:after="40"/>
        <w:ind w:left="993" w:hanging="284"/>
        <w:contextualSpacing w:val="0"/>
        <w:jc w:val="both"/>
      </w:pPr>
      <w:r>
        <w:t>informācijas nodrošināšana par labākajiem pieejamajiem tehniskajiem paņēmieniem,</w:t>
      </w:r>
    </w:p>
    <w:p w:rsidR="007D4D4C" w:rsidRDefault="007D4D4C" w:rsidP="0094202F">
      <w:pPr>
        <w:pStyle w:val="ListParagraph"/>
        <w:numPr>
          <w:ilvl w:val="0"/>
          <w:numId w:val="28"/>
        </w:numPr>
        <w:spacing w:after="40"/>
        <w:ind w:left="993" w:hanging="284"/>
        <w:contextualSpacing w:val="0"/>
        <w:jc w:val="both"/>
      </w:pPr>
      <w:r>
        <w:t>paredzētās darbības ietekmes uz Eiropas nozīmes aizsargājamās dabas teritoriju (NATURA 2000) novērtējuma nodrošināšana,</w:t>
      </w:r>
    </w:p>
    <w:p w:rsidR="007D4D4C" w:rsidRDefault="007D4D4C" w:rsidP="0094202F">
      <w:pPr>
        <w:pStyle w:val="ListParagraph"/>
        <w:numPr>
          <w:ilvl w:val="0"/>
          <w:numId w:val="28"/>
        </w:numPr>
        <w:spacing w:after="40"/>
        <w:ind w:left="993" w:hanging="284"/>
        <w:contextualSpacing w:val="0"/>
        <w:jc w:val="both"/>
      </w:pPr>
      <w:r>
        <w:t>sabiedrības līdzdalības tiesību vai tiesību uz vides informāciju pārkāpuma izvērtēšanas nodrošināšana,</w:t>
      </w:r>
    </w:p>
    <w:p w:rsidR="007D4D4C" w:rsidRDefault="007D4D4C" w:rsidP="0094202F">
      <w:pPr>
        <w:pStyle w:val="ListParagraph"/>
        <w:numPr>
          <w:ilvl w:val="0"/>
          <w:numId w:val="28"/>
        </w:numPr>
        <w:spacing w:after="40"/>
        <w:ind w:left="993" w:hanging="284"/>
        <w:contextualSpacing w:val="0"/>
        <w:jc w:val="both"/>
      </w:pPr>
      <w:r>
        <w:t>stratēģiskās ietekmes uz vidi novērtējuma procedūras nodrošināšana,</w:t>
      </w:r>
    </w:p>
    <w:p w:rsidR="007D4D4C" w:rsidRDefault="007D4D4C" w:rsidP="0094202F">
      <w:pPr>
        <w:pStyle w:val="ListParagraph"/>
        <w:numPr>
          <w:ilvl w:val="0"/>
          <w:numId w:val="28"/>
        </w:numPr>
        <w:spacing w:after="40"/>
        <w:ind w:left="993" w:hanging="284"/>
        <w:contextualSpacing w:val="0"/>
        <w:jc w:val="both"/>
      </w:pPr>
      <w:r>
        <w:t xml:space="preserve">uzņēmumu reģistrācija </w:t>
      </w:r>
      <w:r w:rsidR="00906B34">
        <w:t>ES</w:t>
      </w:r>
      <w:r>
        <w:t xml:space="preserve"> Vides pārvaldības un audita sistēmā.</w:t>
      </w:r>
    </w:p>
    <w:p w:rsidR="007D4D4C" w:rsidRDefault="007D4D4C" w:rsidP="00ED6172">
      <w:pPr>
        <w:spacing w:before="240" w:after="160"/>
        <w:ind w:firstLine="720"/>
        <w:jc w:val="both"/>
      </w:pPr>
      <w:r>
        <w:t xml:space="preserve">VPVB veicamās funkcijas līdzīgi kā VVD un DAP gadījumā arī ir saistītas ar vides aizsardzības politikas ieviešanu, tomēr šīs iestādes pievienošana iepriekš minētajām iestādēm nav iespējama, jo VPVB ir jānodrošina iespēja pieņemt neatkarīgus lēmumus, jo tā izskata </w:t>
      </w:r>
      <w:r w:rsidRPr="0030617F">
        <w:t>iesniegumu</w:t>
      </w:r>
      <w:r>
        <w:t xml:space="preserve">s </w:t>
      </w:r>
      <w:r w:rsidRPr="0030617F">
        <w:t xml:space="preserve">par </w:t>
      </w:r>
      <w:r>
        <w:t xml:space="preserve">VARAM </w:t>
      </w:r>
      <w:r w:rsidRPr="0030617F">
        <w:t>padotības iestāžu izdoto administratīvo aktu apstrīdēšanu</w:t>
      </w:r>
      <w:r>
        <w:t>. Vienlaikus ņemot vērā, ka iestāde ir salīdzinoši maza (18 darbinieki</w:t>
      </w:r>
      <w:r>
        <w:rPr>
          <w:rStyle w:val="FootnoteReference"/>
        </w:rPr>
        <w:footnoteReference w:id="34"/>
      </w:r>
      <w:r>
        <w:t>) izdevumu efektivitātes nolūkos ir izvērtējams, vai iestādes funkciju īstenošanu var nodot izpildei VARAM centrālajam aparātam</w:t>
      </w:r>
      <w:r>
        <w:rPr>
          <w:rStyle w:val="FootnoteReference"/>
        </w:rPr>
        <w:footnoteReference w:id="35"/>
      </w:r>
      <w:r>
        <w:t xml:space="preserve">, līdzvērtīgi kā FM nodrošina pieņemto lēmumu apstrīdēšanas iespēju </w:t>
      </w:r>
      <w:r w:rsidR="00906B34">
        <w:t>ES</w:t>
      </w:r>
      <w:r>
        <w:t xml:space="preserve"> fondu finansēto projektu ieviešanas ietvaros (atsevišķa struktūrvienība, kas saskaņā ar </w:t>
      </w:r>
      <w:r w:rsidR="00906B34">
        <w:t>ES</w:t>
      </w:r>
      <w:r>
        <w:t xml:space="preserve"> struktūrfondu un Kohēzijas fonda 2014.-2020.gada plānošanas perioda vadība likumu nodrošina iespēju apstrīdēt sadarbības iestādes (</w:t>
      </w:r>
      <w:r w:rsidR="004C75EF">
        <w:t>CFLA</w:t>
      </w:r>
      <w:r>
        <w:t>) pieņemtos lēmumus).</w:t>
      </w:r>
    </w:p>
    <w:p w:rsidR="007B6BD6" w:rsidRPr="00FA1E73" w:rsidRDefault="0094202F" w:rsidP="0094202F">
      <w:pPr>
        <w:spacing w:before="120"/>
        <w:jc w:val="center"/>
        <w:rPr>
          <w:b/>
          <w:sz w:val="22"/>
        </w:rPr>
      </w:pPr>
      <w:r w:rsidRPr="00530257">
        <w:rPr>
          <w:noProof/>
          <w:sz w:val="22"/>
          <w:lang w:eastAsia="lv-LV"/>
        </w:rPr>
        <mc:AlternateContent>
          <mc:Choice Requires="wpg">
            <w:drawing>
              <wp:inline distT="0" distB="0" distL="0" distR="0">
                <wp:extent cx="5886450" cy="3628339"/>
                <wp:effectExtent l="0" t="0" r="19050" b="10795"/>
                <wp:docPr id="60" name="Group 60"/>
                <wp:cNvGraphicFramePr/>
                <a:graphic xmlns:a="http://schemas.openxmlformats.org/drawingml/2006/main">
                  <a:graphicData uri="http://schemas.microsoft.com/office/word/2010/wordprocessingGroup">
                    <wpg:wgp>
                      <wpg:cNvGrpSpPr/>
                      <wpg:grpSpPr>
                        <a:xfrm>
                          <a:off x="0" y="0"/>
                          <a:ext cx="5886450" cy="3628339"/>
                          <a:chOff x="0" y="0"/>
                          <a:chExt cx="5886450" cy="3781425"/>
                        </a:xfrm>
                      </wpg:grpSpPr>
                      <wpg:grpSp>
                        <wpg:cNvPr id="61" name="Group 61"/>
                        <wpg:cNvGrpSpPr/>
                        <wpg:grpSpPr>
                          <a:xfrm>
                            <a:off x="0" y="0"/>
                            <a:ext cx="5886450" cy="3781425"/>
                            <a:chOff x="0" y="19050"/>
                            <a:chExt cx="5886450" cy="3781425"/>
                          </a:xfrm>
                        </wpg:grpSpPr>
                        <wps:wsp>
                          <wps:cNvPr id="62" name="Rectangle 62"/>
                          <wps:cNvSpPr/>
                          <wps:spPr>
                            <a:xfrm>
                              <a:off x="0" y="19050"/>
                              <a:ext cx="2800350" cy="3429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F16784" w:rsidRPr="00C178B0" w:rsidRDefault="00F16784" w:rsidP="007B6BD6">
                                <w:pPr>
                                  <w:jc w:val="center"/>
                                  <w:rPr>
                                    <w:color w:val="000000" w:themeColor="text1"/>
                                    <w:sz w:val="21"/>
                                    <w:szCs w:val="21"/>
                                  </w:rPr>
                                </w:pPr>
                                <w:r w:rsidRPr="00C178B0">
                                  <w:rPr>
                                    <w:color w:val="000000" w:themeColor="text1"/>
                                    <w:sz w:val="21"/>
                                    <w:szCs w:val="21"/>
                                  </w:rPr>
                                  <w:t>VPVB esošā struktūra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Rectangle 63"/>
                          <wps:cNvSpPr/>
                          <wps:spPr>
                            <a:xfrm>
                              <a:off x="3105150" y="19050"/>
                              <a:ext cx="2781300" cy="3429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F16784" w:rsidRPr="00C178B0" w:rsidRDefault="00F16784" w:rsidP="007B6BD6">
                                <w:pPr>
                                  <w:jc w:val="center"/>
                                  <w:rPr>
                                    <w:color w:val="000000" w:themeColor="text1"/>
                                    <w:sz w:val="21"/>
                                    <w:szCs w:val="21"/>
                                  </w:rPr>
                                </w:pPr>
                                <w:r w:rsidRPr="00C178B0">
                                  <w:rPr>
                                    <w:color w:val="000000" w:themeColor="text1"/>
                                    <w:sz w:val="21"/>
                                    <w:szCs w:val="21"/>
                                  </w:rPr>
                                  <w:t xml:space="preserve">Funkciju nodošana centrālajam aparātam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ounded Rectangle 64"/>
                          <wps:cNvSpPr/>
                          <wps:spPr>
                            <a:xfrm>
                              <a:off x="247650" y="428625"/>
                              <a:ext cx="2333625" cy="45720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Iestādes vadība (1)</w:t>
                                </w:r>
                              </w:p>
                              <w:p w:rsidR="00F16784" w:rsidRPr="0094202F" w:rsidRDefault="00F16784" w:rsidP="007B6BD6">
                                <w:pPr>
                                  <w:jc w:val="center"/>
                                  <w:rPr>
                                    <w:color w:val="000000" w:themeColor="text1"/>
                                    <w:sz w:val="20"/>
                                    <w:szCs w:val="20"/>
                                  </w:rPr>
                                </w:pPr>
                                <w:r w:rsidRPr="0094202F">
                                  <w:rPr>
                                    <w:color w:val="000000" w:themeColor="text1"/>
                                    <w:sz w:val="20"/>
                                    <w:szCs w:val="20"/>
                                  </w:rPr>
                                  <w:t>- direktors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ounded Rectangle 65"/>
                          <wps:cNvSpPr/>
                          <wps:spPr>
                            <a:xfrm>
                              <a:off x="276225" y="2324100"/>
                              <a:ext cx="2333625" cy="80010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Rūpniecisko avāriju riska novērtēšanas daļa (3) </w:t>
                                </w:r>
                              </w:p>
                              <w:p w:rsidR="00F16784" w:rsidRPr="0094202F" w:rsidRDefault="00F16784" w:rsidP="007B6BD6">
                                <w:pPr>
                                  <w:jc w:val="center"/>
                                  <w:rPr>
                                    <w:color w:val="000000" w:themeColor="text1"/>
                                    <w:sz w:val="20"/>
                                    <w:szCs w:val="20"/>
                                  </w:rPr>
                                </w:pPr>
                                <w:r w:rsidRPr="0094202F">
                                  <w:rPr>
                                    <w:color w:val="000000" w:themeColor="text1"/>
                                    <w:sz w:val="20"/>
                                    <w:szCs w:val="20"/>
                                  </w:rPr>
                                  <w:t>- vadītājs,</w:t>
                                </w:r>
                              </w:p>
                              <w:p w:rsidR="00F16784" w:rsidRPr="0094202F" w:rsidRDefault="00F16784" w:rsidP="007B6BD6">
                                <w:pPr>
                                  <w:jc w:val="center"/>
                                  <w:rPr>
                                    <w:color w:val="000000" w:themeColor="text1"/>
                                    <w:sz w:val="20"/>
                                    <w:szCs w:val="20"/>
                                  </w:rPr>
                                </w:pPr>
                                <w:r w:rsidRPr="0094202F">
                                  <w:rPr>
                                    <w:color w:val="000000" w:themeColor="text1"/>
                                    <w:sz w:val="20"/>
                                    <w:szCs w:val="20"/>
                                  </w:rPr>
                                  <w:t>- 2 darbinieki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ounded Rectangle 66"/>
                          <wps:cNvSpPr/>
                          <wps:spPr>
                            <a:xfrm>
                              <a:off x="276225" y="1628775"/>
                              <a:ext cx="2333625" cy="61912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Piesārņojuma novērtēšanas daļa (4) </w:t>
                                </w:r>
                              </w:p>
                              <w:p w:rsidR="00F16784" w:rsidRPr="0094202F" w:rsidRDefault="00F16784" w:rsidP="007B6BD6">
                                <w:pPr>
                                  <w:jc w:val="center"/>
                                  <w:rPr>
                                    <w:color w:val="000000" w:themeColor="text1"/>
                                    <w:sz w:val="20"/>
                                    <w:szCs w:val="20"/>
                                  </w:rPr>
                                </w:pPr>
                                <w:r w:rsidRPr="0094202F">
                                  <w:rPr>
                                    <w:color w:val="000000" w:themeColor="text1"/>
                                    <w:sz w:val="20"/>
                                    <w:szCs w:val="20"/>
                                  </w:rPr>
                                  <w:t>- vadītājs/direktora vietnieks,</w:t>
                                </w:r>
                              </w:p>
                              <w:p w:rsidR="00F16784" w:rsidRPr="0094202F" w:rsidRDefault="00F16784" w:rsidP="007B6BD6">
                                <w:pPr>
                                  <w:jc w:val="center"/>
                                  <w:rPr>
                                    <w:color w:val="000000" w:themeColor="text1"/>
                                    <w:sz w:val="20"/>
                                    <w:szCs w:val="20"/>
                                  </w:rPr>
                                </w:pPr>
                                <w:r w:rsidRPr="0094202F">
                                  <w:rPr>
                                    <w:color w:val="000000" w:themeColor="text1"/>
                                    <w:sz w:val="20"/>
                                    <w:szCs w:val="20"/>
                                  </w:rPr>
                                  <w:t>- 3 darbinieki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Rounded Rectangle 67"/>
                          <wps:cNvSpPr/>
                          <wps:spPr>
                            <a:xfrm>
                              <a:off x="257175" y="952500"/>
                              <a:ext cx="2333625" cy="62865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Atbalsta funkcijas (2)</w:t>
                                </w:r>
                              </w:p>
                              <w:p w:rsidR="00F16784" w:rsidRPr="0094202F" w:rsidRDefault="00F16784" w:rsidP="007B6BD6">
                                <w:pPr>
                                  <w:jc w:val="center"/>
                                  <w:rPr>
                                    <w:color w:val="000000" w:themeColor="text1"/>
                                    <w:sz w:val="20"/>
                                    <w:szCs w:val="20"/>
                                  </w:rPr>
                                </w:pPr>
                                <w:r w:rsidRPr="0094202F">
                                  <w:rPr>
                                    <w:color w:val="000000" w:themeColor="text1"/>
                                    <w:sz w:val="20"/>
                                    <w:szCs w:val="20"/>
                                  </w:rPr>
                                  <w:t xml:space="preserve"> - lietvede, </w:t>
                                </w:r>
                              </w:p>
                              <w:p w:rsidR="00F16784" w:rsidRPr="0094202F" w:rsidRDefault="00F16784" w:rsidP="007B6BD6">
                                <w:pPr>
                                  <w:jc w:val="center"/>
                                  <w:rPr>
                                    <w:color w:val="000000" w:themeColor="text1"/>
                                    <w:sz w:val="20"/>
                                    <w:szCs w:val="20"/>
                                  </w:rPr>
                                </w:pPr>
                                <w:r w:rsidRPr="0094202F">
                                  <w:rPr>
                                    <w:color w:val="000000" w:themeColor="text1"/>
                                    <w:sz w:val="20"/>
                                    <w:szCs w:val="20"/>
                                  </w:rPr>
                                  <w:t>- apkopēja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ounded Rectangle 68"/>
                          <wps:cNvSpPr/>
                          <wps:spPr>
                            <a:xfrm>
                              <a:off x="3371850" y="419100"/>
                              <a:ext cx="2343150" cy="42862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Departamenta vadība (1)</w:t>
                                </w:r>
                              </w:p>
                              <w:p w:rsidR="00F16784" w:rsidRPr="0094202F" w:rsidRDefault="00F16784" w:rsidP="007B6BD6">
                                <w:pPr>
                                  <w:jc w:val="center"/>
                                  <w:rPr>
                                    <w:color w:val="000000" w:themeColor="text1"/>
                                    <w:sz w:val="20"/>
                                    <w:szCs w:val="20"/>
                                  </w:rPr>
                                </w:pPr>
                                <w:r w:rsidRPr="0094202F">
                                  <w:rPr>
                                    <w:color w:val="000000" w:themeColor="text1"/>
                                    <w:sz w:val="20"/>
                                    <w:szCs w:val="20"/>
                                  </w:rPr>
                                  <w:t>- direktors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ounded Rectangle 69"/>
                          <wps:cNvSpPr/>
                          <wps:spPr>
                            <a:xfrm>
                              <a:off x="3390900" y="1800225"/>
                              <a:ext cx="2343150" cy="628650"/>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Ietekmes uz vidi novērtējumu daļa (8) </w:t>
                                </w:r>
                              </w:p>
                              <w:p w:rsidR="00F16784" w:rsidRPr="0094202F" w:rsidRDefault="00F16784" w:rsidP="007B6BD6">
                                <w:pPr>
                                  <w:jc w:val="center"/>
                                  <w:rPr>
                                    <w:color w:val="000000" w:themeColor="text1"/>
                                    <w:sz w:val="20"/>
                                    <w:szCs w:val="20"/>
                                  </w:rPr>
                                </w:pPr>
                                <w:r w:rsidRPr="0094202F">
                                  <w:rPr>
                                    <w:color w:val="000000" w:themeColor="text1"/>
                                    <w:sz w:val="20"/>
                                    <w:szCs w:val="20"/>
                                  </w:rPr>
                                  <w:t xml:space="preserve">- vadītājs, </w:t>
                                </w:r>
                              </w:p>
                              <w:p w:rsidR="00F16784" w:rsidRPr="0094202F" w:rsidRDefault="00F16784" w:rsidP="007B6BD6">
                                <w:pPr>
                                  <w:jc w:val="center"/>
                                  <w:rPr>
                                    <w:color w:val="000000" w:themeColor="text1"/>
                                    <w:sz w:val="20"/>
                                    <w:szCs w:val="20"/>
                                  </w:rPr>
                                </w:pPr>
                                <w:r w:rsidRPr="0094202F">
                                  <w:rPr>
                                    <w:color w:val="000000" w:themeColor="text1"/>
                                    <w:sz w:val="20"/>
                                    <w:szCs w:val="20"/>
                                  </w:rPr>
                                  <w:t>- 7 darbinieki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Rounded Rectangle 70"/>
                          <wps:cNvSpPr/>
                          <wps:spPr>
                            <a:xfrm>
                              <a:off x="3381375" y="914400"/>
                              <a:ext cx="2343150" cy="80962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Piesārņojuma un rūpniecisko avāriju riska novērtēšanas daļa (7)</w:t>
                                </w:r>
                              </w:p>
                              <w:p w:rsidR="00F16784" w:rsidRPr="0094202F" w:rsidRDefault="00F16784" w:rsidP="007B6BD6">
                                <w:pPr>
                                  <w:jc w:val="center"/>
                                  <w:rPr>
                                    <w:color w:val="000000" w:themeColor="text1"/>
                                    <w:sz w:val="20"/>
                                    <w:szCs w:val="20"/>
                                  </w:rPr>
                                </w:pPr>
                                <w:r w:rsidRPr="0094202F">
                                  <w:rPr>
                                    <w:color w:val="000000" w:themeColor="text1"/>
                                    <w:sz w:val="20"/>
                                    <w:szCs w:val="20"/>
                                  </w:rPr>
                                  <w:t>- vadītāja,</w:t>
                                </w:r>
                              </w:p>
                              <w:p w:rsidR="00F16784" w:rsidRPr="0094202F" w:rsidRDefault="00F16784" w:rsidP="007B6BD6">
                                <w:pPr>
                                  <w:jc w:val="center"/>
                                  <w:rPr>
                                    <w:color w:val="000000" w:themeColor="text1"/>
                                    <w:sz w:val="20"/>
                                    <w:szCs w:val="20"/>
                                  </w:rPr>
                                </w:pPr>
                                <w:r w:rsidRPr="0094202F">
                                  <w:rPr>
                                    <w:color w:val="000000" w:themeColor="text1"/>
                                    <w:sz w:val="20"/>
                                    <w:szCs w:val="20"/>
                                  </w:rPr>
                                  <w:t>- 6 darbinieki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ounded Rectangle 71"/>
                          <wps:cNvSpPr/>
                          <wps:spPr>
                            <a:xfrm>
                              <a:off x="285750" y="3200400"/>
                              <a:ext cx="2333625" cy="600075"/>
                            </a:xfrm>
                            <a:prstGeom prst="roundRect">
                              <a:avLst/>
                            </a:prstGeom>
                            <a:ln/>
                          </wps:spPr>
                          <wps:style>
                            <a:lnRef idx="2">
                              <a:schemeClr val="accent6"/>
                            </a:lnRef>
                            <a:fillRef idx="1">
                              <a:schemeClr val="lt1"/>
                            </a:fillRef>
                            <a:effectRef idx="0">
                              <a:schemeClr val="accent6"/>
                            </a:effectRef>
                            <a:fontRef idx="minor">
                              <a:schemeClr val="dk1"/>
                            </a:fontRef>
                          </wps:style>
                          <wps:txb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Ietekmes uz vidi novērtējumu daļa (8) </w:t>
                                </w:r>
                              </w:p>
                              <w:p w:rsidR="00F16784" w:rsidRPr="0094202F" w:rsidRDefault="00F16784" w:rsidP="007B6BD6">
                                <w:pPr>
                                  <w:jc w:val="center"/>
                                  <w:rPr>
                                    <w:color w:val="000000" w:themeColor="text1"/>
                                    <w:sz w:val="20"/>
                                    <w:szCs w:val="20"/>
                                  </w:rPr>
                                </w:pPr>
                                <w:r w:rsidRPr="0094202F">
                                  <w:rPr>
                                    <w:color w:val="000000" w:themeColor="text1"/>
                                    <w:sz w:val="20"/>
                                    <w:szCs w:val="20"/>
                                  </w:rPr>
                                  <w:t xml:space="preserve">- vadītājs, </w:t>
                                </w:r>
                              </w:p>
                              <w:p w:rsidR="00F16784" w:rsidRPr="0094202F" w:rsidRDefault="00F16784" w:rsidP="007B6BD6">
                                <w:pPr>
                                  <w:jc w:val="center"/>
                                  <w:rPr>
                                    <w:color w:val="000000" w:themeColor="text1"/>
                                    <w:sz w:val="20"/>
                                    <w:szCs w:val="20"/>
                                  </w:rPr>
                                </w:pPr>
                                <w:r w:rsidRPr="0094202F">
                                  <w:rPr>
                                    <w:color w:val="000000" w:themeColor="text1"/>
                                    <w:sz w:val="20"/>
                                    <w:szCs w:val="20"/>
                                  </w:rPr>
                                  <w:t>- 7 darbinieki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 name="Elbow Connector 74"/>
                          <wps:cNvCnPr>
                            <a:stCxn id="66" idx="3"/>
                          </wps:cNvCnPr>
                          <wps:spPr>
                            <a:xfrm flipV="1">
                              <a:off x="2609850" y="1181100"/>
                              <a:ext cx="771525" cy="757238"/>
                            </a:xfrm>
                            <a:prstGeom prst="bentConnector3">
                              <a:avLst>
                                <a:gd name="adj1" fmla="val 38889"/>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 name="Elbow Connector 76"/>
                          <wps:cNvCnPr/>
                          <wps:spPr>
                            <a:xfrm flipV="1">
                              <a:off x="2619375" y="1514475"/>
                              <a:ext cx="771525" cy="1200150"/>
                            </a:xfrm>
                            <a:prstGeom prst="bentConnector3">
                              <a:avLst>
                                <a:gd name="adj1" fmla="val 57407"/>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 name="Elbow Connector 77"/>
                          <wps:cNvCnPr/>
                          <wps:spPr>
                            <a:xfrm flipV="1">
                              <a:off x="2619375" y="2114550"/>
                              <a:ext cx="781050" cy="1409700"/>
                            </a:xfrm>
                            <a:prstGeom prst="bentConnector3">
                              <a:avLst>
                                <a:gd name="adj1" fmla="val 73171"/>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78" name="Right Arrow 78"/>
                        <wps:cNvSpPr/>
                        <wps:spPr>
                          <a:xfrm>
                            <a:off x="2847975" y="114300"/>
                            <a:ext cx="219075" cy="133350"/>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60" o:spid="_x0000_s1026" style="width:463.5pt;height:285.7pt;mso-position-horizontal-relative:char;mso-position-vertical-relative:line" coordsize="58864,37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">
                <v:group id="Group 61" o:spid="_x0000_s1027" style="position:absolute;width:58864;height:37814" coordorigin=",190" coordsize="58864,37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62" o:spid="_x0000_s1028" style="position:absolute;top:190;width:2800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rsidR="00F16784" w:rsidRPr="00C178B0" w:rsidRDefault="00F16784" w:rsidP="007B6BD6">
                          <w:pPr>
                            <w:jc w:val="center"/>
                            <w:rPr>
                              <w:color w:val="000000" w:themeColor="text1"/>
                              <w:sz w:val="21"/>
                              <w:szCs w:val="21"/>
                            </w:rPr>
                          </w:pPr>
                          <w:r w:rsidRPr="00C178B0">
                            <w:rPr>
                              <w:color w:val="000000" w:themeColor="text1"/>
                              <w:sz w:val="21"/>
                              <w:szCs w:val="21"/>
                            </w:rPr>
                            <w:t>VPVB esošā struktūra</w:t>
                          </w:r>
                        </w:p>
                      </w:txbxContent>
                    </v:textbox>
                  </v:rect>
                  <v:rect id="Rectangle 63" o:spid="_x0000_s1029" style="position:absolute;left:31051;top:190;width:27813;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" fillcolor="#9ecb81 [2169]" strokecolor="#70ad47 [3209]" strokeweight=".5pt">
                    <v:fill color2="#8ac066 [2617]" rotate="t" colors="0 #b5d5a7;.5 #aace99;1 #9cca86" focus="100%" type="gradient">
                      <o:fill v:ext="view" type="gradientUnscaled"/>
                    </v:fill>
                    <v:textbox>
                      <w:txbxContent>
                        <w:p w:rsidR="00F16784" w:rsidRPr="00C178B0" w:rsidRDefault="00F16784" w:rsidP="007B6BD6">
                          <w:pPr>
                            <w:jc w:val="center"/>
                            <w:rPr>
                              <w:color w:val="000000" w:themeColor="text1"/>
                              <w:sz w:val="21"/>
                              <w:szCs w:val="21"/>
                            </w:rPr>
                          </w:pPr>
                          <w:r w:rsidRPr="00C178B0">
                            <w:rPr>
                              <w:color w:val="000000" w:themeColor="text1"/>
                              <w:sz w:val="21"/>
                              <w:szCs w:val="21"/>
                            </w:rPr>
                            <w:t xml:space="preserve">Funkciju nodošana centrālajam aparātam </w:t>
                          </w:r>
                        </w:p>
                      </w:txbxContent>
                    </v:textbox>
                  </v:rect>
                  <v:roundrect id="Rounded Rectangle 64" o:spid="_x0000_s1030" style="position:absolute;left:2476;top:4286;width:23336;height:4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Iestādes vadība (1)</w:t>
                          </w:r>
                        </w:p>
                        <w:p w:rsidR="00F16784" w:rsidRPr="0094202F" w:rsidRDefault="00F16784" w:rsidP="007B6BD6">
                          <w:pPr>
                            <w:jc w:val="center"/>
                            <w:rPr>
                              <w:color w:val="000000" w:themeColor="text1"/>
                              <w:sz w:val="20"/>
                              <w:szCs w:val="20"/>
                            </w:rPr>
                          </w:pPr>
                          <w:r w:rsidRPr="0094202F">
                            <w:rPr>
                              <w:color w:val="000000" w:themeColor="text1"/>
                              <w:sz w:val="20"/>
                              <w:szCs w:val="20"/>
                            </w:rPr>
                            <w:t>- direktors</w:t>
                          </w:r>
                        </w:p>
                      </w:txbxContent>
                    </v:textbox>
                  </v:roundrect>
                  <v:roundrect id="Rounded Rectangle 65" o:spid="_x0000_s1031" style="position:absolute;left:2762;top:23241;width:23336;height:8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Rūpniecisko avāriju riska novērtēšanas daļa (3) </w:t>
                          </w:r>
                        </w:p>
                        <w:p w:rsidR="00F16784" w:rsidRPr="0094202F" w:rsidRDefault="00F16784" w:rsidP="007B6BD6">
                          <w:pPr>
                            <w:jc w:val="center"/>
                            <w:rPr>
                              <w:color w:val="000000" w:themeColor="text1"/>
                              <w:sz w:val="20"/>
                              <w:szCs w:val="20"/>
                            </w:rPr>
                          </w:pPr>
                          <w:r w:rsidRPr="0094202F">
                            <w:rPr>
                              <w:color w:val="000000" w:themeColor="text1"/>
                              <w:sz w:val="20"/>
                              <w:szCs w:val="20"/>
                            </w:rPr>
                            <w:t>- vadītājs,</w:t>
                          </w:r>
                        </w:p>
                        <w:p w:rsidR="00F16784" w:rsidRPr="0094202F" w:rsidRDefault="00F16784" w:rsidP="007B6BD6">
                          <w:pPr>
                            <w:jc w:val="center"/>
                            <w:rPr>
                              <w:color w:val="000000" w:themeColor="text1"/>
                              <w:sz w:val="20"/>
                              <w:szCs w:val="20"/>
                            </w:rPr>
                          </w:pPr>
                          <w:r w:rsidRPr="0094202F">
                            <w:rPr>
                              <w:color w:val="000000" w:themeColor="text1"/>
                              <w:sz w:val="20"/>
                              <w:szCs w:val="20"/>
                            </w:rPr>
                            <w:t>- 2 darbinieki</w:t>
                          </w:r>
                        </w:p>
                      </w:txbxContent>
                    </v:textbox>
                  </v:roundrect>
                  <v:roundrect id="Rounded Rectangle 66" o:spid="_x0000_s1032" style="position:absolute;left:2762;top:16287;width:23336;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Piesārņojuma novērtēšanas daļa (4) </w:t>
                          </w:r>
                        </w:p>
                        <w:p w:rsidR="00F16784" w:rsidRPr="0094202F" w:rsidRDefault="00F16784" w:rsidP="007B6BD6">
                          <w:pPr>
                            <w:jc w:val="center"/>
                            <w:rPr>
                              <w:color w:val="000000" w:themeColor="text1"/>
                              <w:sz w:val="20"/>
                              <w:szCs w:val="20"/>
                            </w:rPr>
                          </w:pPr>
                          <w:r w:rsidRPr="0094202F">
                            <w:rPr>
                              <w:color w:val="000000" w:themeColor="text1"/>
                              <w:sz w:val="20"/>
                              <w:szCs w:val="20"/>
                            </w:rPr>
                            <w:t>- vadītājs/direktora vietnieks,</w:t>
                          </w:r>
                        </w:p>
                        <w:p w:rsidR="00F16784" w:rsidRPr="0094202F" w:rsidRDefault="00F16784" w:rsidP="007B6BD6">
                          <w:pPr>
                            <w:jc w:val="center"/>
                            <w:rPr>
                              <w:color w:val="000000" w:themeColor="text1"/>
                              <w:sz w:val="20"/>
                              <w:szCs w:val="20"/>
                            </w:rPr>
                          </w:pPr>
                          <w:r w:rsidRPr="0094202F">
                            <w:rPr>
                              <w:color w:val="000000" w:themeColor="text1"/>
                              <w:sz w:val="20"/>
                              <w:szCs w:val="20"/>
                            </w:rPr>
                            <w:t>- 3 darbinieki</w:t>
                          </w:r>
                        </w:p>
                      </w:txbxContent>
                    </v:textbox>
                  </v:roundrect>
                  <v:roundrect id="Rounded Rectangle 67" o:spid="_x0000_s1033" style="position:absolute;left:2571;top:9525;width:23337;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Atbalsta funkcijas (2)</w:t>
                          </w:r>
                        </w:p>
                        <w:p w:rsidR="00F16784" w:rsidRPr="0094202F" w:rsidRDefault="00F16784" w:rsidP="007B6BD6">
                          <w:pPr>
                            <w:jc w:val="center"/>
                            <w:rPr>
                              <w:color w:val="000000" w:themeColor="text1"/>
                              <w:sz w:val="20"/>
                              <w:szCs w:val="20"/>
                            </w:rPr>
                          </w:pPr>
                          <w:r w:rsidRPr="0094202F">
                            <w:rPr>
                              <w:color w:val="000000" w:themeColor="text1"/>
                              <w:sz w:val="20"/>
                              <w:szCs w:val="20"/>
                            </w:rPr>
                            <w:t xml:space="preserve"> - lietvede, </w:t>
                          </w:r>
                        </w:p>
                        <w:p w:rsidR="00F16784" w:rsidRPr="0094202F" w:rsidRDefault="00F16784" w:rsidP="007B6BD6">
                          <w:pPr>
                            <w:jc w:val="center"/>
                            <w:rPr>
                              <w:color w:val="000000" w:themeColor="text1"/>
                              <w:sz w:val="20"/>
                              <w:szCs w:val="20"/>
                            </w:rPr>
                          </w:pPr>
                          <w:r w:rsidRPr="0094202F">
                            <w:rPr>
                              <w:color w:val="000000" w:themeColor="text1"/>
                              <w:sz w:val="20"/>
                              <w:szCs w:val="20"/>
                            </w:rPr>
                            <w:t>- apkopēja</w:t>
                          </w:r>
                        </w:p>
                      </w:txbxContent>
                    </v:textbox>
                  </v:roundrect>
                  <v:roundrect id="Rounded Rectangle 68" o:spid="_x0000_s1034" style="position:absolute;left:33718;top:4191;width:23432;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Departamenta vadība (1)</w:t>
                          </w:r>
                        </w:p>
                        <w:p w:rsidR="00F16784" w:rsidRPr="0094202F" w:rsidRDefault="00F16784" w:rsidP="007B6BD6">
                          <w:pPr>
                            <w:jc w:val="center"/>
                            <w:rPr>
                              <w:color w:val="000000" w:themeColor="text1"/>
                              <w:sz w:val="20"/>
                              <w:szCs w:val="20"/>
                            </w:rPr>
                          </w:pPr>
                          <w:r w:rsidRPr="0094202F">
                            <w:rPr>
                              <w:color w:val="000000" w:themeColor="text1"/>
                              <w:sz w:val="20"/>
                              <w:szCs w:val="20"/>
                            </w:rPr>
                            <w:t>- direktors</w:t>
                          </w:r>
                        </w:p>
                      </w:txbxContent>
                    </v:textbox>
                  </v:roundrect>
                  <v:roundrect id="Rounded Rectangle 69" o:spid="_x0000_s1035" style="position:absolute;left:33909;top:18002;width:23431;height:6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Ietekmes uz vidi novērtējumu daļa (8) </w:t>
                          </w:r>
                        </w:p>
                        <w:p w:rsidR="00F16784" w:rsidRPr="0094202F" w:rsidRDefault="00F16784" w:rsidP="007B6BD6">
                          <w:pPr>
                            <w:jc w:val="center"/>
                            <w:rPr>
                              <w:color w:val="000000" w:themeColor="text1"/>
                              <w:sz w:val="20"/>
                              <w:szCs w:val="20"/>
                            </w:rPr>
                          </w:pPr>
                          <w:r w:rsidRPr="0094202F">
                            <w:rPr>
                              <w:color w:val="000000" w:themeColor="text1"/>
                              <w:sz w:val="20"/>
                              <w:szCs w:val="20"/>
                            </w:rPr>
                            <w:t xml:space="preserve">- vadītājs, </w:t>
                          </w:r>
                        </w:p>
                        <w:p w:rsidR="00F16784" w:rsidRPr="0094202F" w:rsidRDefault="00F16784" w:rsidP="007B6BD6">
                          <w:pPr>
                            <w:jc w:val="center"/>
                            <w:rPr>
                              <w:color w:val="000000" w:themeColor="text1"/>
                              <w:sz w:val="20"/>
                              <w:szCs w:val="20"/>
                            </w:rPr>
                          </w:pPr>
                          <w:r w:rsidRPr="0094202F">
                            <w:rPr>
                              <w:color w:val="000000" w:themeColor="text1"/>
                              <w:sz w:val="20"/>
                              <w:szCs w:val="20"/>
                            </w:rPr>
                            <w:t>- 7 darbinieki</w:t>
                          </w:r>
                        </w:p>
                      </w:txbxContent>
                    </v:textbox>
                  </v:roundrect>
                  <v:roundrect id="Rounded Rectangle 70" o:spid="_x0000_s1036" style="position:absolute;left:33813;top:9144;width:23432;height:8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Piesārņojuma un rūpniecisko avāriju riska novērtēšanas daļa (7)</w:t>
                          </w:r>
                        </w:p>
                        <w:p w:rsidR="00F16784" w:rsidRPr="0094202F" w:rsidRDefault="00F16784" w:rsidP="007B6BD6">
                          <w:pPr>
                            <w:jc w:val="center"/>
                            <w:rPr>
                              <w:color w:val="000000" w:themeColor="text1"/>
                              <w:sz w:val="20"/>
                              <w:szCs w:val="20"/>
                            </w:rPr>
                          </w:pPr>
                          <w:r w:rsidRPr="0094202F">
                            <w:rPr>
                              <w:color w:val="000000" w:themeColor="text1"/>
                              <w:sz w:val="20"/>
                              <w:szCs w:val="20"/>
                            </w:rPr>
                            <w:t>- vadītāja,</w:t>
                          </w:r>
                        </w:p>
                        <w:p w:rsidR="00F16784" w:rsidRPr="0094202F" w:rsidRDefault="00F16784" w:rsidP="007B6BD6">
                          <w:pPr>
                            <w:jc w:val="center"/>
                            <w:rPr>
                              <w:color w:val="000000" w:themeColor="text1"/>
                              <w:sz w:val="20"/>
                              <w:szCs w:val="20"/>
                            </w:rPr>
                          </w:pPr>
                          <w:r w:rsidRPr="0094202F">
                            <w:rPr>
                              <w:color w:val="000000" w:themeColor="text1"/>
                              <w:sz w:val="20"/>
                              <w:szCs w:val="20"/>
                            </w:rPr>
                            <w:t>- 6 darbinieki</w:t>
                          </w:r>
                        </w:p>
                      </w:txbxContent>
                    </v:textbox>
                  </v:roundrect>
                  <v:roundrect id="Rounded Rectangle 71" o:spid="_x0000_s1037" style="position:absolute;left:2857;top:32004;width:23336;height:6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" fillcolor="white [3201]" strokecolor="#70ad47 [3209]" strokeweight="1pt">
                    <v:stroke joinstyle="miter"/>
                    <v:textbox>
                      <w:txbxContent>
                        <w:p w:rsidR="00F16784" w:rsidRPr="0094202F" w:rsidRDefault="00F16784" w:rsidP="007B6BD6">
                          <w:pPr>
                            <w:jc w:val="center"/>
                            <w:rPr>
                              <w:color w:val="000000" w:themeColor="text1"/>
                              <w:sz w:val="20"/>
                              <w:szCs w:val="20"/>
                            </w:rPr>
                          </w:pPr>
                          <w:r w:rsidRPr="0094202F">
                            <w:rPr>
                              <w:color w:val="000000" w:themeColor="text1"/>
                              <w:sz w:val="20"/>
                              <w:szCs w:val="20"/>
                            </w:rPr>
                            <w:t xml:space="preserve">Ietekmes uz vidi novērtējumu daļa (8) </w:t>
                          </w:r>
                        </w:p>
                        <w:p w:rsidR="00F16784" w:rsidRPr="0094202F" w:rsidRDefault="00F16784" w:rsidP="007B6BD6">
                          <w:pPr>
                            <w:jc w:val="center"/>
                            <w:rPr>
                              <w:color w:val="000000" w:themeColor="text1"/>
                              <w:sz w:val="20"/>
                              <w:szCs w:val="20"/>
                            </w:rPr>
                          </w:pPr>
                          <w:r w:rsidRPr="0094202F">
                            <w:rPr>
                              <w:color w:val="000000" w:themeColor="text1"/>
                              <w:sz w:val="20"/>
                              <w:szCs w:val="20"/>
                            </w:rPr>
                            <w:t xml:space="preserve">- vadītājs, </w:t>
                          </w:r>
                        </w:p>
                        <w:p w:rsidR="00F16784" w:rsidRPr="0094202F" w:rsidRDefault="00F16784" w:rsidP="007B6BD6">
                          <w:pPr>
                            <w:jc w:val="center"/>
                            <w:rPr>
                              <w:color w:val="000000" w:themeColor="text1"/>
                              <w:sz w:val="20"/>
                              <w:szCs w:val="20"/>
                            </w:rPr>
                          </w:pPr>
                          <w:r w:rsidRPr="0094202F">
                            <w:rPr>
                              <w:color w:val="000000" w:themeColor="text1"/>
                              <w:sz w:val="20"/>
                              <w:szCs w:val="20"/>
                            </w:rPr>
                            <w:t>- 7 darbinieki</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4" o:spid="_x0000_s1038" type="#_x0000_t34" style="position:absolute;left:26098;top:11811;width:7715;height:757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" adj="8400" strokecolor="#c00000" strokeweight="1.5pt">
                    <v:stroke endarrow="block"/>
                  </v:shape>
                  <v:shape id="Elbow Connector 76" o:spid="_x0000_s1039" type="#_x0000_t34" style="position:absolute;left:26193;top:15144;width:7716;height:1200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" adj="12400" strokecolor="#c00000" strokeweight="1.5pt">
                    <v:stroke endarrow="block"/>
                  </v:shape>
                  <v:shape id="Elbow Connector 77" o:spid="_x0000_s1040" type="#_x0000_t34" style="position:absolute;left:26193;top:21145;width:7811;height:1409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" adj="15805" strokecolor="#c00000" strokeweight="1.5pt">
                    <v:stroke endarrow="block"/>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8" o:spid="_x0000_s1041" type="#_x0000_t13" style="position:absolute;left:28479;top:1143;width:2191;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" adj="15026" fillcolor="#c00000" strokecolor="#c00000" strokeweight="1pt"/>
                <w10:anchorlock/>
              </v:group>
            </w:pict>
          </mc:Fallback>
        </mc:AlternateContent>
      </w:r>
      <w:r w:rsidR="007B6BD6" w:rsidRPr="00530257">
        <w:rPr>
          <w:noProof/>
          <w:lang w:eastAsia="lv-LV"/>
        </w:rPr>
        <mc:AlternateContent>
          <mc:Choice Requires="wps">
            <w:drawing>
              <wp:anchor distT="0" distB="0" distL="114300" distR="114300" simplePos="0" relativeHeight="251691008" behindDoc="0" locked="0" layoutInCell="1" allowOverlap="1" wp14:anchorId="435665FE" wp14:editId="64939A23">
                <wp:simplePos x="0" y="0"/>
                <wp:positionH relativeFrom="page">
                  <wp:posOffset>3667125</wp:posOffset>
                </wp:positionH>
                <wp:positionV relativeFrom="paragraph">
                  <wp:posOffset>598805</wp:posOffset>
                </wp:positionV>
                <wp:extent cx="800100" cy="45719"/>
                <wp:effectExtent l="19050" t="76200" r="0" b="50165"/>
                <wp:wrapNone/>
                <wp:docPr id="158" name="Elbow Connector 158"/>
                <wp:cNvGraphicFramePr/>
                <a:graphic xmlns:a="http://schemas.openxmlformats.org/drawingml/2006/main">
                  <a:graphicData uri="http://schemas.microsoft.com/office/word/2010/wordprocessingShape">
                    <wps:wsp>
                      <wps:cNvCnPr/>
                      <wps:spPr>
                        <a:xfrm flipV="1">
                          <a:off x="0" y="0"/>
                          <a:ext cx="800100" cy="45719"/>
                        </a:xfrm>
                        <a:prstGeom prst="bentConnector3">
                          <a:avLst>
                            <a:gd name="adj1" fmla="val -162"/>
                          </a:avLst>
                        </a:prstGeom>
                        <a:ln w="1905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5A3923" id="Elbow Connector 158" o:spid="_x0000_s1026" type="#_x0000_t34" style="position:absolute;margin-left:288.75pt;margin-top:47.15pt;width:63pt;height:3.6pt;flip:y;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" adj="-35" strokecolor="#c00000" strokeweight="1.5pt">
                <v:stroke endarrow="block"/>
                <w10:wrap anchorx="page"/>
              </v:shape>
            </w:pict>
          </mc:Fallback>
        </mc:AlternateContent>
      </w:r>
      <w:r w:rsidR="004C75EF" w:rsidRPr="00530257">
        <w:rPr>
          <w:i/>
          <w:sz w:val="22"/>
        </w:rPr>
        <w:t>3.15</w:t>
      </w:r>
      <w:r w:rsidR="007B6BD6" w:rsidRPr="00530257">
        <w:rPr>
          <w:i/>
          <w:sz w:val="22"/>
        </w:rPr>
        <w:t xml:space="preserve">.att. </w:t>
      </w:r>
      <w:r w:rsidR="007B6BD6" w:rsidRPr="00530257">
        <w:rPr>
          <w:b/>
          <w:sz w:val="22"/>
        </w:rPr>
        <w:t>VPVB</w:t>
      </w:r>
      <w:r w:rsidR="007B6BD6" w:rsidRPr="007B6BD6">
        <w:rPr>
          <w:b/>
          <w:sz w:val="22"/>
        </w:rPr>
        <w:t xml:space="preserve"> reorganizācijas potenciālais risinājums</w:t>
      </w:r>
    </w:p>
    <w:p w:rsidR="007B6BD6" w:rsidRDefault="007B6BD6" w:rsidP="007B6BD6">
      <w:pPr>
        <w:jc w:val="both"/>
        <w:rPr>
          <w:b/>
        </w:rPr>
      </w:pPr>
    </w:p>
    <w:p w:rsidR="007B6BD6" w:rsidRDefault="007B6BD6" w:rsidP="007B6BD6">
      <w:pPr>
        <w:ind w:firstLine="720"/>
        <w:jc w:val="both"/>
      </w:pPr>
      <w:r w:rsidRPr="000A3593">
        <w:t xml:space="preserve">Gadījumā, ja VPVB reorganizē par VARAM centrālā aparāta struktūrvienību (departamentu) kā norādīts </w:t>
      </w:r>
      <w:r w:rsidR="00522EAE">
        <w:t>3.15</w:t>
      </w:r>
      <w:r w:rsidRPr="000A3593">
        <w:t>.attēlā, tad reorganizācijas rezultātā iespējams ietaupīt vismaz tos resursus, kas tiek novirzīti iestādes atbalsta funkciju iesaistīto darbinieku darba algas un valsts sociālās apdrošināšanas obligāto iemaksu nodrošināšanai. Vienlaikus ņemot vērā, ka potenciāli atbrīvojamie resursi ir saistīti ar cilvēkresursiem, tad jāņem vērā, ka to izmantošana būtu iespējama gadu vēlāk nekā veiktas attiecīgās darbības attiecībā uz iestādes restrukturizēšanu.</w:t>
      </w:r>
    </w:p>
    <w:p w:rsidR="007B6BD6" w:rsidRDefault="00530257" w:rsidP="007B6BD6">
      <w:pPr>
        <w:spacing w:before="120"/>
        <w:ind w:firstLine="720"/>
        <w:jc w:val="right"/>
      </w:pPr>
      <w:r w:rsidRPr="00530257">
        <w:t>Tabula Nr.3.19.</w:t>
      </w:r>
    </w:p>
    <w:p w:rsidR="007B6BD6" w:rsidRPr="00714FEC" w:rsidRDefault="007B6BD6" w:rsidP="007B6BD6">
      <w:pPr>
        <w:spacing w:before="120" w:after="120"/>
        <w:jc w:val="center"/>
        <w:rPr>
          <w:b/>
        </w:rPr>
      </w:pPr>
      <w:r w:rsidRPr="007B6BD6">
        <w:rPr>
          <w:b/>
        </w:rPr>
        <w:t xml:space="preserve">VPVB atbalsta funkciju īstenošanai novirzītais finansējums, </w:t>
      </w:r>
      <w:r w:rsidRPr="007B6BD6">
        <w:rPr>
          <w:b/>
          <w:i/>
        </w:rPr>
        <w:t>euro</w:t>
      </w:r>
      <w:r w:rsidRPr="007B6BD6">
        <w:rPr>
          <w:rStyle w:val="FootnoteReference"/>
          <w:b/>
          <w:i/>
        </w:rPr>
        <w:footnoteReference w:id="36"/>
      </w:r>
    </w:p>
    <w:tbl>
      <w:tblPr>
        <w:tblW w:w="5000" w:type="pct"/>
        <w:jc w:val="center"/>
        <w:tblLook w:val="04A0" w:firstRow="1" w:lastRow="0" w:firstColumn="1" w:lastColumn="0" w:noHBand="0" w:noVBand="1"/>
      </w:tblPr>
      <w:tblGrid>
        <w:gridCol w:w="3517"/>
        <w:gridCol w:w="2269"/>
        <w:gridCol w:w="3275"/>
      </w:tblGrid>
      <w:tr w:rsidR="007B6BD6" w:rsidRPr="00714FEC" w:rsidTr="00EA3376">
        <w:trPr>
          <w:trHeight w:val="565"/>
          <w:jc w:val="center"/>
        </w:trPr>
        <w:tc>
          <w:tcPr>
            <w:tcW w:w="1941" w:type="pct"/>
            <w:tcBorders>
              <w:top w:val="single" w:sz="4" w:space="0" w:color="auto"/>
              <w:left w:val="single" w:sz="4" w:space="0" w:color="auto"/>
              <w:bottom w:val="single" w:sz="4" w:space="0" w:color="auto"/>
              <w:right w:val="single" w:sz="4" w:space="0" w:color="auto"/>
            </w:tcBorders>
            <w:shd w:val="clear" w:color="000000" w:fill="C6E0B4"/>
            <w:vAlign w:val="center"/>
            <w:hideMark/>
          </w:tcPr>
          <w:p w:rsidR="007B6BD6" w:rsidRPr="00714FEC" w:rsidRDefault="007B6BD6" w:rsidP="00EA3376">
            <w:pPr>
              <w:jc w:val="center"/>
              <w:rPr>
                <w:rFonts w:eastAsia="Times New Roman" w:cs="Times New Roman"/>
                <w:b/>
                <w:color w:val="000000"/>
                <w:sz w:val="21"/>
                <w:szCs w:val="21"/>
                <w:lang w:eastAsia="lv-LV"/>
              </w:rPr>
            </w:pPr>
            <w:r w:rsidRPr="00714FEC">
              <w:rPr>
                <w:rFonts w:eastAsia="Times New Roman" w:cs="Times New Roman"/>
                <w:b/>
                <w:color w:val="000000"/>
                <w:sz w:val="21"/>
                <w:szCs w:val="21"/>
                <w:lang w:eastAsia="lv-LV"/>
              </w:rPr>
              <w:t>Amats</w:t>
            </w:r>
          </w:p>
        </w:tc>
        <w:tc>
          <w:tcPr>
            <w:tcW w:w="1252" w:type="pct"/>
            <w:tcBorders>
              <w:top w:val="single" w:sz="4" w:space="0" w:color="auto"/>
              <w:left w:val="nil"/>
              <w:bottom w:val="single" w:sz="4" w:space="0" w:color="auto"/>
              <w:right w:val="single" w:sz="4" w:space="0" w:color="auto"/>
            </w:tcBorders>
            <w:shd w:val="clear" w:color="000000" w:fill="C6E0B4"/>
            <w:vAlign w:val="center"/>
            <w:hideMark/>
          </w:tcPr>
          <w:p w:rsidR="007B6BD6" w:rsidRPr="00714FEC" w:rsidRDefault="007B6BD6" w:rsidP="00EA3376">
            <w:pPr>
              <w:jc w:val="center"/>
              <w:rPr>
                <w:rFonts w:eastAsia="Times New Roman" w:cs="Times New Roman"/>
                <w:b/>
                <w:color w:val="000000"/>
                <w:sz w:val="21"/>
                <w:szCs w:val="21"/>
                <w:lang w:eastAsia="lv-LV"/>
              </w:rPr>
            </w:pPr>
            <w:r w:rsidRPr="00714FEC">
              <w:rPr>
                <w:rFonts w:eastAsia="Times New Roman" w:cs="Times New Roman"/>
                <w:b/>
                <w:color w:val="000000"/>
                <w:sz w:val="21"/>
                <w:szCs w:val="21"/>
                <w:lang w:eastAsia="lv-LV"/>
              </w:rPr>
              <w:t xml:space="preserve">Darba alga mēnesī, </w:t>
            </w:r>
            <w:r w:rsidRPr="00A673E8">
              <w:rPr>
                <w:rFonts w:eastAsia="Times New Roman" w:cs="Times New Roman"/>
                <w:b/>
                <w:i/>
                <w:color w:val="000000"/>
                <w:sz w:val="21"/>
                <w:szCs w:val="21"/>
                <w:lang w:eastAsia="lv-LV"/>
              </w:rPr>
              <w:t>euro</w:t>
            </w:r>
          </w:p>
        </w:tc>
        <w:tc>
          <w:tcPr>
            <w:tcW w:w="1807" w:type="pct"/>
            <w:tcBorders>
              <w:top w:val="single" w:sz="4" w:space="0" w:color="auto"/>
              <w:left w:val="nil"/>
              <w:bottom w:val="single" w:sz="4" w:space="0" w:color="auto"/>
              <w:right w:val="single" w:sz="4" w:space="0" w:color="auto"/>
            </w:tcBorders>
            <w:shd w:val="clear" w:color="000000" w:fill="C6E0B4"/>
            <w:vAlign w:val="center"/>
            <w:hideMark/>
          </w:tcPr>
          <w:p w:rsidR="007B6BD6" w:rsidRPr="00714FEC" w:rsidRDefault="007B6BD6" w:rsidP="00EA3376">
            <w:pPr>
              <w:jc w:val="center"/>
              <w:rPr>
                <w:rFonts w:eastAsia="Times New Roman" w:cs="Times New Roman"/>
                <w:b/>
                <w:color w:val="000000"/>
                <w:sz w:val="21"/>
                <w:szCs w:val="21"/>
                <w:lang w:eastAsia="lv-LV"/>
              </w:rPr>
            </w:pPr>
            <w:r w:rsidRPr="00714FEC">
              <w:rPr>
                <w:rFonts w:eastAsia="Times New Roman" w:cs="Times New Roman"/>
                <w:b/>
                <w:color w:val="000000"/>
                <w:sz w:val="21"/>
                <w:szCs w:val="21"/>
                <w:lang w:eastAsia="lv-LV"/>
              </w:rPr>
              <w:t xml:space="preserve">Darba algai un VSAOI novirzāmais finansējums gadā, </w:t>
            </w:r>
            <w:r w:rsidRPr="00A673E8">
              <w:rPr>
                <w:rFonts w:eastAsia="Times New Roman" w:cs="Times New Roman"/>
                <w:b/>
                <w:i/>
                <w:color w:val="000000"/>
                <w:sz w:val="21"/>
                <w:szCs w:val="21"/>
                <w:lang w:eastAsia="lv-LV"/>
              </w:rPr>
              <w:t>euro</w:t>
            </w:r>
          </w:p>
        </w:tc>
      </w:tr>
      <w:tr w:rsidR="007B6BD6" w:rsidRPr="00714FEC" w:rsidTr="00EA3376">
        <w:trPr>
          <w:trHeight w:val="104"/>
          <w:jc w:val="center"/>
        </w:trPr>
        <w:tc>
          <w:tcPr>
            <w:tcW w:w="1941" w:type="pct"/>
            <w:tcBorders>
              <w:top w:val="nil"/>
              <w:left w:val="single" w:sz="4" w:space="0" w:color="auto"/>
              <w:bottom w:val="single" w:sz="4" w:space="0" w:color="auto"/>
              <w:right w:val="single" w:sz="4" w:space="0" w:color="auto"/>
            </w:tcBorders>
            <w:shd w:val="clear" w:color="auto" w:fill="auto"/>
            <w:vAlign w:val="center"/>
            <w:hideMark/>
          </w:tcPr>
          <w:p w:rsidR="007B6BD6" w:rsidRPr="00714FEC" w:rsidRDefault="007B6BD6" w:rsidP="00EA3376">
            <w:pPr>
              <w:rPr>
                <w:rFonts w:eastAsia="Times New Roman" w:cs="Times New Roman"/>
                <w:color w:val="000000"/>
                <w:sz w:val="21"/>
                <w:szCs w:val="21"/>
                <w:lang w:eastAsia="lv-LV"/>
              </w:rPr>
            </w:pPr>
            <w:r w:rsidRPr="00714FEC">
              <w:rPr>
                <w:rFonts w:eastAsia="Times New Roman" w:cs="Times New Roman"/>
                <w:color w:val="000000"/>
                <w:sz w:val="21"/>
                <w:szCs w:val="21"/>
                <w:lang w:eastAsia="lv-LV"/>
              </w:rPr>
              <w:t>Vecākais lietvedis</w:t>
            </w:r>
          </w:p>
        </w:tc>
        <w:tc>
          <w:tcPr>
            <w:tcW w:w="1252" w:type="pct"/>
            <w:tcBorders>
              <w:top w:val="nil"/>
              <w:left w:val="nil"/>
              <w:bottom w:val="single" w:sz="4" w:space="0" w:color="auto"/>
              <w:right w:val="single" w:sz="4" w:space="0" w:color="auto"/>
            </w:tcBorders>
            <w:shd w:val="clear" w:color="auto" w:fill="auto"/>
            <w:vAlign w:val="center"/>
            <w:hideMark/>
          </w:tcPr>
          <w:p w:rsidR="007B6BD6" w:rsidRPr="00714FEC" w:rsidRDefault="007B6BD6" w:rsidP="00EA3376">
            <w:pPr>
              <w:jc w:val="right"/>
              <w:rPr>
                <w:rFonts w:eastAsia="Times New Roman" w:cs="Times New Roman"/>
                <w:color w:val="000000"/>
                <w:sz w:val="21"/>
                <w:szCs w:val="21"/>
                <w:lang w:eastAsia="lv-LV"/>
              </w:rPr>
            </w:pPr>
            <w:r w:rsidRPr="00714FEC">
              <w:rPr>
                <w:rFonts w:eastAsia="Times New Roman" w:cs="Times New Roman"/>
                <w:color w:val="000000"/>
                <w:sz w:val="21"/>
                <w:szCs w:val="21"/>
                <w:lang w:eastAsia="lv-LV"/>
              </w:rPr>
              <w:t>771</w:t>
            </w:r>
          </w:p>
        </w:tc>
        <w:tc>
          <w:tcPr>
            <w:tcW w:w="1807" w:type="pct"/>
            <w:tcBorders>
              <w:top w:val="nil"/>
              <w:left w:val="nil"/>
              <w:bottom w:val="single" w:sz="4" w:space="0" w:color="auto"/>
              <w:right w:val="single" w:sz="4" w:space="0" w:color="auto"/>
            </w:tcBorders>
            <w:shd w:val="clear" w:color="auto" w:fill="auto"/>
            <w:vAlign w:val="center"/>
            <w:hideMark/>
          </w:tcPr>
          <w:p w:rsidR="007B6BD6" w:rsidRPr="00714FEC" w:rsidRDefault="007B6BD6" w:rsidP="00EA3376">
            <w:pPr>
              <w:jc w:val="right"/>
              <w:rPr>
                <w:rFonts w:eastAsia="Times New Roman" w:cs="Times New Roman"/>
                <w:color w:val="000000"/>
                <w:sz w:val="21"/>
                <w:szCs w:val="21"/>
                <w:lang w:eastAsia="lv-LV"/>
              </w:rPr>
            </w:pPr>
            <w:r w:rsidRPr="00714FEC">
              <w:rPr>
                <w:rFonts w:eastAsia="Times New Roman" w:cs="Times New Roman"/>
                <w:color w:val="000000"/>
                <w:sz w:val="21"/>
                <w:szCs w:val="21"/>
                <w:lang w:eastAsia="lv-LV"/>
              </w:rPr>
              <w:t>11 435</w:t>
            </w:r>
          </w:p>
        </w:tc>
      </w:tr>
      <w:tr w:rsidR="007B6BD6" w:rsidRPr="00714FEC" w:rsidTr="00EA3376">
        <w:trPr>
          <w:trHeight w:val="270"/>
          <w:jc w:val="center"/>
        </w:trPr>
        <w:tc>
          <w:tcPr>
            <w:tcW w:w="1941" w:type="pct"/>
            <w:tcBorders>
              <w:top w:val="nil"/>
              <w:left w:val="single" w:sz="4" w:space="0" w:color="auto"/>
              <w:bottom w:val="single" w:sz="4" w:space="0" w:color="auto"/>
              <w:right w:val="single" w:sz="4" w:space="0" w:color="auto"/>
            </w:tcBorders>
            <w:shd w:val="clear" w:color="auto" w:fill="auto"/>
            <w:vAlign w:val="center"/>
            <w:hideMark/>
          </w:tcPr>
          <w:p w:rsidR="007B6BD6" w:rsidRPr="00714FEC" w:rsidRDefault="007B6BD6" w:rsidP="00EA3376">
            <w:pPr>
              <w:rPr>
                <w:rFonts w:eastAsia="Times New Roman" w:cs="Times New Roman"/>
                <w:color w:val="000000"/>
                <w:sz w:val="21"/>
                <w:szCs w:val="21"/>
                <w:lang w:eastAsia="lv-LV"/>
              </w:rPr>
            </w:pPr>
            <w:r w:rsidRPr="00714FEC">
              <w:rPr>
                <w:rFonts w:eastAsia="Times New Roman" w:cs="Times New Roman"/>
                <w:color w:val="000000"/>
                <w:sz w:val="21"/>
                <w:szCs w:val="21"/>
                <w:lang w:eastAsia="lv-LV"/>
              </w:rPr>
              <w:t>Apkopējs</w:t>
            </w:r>
          </w:p>
        </w:tc>
        <w:tc>
          <w:tcPr>
            <w:tcW w:w="1252" w:type="pct"/>
            <w:tcBorders>
              <w:top w:val="nil"/>
              <w:left w:val="nil"/>
              <w:bottom w:val="single" w:sz="4" w:space="0" w:color="auto"/>
              <w:right w:val="single" w:sz="4" w:space="0" w:color="auto"/>
            </w:tcBorders>
            <w:shd w:val="clear" w:color="auto" w:fill="auto"/>
            <w:vAlign w:val="center"/>
            <w:hideMark/>
          </w:tcPr>
          <w:p w:rsidR="007B6BD6" w:rsidRPr="00714FEC" w:rsidRDefault="007B6BD6" w:rsidP="00EA3376">
            <w:pPr>
              <w:jc w:val="right"/>
              <w:rPr>
                <w:rFonts w:eastAsia="Times New Roman" w:cs="Times New Roman"/>
                <w:color w:val="000000"/>
                <w:sz w:val="21"/>
                <w:szCs w:val="21"/>
                <w:lang w:eastAsia="lv-LV"/>
              </w:rPr>
            </w:pPr>
            <w:r w:rsidRPr="00714FEC">
              <w:rPr>
                <w:rFonts w:eastAsia="Times New Roman" w:cs="Times New Roman"/>
                <w:color w:val="000000"/>
                <w:sz w:val="21"/>
                <w:szCs w:val="21"/>
                <w:lang w:eastAsia="lv-LV"/>
              </w:rPr>
              <w:t>425</w:t>
            </w:r>
          </w:p>
        </w:tc>
        <w:tc>
          <w:tcPr>
            <w:tcW w:w="1807" w:type="pct"/>
            <w:tcBorders>
              <w:top w:val="nil"/>
              <w:left w:val="nil"/>
              <w:bottom w:val="single" w:sz="4" w:space="0" w:color="auto"/>
              <w:right w:val="single" w:sz="4" w:space="0" w:color="auto"/>
            </w:tcBorders>
            <w:shd w:val="clear" w:color="auto" w:fill="auto"/>
            <w:vAlign w:val="center"/>
            <w:hideMark/>
          </w:tcPr>
          <w:p w:rsidR="007B6BD6" w:rsidRPr="00714FEC" w:rsidRDefault="007B6BD6" w:rsidP="00EA3376">
            <w:pPr>
              <w:jc w:val="right"/>
              <w:rPr>
                <w:rFonts w:eastAsia="Times New Roman" w:cs="Times New Roman"/>
                <w:color w:val="000000"/>
                <w:sz w:val="21"/>
                <w:szCs w:val="21"/>
                <w:lang w:eastAsia="lv-LV"/>
              </w:rPr>
            </w:pPr>
            <w:r w:rsidRPr="00714FEC">
              <w:rPr>
                <w:rFonts w:eastAsia="Times New Roman" w:cs="Times New Roman"/>
                <w:color w:val="000000"/>
                <w:sz w:val="21"/>
                <w:szCs w:val="21"/>
                <w:lang w:eastAsia="lv-LV"/>
              </w:rPr>
              <w:t>6 303</w:t>
            </w:r>
          </w:p>
        </w:tc>
      </w:tr>
      <w:tr w:rsidR="007B6BD6" w:rsidRPr="00714FEC" w:rsidTr="00EA3376">
        <w:trPr>
          <w:trHeight w:val="270"/>
          <w:jc w:val="center"/>
        </w:trPr>
        <w:tc>
          <w:tcPr>
            <w:tcW w:w="3193"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B6BD6" w:rsidRPr="00714FEC" w:rsidRDefault="007B6BD6" w:rsidP="007B6BD6">
            <w:pPr>
              <w:jc w:val="right"/>
              <w:rPr>
                <w:rFonts w:eastAsia="Times New Roman" w:cs="Times New Roman"/>
                <w:color w:val="000000"/>
                <w:sz w:val="21"/>
                <w:szCs w:val="21"/>
                <w:lang w:eastAsia="lv-LV"/>
              </w:rPr>
            </w:pPr>
            <w:r w:rsidRPr="00714FEC">
              <w:rPr>
                <w:rFonts w:eastAsia="Times New Roman" w:cs="Times New Roman"/>
                <w:color w:val="000000"/>
                <w:sz w:val="21"/>
                <w:szCs w:val="21"/>
                <w:lang w:eastAsia="lv-LV"/>
              </w:rPr>
              <w:t>KOPĀ</w:t>
            </w:r>
            <w:r>
              <w:rPr>
                <w:rFonts w:eastAsia="Times New Roman" w:cs="Times New Roman"/>
                <w:color w:val="000000"/>
                <w:sz w:val="21"/>
                <w:szCs w:val="21"/>
                <w:lang w:eastAsia="lv-LV"/>
              </w:rPr>
              <w:t>:</w:t>
            </w:r>
          </w:p>
        </w:tc>
        <w:tc>
          <w:tcPr>
            <w:tcW w:w="1807" w:type="pct"/>
            <w:tcBorders>
              <w:top w:val="nil"/>
              <w:left w:val="nil"/>
              <w:bottom w:val="single" w:sz="4" w:space="0" w:color="auto"/>
              <w:right w:val="single" w:sz="4" w:space="0" w:color="auto"/>
            </w:tcBorders>
            <w:shd w:val="clear" w:color="auto" w:fill="auto"/>
            <w:vAlign w:val="center"/>
            <w:hideMark/>
          </w:tcPr>
          <w:p w:rsidR="007B6BD6" w:rsidRPr="00714FEC" w:rsidRDefault="007B6BD6" w:rsidP="00EA3376">
            <w:pPr>
              <w:jc w:val="right"/>
              <w:rPr>
                <w:rFonts w:eastAsia="Times New Roman" w:cs="Times New Roman"/>
                <w:color w:val="000000"/>
                <w:sz w:val="21"/>
                <w:szCs w:val="21"/>
                <w:lang w:eastAsia="lv-LV"/>
              </w:rPr>
            </w:pPr>
            <w:r w:rsidRPr="007B6BD6">
              <w:rPr>
                <w:rFonts w:eastAsia="Times New Roman" w:cs="Times New Roman"/>
                <w:color w:val="000000"/>
                <w:sz w:val="21"/>
                <w:szCs w:val="21"/>
                <w:lang w:eastAsia="lv-LV"/>
              </w:rPr>
              <w:t>17 737</w:t>
            </w:r>
          </w:p>
        </w:tc>
      </w:tr>
    </w:tbl>
    <w:p w:rsidR="007D4D4C" w:rsidRPr="00A673E8" w:rsidRDefault="00A24E0C" w:rsidP="000F54AB">
      <w:pPr>
        <w:spacing w:before="120"/>
        <w:ind w:firstLine="720"/>
        <w:jc w:val="both"/>
        <w:rPr>
          <w:b/>
        </w:rPr>
      </w:pPr>
      <w:r w:rsidRPr="000A3593">
        <w:t>Attiecīgi VPVB reorganizācijas rezultātā ietaupītai</w:t>
      </w:r>
      <w:r w:rsidR="00FC1BB9">
        <w:t>s finansējums ir 17</w:t>
      </w:r>
      <w:r w:rsidRPr="000A3593">
        <w:t> </w:t>
      </w:r>
      <w:r w:rsidR="00FC1BB9">
        <w:t>737</w:t>
      </w:r>
      <w:r w:rsidRPr="000A3593">
        <w:t xml:space="preserve"> </w:t>
      </w:r>
      <w:r w:rsidRPr="000A3593">
        <w:rPr>
          <w:i/>
        </w:rPr>
        <w:t>euro</w:t>
      </w:r>
      <w:r w:rsidRPr="000A3593">
        <w:t xml:space="preserve"> gadā un tas ir uzskatāms par finansējumu, kas novirzāms citām VARAM aktualitātēm 2019.gadā un turpmāk, ja VPVB reorganizācija tiks veikta līdz 2018.gada 1.janvārim</w:t>
      </w:r>
      <w:r w:rsidR="00530257">
        <w:t xml:space="preserve"> (skat. tabulu Nr.3.19.)</w:t>
      </w:r>
      <w:r w:rsidRPr="000A3593">
        <w:t>.</w:t>
      </w:r>
    </w:p>
    <w:p w:rsidR="007D4D4C" w:rsidRDefault="007D4D4C" w:rsidP="000F54AB">
      <w:pPr>
        <w:ind w:firstLine="720"/>
        <w:jc w:val="both"/>
      </w:pPr>
      <w:r>
        <w:t>LVAFA ir Latvijas vides aizsardzības fonda (turpmāk – Fonds) līdzekļu turētājs un tā nodrošina Fonda padomes lēmumu īstenošanu un administrē Fonda līdzekļu izlietošanu (Fonds ir valsts budžeta līdzekļu kopums vides aizsardzības pasākumu un projektu īstenošanai, kura līdzekļus veido valsts budžeta dotācija no vispārējiem ieņēmumiem un personu, to skaitā ārvalstu personu, dāvinājumi, ziedojumi un ārvalstu finansiālā palīdzība)</w:t>
      </w:r>
      <w:r>
        <w:rPr>
          <w:rStyle w:val="FootnoteReference"/>
        </w:rPr>
        <w:footnoteReference w:id="37"/>
      </w:r>
      <w:r>
        <w:t>. LVAFA noteikto funkciju un uzdevumu izpildi nodrošina 5 darbinieki – 1 iestādes vadītājs un 4 nodaļas darbinieki (Projektu nodaļas vadītāja un 3 vecākie eksperti)</w:t>
      </w:r>
      <w:r>
        <w:rPr>
          <w:rStyle w:val="FootnoteReference"/>
        </w:rPr>
        <w:footnoteReference w:id="38"/>
      </w:r>
      <w:r>
        <w:t xml:space="preserve"> un iestādes darbības nodrošināšanai pieejamais finansējums ir 0</w:t>
      </w:r>
      <w:r w:rsidR="00037165">
        <w:t>,</w:t>
      </w:r>
      <w:r>
        <w:t xml:space="preserve">2 milj. </w:t>
      </w:r>
      <w:r w:rsidRPr="00D40A1F">
        <w:rPr>
          <w:i/>
        </w:rPr>
        <w:t>euro</w:t>
      </w:r>
      <w:r>
        <w:t xml:space="preserve"> ik gadu, attiecīgi iestāde uzskatāma par salīdzinoši mazu un būtu izvērtējama iespēja tās pārveidošanai par struktūrvienību un pievienošanai kādai esošai iestādei. </w:t>
      </w:r>
    </w:p>
    <w:p w:rsidR="007D4D4C" w:rsidRPr="00D57BA7" w:rsidRDefault="00A24E0C" w:rsidP="000F54AB">
      <w:pPr>
        <w:ind w:firstLine="720"/>
        <w:jc w:val="both"/>
      </w:pPr>
      <w:r w:rsidRPr="000A3593">
        <w:t xml:space="preserve">Lai arī LVAFA veic fonda līdzekļu administrēšanu, kas būtu līdzvērtīga funkcija VRAA veicamajām funkcijām, tomēr FM vērtējumā LVAFA būtu pārveidojama par struktūrvienību un pievienojama VARAM centrālajam aparātam, saglabājot Fonda padomi lēmumu pieņemšanai, līdzvērtīgi kā tiek nodrošināta Zivju fonda un Meža attīstības fonda administrēšana ZM. Gadījumā, ja LVAFA tiek pārveidota par struktūrvienību, tad pārskatāmie resursi ir tie, kas nodrošina iestādes vadības funkciju, proti, iestādes vadītājam noteiktā atalgojuma (1 917 </w:t>
      </w:r>
      <w:r w:rsidRPr="000A3593">
        <w:rPr>
          <w:i/>
        </w:rPr>
        <w:t>euro</w:t>
      </w:r>
      <w:r w:rsidRPr="000A3593">
        <w:t>)</w:t>
      </w:r>
      <w:r w:rsidRPr="000A3593">
        <w:rPr>
          <w:rStyle w:val="FootnoteReference"/>
        </w:rPr>
        <w:footnoteReference w:id="39"/>
      </w:r>
      <w:r w:rsidRPr="000A3593">
        <w:t xml:space="preserve"> nodrošināšanai nepieciešamais finansējums gadā un tam saistošās valsts sociālās apdrošināšanas obligātās iemaksas. Vienlaikus ņemot vērā, ka potenciāli atbrīvojamie resursi ir saistīti ar cilvēkresursiem, tad jāņem vērā, ka to izmantošana būtu iespējama gadu vēlāk nekā veiktas attiecīgās darbības attiecībā uz iestādes restrukturizēšanu. Attiecīgi LVAFA reorganizācijas rezultātā ietaupītais finansējums ir 28 431 </w:t>
      </w:r>
      <w:r w:rsidRPr="000A3593">
        <w:rPr>
          <w:i/>
        </w:rPr>
        <w:t>euro</w:t>
      </w:r>
      <w:r w:rsidRPr="000A3593">
        <w:t xml:space="preserve"> gadā un tas ir uzskatāms par finansējumu, kas novirzāms citām VARAM aktualitātēm 2019.gadā un turpmāk, ja LVAFA reorganizācija tiks veikta līdz 2018.gada 1.janvārim.</w:t>
      </w:r>
    </w:p>
    <w:p w:rsidR="007D4D4C" w:rsidRPr="00A673E8" w:rsidRDefault="00A9058D" w:rsidP="000F54AB">
      <w:pPr>
        <w:ind w:firstLine="720"/>
        <w:jc w:val="both"/>
      </w:pPr>
      <w:r>
        <w:t>Attiecībā uz ierosinātajām</w:t>
      </w:r>
      <w:r w:rsidR="007D4D4C" w:rsidRPr="00A673E8">
        <w:t xml:space="preserve"> izmaiņām iestāžu reorganizācijai vēršam uzmanību, ka atbalsta funkciju nodrošinošo darba vietu uzturēšanas izmaksas šī uzdevuma ietvaros netiek pārskatītas, jo finansējums, kas tiek novirzīts zemākas prioritātes administratīvo izmaksu segšanai, izdevumu pārskatīšanas ietvaros tiek pārskatīts horizontāli. Turklāt pārskatīšanai </w:t>
      </w:r>
      <w:r w:rsidR="007D4D4C" w:rsidRPr="00A673E8">
        <w:lastRenderedPageBreak/>
        <w:t>pakļauta tikai tā atlīdzības finansējuma daļa, kas nepieciešama noteiktās darba algas un tai saistošo valsts sociālās apdrošināšanas obligāto iemaksu nodrošināšanai, bet pārskatīšanai netiek pakļauta tā atlīdzības finansējuma daļa, kas rezervēta vakantām amata vietām, piemaksām, virsstundām un tamlīdzīgi.</w:t>
      </w:r>
    </w:p>
    <w:p w:rsidR="007D4D4C" w:rsidRPr="00A673E8" w:rsidRDefault="007D4D4C" w:rsidP="000F54AB">
      <w:pPr>
        <w:ind w:firstLine="720"/>
        <w:jc w:val="both"/>
      </w:pPr>
      <w:r w:rsidRPr="00A673E8">
        <w:t>Vienlaikus jāņem vērā, ka iestāžu reorganizācijas process ir laikietilpīgs, kā arī tā īstenošanai nepieciešams veikt grozījumus vairākos normatīvajos aktos (likumos, MK noteikumos).</w:t>
      </w:r>
    </w:p>
    <w:p w:rsidR="007D4D4C" w:rsidRPr="00A9058D" w:rsidRDefault="007D4D4C" w:rsidP="000F54AB">
      <w:pPr>
        <w:ind w:firstLine="720"/>
        <w:jc w:val="both"/>
        <w:rPr>
          <w:i/>
        </w:rPr>
      </w:pPr>
      <w:r w:rsidRPr="00A673E8">
        <w:t>Attiecībā uz pārējām 2 VARAM</w:t>
      </w:r>
      <w:r w:rsidRPr="00666149">
        <w:t xml:space="preserve"> padotībā esošām tiešās pārvaldes iestādēm, LDM tiek analizēts izdevumu pārskatīšanas uzdevuma ietvaros, kas analizē valsts pārraudzībā esošos muzejus, savukārt par VRAA izdevumu pārskatīšanas uzdevuma ietvaros priekšlikumu izmaiņām iestādes statusā un pārvaldībā nav.</w:t>
      </w:r>
    </w:p>
    <w:p w:rsidR="00A673E8" w:rsidRDefault="007D4D4C" w:rsidP="00A9058D">
      <w:pPr>
        <w:spacing w:before="120" w:after="120"/>
        <w:jc w:val="both"/>
        <w:rPr>
          <w:i/>
        </w:rPr>
      </w:pPr>
      <w:r w:rsidRPr="009041C1">
        <w:rPr>
          <w:i/>
        </w:rPr>
        <w:t>Atvasinātas publiskas personas</w:t>
      </w:r>
      <w:r w:rsidR="00A9058D">
        <w:rPr>
          <w:i/>
        </w:rPr>
        <w:t xml:space="preserve"> – priekšlikumi izmaiņām</w:t>
      </w:r>
    </w:p>
    <w:p w:rsidR="007D4D4C" w:rsidRPr="004D6D43" w:rsidRDefault="007D4D4C" w:rsidP="001B067B">
      <w:pPr>
        <w:ind w:firstLine="720"/>
        <w:jc w:val="both"/>
      </w:pPr>
      <w:r>
        <w:t>Kā norādīts iepriekš VARAM padotībā ir 2 zinātniskie institūti, kuru darbība saistīta ar vides jomu.</w:t>
      </w:r>
    </w:p>
    <w:p w:rsidR="007D4D4C" w:rsidRDefault="007D4D4C" w:rsidP="001B067B">
      <w:pPr>
        <w:spacing w:after="120"/>
        <w:ind w:firstLine="720"/>
        <w:jc w:val="both"/>
        <w:rPr>
          <w:rFonts w:cs="Times New Roman"/>
          <w:szCs w:val="24"/>
        </w:rPr>
      </w:pPr>
      <w:r w:rsidRPr="00F01B2E">
        <w:t>Latvijas Hidroekeoloģijas institūt</w:t>
      </w:r>
      <w:r>
        <w:t>a</w:t>
      </w:r>
      <w:r w:rsidRPr="00F01B2E">
        <w:t xml:space="preserve"> (turpmāk – LHEI) </w:t>
      </w:r>
      <w:r>
        <w:t>pirmsākumi konstatējami 1994.gadā, kad tika izveidota bezpeļņas organizācija valsts zinātniskā iestāde Latvijas Universitātes Hidroekoloģijas institūts, apvienojot Hidrometeoroloģijas pārvaldes Jūras monitoringa centru un Zinātņu akadēmijas Bioloģijas institūta Jūras laboratoriju. Tomēr 2006.gadā iepriekšminētā bezpeļņas organizācijas tika reorganizēta</w:t>
      </w:r>
      <w:r>
        <w:rPr>
          <w:rStyle w:val="FootnoteReference"/>
        </w:rPr>
        <w:footnoteReference w:id="40"/>
      </w:r>
      <w:r>
        <w:t xml:space="preserve"> un izveidota valsts aģentūra “Latvijas Hidroekoloģijas institūts”, bet 2007.gadā LHEI mainīja juridisko statusu no valsts aģentūras uz atvasinātu publisko personu</w:t>
      </w:r>
      <w:r>
        <w:rPr>
          <w:rStyle w:val="FootnoteReference"/>
        </w:rPr>
        <w:footnoteReference w:id="41"/>
      </w:r>
      <w:r>
        <w:t xml:space="preserve"> un kopš 2007.gada 1.jūlija LHEI atrodas </w:t>
      </w:r>
      <w:r w:rsidR="005A36F5">
        <w:t>VARAM</w:t>
      </w:r>
      <w:r>
        <w:t xml:space="preserve"> pakļautībā.</w:t>
      </w:r>
      <w:r w:rsidRPr="006429DC">
        <w:t xml:space="preserve"> LHEI</w:t>
      </w:r>
      <w:r w:rsidRPr="006429DC">
        <w:rPr>
          <w:rFonts w:cs="Times New Roman"/>
          <w:szCs w:val="24"/>
        </w:rPr>
        <w:t xml:space="preserve"> kompetence ir noteikta vairākos normatīvajos aktos</w:t>
      </w:r>
      <w:r>
        <w:rPr>
          <w:rFonts w:cs="Times New Roman"/>
          <w:szCs w:val="24"/>
        </w:rPr>
        <w:t xml:space="preserve"> – tas veic </w:t>
      </w:r>
      <w:r w:rsidRPr="006429DC">
        <w:rPr>
          <w:rFonts w:cs="Times New Roman"/>
          <w:szCs w:val="24"/>
        </w:rPr>
        <w:t>jūras vides stāvokļa novērtējumu</w:t>
      </w:r>
      <w:r>
        <w:rPr>
          <w:rFonts w:cs="Times New Roman"/>
          <w:szCs w:val="24"/>
        </w:rPr>
        <w:t xml:space="preserve"> un </w:t>
      </w:r>
      <w:r w:rsidRPr="006429DC">
        <w:rPr>
          <w:rFonts w:cs="Times New Roman"/>
          <w:szCs w:val="24"/>
        </w:rPr>
        <w:t>izstrādā jūras vides monitoringa programmu</w:t>
      </w:r>
      <w:r>
        <w:rPr>
          <w:rStyle w:val="FootnoteReference"/>
          <w:rFonts w:cs="Times New Roman"/>
          <w:szCs w:val="24"/>
        </w:rPr>
        <w:footnoteReference w:id="42"/>
      </w:r>
      <w:r>
        <w:rPr>
          <w:rFonts w:cs="Times New Roman"/>
          <w:szCs w:val="24"/>
        </w:rPr>
        <w:t xml:space="preserve">, kā arī </w:t>
      </w:r>
      <w:r w:rsidRPr="006429DC">
        <w:rPr>
          <w:rFonts w:cs="Times New Roman"/>
          <w:szCs w:val="24"/>
        </w:rPr>
        <w:t>sadarbībā ar atbildīgo ministriju piedalās jūras plānojuma izstrādē, ieviešanā un uzraudzībā, sagatavo jūras plānojuma stratēģisko daļu, paskaidrojuma rakstu un jūras atļautās izmantošanas aprakstu</w:t>
      </w:r>
      <w:r>
        <w:rPr>
          <w:rStyle w:val="FootnoteReference"/>
          <w:rFonts w:cs="Times New Roman"/>
          <w:szCs w:val="24"/>
        </w:rPr>
        <w:footnoteReference w:id="43"/>
      </w:r>
      <w:r w:rsidRPr="006429DC">
        <w:rPr>
          <w:rFonts w:cs="Times New Roman"/>
          <w:szCs w:val="24"/>
        </w:rPr>
        <w:t>.</w:t>
      </w:r>
      <w:r w:rsidR="004A7C2D">
        <w:rPr>
          <w:rFonts w:cs="Times New Roman"/>
          <w:szCs w:val="24"/>
        </w:rPr>
        <w:t xml:space="preserve"> 3.16.attēlā atspoguļoti LHEI ieņēmumi.</w:t>
      </w:r>
    </w:p>
    <w:p w:rsidR="007D4D4C" w:rsidRDefault="007D4D4C" w:rsidP="007D4D4C">
      <w:pPr>
        <w:jc w:val="both"/>
        <w:rPr>
          <w:rFonts w:eastAsia="Times New Roman" w:cs="Times New Roman"/>
          <w:szCs w:val="24"/>
          <w:lang w:eastAsia="lv-LV"/>
        </w:rPr>
      </w:pPr>
      <w:r>
        <w:rPr>
          <w:noProof/>
          <w:lang w:eastAsia="lv-LV"/>
        </w:rPr>
        <w:drawing>
          <wp:inline distT="0" distB="0" distL="0" distR="0" wp14:anchorId="4451BB8C" wp14:editId="0E94D1B7">
            <wp:extent cx="5939790" cy="2991916"/>
            <wp:effectExtent l="0" t="0" r="3810" b="0"/>
            <wp:docPr id="82" name="Chart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700A25">
        <w:rPr>
          <w:rFonts w:eastAsia="Times New Roman" w:cs="Times New Roman"/>
          <w:szCs w:val="24"/>
          <w:lang w:eastAsia="lv-LV"/>
        </w:rPr>
        <w:t xml:space="preserve"> </w:t>
      </w:r>
    </w:p>
    <w:p w:rsidR="007D4D4C" w:rsidRDefault="00037165" w:rsidP="000F54AB">
      <w:pPr>
        <w:spacing w:before="120" w:after="120"/>
        <w:jc w:val="center"/>
      </w:pPr>
      <w:r w:rsidRPr="004A7C2D">
        <w:rPr>
          <w:rFonts w:eastAsia="Times New Roman" w:cs="Times New Roman"/>
          <w:i/>
          <w:sz w:val="22"/>
          <w:lang w:eastAsia="lv-LV"/>
        </w:rPr>
        <w:t>3.16.</w:t>
      </w:r>
      <w:r w:rsidR="007D4D4C" w:rsidRPr="004A7C2D">
        <w:rPr>
          <w:rFonts w:eastAsia="Times New Roman" w:cs="Times New Roman"/>
          <w:i/>
          <w:sz w:val="22"/>
          <w:lang w:eastAsia="lv-LV"/>
        </w:rPr>
        <w:t>att.</w:t>
      </w:r>
      <w:r w:rsidR="007D4D4C" w:rsidRPr="004A7C2D">
        <w:rPr>
          <w:rFonts w:eastAsia="Times New Roman" w:cs="Times New Roman"/>
          <w:sz w:val="22"/>
          <w:lang w:eastAsia="lv-LV"/>
        </w:rPr>
        <w:t xml:space="preserve"> </w:t>
      </w:r>
      <w:r w:rsidR="007D4D4C" w:rsidRPr="004A7C2D">
        <w:rPr>
          <w:rFonts w:eastAsia="Times New Roman" w:cs="Times New Roman"/>
          <w:b/>
          <w:sz w:val="22"/>
          <w:lang w:eastAsia="lv-LV"/>
        </w:rPr>
        <w:t xml:space="preserve">LHEI ieņēmumi 2011.-2014.gadā, </w:t>
      </w:r>
      <w:r w:rsidR="007D4D4C" w:rsidRPr="004A7C2D">
        <w:rPr>
          <w:rFonts w:eastAsia="Times New Roman" w:cs="Times New Roman"/>
          <w:b/>
          <w:i/>
          <w:sz w:val="22"/>
          <w:lang w:eastAsia="lv-LV"/>
        </w:rPr>
        <w:t>euro</w:t>
      </w:r>
      <w:r w:rsidR="007D4D4C" w:rsidRPr="004A7C2D">
        <w:rPr>
          <w:rStyle w:val="FootnoteReference"/>
          <w:rFonts w:eastAsia="Times New Roman" w:cs="Times New Roman"/>
          <w:b/>
          <w:sz w:val="22"/>
          <w:lang w:eastAsia="lv-LV"/>
        </w:rPr>
        <w:footnoteReference w:id="44"/>
      </w:r>
    </w:p>
    <w:p w:rsidR="007D4D4C" w:rsidRDefault="007D4D4C" w:rsidP="00A673E8">
      <w:pPr>
        <w:spacing w:after="120"/>
        <w:ind w:firstLine="720"/>
        <w:jc w:val="both"/>
      </w:pPr>
      <w:r>
        <w:lastRenderedPageBreak/>
        <w:t xml:space="preserve">Ņemot vērā LHEI kompetenci, VARAM piešķir </w:t>
      </w:r>
      <w:r w:rsidRPr="000232CD">
        <w:t xml:space="preserve">valsts budžeta dotāciju </w:t>
      </w:r>
      <w:r>
        <w:t xml:space="preserve">LHEI </w:t>
      </w:r>
      <w:r w:rsidRPr="000232CD">
        <w:t>saskaņā ar deleģējumu līgumu</w:t>
      </w:r>
      <w:r w:rsidRPr="000232CD">
        <w:rPr>
          <w:rStyle w:val="FootnoteReference"/>
        </w:rPr>
        <w:footnoteReference w:id="45"/>
      </w:r>
      <w:r>
        <w:t xml:space="preserve"> par šādiem uzdevumiem</w:t>
      </w:r>
      <w:r w:rsidR="00AE5AC3">
        <w:t xml:space="preserve"> (skat. 3.17.attēlu)</w:t>
      </w:r>
      <w:r>
        <w:t>:</w:t>
      </w:r>
    </w:p>
    <w:p w:rsidR="007D4D4C" w:rsidRDefault="007D4D4C" w:rsidP="008C25BB">
      <w:pPr>
        <w:pStyle w:val="ListParagraph"/>
        <w:numPr>
          <w:ilvl w:val="0"/>
          <w:numId w:val="27"/>
        </w:numPr>
        <w:spacing w:after="60"/>
        <w:ind w:left="714" w:hanging="357"/>
        <w:contextualSpacing w:val="0"/>
        <w:jc w:val="both"/>
      </w:pPr>
      <w:r w:rsidRPr="000232CD">
        <w:t>informācijas sagatavošan</w:t>
      </w:r>
      <w:r>
        <w:t>a</w:t>
      </w:r>
      <w:r w:rsidRPr="000232CD">
        <w:t xml:space="preserve"> un datu apstrād</w:t>
      </w:r>
      <w:r>
        <w:t>e</w:t>
      </w:r>
      <w:r w:rsidRPr="000232CD">
        <w:t xml:space="preserve"> Latvijas jūras telpiskā plānojuma izstrādes un uzturēšanas vajadzībām</w:t>
      </w:r>
      <w:r>
        <w:t>;</w:t>
      </w:r>
    </w:p>
    <w:p w:rsidR="007D4D4C" w:rsidRDefault="007D4D4C" w:rsidP="008C25BB">
      <w:pPr>
        <w:pStyle w:val="ListParagraph"/>
        <w:numPr>
          <w:ilvl w:val="0"/>
          <w:numId w:val="27"/>
        </w:numPr>
        <w:spacing w:after="60"/>
        <w:ind w:left="714" w:hanging="357"/>
        <w:contextualSpacing w:val="0"/>
        <w:jc w:val="both"/>
      </w:pPr>
      <w:r>
        <w:t>p</w:t>
      </w:r>
      <w:r w:rsidRPr="00330DE3">
        <w:t xml:space="preserve">iedalīšanās </w:t>
      </w:r>
      <w:r>
        <w:t xml:space="preserve">Ministrijai (VARAM) </w:t>
      </w:r>
      <w:r w:rsidRPr="00330DE3">
        <w:t>nepieciešamo jautājumu risināšanā</w:t>
      </w:r>
      <w:r>
        <w:t>;</w:t>
      </w:r>
    </w:p>
    <w:p w:rsidR="007D4D4C" w:rsidRDefault="007D4D4C" w:rsidP="008C25BB">
      <w:pPr>
        <w:pStyle w:val="ListParagraph"/>
        <w:numPr>
          <w:ilvl w:val="0"/>
          <w:numId w:val="27"/>
        </w:numPr>
        <w:spacing w:after="60"/>
        <w:ind w:left="714" w:hanging="357"/>
        <w:contextualSpacing w:val="0"/>
        <w:jc w:val="both"/>
      </w:pPr>
      <w:r>
        <w:t>j</w:t>
      </w:r>
      <w:r w:rsidRPr="00330DE3">
        <w:t>ūras vides monitoringa un bioloģiskās daudzveidības monitoringa programmu izpilde atbilstoši Vides monitoringa pamatnostādnēm un monitoringa programmai</w:t>
      </w:r>
      <w:r>
        <w:t>;</w:t>
      </w:r>
    </w:p>
    <w:p w:rsidR="007D4D4C" w:rsidRDefault="007D4D4C" w:rsidP="008C25BB">
      <w:pPr>
        <w:pStyle w:val="ListParagraph"/>
        <w:numPr>
          <w:ilvl w:val="0"/>
          <w:numId w:val="27"/>
        </w:numPr>
        <w:spacing w:after="60"/>
        <w:ind w:left="714" w:hanging="357"/>
        <w:contextualSpacing w:val="0"/>
        <w:jc w:val="both"/>
      </w:pPr>
      <w:r>
        <w:t>p</w:t>
      </w:r>
      <w:r w:rsidRPr="00330DE3">
        <w:t>iedalīšanās Eiropa</w:t>
      </w:r>
      <w:r w:rsidR="005A36F5">
        <w:t xml:space="preserve">s Komisijas </w:t>
      </w:r>
      <w:r w:rsidRPr="00330DE3">
        <w:t xml:space="preserve">un Helsinku komisijas (HELCOM) darba grupās atbilstoši </w:t>
      </w:r>
      <w:r w:rsidRPr="00FB20B3">
        <w:rPr>
          <w:lang w:val="cs-CZ"/>
        </w:rPr>
        <w:t>Ministrijas</w:t>
      </w:r>
      <w:r w:rsidR="005A36F5">
        <w:t xml:space="preserve"> (VARAM) </w:t>
      </w:r>
      <w:r w:rsidRPr="00330DE3">
        <w:t xml:space="preserve">un LHEI darba plānam. </w:t>
      </w:r>
    </w:p>
    <w:p w:rsidR="007D4D4C" w:rsidRDefault="007D4D4C" w:rsidP="007D4D4C">
      <w:pPr>
        <w:ind w:firstLine="720"/>
        <w:jc w:val="both"/>
        <w:rPr>
          <w:highlight w:val="yellow"/>
        </w:rPr>
      </w:pPr>
    </w:p>
    <w:p w:rsidR="00846DAA" w:rsidRDefault="00846DAA" w:rsidP="00846DAA">
      <w:pPr>
        <w:jc w:val="both"/>
        <w:rPr>
          <w:highlight w:val="yellow"/>
        </w:rPr>
      </w:pPr>
      <w:r>
        <w:rPr>
          <w:noProof/>
          <w:lang w:eastAsia="lv-LV"/>
        </w:rPr>
        <w:drawing>
          <wp:inline distT="0" distB="0" distL="0" distR="0" wp14:anchorId="65A86E66" wp14:editId="09A03153">
            <wp:extent cx="5791200" cy="2984601"/>
            <wp:effectExtent l="0" t="0" r="0" b="6350"/>
            <wp:docPr id="107" name="Chart 107">
              <a:extLst xmlns:a="http://schemas.openxmlformats.org/drawingml/2006/main">
                <a:ext uri="{FF2B5EF4-FFF2-40B4-BE49-F238E27FC236}">
                  <a16:creationId xmlns:a16="http://schemas.microsoft.com/office/drawing/2014/main" id="{00000000-0008-0000-0B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846DAA" w:rsidRPr="00AE5AC3" w:rsidRDefault="00037165" w:rsidP="0087444F">
      <w:pPr>
        <w:spacing w:before="120"/>
        <w:jc w:val="center"/>
        <w:rPr>
          <w:sz w:val="22"/>
        </w:rPr>
      </w:pPr>
      <w:r w:rsidRPr="00AE5AC3">
        <w:rPr>
          <w:i/>
          <w:sz w:val="22"/>
        </w:rPr>
        <w:t>3.17</w:t>
      </w:r>
      <w:r w:rsidR="00846DAA" w:rsidRPr="00AE5AC3">
        <w:rPr>
          <w:i/>
          <w:sz w:val="22"/>
        </w:rPr>
        <w:t>.att.</w:t>
      </w:r>
      <w:r w:rsidR="00846DAA" w:rsidRPr="00AE5AC3">
        <w:rPr>
          <w:sz w:val="22"/>
        </w:rPr>
        <w:t xml:space="preserve"> </w:t>
      </w:r>
      <w:r w:rsidR="00846DAA" w:rsidRPr="00AE5AC3">
        <w:rPr>
          <w:b/>
          <w:sz w:val="22"/>
        </w:rPr>
        <w:t xml:space="preserve">Valsts budžeta dotācija LHEI par atsevišķu deleģēto pārvaldes uzdevumu izpildi, </w:t>
      </w:r>
      <w:r w:rsidR="00846DAA" w:rsidRPr="00AE5AC3">
        <w:rPr>
          <w:b/>
          <w:i/>
          <w:sz w:val="22"/>
        </w:rPr>
        <w:t>euro</w:t>
      </w:r>
      <w:r w:rsidR="00846DAA" w:rsidRPr="00AE5AC3">
        <w:rPr>
          <w:rStyle w:val="FootnoteReference"/>
          <w:b/>
          <w:i/>
          <w:sz w:val="22"/>
        </w:rPr>
        <w:footnoteReference w:id="46"/>
      </w:r>
    </w:p>
    <w:p w:rsidR="007D4D4C" w:rsidRPr="00AE5AC3" w:rsidRDefault="007D4D4C" w:rsidP="007D4D4C">
      <w:pPr>
        <w:ind w:firstLine="720"/>
        <w:jc w:val="both"/>
      </w:pPr>
    </w:p>
    <w:p w:rsidR="007D4D4C" w:rsidRPr="006429DC" w:rsidRDefault="007D4D4C" w:rsidP="00A673E8">
      <w:pPr>
        <w:spacing w:after="120"/>
        <w:ind w:firstLine="720"/>
        <w:jc w:val="both"/>
        <w:rPr>
          <w:rFonts w:eastAsia="Times New Roman" w:cs="Times New Roman"/>
          <w:szCs w:val="24"/>
          <w:lang w:eastAsia="lv-LV"/>
        </w:rPr>
      </w:pPr>
      <w:r w:rsidRPr="004D4DC7">
        <w:t>MK 2017.gada 16.maija sēdē tika izskatīts un pieņemts zināšanai</w:t>
      </w:r>
      <w:r>
        <w:rPr>
          <w:rStyle w:val="FootnoteReference"/>
        </w:rPr>
        <w:footnoteReference w:id="47"/>
      </w:r>
      <w:r>
        <w:t xml:space="preserve"> IZM sagatavotais informatīvais ziņojums “Par Daugavpils Universitātes attīstību”, kura ietvaros tika sniegta arī informācijas par LHEI. </w:t>
      </w:r>
      <w:r>
        <w:rPr>
          <w:rFonts w:eastAsia="Times New Roman" w:cs="Times New Roman"/>
          <w:szCs w:val="24"/>
          <w:lang w:eastAsia="lv-LV"/>
        </w:rPr>
        <w:t xml:space="preserve">Saskaņā ar IZM sniegto informāciju </w:t>
      </w:r>
      <w:r w:rsidRPr="006429DC">
        <w:rPr>
          <w:rFonts w:eastAsia="Times New Roman" w:cs="Times New Roman"/>
          <w:szCs w:val="24"/>
          <w:lang w:eastAsia="lv-LV"/>
        </w:rPr>
        <w:t xml:space="preserve">2015.gadā </w:t>
      </w:r>
      <w:r w:rsidRPr="006429DC">
        <w:t>LHEI</w:t>
      </w:r>
      <w:r w:rsidRPr="006429DC">
        <w:rPr>
          <w:rFonts w:eastAsia="Times New Roman" w:cs="Times New Roman"/>
          <w:szCs w:val="24"/>
          <w:lang w:eastAsia="lv-LV"/>
        </w:rPr>
        <w:t xml:space="preserve"> ir veicis zinātniskos darbus 1 432 331 </w:t>
      </w:r>
      <w:r w:rsidRPr="006429DC">
        <w:rPr>
          <w:rFonts w:eastAsia="Times New Roman" w:cs="Times New Roman"/>
          <w:i/>
          <w:szCs w:val="24"/>
          <w:lang w:eastAsia="lv-LV"/>
        </w:rPr>
        <w:t>euro</w:t>
      </w:r>
      <w:r w:rsidRPr="006429DC">
        <w:rPr>
          <w:rFonts w:eastAsia="Times New Roman" w:cs="Times New Roman"/>
          <w:szCs w:val="24"/>
          <w:lang w:eastAsia="lv-LV"/>
        </w:rPr>
        <w:t xml:space="preserve"> apmērā</w:t>
      </w:r>
      <w:r>
        <w:rPr>
          <w:rFonts w:eastAsia="Times New Roman" w:cs="Times New Roman"/>
          <w:szCs w:val="24"/>
          <w:lang w:eastAsia="lv-LV"/>
        </w:rPr>
        <w:t xml:space="preserve"> un v</w:t>
      </w:r>
      <w:r w:rsidRPr="006429DC">
        <w:rPr>
          <w:rFonts w:eastAsia="Times New Roman" w:cs="Times New Roman"/>
          <w:szCs w:val="24"/>
          <w:lang w:eastAsia="lv-LV"/>
        </w:rPr>
        <w:t xml:space="preserve">isi zinātniskie darbi </w:t>
      </w:r>
      <w:r>
        <w:rPr>
          <w:rFonts w:eastAsia="Times New Roman" w:cs="Times New Roman"/>
          <w:szCs w:val="24"/>
          <w:lang w:eastAsia="lv-LV"/>
        </w:rPr>
        <w:t xml:space="preserve">tika </w:t>
      </w:r>
      <w:r w:rsidRPr="006429DC">
        <w:rPr>
          <w:rFonts w:eastAsia="Times New Roman" w:cs="Times New Roman"/>
          <w:szCs w:val="24"/>
          <w:lang w:eastAsia="lv-LV"/>
        </w:rPr>
        <w:t xml:space="preserve">veikti dabaszinātņu jomā. </w:t>
      </w:r>
      <w:r w:rsidRPr="006429DC">
        <w:t>LHEI</w:t>
      </w:r>
      <w:r w:rsidRPr="006429DC">
        <w:rPr>
          <w:rFonts w:eastAsia="Times New Roman" w:cs="Times New Roman"/>
          <w:szCs w:val="24"/>
          <w:lang w:eastAsia="lv-LV"/>
        </w:rPr>
        <w:t xml:space="preserve"> 2015.gadā tika nodarbināti 47 zinātniskie darbinieki ar kopējo nostrādāto slodzi 30 pilna laika ekvivalenta apmērā.</w:t>
      </w:r>
      <w:r>
        <w:rPr>
          <w:rFonts w:eastAsia="Times New Roman" w:cs="Times New Roman"/>
          <w:szCs w:val="24"/>
          <w:lang w:eastAsia="lv-LV"/>
        </w:rPr>
        <w:t xml:space="preserve"> </w:t>
      </w:r>
      <w:r w:rsidRPr="006429DC">
        <w:t>LHEI</w:t>
      </w:r>
      <w:r w:rsidRPr="006429DC">
        <w:rPr>
          <w:rFonts w:eastAsia="Times New Roman" w:cs="Times New Roman"/>
          <w:szCs w:val="24"/>
          <w:lang w:eastAsia="lv-LV"/>
        </w:rPr>
        <w:t xml:space="preserve"> 2014.gada zinātnisko institūciju starptautiskajā izvērtējumā saņēma novērtējumu “2”, kas norāda uz to, ka </w:t>
      </w:r>
      <w:r w:rsidRPr="006429DC">
        <w:t>LHEI</w:t>
      </w:r>
      <w:r w:rsidRPr="006429DC">
        <w:rPr>
          <w:rFonts w:eastAsia="Times New Roman" w:cs="Times New Roman"/>
          <w:szCs w:val="24"/>
          <w:lang w:eastAsia="lv-LV"/>
        </w:rPr>
        <w:t xml:space="preserve"> ir apmierinošs vietējais spēlētājs</w:t>
      </w:r>
      <w:r>
        <w:rPr>
          <w:rFonts w:eastAsia="Times New Roman" w:cs="Times New Roman"/>
          <w:szCs w:val="24"/>
          <w:lang w:eastAsia="lv-LV"/>
        </w:rPr>
        <w:t>,</w:t>
      </w:r>
      <w:r w:rsidRPr="006429DC">
        <w:rPr>
          <w:rFonts w:eastAsia="Times New Roman" w:cs="Times New Roman"/>
          <w:szCs w:val="24"/>
          <w:lang w:eastAsia="lv-LV"/>
        </w:rPr>
        <w:t xml:space="preserve"> attiecībā uz kuru ir jāizvērtē apvienošana ar citām institūcijām</w:t>
      </w:r>
      <w:r>
        <w:rPr>
          <w:rFonts w:eastAsia="Times New Roman" w:cs="Times New Roman"/>
          <w:szCs w:val="24"/>
          <w:lang w:eastAsia="lv-LV"/>
        </w:rPr>
        <w:t xml:space="preserve">. IZM </w:t>
      </w:r>
      <w:r w:rsidRPr="006429DC">
        <w:rPr>
          <w:rFonts w:eastAsia="Times New Roman" w:cs="Times New Roman"/>
          <w:szCs w:val="24"/>
          <w:lang w:eastAsia="lv-LV"/>
        </w:rPr>
        <w:t>nepiešķir bāzes finansējumu zinātniskajām institūcijām, kuras zinātnisko institūciju darbības starptautiskajā izvērtējumā saņēmušas novērtējumu “1” un “2”</w:t>
      </w:r>
      <w:r>
        <w:rPr>
          <w:rStyle w:val="FootnoteReference"/>
          <w:rFonts w:eastAsia="Times New Roman" w:cs="Times New Roman"/>
          <w:szCs w:val="24"/>
          <w:lang w:eastAsia="lv-LV"/>
        </w:rPr>
        <w:footnoteReference w:id="48"/>
      </w:r>
      <w:r w:rsidRPr="006429DC">
        <w:rPr>
          <w:rFonts w:eastAsia="Times New Roman" w:cs="Times New Roman"/>
          <w:szCs w:val="24"/>
          <w:lang w:eastAsia="lv-LV"/>
        </w:rPr>
        <w:t xml:space="preserve">. Ievērojot minēto, </w:t>
      </w:r>
      <w:r w:rsidRPr="006429DC">
        <w:t>LHEI</w:t>
      </w:r>
      <w:r w:rsidRPr="006429DC">
        <w:rPr>
          <w:rFonts w:eastAsia="Times New Roman" w:cs="Times New Roman"/>
          <w:szCs w:val="24"/>
          <w:lang w:eastAsia="lv-LV"/>
        </w:rPr>
        <w:t xml:space="preserve"> finansējuma piesaiste ir ierobežota un tādējādi tiek mazināts cilvēkkapitāla potenciāls, kurš </w:t>
      </w:r>
      <w:r w:rsidRPr="006429DC">
        <w:rPr>
          <w:rFonts w:eastAsia="Times New Roman" w:cs="Times New Roman"/>
          <w:szCs w:val="24"/>
        </w:rPr>
        <w:t>ir būtisks nosacījums, lai pie citiem labvēlīgiem apstākļiem investīcijas pētniecībā un inovācijās būtu efektīvas.</w:t>
      </w:r>
    </w:p>
    <w:p w:rsidR="007D4D4C" w:rsidRPr="006429DC" w:rsidRDefault="007D4D4C" w:rsidP="001B067B">
      <w:pPr>
        <w:ind w:firstLine="720"/>
        <w:jc w:val="both"/>
        <w:rPr>
          <w:rFonts w:eastAsia="Times New Roman" w:cs="Times New Roman"/>
          <w:szCs w:val="24"/>
          <w:lang w:eastAsia="lv-LV"/>
        </w:rPr>
      </w:pPr>
      <w:r>
        <w:lastRenderedPageBreak/>
        <w:t xml:space="preserve">IZM sagatavotajā informatīvajā ziņojumā viens no Daugavpils Universitātes (turpmāk – DU) attīstības stratēģijas plāniem paredz </w:t>
      </w:r>
      <w:r w:rsidRPr="00C63A5D">
        <w:t xml:space="preserve">LHEI </w:t>
      </w:r>
      <w:r>
        <w:t xml:space="preserve">integrēšanu </w:t>
      </w:r>
      <w:r w:rsidR="005A36F5">
        <w:t>DU</w:t>
      </w:r>
      <w:r>
        <w:t>,</w:t>
      </w:r>
      <w:r w:rsidRPr="00FD43A2">
        <w:t xml:space="preserve"> </w:t>
      </w:r>
      <w:r w:rsidRPr="006429DC">
        <w:t>izveidojot</w:t>
      </w:r>
      <w:r>
        <w:t xml:space="preserve"> to kā</w:t>
      </w:r>
      <w:r w:rsidRPr="006429DC">
        <w:t xml:space="preserve"> DU aģentūru, kura</w:t>
      </w:r>
      <w:r>
        <w:t>s</w:t>
      </w:r>
      <w:r w:rsidRPr="006429DC">
        <w:t xml:space="preserve"> mērķis ir sasniegt ekselenci ūdeņu pētījumu virzienos</w:t>
      </w:r>
      <w:r>
        <w:t>,</w:t>
      </w:r>
      <w:r w:rsidRPr="006429DC">
        <w:t xml:space="preserve"> veicino</w:t>
      </w:r>
      <w:r w:rsidR="005A36F5">
        <w:t>t viedās specializācijas jomas “</w:t>
      </w:r>
      <w:r w:rsidRPr="006429DC">
        <w:t>Bioekonomika” attīstību.</w:t>
      </w:r>
      <w:r>
        <w:t xml:space="preserve"> Informatīvajā ziņojumā tika norādīts, ka </w:t>
      </w:r>
      <w:r w:rsidRPr="006429DC">
        <w:t>DU Senāts un LHEI Zinātniskā padome ir pieņēmusi lēmumu par LHEI pievienošanos DU</w:t>
      </w:r>
      <w:r>
        <w:t>, ņ</w:t>
      </w:r>
      <w:r w:rsidRPr="006429DC">
        <w:t xml:space="preserve">emot vērā jau esošās iestrādes un sadarbību zinātniskajos pētījumos, </w:t>
      </w:r>
      <w:r>
        <w:t xml:space="preserve">Valsts pētījumu programmā </w:t>
      </w:r>
      <w:r w:rsidRPr="006429DC">
        <w:t xml:space="preserve">un ES fondu projektu realizācijā un kopīgu potenciālu studējošo izglītošanā. LHEI pievienošanos DU atbalsta arī Latvijas Zinātnes padome. </w:t>
      </w:r>
      <w:r>
        <w:t xml:space="preserve">Šāds risinājums </w:t>
      </w:r>
      <w:r w:rsidRPr="006429DC">
        <w:t>dos iespēju palielināt pētniecisko un inovatīvo kapacitāti, spēju piesaistīt ārējo finansējumu, attīstīt cilvēkresursus un infrastruktūru.</w:t>
      </w:r>
      <w:r>
        <w:t xml:space="preserve"> Turklāt </w:t>
      </w:r>
      <w:r>
        <w:rPr>
          <w:rFonts w:eastAsia="Times New Roman" w:cs="Times New Roman"/>
          <w:szCs w:val="24"/>
          <w:lang w:eastAsia="lv-LV"/>
        </w:rPr>
        <w:t xml:space="preserve">informatīvajā ziņojumā ir norādīts, kā jaunizveidotā DU </w:t>
      </w:r>
      <w:r w:rsidRPr="006429DC">
        <w:rPr>
          <w:rFonts w:eastAsia="Times New Roman" w:cs="Times New Roman"/>
          <w:szCs w:val="24"/>
          <w:lang w:eastAsia="lv-LV"/>
        </w:rPr>
        <w:t xml:space="preserve">publiska aģentūra “Latvijas Hidroekoloģijas institūts” </w:t>
      </w:r>
      <w:r>
        <w:rPr>
          <w:rFonts w:eastAsia="Times New Roman" w:cs="Times New Roman"/>
          <w:szCs w:val="24"/>
          <w:lang w:eastAsia="lv-LV"/>
        </w:rPr>
        <w:t xml:space="preserve">būtu </w:t>
      </w:r>
      <w:r w:rsidRPr="006429DC">
        <w:t>LHEI</w:t>
      </w:r>
      <w:r w:rsidRPr="006429DC">
        <w:rPr>
          <w:rFonts w:eastAsia="Times New Roman" w:cs="Times New Roman"/>
          <w:szCs w:val="24"/>
          <w:lang w:eastAsia="lv-LV"/>
        </w:rPr>
        <w:t xml:space="preserve"> funkciju, personāla, tiesību, saistību, prasību, finanšu līdzekļu, krājumu, arhīvu, materiālo un nemateriālo vērtību, kā arī nekustamo īpašumu un kustamās mantas pārņēmējs</w:t>
      </w:r>
      <w:r w:rsidR="005A36F5">
        <w:rPr>
          <w:rFonts w:eastAsia="Times New Roman" w:cs="Times New Roman"/>
          <w:szCs w:val="24"/>
          <w:lang w:eastAsia="lv-LV"/>
        </w:rPr>
        <w:t xml:space="preserve">, kā arī sniegta informācija </w:t>
      </w:r>
      <w:r>
        <w:rPr>
          <w:rFonts w:eastAsia="Times New Roman" w:cs="Times New Roman"/>
          <w:szCs w:val="24"/>
          <w:lang w:eastAsia="lv-LV"/>
        </w:rPr>
        <w:t>par turpmāk</w:t>
      </w:r>
      <w:r w:rsidR="006575C4">
        <w:rPr>
          <w:rFonts w:eastAsia="Times New Roman" w:cs="Times New Roman"/>
          <w:szCs w:val="24"/>
          <w:lang w:eastAsia="lv-LV"/>
        </w:rPr>
        <w:t>aj</w:t>
      </w:r>
      <w:r>
        <w:rPr>
          <w:rFonts w:eastAsia="Times New Roman" w:cs="Times New Roman"/>
          <w:szCs w:val="24"/>
          <w:lang w:eastAsia="lv-LV"/>
        </w:rPr>
        <w:t xml:space="preserve">ām darbībām attiecībā uz nekustamo īpašumu, kas nepieciešams, lai nodrošinātu projekta īstenošanu </w:t>
      </w:r>
      <w:r w:rsidRPr="006429DC">
        <w:rPr>
          <w:rFonts w:eastAsia="Times New Roman" w:cs="Times New Roman"/>
          <w:szCs w:val="24"/>
          <w:lang w:eastAsia="lv-LV"/>
        </w:rPr>
        <w:t xml:space="preserve">darbības programmas </w:t>
      </w:r>
      <w:r w:rsidR="00A673E8">
        <w:rPr>
          <w:rFonts w:eastAsia="Times New Roman" w:cs="Times New Roman"/>
          <w:szCs w:val="24"/>
          <w:lang w:eastAsia="lv-LV"/>
        </w:rPr>
        <w:t>“Uzņēmējdarbība un inovācijas”</w:t>
      </w:r>
      <w:r w:rsidRPr="006429DC">
        <w:rPr>
          <w:rFonts w:eastAsia="Times New Roman" w:cs="Times New Roman"/>
          <w:szCs w:val="24"/>
          <w:lang w:eastAsia="lv-LV"/>
        </w:rPr>
        <w:t xml:space="preserve"> papildināj</w:t>
      </w:r>
      <w:r w:rsidR="00A673E8">
        <w:rPr>
          <w:rFonts w:eastAsia="Times New Roman" w:cs="Times New Roman"/>
          <w:szCs w:val="24"/>
          <w:lang w:eastAsia="lv-LV"/>
        </w:rPr>
        <w:t>uma 2.1.1.3.1.apakšaktivitātes “</w:t>
      </w:r>
      <w:r w:rsidRPr="006429DC">
        <w:rPr>
          <w:rFonts w:eastAsia="Times New Roman" w:cs="Times New Roman"/>
          <w:szCs w:val="24"/>
          <w:lang w:eastAsia="lv-LV"/>
        </w:rPr>
        <w:t>Zin</w:t>
      </w:r>
      <w:r w:rsidR="00A673E8">
        <w:rPr>
          <w:rFonts w:eastAsia="Times New Roman" w:cs="Times New Roman"/>
          <w:szCs w:val="24"/>
          <w:lang w:eastAsia="lv-LV"/>
        </w:rPr>
        <w:t>ātnes infrastruktūras attīstība”</w:t>
      </w:r>
      <w:r w:rsidRPr="006429DC">
        <w:rPr>
          <w:rFonts w:eastAsia="Times New Roman" w:cs="Times New Roman"/>
          <w:szCs w:val="24"/>
          <w:lang w:eastAsia="lv-LV"/>
        </w:rPr>
        <w:t xml:space="preserve"> </w:t>
      </w:r>
      <w:r>
        <w:rPr>
          <w:rFonts w:eastAsia="Times New Roman" w:cs="Times New Roman"/>
          <w:szCs w:val="24"/>
          <w:lang w:eastAsia="lv-LV"/>
        </w:rPr>
        <w:t>ietvaros.</w:t>
      </w:r>
    </w:p>
    <w:p w:rsidR="00E808B0" w:rsidRPr="006429DC" w:rsidRDefault="00E808B0" w:rsidP="001B067B">
      <w:pPr>
        <w:ind w:firstLine="720"/>
        <w:jc w:val="both"/>
        <w:rPr>
          <w:rFonts w:cs="Times New Roman"/>
          <w:szCs w:val="24"/>
        </w:rPr>
      </w:pPr>
      <w:r w:rsidRPr="000547FA">
        <w:rPr>
          <w:rFonts w:cs="Times New Roman"/>
          <w:szCs w:val="24"/>
        </w:rPr>
        <w:t>Vienlaikus informatīvajā ziņojumā ir norādīts, ka</w:t>
      </w:r>
      <w:r w:rsidRPr="000547FA">
        <w:rPr>
          <w:rFonts w:cs="Times New Roman"/>
          <w:szCs w:val="24"/>
          <w:shd w:val="clear" w:color="auto" w:fill="FFFFFF"/>
        </w:rPr>
        <w:t xml:space="preserve">, lai 2018.gadā nodrošinātu bāzes finansējumu arī LHEI, plānots, ka </w:t>
      </w:r>
      <w:r>
        <w:rPr>
          <w:rFonts w:cs="Times New Roman"/>
          <w:szCs w:val="24"/>
          <w:shd w:val="clear" w:color="auto" w:fill="FFFFFF"/>
        </w:rPr>
        <w:t>DU</w:t>
      </w:r>
      <w:r w:rsidRPr="000547FA">
        <w:rPr>
          <w:rFonts w:cs="Times New Roman"/>
          <w:szCs w:val="24"/>
          <w:shd w:val="clear" w:color="auto" w:fill="FFFFFF"/>
        </w:rPr>
        <w:t>, iesniedzot informāciju bāzes finansējuma aprēķināšanai</w:t>
      </w:r>
      <w:r w:rsidRPr="000547FA">
        <w:rPr>
          <w:rStyle w:val="FootnoteReference"/>
          <w:rFonts w:cs="Times New Roman"/>
          <w:szCs w:val="24"/>
          <w:shd w:val="clear" w:color="auto" w:fill="FFFFFF"/>
        </w:rPr>
        <w:footnoteReference w:id="49"/>
      </w:r>
      <w:r w:rsidRPr="000547FA">
        <w:rPr>
          <w:rFonts w:cs="Times New Roman"/>
          <w:szCs w:val="24"/>
          <w:shd w:val="clear" w:color="auto" w:fill="FFFFFF"/>
        </w:rPr>
        <w:t xml:space="preserve">, iekļaus arī datus par </w:t>
      </w:r>
      <w:r>
        <w:rPr>
          <w:rFonts w:cs="Times New Roman"/>
          <w:szCs w:val="24"/>
          <w:shd w:val="clear" w:color="auto" w:fill="FFFFFF"/>
        </w:rPr>
        <w:t>LHEI</w:t>
      </w:r>
      <w:r w:rsidRPr="000547FA">
        <w:rPr>
          <w:rFonts w:cs="Times New Roman"/>
          <w:szCs w:val="24"/>
        </w:rPr>
        <w:t>, kā arī sniegta informācija, ka saistībā ar ierosinātām izmaiņām ietekme uz valsts budžetu nebūs.</w:t>
      </w:r>
    </w:p>
    <w:p w:rsidR="00E808B0" w:rsidRDefault="00E808B0" w:rsidP="00E808B0">
      <w:pPr>
        <w:ind w:firstLine="720"/>
        <w:jc w:val="both"/>
      </w:pPr>
      <w:r>
        <w:t xml:space="preserve">Ņemot vērā iepriekš minēto par turpmāko rīcību attiecībā uz LHEI statusu, pievienojot to DU, lai </w:t>
      </w:r>
      <w:r w:rsidRPr="000520C6">
        <w:t>attīstīt</w:t>
      </w:r>
      <w:r w:rsidR="00726A85">
        <w:t>u</w:t>
      </w:r>
      <w:r w:rsidRPr="000520C6">
        <w:t xml:space="preserve"> cilvēkresursus un infrastruktūru</w:t>
      </w:r>
      <w:r>
        <w:t xml:space="preserve">, uzskatām, ka VARAM var pārskatīt finansējumu, kas novirzāms LHEI par deleģēto pārvaldes uzdevuma izpildi, jo uzdevuma ietvaros sniegtais pakalpojums institūcijām apvienojoties varētu kļūt lētāks, minimāli par 1 % no līdzšinēji piešķirtā finansējuma. Attiecīgi uzskatām, ka </w:t>
      </w:r>
      <w:r w:rsidRPr="000520C6">
        <w:t>finansējum</w:t>
      </w:r>
      <w:r>
        <w:t>s</w:t>
      </w:r>
      <w:r w:rsidRPr="000520C6">
        <w:t xml:space="preserve">, kas novirzāms citām VARAM aktualitātēm 2018.gadā un turpmāk </w:t>
      </w:r>
      <w:r>
        <w:t xml:space="preserve">ir 1 281 </w:t>
      </w:r>
      <w:r w:rsidRPr="000520C6">
        <w:rPr>
          <w:i/>
        </w:rPr>
        <w:t>euro</w:t>
      </w:r>
      <w:r>
        <w:t>, kas ir 1% apmērā no VARAM plānotā finansējuma par LHEI deleģētā uzdevuma izpildi.</w:t>
      </w:r>
    </w:p>
    <w:p w:rsidR="00E808B0" w:rsidRDefault="00E808B0" w:rsidP="001B067B">
      <w:pPr>
        <w:ind w:firstLine="720"/>
        <w:jc w:val="both"/>
      </w:pPr>
      <w:r w:rsidRPr="000B1711">
        <w:t>Vienlaikus aicinām VARAM izvērtēt LHEI piešķirto finansējumu pēc būtības, ņemot vērā, ka jūras telpiskās plānošanas pasākumu īstenošanai, ko VARAM uzdevumā veic LHEI, tiek piesaistīti arī ārvalstu finanšu palīdzības finansēti projekti.</w:t>
      </w:r>
    </w:p>
    <w:p w:rsidR="007D4D4C" w:rsidRDefault="007D4D4C" w:rsidP="001B067B">
      <w:pPr>
        <w:ind w:firstLine="720"/>
        <w:jc w:val="both"/>
      </w:pPr>
      <w:r w:rsidRPr="00666149">
        <w:t>Attiecībā uz zinātnisko institūtu “Nacionālais botāniskais dārzs” izdevumu pārskatīšanas ietvaros priekšlikumu izmaiņām institūta statusā vai pārvaldībā nav.</w:t>
      </w:r>
    </w:p>
    <w:p w:rsidR="0082362C" w:rsidRDefault="007D4D4C" w:rsidP="008F3FDB">
      <w:pPr>
        <w:spacing w:before="120" w:after="120"/>
        <w:jc w:val="both"/>
        <w:rPr>
          <w:i/>
        </w:rPr>
      </w:pPr>
      <w:r w:rsidRPr="00B103BE">
        <w:rPr>
          <w:i/>
        </w:rPr>
        <w:t>Kapitālsabiedrības</w:t>
      </w:r>
      <w:r w:rsidR="008F3FDB">
        <w:rPr>
          <w:i/>
        </w:rPr>
        <w:t xml:space="preserve"> – priekšlikumi izmaiņām</w:t>
      </w:r>
    </w:p>
    <w:p w:rsidR="007D4D4C" w:rsidRDefault="007D4D4C" w:rsidP="001B067B">
      <w:pPr>
        <w:ind w:firstLine="720"/>
        <w:jc w:val="both"/>
      </w:pPr>
      <w:r>
        <w:t>Kā norādīts iepriekš, VARAM ir kapitāldaļu turētājs 3 kapitālsabiedrībās, no kurām 2 ir saistītas ar vides aizsardzības jomu, kuras attiecīgi tiek pakļautas pārskatīšanai.</w:t>
      </w:r>
    </w:p>
    <w:p w:rsidR="007D4D4C" w:rsidRDefault="007D4D4C" w:rsidP="001B067B">
      <w:pPr>
        <w:ind w:firstLine="720"/>
        <w:jc w:val="both"/>
      </w:pPr>
      <w:r>
        <w:t>Līdzšinējā SIA “Vides investīciju fonds” (turpmāk – VIF) darbība ir saistīta ar attīstības sadarbības projektu vadību, Klimata pārmaiņu finanšu instrumenta (turpmāk – KPFI) un Emisiju kvotu izsolīšanas instrumenta (turpmāk – EKII) finansēto projektu īstenošanas uzraudzība, kā arī finanšu pakalpojumu sniegšana</w:t>
      </w:r>
      <w:r w:rsidRPr="00983D3E">
        <w:t xml:space="preserve"> Latvijas pašvaldībām, pašvaldību komunālo saimniecību un citiem uzņēmumiem, kas īsteno ES struktūrfondu atbalstītus vides infrastruktūras projektus</w:t>
      </w:r>
      <w:r>
        <w:t xml:space="preserve"> (aizdevumi). </w:t>
      </w:r>
    </w:p>
    <w:p w:rsidR="007D4D4C" w:rsidRPr="00E9003B" w:rsidRDefault="007D4D4C" w:rsidP="001B067B">
      <w:pPr>
        <w:ind w:firstLine="720"/>
        <w:jc w:val="both"/>
      </w:pPr>
      <w:r>
        <w:t xml:space="preserve">2016.gadā MK tika izskatīti VARAM </w:t>
      </w:r>
      <w:r w:rsidRPr="00E9003B">
        <w:t>priekšlikum</w:t>
      </w:r>
      <w:r>
        <w:t>i</w:t>
      </w:r>
      <w:r w:rsidRPr="00E9003B">
        <w:t xml:space="preserve"> par turpmāko rīcību ar </w:t>
      </w:r>
      <w:r>
        <w:t>VIF</w:t>
      </w:r>
      <w:r>
        <w:rPr>
          <w:rStyle w:val="FootnoteReference"/>
        </w:rPr>
        <w:footnoteReference w:id="50"/>
      </w:r>
      <w:r>
        <w:t xml:space="preserve"> un atbalstīta </w:t>
      </w:r>
      <w:r w:rsidRPr="004E125E">
        <w:t>valsts līdzdalības saglabāšan</w:t>
      </w:r>
      <w:r>
        <w:t>a</w:t>
      </w:r>
      <w:r w:rsidRPr="004E125E">
        <w:t xml:space="preserve"> </w:t>
      </w:r>
      <w:r>
        <w:t xml:space="preserve">VIF, neveicot tās </w:t>
      </w:r>
      <w:r w:rsidRPr="004E125E">
        <w:t xml:space="preserve">reorganizāciju, </w:t>
      </w:r>
      <w:r>
        <w:t xml:space="preserve">bet paredzot VIF </w:t>
      </w:r>
      <w:r w:rsidRPr="004E125E">
        <w:t>vispārējo stratēģisko mērķi – izveidojot ilgtspējīgu finansēšanas modeli, veicināt Latvijas ieguldījumu globālo klimata pārmaiņu samazināšanā, ņemot vērā Latvijas vides, sociālās un ekonomiskās intereses</w:t>
      </w:r>
      <w:r>
        <w:t xml:space="preserve">. Saskaņā ar šo ziņojumu VIF tika paredzēts jauns darbības virziens – </w:t>
      </w:r>
      <w:r w:rsidRPr="00D94750">
        <w:lastRenderedPageBreak/>
        <w:t>uzsākt ESKO finansēšanas sistēmas (investīciju uzņēmumi, kas investē enerģiju taupošos pasākumos, ievieš šos pasākumus un veiktās investīcijas atpelna no panāktā energoresursu ietaupījuma ilgākā laika posmā, nepalielinot infrastruktūras izmantotāju esošo maksājumu apjomu) ieviešanu pašvaldību infrastruktūras energoefektivitātes uzlabošanai un nodrošināšanai ilgtermiņā</w:t>
      </w:r>
      <w:r>
        <w:t>. Ņemot vērā, ka lēmumi tika pieņemti 2016.gada nogalē</w:t>
      </w:r>
      <w:r>
        <w:rPr>
          <w:rStyle w:val="FootnoteReference"/>
        </w:rPr>
        <w:footnoteReference w:id="51"/>
      </w:r>
      <w:r>
        <w:t>, tad šobrīd FM rīcībā nav informācija par jaunā darbības virziena rezultātiem.</w:t>
      </w:r>
    </w:p>
    <w:p w:rsidR="007D4D4C" w:rsidRDefault="007D4D4C" w:rsidP="001B067B">
      <w:pPr>
        <w:spacing w:after="120"/>
        <w:ind w:firstLine="720"/>
        <w:jc w:val="both"/>
      </w:pPr>
      <w:r>
        <w:t>Resursus VIF darbības nodrošināšanai iepriekšējos gados galvenokārt veidoja procentu ieņēmumi par pašvaldībām un pašvaldību sabiedrībām izsniegtajiem aizdevumiem un ieņēmumi no dotācijas par KPFI un EKII finansēto projekt</w:t>
      </w:r>
      <w:r w:rsidR="001B067B">
        <w:t>u īstenošanas uzraudzību.</w:t>
      </w:r>
    </w:p>
    <w:p w:rsidR="007D4D4C" w:rsidRDefault="007D4D4C" w:rsidP="007D4D4C">
      <w:pPr>
        <w:jc w:val="both"/>
      </w:pPr>
      <w:r>
        <w:rPr>
          <w:noProof/>
          <w:lang w:eastAsia="lv-LV"/>
        </w:rPr>
        <w:drawing>
          <wp:inline distT="0" distB="0" distL="0" distR="0" wp14:anchorId="71407C03" wp14:editId="51E26AD6">
            <wp:extent cx="5943600" cy="3048000"/>
            <wp:effectExtent l="0" t="0" r="0" b="0"/>
            <wp:docPr id="84" name="Chart 84">
              <a:extLst xmlns:a="http://schemas.openxmlformats.org/drawingml/2006/main">
                <a:ext uri="{FF2B5EF4-FFF2-40B4-BE49-F238E27FC236}">
                  <a16:creationId xmlns:a16="http://schemas.microsoft.com/office/drawing/2014/main" id="{A52BBB5B-06E2-4CDC-B79C-F91D97140D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7D4D4C" w:rsidRPr="008F3FDB" w:rsidRDefault="00AE5AC3" w:rsidP="008F3FDB">
      <w:pPr>
        <w:spacing w:after="240"/>
        <w:jc w:val="center"/>
        <w:rPr>
          <w:b/>
          <w:sz w:val="22"/>
        </w:rPr>
      </w:pPr>
      <w:r w:rsidRPr="00AE5AC3">
        <w:rPr>
          <w:i/>
          <w:sz w:val="22"/>
        </w:rPr>
        <w:t>3.18</w:t>
      </w:r>
      <w:r w:rsidR="007D4D4C" w:rsidRPr="00AE5AC3">
        <w:rPr>
          <w:i/>
          <w:sz w:val="22"/>
        </w:rPr>
        <w:t>.att.</w:t>
      </w:r>
      <w:r w:rsidR="007D4D4C" w:rsidRPr="00AE5AC3">
        <w:rPr>
          <w:sz w:val="22"/>
        </w:rPr>
        <w:t xml:space="preserve"> </w:t>
      </w:r>
      <w:r w:rsidR="007D4D4C" w:rsidRPr="00AE5AC3">
        <w:rPr>
          <w:b/>
          <w:sz w:val="22"/>
        </w:rPr>
        <w:t>VIF</w:t>
      </w:r>
      <w:r w:rsidR="007D4D4C" w:rsidRPr="003F4D35">
        <w:rPr>
          <w:b/>
          <w:sz w:val="22"/>
        </w:rPr>
        <w:t xml:space="preserve"> ieņēmumi</w:t>
      </w:r>
      <w:r w:rsidR="007D4D4C">
        <w:rPr>
          <w:b/>
          <w:sz w:val="22"/>
        </w:rPr>
        <w:t>, izdevumi peļņa</w:t>
      </w:r>
      <w:r w:rsidR="007D4D4C" w:rsidRPr="003F4D35">
        <w:rPr>
          <w:b/>
          <w:sz w:val="22"/>
        </w:rPr>
        <w:t xml:space="preserve"> 2014.-2016.gadā, </w:t>
      </w:r>
      <w:r w:rsidR="007D4D4C" w:rsidRPr="003F4D35">
        <w:rPr>
          <w:b/>
          <w:i/>
          <w:sz w:val="22"/>
        </w:rPr>
        <w:t>euro</w:t>
      </w:r>
      <w:r w:rsidR="007D4D4C">
        <w:rPr>
          <w:rStyle w:val="FootnoteReference"/>
        </w:rPr>
        <w:footnoteReference w:id="52"/>
      </w:r>
    </w:p>
    <w:p w:rsidR="007D4D4C" w:rsidRDefault="007D4D4C" w:rsidP="00BC55F8">
      <w:pPr>
        <w:ind w:firstLine="720"/>
        <w:jc w:val="both"/>
      </w:pPr>
      <w:r>
        <w:t>Pēdējos 3 gados VIF ieņēmumi ir būtiski samazinājušies, galvenokārt tādēļ, ka samazinājusies dotācija no valsts budžeta par KPFI projektu ieviešanas uzraudzību (jo KPFI projektu īstenošana ir noslēgusies un VIF nodrošina tikai KPFI ietvaros īstenoto projektu pēcuzraudzību), kā arī samazinājušies procentu ieņēmumi par izsniegtajiem aizdevumiem, jo esošie aizdevumi tiek atmaksāti, bet jauni aizdevumi vairs netiek izsniegti</w:t>
      </w:r>
      <w:r w:rsidR="00AE5AC3">
        <w:t xml:space="preserve"> (skat. 3.18.attēlu)</w:t>
      </w:r>
      <w:r>
        <w:t xml:space="preserve">. Arī izdevumi ir samazinājušies, visbūtiskāk tieši atalgojumam un tam saistošām valsts sociālās apdrošināšanas iemaksām. Tomēr ņemot vērā, ka ieņēmumi samazinājušies straujāk kā izdevumi, VIF 2016.gadā strādāja ar 77,9 tūkst. </w:t>
      </w:r>
      <w:r w:rsidRPr="00F0207A">
        <w:rPr>
          <w:i/>
        </w:rPr>
        <w:t>euro</w:t>
      </w:r>
      <w:r>
        <w:t xml:space="preserve"> lieliem zaudējumiem.</w:t>
      </w:r>
    </w:p>
    <w:p w:rsidR="007D4D4C" w:rsidRDefault="007D4D4C" w:rsidP="00BC55F8">
      <w:pPr>
        <w:spacing w:after="120"/>
        <w:ind w:firstLine="720"/>
        <w:jc w:val="both"/>
      </w:pPr>
      <w:r>
        <w:t>Papildus norādām, ka, izdevumu samazinājums nav ticis attiecināts uz VIF valdes atalgojumu un tam saistošām valsts sociālās apdrošināšanas obligātām iemaksām, jo tas 2014.</w:t>
      </w:r>
      <w:r>
        <w:noBreakHyphen/>
        <w:t>2016.gada periodā ir pieaudzis vairāk kā 2 reizes, attiecīgi izdevumu samazinājums galvenokārt veikts uz pārējā personāla atlīdzības rēķina.</w:t>
      </w:r>
    </w:p>
    <w:p w:rsidR="00E808B0" w:rsidRDefault="008F3FDB" w:rsidP="008F3FDB">
      <w:pPr>
        <w:ind w:firstLine="720"/>
        <w:jc w:val="right"/>
      </w:pPr>
      <w:r w:rsidRPr="00AE5AC3">
        <w:t>Tabula Nr.</w:t>
      </w:r>
      <w:r w:rsidR="00AE5AC3" w:rsidRPr="00AE5AC3">
        <w:t>3.20</w:t>
      </w:r>
      <w:r w:rsidR="00AE5AC3">
        <w:t>.</w:t>
      </w:r>
    </w:p>
    <w:p w:rsidR="00E808B0" w:rsidRDefault="00E808B0" w:rsidP="008F3FDB">
      <w:pPr>
        <w:spacing w:before="120" w:after="120"/>
        <w:jc w:val="center"/>
      </w:pPr>
      <w:r>
        <w:rPr>
          <w:b/>
        </w:rPr>
        <w:t>Plānotā valsts budžeta d</w:t>
      </w:r>
      <w:r w:rsidRPr="00227662">
        <w:rPr>
          <w:b/>
        </w:rPr>
        <w:t>otācija par deleģēto pārvaldes funkciju izpildi</w:t>
      </w:r>
      <w:r>
        <w:rPr>
          <w:b/>
        </w:rPr>
        <w:t xml:space="preserve">, </w:t>
      </w:r>
      <w:r w:rsidRPr="00227662">
        <w:rPr>
          <w:b/>
          <w:i/>
        </w:rPr>
        <w:t>euro</w:t>
      </w:r>
      <w:r>
        <w:rPr>
          <w:rStyle w:val="FootnoteReference"/>
          <w:b/>
          <w:i/>
        </w:rPr>
        <w:footnoteReference w:id="53"/>
      </w:r>
    </w:p>
    <w:tbl>
      <w:tblPr>
        <w:tblW w:w="9209" w:type="dxa"/>
        <w:jc w:val="center"/>
        <w:tblLook w:val="04A0" w:firstRow="1" w:lastRow="0" w:firstColumn="1" w:lastColumn="0" w:noHBand="0" w:noVBand="1"/>
      </w:tblPr>
      <w:tblGrid>
        <w:gridCol w:w="4248"/>
        <w:gridCol w:w="1417"/>
        <w:gridCol w:w="1276"/>
        <w:gridCol w:w="1134"/>
        <w:gridCol w:w="1134"/>
      </w:tblGrid>
      <w:tr w:rsidR="00E808B0" w:rsidRPr="00227662" w:rsidTr="00F30CB1">
        <w:trPr>
          <w:trHeight w:val="270"/>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hideMark/>
          </w:tcPr>
          <w:p w:rsidR="00E808B0" w:rsidRPr="00227662" w:rsidRDefault="00E808B0" w:rsidP="000D7F55">
            <w:pPr>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 </w:t>
            </w:r>
          </w:p>
        </w:tc>
        <w:tc>
          <w:tcPr>
            <w:tcW w:w="1417"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rsidR="00E808B0" w:rsidRPr="00227662" w:rsidRDefault="00E808B0" w:rsidP="000D7F55">
            <w:pPr>
              <w:jc w:val="center"/>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2017</w:t>
            </w:r>
          </w:p>
        </w:tc>
        <w:tc>
          <w:tcPr>
            <w:tcW w:w="1276"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rsidR="00E808B0" w:rsidRPr="00227662" w:rsidRDefault="00E808B0" w:rsidP="000D7F55">
            <w:pPr>
              <w:jc w:val="center"/>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2018</w:t>
            </w:r>
          </w:p>
        </w:tc>
        <w:tc>
          <w:tcPr>
            <w:tcW w:w="1134" w:type="dxa"/>
            <w:tcBorders>
              <w:top w:val="single" w:sz="4" w:space="0" w:color="auto"/>
              <w:left w:val="nil"/>
              <w:bottom w:val="single" w:sz="4" w:space="0" w:color="auto"/>
              <w:right w:val="single" w:sz="4" w:space="0" w:color="auto"/>
            </w:tcBorders>
            <w:shd w:val="clear" w:color="auto" w:fill="C5E0B3" w:themeFill="accent6" w:themeFillTint="66"/>
            <w:vAlign w:val="bottom"/>
            <w:hideMark/>
          </w:tcPr>
          <w:p w:rsidR="00E808B0" w:rsidRPr="00227662" w:rsidRDefault="00E808B0" w:rsidP="000D7F55">
            <w:pPr>
              <w:jc w:val="center"/>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2019</w:t>
            </w:r>
          </w:p>
        </w:tc>
        <w:tc>
          <w:tcPr>
            <w:tcW w:w="1134" w:type="dxa"/>
            <w:tcBorders>
              <w:top w:val="single" w:sz="4" w:space="0" w:color="auto"/>
              <w:left w:val="nil"/>
              <w:bottom w:val="single" w:sz="4" w:space="0" w:color="auto"/>
              <w:right w:val="single" w:sz="4" w:space="0" w:color="auto"/>
            </w:tcBorders>
            <w:shd w:val="clear" w:color="auto" w:fill="C5E0B3" w:themeFill="accent6" w:themeFillTint="66"/>
            <w:vAlign w:val="bottom"/>
          </w:tcPr>
          <w:p w:rsidR="00E808B0" w:rsidRDefault="00E808B0" w:rsidP="000D7F55">
            <w:pPr>
              <w:jc w:val="center"/>
              <w:rPr>
                <w:b/>
                <w:bCs/>
                <w:color w:val="000000"/>
                <w:sz w:val="21"/>
                <w:szCs w:val="21"/>
              </w:rPr>
            </w:pPr>
            <w:r>
              <w:rPr>
                <w:b/>
                <w:bCs/>
                <w:color w:val="000000"/>
                <w:sz w:val="21"/>
                <w:szCs w:val="21"/>
              </w:rPr>
              <w:t>2020</w:t>
            </w:r>
          </w:p>
        </w:tc>
      </w:tr>
      <w:tr w:rsidR="00E808B0" w:rsidRPr="00227662" w:rsidTr="000D7F55">
        <w:trPr>
          <w:trHeight w:val="270"/>
          <w:jc w:val="center"/>
        </w:trPr>
        <w:tc>
          <w:tcPr>
            <w:tcW w:w="4248" w:type="dxa"/>
            <w:tcBorders>
              <w:top w:val="nil"/>
              <w:left w:val="single" w:sz="4" w:space="0" w:color="auto"/>
              <w:bottom w:val="single" w:sz="4" w:space="0" w:color="auto"/>
              <w:right w:val="single" w:sz="4" w:space="0" w:color="auto"/>
            </w:tcBorders>
            <w:shd w:val="clear" w:color="auto" w:fill="auto"/>
            <w:vAlign w:val="bottom"/>
            <w:hideMark/>
          </w:tcPr>
          <w:p w:rsidR="00E808B0" w:rsidRPr="00227662" w:rsidRDefault="00E808B0" w:rsidP="000D7F55">
            <w:pPr>
              <w:rPr>
                <w:rFonts w:eastAsia="Times New Roman" w:cs="Times New Roman"/>
                <w:color w:val="000000"/>
                <w:sz w:val="21"/>
                <w:szCs w:val="21"/>
                <w:lang w:eastAsia="lv-LV"/>
              </w:rPr>
            </w:pPr>
            <w:r w:rsidRPr="00227662">
              <w:rPr>
                <w:rFonts w:eastAsia="Times New Roman" w:cs="Times New Roman"/>
                <w:color w:val="000000"/>
                <w:sz w:val="21"/>
                <w:szCs w:val="21"/>
                <w:lang w:eastAsia="lv-LV"/>
              </w:rPr>
              <w:t>KPFI projektu pēcuzraudzība</w:t>
            </w:r>
          </w:p>
        </w:tc>
        <w:tc>
          <w:tcPr>
            <w:tcW w:w="1417"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color w:val="000000"/>
                <w:sz w:val="21"/>
                <w:szCs w:val="21"/>
                <w:lang w:eastAsia="lv-LV"/>
              </w:rPr>
            </w:pPr>
            <w:r w:rsidRPr="00227662">
              <w:rPr>
                <w:rFonts w:eastAsia="Times New Roman" w:cs="Times New Roman"/>
                <w:color w:val="000000"/>
                <w:sz w:val="21"/>
                <w:szCs w:val="21"/>
                <w:lang w:eastAsia="lv-LV"/>
              </w:rPr>
              <w:t>51 006</w:t>
            </w:r>
          </w:p>
        </w:tc>
        <w:tc>
          <w:tcPr>
            <w:tcW w:w="1276"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color w:val="000000"/>
                <w:sz w:val="21"/>
                <w:szCs w:val="21"/>
                <w:lang w:eastAsia="lv-LV"/>
              </w:rPr>
            </w:pPr>
            <w:r w:rsidRPr="00227662">
              <w:rPr>
                <w:rFonts w:eastAsia="Times New Roman" w:cs="Times New Roman"/>
                <w:color w:val="000000"/>
                <w:sz w:val="21"/>
                <w:szCs w:val="21"/>
                <w:lang w:eastAsia="lv-LV"/>
              </w:rPr>
              <w:t>50 000</w:t>
            </w:r>
          </w:p>
        </w:tc>
        <w:tc>
          <w:tcPr>
            <w:tcW w:w="1134"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color w:val="000000"/>
                <w:sz w:val="21"/>
                <w:szCs w:val="21"/>
                <w:lang w:eastAsia="lv-LV"/>
              </w:rPr>
            </w:pPr>
            <w:r w:rsidRPr="00227662">
              <w:rPr>
                <w:rFonts w:eastAsia="Times New Roman" w:cs="Times New Roman"/>
                <w:color w:val="000000"/>
                <w:sz w:val="21"/>
                <w:szCs w:val="21"/>
                <w:lang w:eastAsia="lv-LV"/>
              </w:rPr>
              <w:t>40 000</w:t>
            </w:r>
          </w:p>
        </w:tc>
        <w:tc>
          <w:tcPr>
            <w:tcW w:w="1134" w:type="dxa"/>
            <w:tcBorders>
              <w:top w:val="nil"/>
              <w:left w:val="nil"/>
              <w:bottom w:val="single" w:sz="4" w:space="0" w:color="auto"/>
              <w:right w:val="single" w:sz="4" w:space="0" w:color="auto"/>
            </w:tcBorders>
            <w:vAlign w:val="bottom"/>
          </w:tcPr>
          <w:p w:rsidR="00E808B0" w:rsidRDefault="00E808B0" w:rsidP="000D7F55">
            <w:pPr>
              <w:jc w:val="right"/>
              <w:rPr>
                <w:color w:val="000000"/>
                <w:sz w:val="21"/>
                <w:szCs w:val="21"/>
              </w:rPr>
            </w:pPr>
            <w:r>
              <w:rPr>
                <w:color w:val="000000"/>
                <w:sz w:val="21"/>
                <w:szCs w:val="21"/>
              </w:rPr>
              <w:t>40 000</w:t>
            </w:r>
          </w:p>
        </w:tc>
      </w:tr>
      <w:tr w:rsidR="00E808B0" w:rsidRPr="00227662" w:rsidTr="000D7F55">
        <w:trPr>
          <w:trHeight w:val="270"/>
          <w:jc w:val="center"/>
        </w:trPr>
        <w:tc>
          <w:tcPr>
            <w:tcW w:w="4248" w:type="dxa"/>
            <w:tcBorders>
              <w:top w:val="nil"/>
              <w:left w:val="single" w:sz="4" w:space="0" w:color="auto"/>
              <w:bottom w:val="single" w:sz="4" w:space="0" w:color="auto"/>
              <w:right w:val="single" w:sz="4" w:space="0" w:color="auto"/>
            </w:tcBorders>
            <w:shd w:val="clear" w:color="auto" w:fill="auto"/>
            <w:vAlign w:val="bottom"/>
            <w:hideMark/>
          </w:tcPr>
          <w:p w:rsidR="00E808B0" w:rsidRPr="00227662" w:rsidRDefault="00E808B0" w:rsidP="000D7F55">
            <w:pPr>
              <w:rPr>
                <w:rFonts w:eastAsia="Times New Roman" w:cs="Times New Roman"/>
                <w:color w:val="000000"/>
                <w:sz w:val="21"/>
                <w:szCs w:val="21"/>
                <w:lang w:eastAsia="lv-LV"/>
              </w:rPr>
            </w:pPr>
            <w:r w:rsidRPr="00227662">
              <w:rPr>
                <w:rFonts w:eastAsia="Times New Roman" w:cs="Times New Roman"/>
                <w:color w:val="000000"/>
                <w:sz w:val="21"/>
                <w:szCs w:val="21"/>
                <w:lang w:eastAsia="lv-LV"/>
              </w:rPr>
              <w:lastRenderedPageBreak/>
              <w:t>EKII projektu uzraudzība</w:t>
            </w:r>
          </w:p>
        </w:tc>
        <w:tc>
          <w:tcPr>
            <w:tcW w:w="1417"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color w:val="000000"/>
                <w:sz w:val="21"/>
                <w:szCs w:val="21"/>
                <w:lang w:eastAsia="lv-LV"/>
              </w:rPr>
            </w:pPr>
            <w:r w:rsidRPr="00227662">
              <w:rPr>
                <w:rFonts w:eastAsia="Times New Roman" w:cs="Times New Roman"/>
                <w:color w:val="000000"/>
                <w:sz w:val="21"/>
                <w:szCs w:val="21"/>
                <w:lang w:eastAsia="lv-LV"/>
              </w:rPr>
              <w:t>100 000</w:t>
            </w:r>
          </w:p>
        </w:tc>
        <w:tc>
          <w:tcPr>
            <w:tcW w:w="1276"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color w:val="000000"/>
                <w:sz w:val="21"/>
                <w:szCs w:val="21"/>
                <w:lang w:eastAsia="lv-LV"/>
              </w:rPr>
            </w:pPr>
            <w:r w:rsidRPr="00227662">
              <w:rPr>
                <w:rFonts w:eastAsia="Times New Roman" w:cs="Times New Roman"/>
                <w:color w:val="000000"/>
                <w:sz w:val="21"/>
                <w:szCs w:val="21"/>
                <w:lang w:eastAsia="lv-LV"/>
              </w:rPr>
              <w:t>100 000</w:t>
            </w:r>
          </w:p>
        </w:tc>
        <w:tc>
          <w:tcPr>
            <w:tcW w:w="1134"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color w:val="000000"/>
                <w:sz w:val="21"/>
                <w:szCs w:val="21"/>
                <w:lang w:eastAsia="lv-LV"/>
              </w:rPr>
            </w:pPr>
            <w:r w:rsidRPr="00227662">
              <w:rPr>
                <w:rFonts w:eastAsia="Times New Roman" w:cs="Times New Roman"/>
                <w:color w:val="000000"/>
                <w:sz w:val="21"/>
                <w:szCs w:val="21"/>
                <w:lang w:eastAsia="lv-LV"/>
              </w:rPr>
              <w:t>100 000</w:t>
            </w:r>
          </w:p>
        </w:tc>
        <w:tc>
          <w:tcPr>
            <w:tcW w:w="1134" w:type="dxa"/>
            <w:tcBorders>
              <w:top w:val="nil"/>
              <w:left w:val="nil"/>
              <w:bottom w:val="single" w:sz="4" w:space="0" w:color="auto"/>
              <w:right w:val="single" w:sz="4" w:space="0" w:color="auto"/>
            </w:tcBorders>
            <w:vAlign w:val="bottom"/>
          </w:tcPr>
          <w:p w:rsidR="00E808B0" w:rsidRDefault="00E808B0" w:rsidP="000D7F55">
            <w:pPr>
              <w:jc w:val="right"/>
              <w:rPr>
                <w:color w:val="000000"/>
                <w:sz w:val="21"/>
                <w:szCs w:val="21"/>
              </w:rPr>
            </w:pPr>
            <w:r>
              <w:rPr>
                <w:color w:val="000000"/>
                <w:sz w:val="21"/>
                <w:szCs w:val="21"/>
              </w:rPr>
              <w:t>100 000</w:t>
            </w:r>
          </w:p>
        </w:tc>
      </w:tr>
      <w:tr w:rsidR="00E808B0" w:rsidRPr="00227662" w:rsidTr="000D7F55">
        <w:trPr>
          <w:trHeight w:val="270"/>
          <w:jc w:val="center"/>
        </w:trPr>
        <w:tc>
          <w:tcPr>
            <w:tcW w:w="4248" w:type="dxa"/>
            <w:tcBorders>
              <w:top w:val="nil"/>
              <w:left w:val="single" w:sz="4" w:space="0" w:color="auto"/>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KOPĀ</w:t>
            </w:r>
            <w:r w:rsidR="008F3FDB">
              <w:rPr>
                <w:rFonts w:eastAsia="Times New Roman" w:cs="Times New Roman"/>
                <w:b/>
                <w:bCs/>
                <w:color w:val="000000"/>
                <w:sz w:val="21"/>
                <w:szCs w:val="21"/>
                <w:lang w:eastAsia="lv-LV"/>
              </w:rPr>
              <w:t>:</w:t>
            </w:r>
          </w:p>
        </w:tc>
        <w:tc>
          <w:tcPr>
            <w:tcW w:w="1417"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151 006</w:t>
            </w:r>
          </w:p>
        </w:tc>
        <w:tc>
          <w:tcPr>
            <w:tcW w:w="1276"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150 000</w:t>
            </w:r>
          </w:p>
        </w:tc>
        <w:tc>
          <w:tcPr>
            <w:tcW w:w="1134" w:type="dxa"/>
            <w:tcBorders>
              <w:top w:val="nil"/>
              <w:left w:val="nil"/>
              <w:bottom w:val="single" w:sz="4" w:space="0" w:color="auto"/>
              <w:right w:val="single" w:sz="4" w:space="0" w:color="auto"/>
            </w:tcBorders>
            <w:shd w:val="clear" w:color="auto" w:fill="auto"/>
            <w:vAlign w:val="bottom"/>
            <w:hideMark/>
          </w:tcPr>
          <w:p w:rsidR="00E808B0" w:rsidRPr="00227662" w:rsidRDefault="00E808B0" w:rsidP="000D7F55">
            <w:pPr>
              <w:jc w:val="right"/>
              <w:rPr>
                <w:rFonts w:eastAsia="Times New Roman" w:cs="Times New Roman"/>
                <w:b/>
                <w:bCs/>
                <w:color w:val="000000"/>
                <w:sz w:val="21"/>
                <w:szCs w:val="21"/>
                <w:lang w:eastAsia="lv-LV"/>
              </w:rPr>
            </w:pPr>
            <w:r w:rsidRPr="00227662">
              <w:rPr>
                <w:rFonts w:eastAsia="Times New Roman" w:cs="Times New Roman"/>
                <w:b/>
                <w:bCs/>
                <w:color w:val="000000"/>
                <w:sz w:val="21"/>
                <w:szCs w:val="21"/>
                <w:lang w:eastAsia="lv-LV"/>
              </w:rPr>
              <w:t>140 000</w:t>
            </w:r>
          </w:p>
        </w:tc>
        <w:tc>
          <w:tcPr>
            <w:tcW w:w="1134" w:type="dxa"/>
            <w:tcBorders>
              <w:top w:val="nil"/>
              <w:left w:val="nil"/>
              <w:bottom w:val="single" w:sz="4" w:space="0" w:color="auto"/>
              <w:right w:val="single" w:sz="4" w:space="0" w:color="auto"/>
            </w:tcBorders>
            <w:vAlign w:val="bottom"/>
          </w:tcPr>
          <w:p w:rsidR="00E808B0" w:rsidRDefault="00E808B0" w:rsidP="000D7F55">
            <w:pPr>
              <w:jc w:val="right"/>
              <w:rPr>
                <w:b/>
                <w:bCs/>
                <w:color w:val="000000"/>
                <w:sz w:val="21"/>
                <w:szCs w:val="21"/>
              </w:rPr>
            </w:pPr>
            <w:r>
              <w:rPr>
                <w:b/>
                <w:bCs/>
                <w:color w:val="000000"/>
                <w:sz w:val="21"/>
                <w:szCs w:val="21"/>
              </w:rPr>
              <w:t>140 000</w:t>
            </w:r>
          </w:p>
        </w:tc>
      </w:tr>
    </w:tbl>
    <w:p w:rsidR="00E808B0" w:rsidRDefault="00E808B0" w:rsidP="00E808B0">
      <w:pPr>
        <w:ind w:firstLine="720"/>
        <w:jc w:val="both"/>
      </w:pPr>
    </w:p>
    <w:p w:rsidR="007D4D4C" w:rsidRDefault="007D4D4C" w:rsidP="00BC55F8">
      <w:pPr>
        <w:ind w:firstLine="720"/>
        <w:jc w:val="both"/>
      </w:pPr>
      <w:r>
        <w:t>VARAM budžetā 2017.gadam un turpmākajiem gadiem tiek plānota dotācija VIF par KPFI projektu pēcuzraudzību un EKII projektu ieviešanas uzraudzību</w:t>
      </w:r>
      <w:r w:rsidR="00AE5AC3">
        <w:t xml:space="preserve"> (skat. tabulu Nr.3.20.)</w:t>
      </w:r>
      <w:r>
        <w:t>. KPFI projektu pēcuzraudzība jānodrošina 5 gadus pēc projekta beigām un ņemot vērā, ka pēdējo projektu ieviešana noslēdzās 2015.gadā, tad pēcuzraudzība jānodrošina līdz 2020.gada beigām. Savukārt EKII ietvaros šobrīd tiek īstenoti 2 projektu konkursi, kuros ir apstiprināti 16 projekti, kā arī 2017.gadā plānots izsludināt vēl 1 projektu konkursu.</w:t>
      </w:r>
    </w:p>
    <w:p w:rsidR="007D4D4C" w:rsidRDefault="007D4D4C" w:rsidP="00BC55F8">
      <w:pPr>
        <w:ind w:firstLine="720"/>
        <w:jc w:val="both"/>
      </w:pPr>
      <w:r>
        <w:t>Ņemot vērā, ka šobrīd uzņēmums strādā ar zaudējumiem un turpmākā uzņēmuma darbība ir galvenokārt atkarīga no jaunā ESKO pakalpojuma attīstības, būtu izvērtējams, vai KPFI projektu pēcuzraudzību un EKII projektu ieviešanas uzraudzības funkcija būtu jāpārņem VARAM centrālajam aparātam vai arī VRAA, kurai ir pieredze projektu administrēšanā. Gadījumā, ja VARAM virza jautājumu par KPFI projektu pēcuzraudzības un EKII projektu uzraudzības funkcijas atgriešanu VARAM vai nodošanu VRAA, tad FM vērtējumā resursu ietaupījums neveidojas, jo VARAM un VRAA būs jānodrošina atlīdzība un darba vietu uzturēšana attiecīgajiem projektu vadītājiem, kas nodrošinās KPFI projektu pēcuzraudzības un EKII projektu ieviešanas uzraudzības funkciju izpildi</w:t>
      </w:r>
      <w:r w:rsidRPr="00DA1794">
        <w:t>.</w:t>
      </w:r>
      <w:r w:rsidR="0082362C">
        <w:t xml:space="preserve"> </w:t>
      </w:r>
    </w:p>
    <w:p w:rsidR="007D4D4C" w:rsidRDefault="007D4D4C" w:rsidP="0082362C">
      <w:pPr>
        <w:spacing w:after="120"/>
        <w:ind w:firstLine="720"/>
        <w:jc w:val="both"/>
      </w:pPr>
      <w:r>
        <w:t xml:space="preserve">Valsts SIA “Latvijas Vides, ģeoloģijas un meteoroloģijas centrs” (turpmāk – LVĢMC) izveidota 2009.gadā, likvidējot </w:t>
      </w:r>
      <w:r w:rsidRPr="000A2674">
        <w:t>valsts aģentūr</w:t>
      </w:r>
      <w:r>
        <w:t>u</w:t>
      </w:r>
      <w:r w:rsidRPr="000A2674">
        <w:t xml:space="preserve"> "Latvijas Vides, ģeoloģijas un meteoroloģijas aģentūra" un Bīstamo atkritumu pārvaldības valsts aģentūr</w:t>
      </w:r>
      <w:r>
        <w:t>u. Centra izveide tika pamatota ar to, ka tiešās valsts pārvaldes iestādēm bija ierobežotas iespējas sniegt pakalpojumus, kuru veikšanai ir nepieciešams iegādāties izejvielas un materiālus vai arī ieguldīt līdzekļus attīstībā, ierobežoto valsts budžeta resursu dēļ, kā arī attīstību bremzējošs faktors bija pakalpojumu sniegšana atbilstoši cenrādim, jo MK apstiprināja arī cenas tiem pakalpojumiem, kas nav saistīti ar valsts pārvaldes uzdevumu īstenošanu, bet kuriem bija jādod iespēja brīvi konkurēt par tirgus cenām, attiecīgi aģentūrai nebija iespējas piedāvāt pakalpojumus par tirgus cenām un līdz ar to gūt ienākumus, piedaloties konkursos dažāda veida projektos</w:t>
      </w:r>
      <w:r>
        <w:rPr>
          <w:rStyle w:val="FootnoteReference"/>
        </w:rPr>
        <w:footnoteReference w:id="54"/>
      </w:r>
      <w:r>
        <w:t xml:space="preserve">. Attiecīgi tika piedāvāts, ka šādas problēmas ir risināmas, likvidējot aģentūras un izveidojot kapitālsabiedrību. </w:t>
      </w:r>
    </w:p>
    <w:p w:rsidR="007D4D4C" w:rsidRDefault="007D4D4C" w:rsidP="0082362C">
      <w:pPr>
        <w:spacing w:after="120"/>
        <w:ind w:firstLine="720"/>
        <w:jc w:val="both"/>
      </w:pPr>
      <w:r>
        <w:t xml:space="preserve">Saskaņā ar </w:t>
      </w:r>
      <w:r w:rsidRPr="00F16054">
        <w:t>atsevišķu pārvaldes uzdevumu deleģēšanas līgum</w:t>
      </w:r>
      <w:r>
        <w:t>u</w:t>
      </w:r>
      <w:r w:rsidRPr="00F16054">
        <w:t xml:space="preserve"> </w:t>
      </w:r>
      <w:r>
        <w:t xml:space="preserve">ar </w:t>
      </w:r>
      <w:r w:rsidRPr="00F16054">
        <w:t>VARAM</w:t>
      </w:r>
      <w:r>
        <w:t>, LVĢMC 2017.gada darba plānā ir iekļauti 86 uzdevumi</w:t>
      </w:r>
      <w:r>
        <w:rPr>
          <w:rStyle w:val="FootnoteReference"/>
        </w:rPr>
        <w:footnoteReference w:id="55"/>
      </w:r>
      <w:r>
        <w:t xml:space="preserve">, par kuru izpildi VARAM piešķir dotāciju. </w:t>
      </w:r>
    </w:p>
    <w:p w:rsidR="007D4D4C" w:rsidRDefault="007D4D4C" w:rsidP="0082362C">
      <w:pPr>
        <w:spacing w:after="120"/>
        <w:ind w:firstLine="720"/>
        <w:jc w:val="both"/>
      </w:pPr>
      <w:r>
        <w:t>LVĢMC deleģētie uzdevumi FM vērtējumā ir sadalāmi 9 jomās, attiecīgi secinot, ka lielākā daļa deleģēto uzdevumu ir saistīti ar ūdens, gaisa, ģeoloģijas un atkritumu jomu, kā arī dažādiem pasākumiem par vidi kopumā, kā arī liela daļa uzdevumu saistīta ar dalību organizācijās un darba grupās</w:t>
      </w:r>
      <w:r w:rsidR="00916506">
        <w:t xml:space="preserve"> (skat. tabulu Nr.3.21.)</w:t>
      </w:r>
      <w:r>
        <w:t>.</w:t>
      </w:r>
    </w:p>
    <w:p w:rsidR="0082362C" w:rsidRDefault="00AC4AE2" w:rsidP="0087444F">
      <w:pPr>
        <w:spacing w:after="120"/>
        <w:jc w:val="right"/>
      </w:pPr>
      <w:r>
        <w:t>Tabula Nr.3.21.</w:t>
      </w:r>
    </w:p>
    <w:p w:rsidR="007D4D4C" w:rsidRPr="00526DB0" w:rsidRDefault="007D4D4C" w:rsidP="0087444F">
      <w:pPr>
        <w:spacing w:after="120"/>
        <w:jc w:val="center"/>
        <w:rPr>
          <w:b/>
        </w:rPr>
      </w:pPr>
      <w:r w:rsidRPr="00526DB0">
        <w:rPr>
          <w:b/>
        </w:rPr>
        <w:t>LVĢMC deleģēto uzdevumu skaits sadalījumā pa jomām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2131"/>
      </w:tblGrid>
      <w:tr w:rsidR="007D4D4C" w:rsidRPr="0082362C" w:rsidTr="00F30CB1">
        <w:trPr>
          <w:trHeight w:val="226"/>
          <w:tblHeader/>
          <w:jc w:val="center"/>
        </w:trPr>
        <w:tc>
          <w:tcPr>
            <w:tcW w:w="3824" w:type="pct"/>
            <w:shd w:val="clear" w:color="auto" w:fill="C5E0B3" w:themeFill="accent6" w:themeFillTint="66"/>
            <w:vAlign w:val="center"/>
            <w:hideMark/>
          </w:tcPr>
          <w:p w:rsidR="007D4D4C" w:rsidRPr="0082362C" w:rsidRDefault="007D4D4C" w:rsidP="007D4D4C">
            <w:pPr>
              <w:jc w:val="center"/>
              <w:rPr>
                <w:rFonts w:eastAsia="Times New Roman" w:cs="Times New Roman"/>
                <w:b/>
                <w:bCs/>
                <w:color w:val="000000"/>
                <w:sz w:val="22"/>
                <w:lang w:eastAsia="lv-LV"/>
              </w:rPr>
            </w:pPr>
            <w:r w:rsidRPr="0082362C">
              <w:rPr>
                <w:rFonts w:eastAsia="Times New Roman" w:cs="Times New Roman"/>
                <w:b/>
                <w:bCs/>
                <w:color w:val="000000"/>
                <w:sz w:val="22"/>
                <w:lang w:eastAsia="lv-LV"/>
              </w:rPr>
              <w:t xml:space="preserve">Jomas </w:t>
            </w:r>
          </w:p>
        </w:tc>
        <w:tc>
          <w:tcPr>
            <w:tcW w:w="1176" w:type="pct"/>
            <w:shd w:val="clear" w:color="auto" w:fill="C5E0B3" w:themeFill="accent6" w:themeFillTint="66"/>
            <w:vAlign w:val="center"/>
            <w:hideMark/>
          </w:tcPr>
          <w:p w:rsidR="007D4D4C" w:rsidRPr="0082362C" w:rsidRDefault="007D4D4C" w:rsidP="007D4D4C">
            <w:pPr>
              <w:jc w:val="center"/>
              <w:rPr>
                <w:rFonts w:eastAsia="Times New Roman" w:cs="Times New Roman"/>
                <w:b/>
                <w:bCs/>
                <w:color w:val="000000"/>
                <w:sz w:val="22"/>
                <w:lang w:eastAsia="lv-LV"/>
              </w:rPr>
            </w:pPr>
            <w:r w:rsidRPr="0082362C">
              <w:rPr>
                <w:rFonts w:eastAsia="Times New Roman" w:cs="Times New Roman"/>
                <w:b/>
                <w:bCs/>
                <w:color w:val="000000"/>
                <w:sz w:val="22"/>
                <w:lang w:eastAsia="lv-LV"/>
              </w:rPr>
              <w:t>Uzdevumu skaits</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Ūdens</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14</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Dažādi</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14</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Radioaktīvie, bīstamie atkritumi un būvniecībā radušies atkritumi</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11</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Gaiss</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11</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lastRenderedPageBreak/>
              <w:t>Ģeoloģija</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11</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Dalība organizācijās un darba grupās</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10</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Laika apstākļi</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8</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Ķīmiskās vielas</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5</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7D4D4C">
            <w:pPr>
              <w:rPr>
                <w:rFonts w:cs="Times New Roman"/>
                <w:bCs/>
                <w:color w:val="000000"/>
                <w:sz w:val="22"/>
              </w:rPr>
            </w:pPr>
            <w:r w:rsidRPr="0082362C">
              <w:rPr>
                <w:rFonts w:cs="Times New Roman"/>
                <w:bCs/>
                <w:color w:val="000000"/>
                <w:sz w:val="22"/>
              </w:rPr>
              <w:t>Klimata pārmaiņas</w:t>
            </w:r>
          </w:p>
        </w:tc>
        <w:tc>
          <w:tcPr>
            <w:tcW w:w="1176" w:type="pct"/>
            <w:shd w:val="clear" w:color="auto" w:fill="auto"/>
            <w:noWrap/>
            <w:vAlign w:val="bottom"/>
            <w:hideMark/>
          </w:tcPr>
          <w:p w:rsidR="007D4D4C" w:rsidRPr="0082362C" w:rsidRDefault="007D4D4C" w:rsidP="007D4D4C">
            <w:pPr>
              <w:jc w:val="right"/>
              <w:rPr>
                <w:rFonts w:cs="Times New Roman"/>
                <w:bCs/>
                <w:color w:val="000000"/>
                <w:sz w:val="22"/>
              </w:rPr>
            </w:pPr>
            <w:r w:rsidRPr="0082362C">
              <w:rPr>
                <w:rFonts w:cs="Times New Roman"/>
                <w:bCs/>
                <w:color w:val="000000"/>
                <w:sz w:val="22"/>
              </w:rPr>
              <w:t>2</w:t>
            </w:r>
          </w:p>
        </w:tc>
      </w:tr>
      <w:tr w:rsidR="007D4D4C" w:rsidRPr="0082362C" w:rsidTr="0082362C">
        <w:trPr>
          <w:trHeight w:val="240"/>
          <w:jc w:val="center"/>
        </w:trPr>
        <w:tc>
          <w:tcPr>
            <w:tcW w:w="3824" w:type="pct"/>
            <w:shd w:val="clear" w:color="auto" w:fill="auto"/>
            <w:vAlign w:val="bottom"/>
            <w:hideMark/>
          </w:tcPr>
          <w:p w:rsidR="007D4D4C" w:rsidRPr="0082362C" w:rsidRDefault="007D4D4C" w:rsidP="00F30CB1">
            <w:pPr>
              <w:jc w:val="right"/>
              <w:rPr>
                <w:rFonts w:eastAsia="Times New Roman" w:cs="Times New Roman"/>
                <w:b/>
                <w:bCs/>
                <w:color w:val="000000"/>
                <w:sz w:val="22"/>
                <w:lang w:eastAsia="lv-LV"/>
              </w:rPr>
            </w:pPr>
            <w:r w:rsidRPr="0082362C">
              <w:rPr>
                <w:rFonts w:eastAsia="Times New Roman" w:cs="Times New Roman"/>
                <w:b/>
                <w:bCs/>
                <w:color w:val="000000"/>
                <w:sz w:val="22"/>
                <w:lang w:eastAsia="lv-LV"/>
              </w:rPr>
              <w:t>KOPĀ</w:t>
            </w:r>
            <w:r w:rsidR="00F30CB1">
              <w:rPr>
                <w:rFonts w:eastAsia="Times New Roman" w:cs="Times New Roman"/>
                <w:b/>
                <w:bCs/>
                <w:color w:val="000000"/>
                <w:sz w:val="22"/>
                <w:lang w:eastAsia="lv-LV"/>
              </w:rPr>
              <w:t>:</w:t>
            </w:r>
          </w:p>
        </w:tc>
        <w:tc>
          <w:tcPr>
            <w:tcW w:w="1176" w:type="pct"/>
            <w:shd w:val="clear" w:color="auto" w:fill="auto"/>
            <w:noWrap/>
            <w:vAlign w:val="bottom"/>
            <w:hideMark/>
          </w:tcPr>
          <w:p w:rsidR="007D4D4C" w:rsidRPr="0082362C" w:rsidRDefault="007D4D4C" w:rsidP="007D4D4C">
            <w:pPr>
              <w:jc w:val="right"/>
              <w:rPr>
                <w:rFonts w:eastAsia="Times New Roman" w:cs="Times New Roman"/>
                <w:b/>
                <w:bCs/>
                <w:color w:val="000000"/>
                <w:sz w:val="22"/>
                <w:lang w:eastAsia="lv-LV"/>
              </w:rPr>
            </w:pPr>
            <w:r w:rsidRPr="0082362C">
              <w:rPr>
                <w:rFonts w:eastAsia="Times New Roman" w:cs="Times New Roman"/>
                <w:b/>
                <w:bCs/>
                <w:color w:val="000000"/>
                <w:sz w:val="22"/>
                <w:lang w:eastAsia="lv-LV"/>
              </w:rPr>
              <w:t>86</w:t>
            </w:r>
          </w:p>
        </w:tc>
      </w:tr>
    </w:tbl>
    <w:p w:rsidR="007D4D4C" w:rsidRDefault="007D4D4C" w:rsidP="0087444F">
      <w:pPr>
        <w:spacing w:before="120"/>
        <w:ind w:firstLine="720"/>
        <w:jc w:val="both"/>
        <w:rPr>
          <w:szCs w:val="24"/>
        </w:rPr>
      </w:pPr>
      <w:r>
        <w:t>Savukārt VARAM sniedzot informāciju par dotācijas izlietojumu ir norādījusi, ka tas tiek izmantots dažādu ziņojumu, informācijas sagatavošanai, sistēmu uzturēšanai, dažādu sistēmu vienību ievadīšanai, uzturē</w:t>
      </w:r>
      <w:r w:rsidR="00730283">
        <w:t>šanai, papildināšanai, atļauju i</w:t>
      </w:r>
      <w:r>
        <w:t xml:space="preserve">zsniegšanai, krājumu bilanču sagatavošanai, kolekciju uzturēšanai, meteoroloģiskās informācijas nodrošināšanai, radioaktīvo atkritumu uzglabāšanas objektu un specializēto bīstamo atkritumu uzglabāšanas novietņu apsaimniekošanai, piesārņojuma kontroles mērījumu veikšanai, kā arī Salaspils kodolreaktora </w:t>
      </w:r>
      <w:r w:rsidRPr="001170B3">
        <w:t xml:space="preserve">uzturēšanai (skat. </w:t>
      </w:r>
      <w:r w:rsidR="00517B32">
        <w:t>9</w:t>
      </w:r>
      <w:r w:rsidR="001170B3" w:rsidRPr="001170B3">
        <w:t>.</w:t>
      </w:r>
      <w:r w:rsidRPr="001170B3">
        <w:t>pielikumu),</w:t>
      </w:r>
      <w:r>
        <w:t xml:space="preserve"> attiecīgi norādītiem rezultātiem, kas pārsvarā ir skaitliska informācija par sagatavotiem dokumentiem un sistēmās ievadītām vienībā</w:t>
      </w:r>
      <w:r w:rsidR="00730283">
        <w:t>m</w:t>
      </w:r>
      <w:r>
        <w:t xml:space="preserve">, kas nesniedz priekšstatu par uzdevuma izpildi pēc būtības, nav nodrošināta tieša sasaiste ar deleģētiem uzdevumiem. </w:t>
      </w:r>
    </w:p>
    <w:p w:rsidR="007D4D4C" w:rsidRDefault="007D4D4C" w:rsidP="007D4D4C">
      <w:pPr>
        <w:ind w:firstLine="720"/>
        <w:jc w:val="both"/>
      </w:pPr>
    </w:p>
    <w:p w:rsidR="007D4D4C" w:rsidRDefault="007D4D4C" w:rsidP="007D4D4C">
      <w:pPr>
        <w:jc w:val="both"/>
      </w:pPr>
      <w:r>
        <w:rPr>
          <w:noProof/>
          <w:lang w:eastAsia="lv-LV"/>
        </w:rPr>
        <w:drawing>
          <wp:inline distT="0" distB="0" distL="0" distR="0" wp14:anchorId="7629755F" wp14:editId="2F88B15A">
            <wp:extent cx="5939790" cy="2571750"/>
            <wp:effectExtent l="0" t="0" r="3810" b="0"/>
            <wp:docPr id="85"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7D4D4C" w:rsidRPr="00730283" w:rsidRDefault="001170B3" w:rsidP="0087444F">
      <w:pPr>
        <w:spacing w:before="240" w:after="240"/>
        <w:jc w:val="center"/>
        <w:rPr>
          <w:b/>
          <w:i/>
          <w:sz w:val="22"/>
        </w:rPr>
      </w:pPr>
      <w:r w:rsidRPr="00BE280D">
        <w:rPr>
          <w:i/>
          <w:sz w:val="22"/>
        </w:rPr>
        <w:t>3.19</w:t>
      </w:r>
      <w:r w:rsidR="007D4D4C" w:rsidRPr="00BE280D">
        <w:rPr>
          <w:i/>
          <w:sz w:val="22"/>
        </w:rPr>
        <w:t>.att.</w:t>
      </w:r>
      <w:r w:rsidR="007D4D4C" w:rsidRPr="00BE280D">
        <w:rPr>
          <w:sz w:val="22"/>
        </w:rPr>
        <w:t xml:space="preserve"> </w:t>
      </w:r>
      <w:r w:rsidR="007D4D4C" w:rsidRPr="00BE280D">
        <w:rPr>
          <w:b/>
          <w:sz w:val="22"/>
        </w:rPr>
        <w:t>Valsts</w:t>
      </w:r>
      <w:r w:rsidR="007D4D4C" w:rsidRPr="000B54EC">
        <w:rPr>
          <w:b/>
          <w:sz w:val="22"/>
        </w:rPr>
        <w:t xml:space="preserve"> budžeta dotācija LVĢMC par atsevišķu pārvaldes uzdevumu izpildes nodrošināšanu, milj. </w:t>
      </w:r>
      <w:r w:rsidR="007D4D4C" w:rsidRPr="000B54EC">
        <w:rPr>
          <w:b/>
          <w:i/>
          <w:sz w:val="22"/>
        </w:rPr>
        <w:t>euro</w:t>
      </w:r>
    </w:p>
    <w:p w:rsidR="007D4D4C" w:rsidRDefault="007D4D4C" w:rsidP="0082362C">
      <w:pPr>
        <w:spacing w:after="120"/>
        <w:ind w:firstLine="720"/>
        <w:jc w:val="both"/>
        <w:rPr>
          <w:szCs w:val="24"/>
        </w:rPr>
      </w:pPr>
      <w:r>
        <w:rPr>
          <w:szCs w:val="24"/>
        </w:rPr>
        <w:t>Ņemot vērā, ka FM rīcībā nav informācija par to, kāds ir piešķirtās dotācijas apmērs katram uzdevumam, tad attiecīgi nav iespējams novērtēt katra uzdevuma nozīmīgumu piešķirtās dotācijas apmērā un izdarīt attiecīgus secinājumus.</w:t>
      </w:r>
    </w:p>
    <w:p w:rsidR="007D4D4C" w:rsidRDefault="007D4D4C" w:rsidP="0082362C">
      <w:pPr>
        <w:spacing w:after="120"/>
        <w:ind w:firstLine="720"/>
        <w:jc w:val="both"/>
      </w:pPr>
      <w:r>
        <w:rPr>
          <w:szCs w:val="24"/>
        </w:rPr>
        <w:t>Vienlaikus FM uzskata, ka valsts budžeta dotācijas īpatsvars LVĢMC neto apgrozījumā ir salīdzinoši augsts, turklāt būtu jāpārskata kapitālsabiedrības administratīvie izdevumi, ņemot vērā, ka tā pēdējos 3 gadus strādā ar zaudējumiem</w:t>
      </w:r>
      <w:r>
        <w:rPr>
          <w:rStyle w:val="FootnoteReference"/>
          <w:szCs w:val="24"/>
        </w:rPr>
        <w:footnoteReference w:id="56"/>
      </w:r>
      <w:r>
        <w:rPr>
          <w:szCs w:val="24"/>
        </w:rPr>
        <w:t>.</w:t>
      </w:r>
    </w:p>
    <w:p w:rsidR="007D4D4C" w:rsidRDefault="007D4D4C" w:rsidP="0082362C">
      <w:pPr>
        <w:spacing w:after="120"/>
        <w:ind w:firstLine="720"/>
        <w:jc w:val="both"/>
      </w:pPr>
      <w:r>
        <w:t xml:space="preserve">Attiecībā uz dotācijas plānoto apmēru 2017.gadā un turpmāk, tas būtiski palielinās, jo VARAM tika piešķirts papildu finansējums </w:t>
      </w:r>
      <w:r w:rsidRPr="00423D83">
        <w:t>Salaspils kodolreaktora likvidācijas pasākum</w:t>
      </w:r>
      <w:r>
        <w:t>u kopuma izpildes nodrošināšana, kuru saskaņā ar deleģējuma līgumu veic LVĢMC (pasākuma īs</w:t>
      </w:r>
      <w:r w:rsidR="00BE280D">
        <w:t>tenošana uzsākta jau 2014.gadā) (skat. 3.19.attēlu).</w:t>
      </w:r>
    </w:p>
    <w:p w:rsidR="007D4D4C" w:rsidRDefault="007D4D4C" w:rsidP="0082362C">
      <w:pPr>
        <w:spacing w:after="120"/>
        <w:ind w:firstLine="720"/>
        <w:jc w:val="both"/>
        <w:rPr>
          <w:szCs w:val="24"/>
        </w:rPr>
      </w:pPr>
      <w:r w:rsidRPr="00730283">
        <w:rPr>
          <w:szCs w:val="24"/>
        </w:rPr>
        <w:lastRenderedPageBreak/>
        <w:t xml:space="preserve">Par Salaspils kodolreaktora likvidācijas pasākumu uzraudzību </w:t>
      </w:r>
      <w:r w:rsidR="00730283">
        <w:rPr>
          <w:szCs w:val="24"/>
        </w:rPr>
        <w:t>VKo</w:t>
      </w:r>
      <w:r w:rsidRPr="00730283">
        <w:rPr>
          <w:szCs w:val="24"/>
        </w:rPr>
        <w:t xml:space="preserve"> ir veikusi revīziju</w:t>
      </w:r>
      <w:r w:rsidRPr="00730283">
        <w:rPr>
          <w:rStyle w:val="FootnoteReference"/>
          <w:szCs w:val="24"/>
        </w:rPr>
        <w:footnoteReference w:id="57"/>
      </w:r>
      <w:r w:rsidRPr="00730283">
        <w:rPr>
          <w:szCs w:val="24"/>
        </w:rPr>
        <w:t xml:space="preserve"> un secinājusi, ka Salaspils</w:t>
      </w:r>
      <w:r w:rsidRPr="00A13313">
        <w:rPr>
          <w:szCs w:val="24"/>
        </w:rPr>
        <w:t xml:space="preserve"> kodolreaktora likvidācijas pasākumu īstenošana ir aizkavējusies un plānotie pasākumi netiek veikti noteiktajos termiņos, </w:t>
      </w:r>
      <w:r>
        <w:rPr>
          <w:szCs w:val="24"/>
        </w:rPr>
        <w:t xml:space="preserve">tomēr VARAM </w:t>
      </w:r>
      <w:r w:rsidRPr="00A13313">
        <w:rPr>
          <w:szCs w:val="24"/>
        </w:rPr>
        <w:t xml:space="preserve">turpina </w:t>
      </w:r>
      <w:r>
        <w:rPr>
          <w:szCs w:val="24"/>
        </w:rPr>
        <w:t xml:space="preserve">LVĢMC </w:t>
      </w:r>
      <w:r w:rsidRPr="00A13313">
        <w:rPr>
          <w:szCs w:val="24"/>
        </w:rPr>
        <w:t xml:space="preserve">pārskaitīt piešķirto dotāciju sākotnēji noteiktajos apmēros, neņemot vērā pasākumu izpildes pakāpi. Tādejādi </w:t>
      </w:r>
      <w:r>
        <w:rPr>
          <w:szCs w:val="24"/>
        </w:rPr>
        <w:t xml:space="preserve">VARAM </w:t>
      </w:r>
      <w:r w:rsidRPr="00A13313">
        <w:rPr>
          <w:szCs w:val="24"/>
        </w:rPr>
        <w:t xml:space="preserve">ir jau pārskaitījusi </w:t>
      </w:r>
      <w:r>
        <w:rPr>
          <w:szCs w:val="24"/>
        </w:rPr>
        <w:t xml:space="preserve">LVĢMC </w:t>
      </w:r>
      <w:r w:rsidRPr="00A13313">
        <w:rPr>
          <w:szCs w:val="24"/>
        </w:rPr>
        <w:t xml:space="preserve">vairāk nekā vienu miljonu </w:t>
      </w:r>
      <w:r w:rsidRPr="00A13313">
        <w:rPr>
          <w:i/>
          <w:szCs w:val="24"/>
        </w:rPr>
        <w:t>euro</w:t>
      </w:r>
      <w:r w:rsidRPr="00A13313">
        <w:rPr>
          <w:szCs w:val="24"/>
        </w:rPr>
        <w:t>, kau</w:t>
      </w:r>
      <w:r>
        <w:rPr>
          <w:szCs w:val="24"/>
        </w:rPr>
        <w:t xml:space="preserve">t arī darbi faktiski nav veikti, kas norāda uz to, ka VARAM </w:t>
      </w:r>
      <w:r w:rsidRPr="00A13313">
        <w:rPr>
          <w:szCs w:val="24"/>
        </w:rPr>
        <w:t xml:space="preserve">nav nodrošinājusi atbilstošu </w:t>
      </w:r>
      <w:r>
        <w:rPr>
          <w:szCs w:val="24"/>
        </w:rPr>
        <w:t xml:space="preserve">LVĢMC </w:t>
      </w:r>
      <w:r w:rsidRPr="00A13313">
        <w:rPr>
          <w:szCs w:val="24"/>
        </w:rPr>
        <w:t>piešķirtās dotācijas izlietojuma uzraudzību.</w:t>
      </w:r>
      <w:r>
        <w:rPr>
          <w:szCs w:val="24"/>
        </w:rPr>
        <w:t xml:space="preserve"> Attiecīgi var secināt, ka no piešķirtā finansējuma LVĢMC ir sedzis citu funkciju īstenošanas izmaksas.</w:t>
      </w:r>
    </w:p>
    <w:p w:rsidR="007D4D4C" w:rsidRDefault="007D4D4C" w:rsidP="00730283">
      <w:pPr>
        <w:spacing w:after="120"/>
        <w:ind w:firstLine="720"/>
        <w:jc w:val="both"/>
        <w:rPr>
          <w:szCs w:val="24"/>
        </w:rPr>
      </w:pPr>
      <w:r>
        <w:rPr>
          <w:szCs w:val="24"/>
        </w:rPr>
        <w:t>Ņemot vērā iepriekš minēto, lai nodrošinātu labas pārvaldības principus, VARAM būtu nepieciešams pārskatīt piešķiramo valsts budžeta dotāciju LVĢMC un tam deleģētos uzdevumu, izvērtējot, vai deleģēto uzdevumu izpildes izmaksas ir atbilstoša</w:t>
      </w:r>
      <w:r w:rsidR="00730283">
        <w:rPr>
          <w:szCs w:val="24"/>
        </w:rPr>
        <w:t>s piešķirtās dotācijas apmēram.</w:t>
      </w:r>
    </w:p>
    <w:p w:rsidR="00E808B0" w:rsidRDefault="00E808B0" w:rsidP="00730283">
      <w:pPr>
        <w:spacing w:after="120"/>
        <w:jc w:val="both"/>
        <w:rPr>
          <w:i/>
          <w:szCs w:val="24"/>
        </w:rPr>
      </w:pPr>
      <w:r w:rsidRPr="00C31EAD">
        <w:rPr>
          <w:i/>
          <w:szCs w:val="24"/>
        </w:rPr>
        <w:t>Kopsavilkums</w:t>
      </w:r>
    </w:p>
    <w:p w:rsidR="00A972F8" w:rsidRPr="00A335D4" w:rsidRDefault="00A972F8" w:rsidP="00A972F8">
      <w:pPr>
        <w:spacing w:before="120"/>
        <w:jc w:val="both"/>
      </w:pPr>
      <w:r w:rsidRPr="00A335D4">
        <w:t>VARAM ir sniegusi informāciju</w:t>
      </w:r>
      <w:r w:rsidRPr="00A335D4">
        <w:rPr>
          <w:rStyle w:val="FootnoteReference"/>
        </w:rPr>
        <w:footnoteReference w:id="58"/>
      </w:r>
      <w:r w:rsidRPr="00A335D4">
        <w:t>, ka:</w:t>
      </w:r>
    </w:p>
    <w:p w:rsidR="00A972F8" w:rsidRPr="00A335D4" w:rsidRDefault="00A972F8" w:rsidP="00A972F8">
      <w:pPr>
        <w:pStyle w:val="ListParagraph"/>
        <w:numPr>
          <w:ilvl w:val="0"/>
          <w:numId w:val="85"/>
        </w:numPr>
        <w:spacing w:before="120"/>
        <w:contextualSpacing w:val="0"/>
        <w:jc w:val="both"/>
      </w:pPr>
      <w:r w:rsidRPr="00A335D4">
        <w:t xml:space="preserve">Par VVD un DAP apvienošanu tās Iekšējā audita procesā (īstenots no 2017.gada marta līdz maijam) tika secināts, ka iestāžu funkcijas nepārklājas, bet atsevišķos vides kontroles jautājumos (teritoriāli) precīzāk ir jāvienojas par sadarbību, lai optimizētu kopējos resursus, tomēr iestādes nav jāapvieno. Turklāt attiecībā uz atbalsta funkciju optimizēšanu, VARAM norāda, ka ne visas FM izvērtējumā minētās funkcijas būtu uzskatāmas par atbalsta funkcijām. Vienlaikus VARAM norāda, ka attiecībā uz atbalsta funkcijām: </w:t>
      </w:r>
    </w:p>
    <w:p w:rsidR="00A972F8" w:rsidRPr="00A335D4" w:rsidRDefault="00A972F8" w:rsidP="00A972F8">
      <w:pPr>
        <w:pStyle w:val="ListParagraph"/>
        <w:numPr>
          <w:ilvl w:val="1"/>
          <w:numId w:val="86"/>
        </w:numPr>
        <w:spacing w:before="120"/>
        <w:contextualSpacing w:val="0"/>
        <w:jc w:val="both"/>
      </w:pPr>
      <w:r w:rsidRPr="00A335D4">
        <w:t xml:space="preserve">VVD tās ir samazinātas līdz 15% un tuvākajā laikā tiks vēl mazinātas par 1-2%. Kopumā ņemot VVD visos rādītājos attiecībā uz atbalsta funkciju veicēju īpatsvaru atrodas stingri zem vidējā efektivitātes līmeņa, tātad uzrāda augstāku efektivitāti, nekā valsts pārvaldē kopumā. </w:t>
      </w:r>
    </w:p>
    <w:p w:rsidR="00A972F8" w:rsidRPr="00A335D4" w:rsidRDefault="00A972F8" w:rsidP="00A972F8">
      <w:pPr>
        <w:pStyle w:val="ListParagraph"/>
        <w:numPr>
          <w:ilvl w:val="1"/>
          <w:numId w:val="86"/>
        </w:numPr>
        <w:spacing w:before="120"/>
        <w:contextualSpacing w:val="0"/>
        <w:jc w:val="both"/>
      </w:pPr>
      <w:r w:rsidRPr="00A335D4">
        <w:t xml:space="preserve">DAP tiks īstenoti pasākumi iestādes struktūras optimizēšanai, tai skaitā īstenojot pasākumus atbalsta funkciju samazināšanai, vienlaikus palielinot iestādes pamatfunkcijām nepieciešamo kapacitāti. Minētie optimizācijas pasākumi ļaus DAP veikt funkciju kompensāciju par saimnieciskās darbības ierobežojumiem izmaksu administrēšanai, ko VARAM pieteikusi kā prioritāru pasākumu. </w:t>
      </w:r>
    </w:p>
    <w:p w:rsidR="00A972F8" w:rsidRPr="00A335D4" w:rsidRDefault="00A972F8" w:rsidP="00A972F8">
      <w:pPr>
        <w:pStyle w:val="ListParagraph"/>
        <w:numPr>
          <w:ilvl w:val="0"/>
          <w:numId w:val="85"/>
        </w:numPr>
        <w:spacing w:before="120"/>
        <w:contextualSpacing w:val="0"/>
        <w:jc w:val="both"/>
      </w:pPr>
      <w:r w:rsidRPr="00A335D4">
        <w:t>VPVB pievienošanas iespēja kādai citai padotības iestādei vērtēta jau 2016.gadā, secinot, ka VPVB funkcijas ir specifiskas un iestāde nebūtu pievienojama kādai citai iestādei.</w:t>
      </w:r>
    </w:p>
    <w:p w:rsidR="00A972F8" w:rsidRPr="00A335D4" w:rsidRDefault="00A972F8" w:rsidP="00A972F8">
      <w:pPr>
        <w:pStyle w:val="ListParagraph"/>
        <w:numPr>
          <w:ilvl w:val="0"/>
          <w:numId w:val="85"/>
        </w:numPr>
        <w:spacing w:before="120"/>
        <w:contextualSpacing w:val="0"/>
        <w:jc w:val="both"/>
      </w:pPr>
      <w:r w:rsidRPr="00A335D4">
        <w:t xml:space="preserve">Tiek plānota LVAFA pievienošana VRAA. </w:t>
      </w:r>
    </w:p>
    <w:p w:rsidR="00A972F8" w:rsidRDefault="00A972F8" w:rsidP="00A972F8">
      <w:pPr>
        <w:pStyle w:val="ListParagraph"/>
        <w:numPr>
          <w:ilvl w:val="0"/>
          <w:numId w:val="85"/>
        </w:numPr>
        <w:spacing w:before="120"/>
        <w:contextualSpacing w:val="0"/>
        <w:jc w:val="both"/>
      </w:pPr>
      <w:r w:rsidRPr="00A335D4">
        <w:t>VARAM atbalsta viedokli, ka var īstenot KPFI pēcuzraudzības un EKII uzraudzības funkciju nodošanu VRAA.</w:t>
      </w:r>
    </w:p>
    <w:p w:rsidR="00A972F8" w:rsidRDefault="00A972F8" w:rsidP="00E71994">
      <w:pPr>
        <w:spacing w:after="120"/>
        <w:ind w:firstLine="720"/>
        <w:jc w:val="both"/>
        <w:rPr>
          <w:szCs w:val="24"/>
        </w:rPr>
      </w:pPr>
    </w:p>
    <w:p w:rsidR="00E808B0" w:rsidRDefault="00E808B0" w:rsidP="00121FBE">
      <w:pPr>
        <w:spacing w:after="240"/>
        <w:ind w:firstLine="720"/>
        <w:jc w:val="both"/>
        <w:rPr>
          <w:szCs w:val="24"/>
        </w:rPr>
      </w:pPr>
      <w:r>
        <w:rPr>
          <w:szCs w:val="24"/>
        </w:rPr>
        <w:t xml:space="preserve">FM vērtējumā VARAM </w:t>
      </w:r>
      <w:r w:rsidRPr="00F94E9D">
        <w:rPr>
          <w:szCs w:val="24"/>
        </w:rPr>
        <w:t xml:space="preserve">iestāžu efektivizēšanas </w:t>
      </w:r>
      <w:r>
        <w:rPr>
          <w:szCs w:val="24"/>
        </w:rPr>
        <w:t xml:space="preserve">ietvaros atbrīvojamie un citām VARAM aktualitātēm novirzāmie resursi ir 0,5 milj. </w:t>
      </w:r>
      <w:r w:rsidRPr="00A70A85">
        <w:rPr>
          <w:i/>
          <w:szCs w:val="24"/>
        </w:rPr>
        <w:t>euro</w:t>
      </w:r>
      <w:r>
        <w:rPr>
          <w:szCs w:val="24"/>
        </w:rPr>
        <w:t xml:space="preserve"> ik gadu</w:t>
      </w:r>
      <w:r w:rsidR="00E71994">
        <w:rPr>
          <w:szCs w:val="24"/>
        </w:rPr>
        <w:t xml:space="preserve"> (skat. tabulu Nr.3.22.)</w:t>
      </w:r>
      <w:r>
        <w:rPr>
          <w:szCs w:val="24"/>
        </w:rPr>
        <w:t>.</w:t>
      </w:r>
    </w:p>
    <w:p w:rsidR="00BC55F8" w:rsidRDefault="00BC55F8" w:rsidP="00121FBE">
      <w:pPr>
        <w:spacing w:after="120"/>
        <w:ind w:firstLine="720"/>
        <w:jc w:val="right"/>
        <w:rPr>
          <w:szCs w:val="24"/>
        </w:rPr>
      </w:pPr>
    </w:p>
    <w:p w:rsidR="00E808B0" w:rsidRDefault="00CC0E99" w:rsidP="00121FBE">
      <w:pPr>
        <w:spacing w:after="120"/>
        <w:ind w:firstLine="720"/>
        <w:jc w:val="right"/>
        <w:rPr>
          <w:szCs w:val="24"/>
        </w:rPr>
      </w:pPr>
      <w:r w:rsidRPr="00E71994">
        <w:rPr>
          <w:szCs w:val="24"/>
        </w:rPr>
        <w:lastRenderedPageBreak/>
        <w:t>Tabula Nr.3.22.</w:t>
      </w:r>
    </w:p>
    <w:p w:rsidR="00E808B0" w:rsidRPr="006A7C86" w:rsidRDefault="00E808B0" w:rsidP="00E808B0">
      <w:pPr>
        <w:spacing w:after="120"/>
        <w:jc w:val="center"/>
        <w:rPr>
          <w:b/>
          <w:szCs w:val="24"/>
        </w:rPr>
      </w:pPr>
      <w:r w:rsidRPr="006A7C86">
        <w:rPr>
          <w:rFonts w:eastAsia="Times New Roman" w:cs="Times New Roman"/>
          <w:b/>
          <w:color w:val="000000"/>
          <w:szCs w:val="24"/>
          <w:lang w:eastAsia="lv-LV"/>
        </w:rPr>
        <w:t xml:space="preserve">Iestāžu apvienošanas un pievienošanas rezultātā potenciāli atbrīvojamais finansējums, </w:t>
      </w:r>
      <w:r w:rsidRPr="006A7C86">
        <w:rPr>
          <w:rFonts w:eastAsia="Times New Roman" w:cs="Times New Roman"/>
          <w:b/>
          <w:i/>
          <w:color w:val="000000"/>
          <w:szCs w:val="24"/>
          <w:lang w:eastAsia="lv-LV"/>
        </w:rPr>
        <w:t>euro</w:t>
      </w:r>
    </w:p>
    <w:tbl>
      <w:tblPr>
        <w:tblW w:w="9344" w:type="dxa"/>
        <w:jc w:val="center"/>
        <w:tblLook w:val="04A0" w:firstRow="1" w:lastRow="0" w:firstColumn="1" w:lastColumn="0" w:noHBand="0" w:noVBand="1"/>
      </w:tblPr>
      <w:tblGrid>
        <w:gridCol w:w="5949"/>
        <w:gridCol w:w="1417"/>
        <w:gridCol w:w="993"/>
        <w:gridCol w:w="985"/>
      </w:tblGrid>
      <w:tr w:rsidR="007B6BD6" w:rsidRPr="00F250B1" w:rsidTr="00A972F8">
        <w:trPr>
          <w:trHeight w:val="181"/>
          <w:tblHeader/>
          <w:jc w:val="center"/>
        </w:trPr>
        <w:tc>
          <w:tcPr>
            <w:tcW w:w="5949" w:type="dxa"/>
            <w:tcBorders>
              <w:top w:val="single" w:sz="4" w:space="0" w:color="auto"/>
              <w:left w:val="single" w:sz="4" w:space="0" w:color="auto"/>
              <w:bottom w:val="single" w:sz="4" w:space="0" w:color="auto"/>
              <w:right w:val="single" w:sz="4" w:space="0" w:color="auto"/>
            </w:tcBorders>
            <w:shd w:val="clear" w:color="000000" w:fill="C6E0B4"/>
            <w:vAlign w:val="bottom"/>
            <w:hideMark/>
          </w:tcPr>
          <w:p w:rsidR="007B6BD6" w:rsidRPr="00F250B1" w:rsidRDefault="007B6BD6" w:rsidP="00EA3376">
            <w:pPr>
              <w:jc w:val="center"/>
              <w:rPr>
                <w:rFonts w:eastAsia="Times New Roman" w:cs="Times New Roman"/>
                <w:b/>
                <w:color w:val="000000"/>
                <w:sz w:val="21"/>
                <w:szCs w:val="21"/>
                <w:lang w:eastAsia="lv-LV"/>
              </w:rPr>
            </w:pPr>
            <w:r w:rsidRPr="00F250B1">
              <w:rPr>
                <w:rFonts w:eastAsia="Times New Roman" w:cs="Times New Roman"/>
                <w:b/>
                <w:color w:val="000000"/>
                <w:sz w:val="21"/>
                <w:szCs w:val="21"/>
                <w:lang w:eastAsia="lv-LV"/>
              </w:rPr>
              <w:t>Virziens</w:t>
            </w:r>
          </w:p>
        </w:tc>
        <w:tc>
          <w:tcPr>
            <w:tcW w:w="1417" w:type="dxa"/>
            <w:tcBorders>
              <w:top w:val="single" w:sz="4" w:space="0" w:color="auto"/>
              <w:left w:val="nil"/>
              <w:bottom w:val="single" w:sz="4" w:space="0" w:color="auto"/>
              <w:right w:val="single" w:sz="4" w:space="0" w:color="auto"/>
            </w:tcBorders>
            <w:shd w:val="clear" w:color="000000" w:fill="C6E0B4"/>
            <w:vAlign w:val="bottom"/>
            <w:hideMark/>
          </w:tcPr>
          <w:p w:rsidR="007B6BD6" w:rsidRPr="00F250B1" w:rsidRDefault="007B6BD6" w:rsidP="00EA3376">
            <w:pPr>
              <w:jc w:val="center"/>
              <w:rPr>
                <w:rFonts w:eastAsia="Times New Roman" w:cs="Times New Roman"/>
                <w:b/>
                <w:color w:val="000000"/>
                <w:sz w:val="21"/>
                <w:szCs w:val="21"/>
                <w:lang w:eastAsia="lv-LV"/>
              </w:rPr>
            </w:pPr>
            <w:r w:rsidRPr="00F250B1">
              <w:rPr>
                <w:rFonts w:eastAsia="Times New Roman" w:cs="Times New Roman"/>
                <w:b/>
                <w:color w:val="000000"/>
                <w:sz w:val="21"/>
                <w:szCs w:val="21"/>
                <w:lang w:eastAsia="lv-LV"/>
              </w:rPr>
              <w:t>2018</w:t>
            </w:r>
          </w:p>
        </w:tc>
        <w:tc>
          <w:tcPr>
            <w:tcW w:w="993" w:type="dxa"/>
            <w:tcBorders>
              <w:top w:val="single" w:sz="4" w:space="0" w:color="auto"/>
              <w:left w:val="nil"/>
              <w:bottom w:val="single" w:sz="4" w:space="0" w:color="auto"/>
              <w:right w:val="single" w:sz="4" w:space="0" w:color="auto"/>
            </w:tcBorders>
            <w:shd w:val="clear" w:color="000000" w:fill="C6E0B4"/>
          </w:tcPr>
          <w:p w:rsidR="007B6BD6" w:rsidRPr="00F250B1" w:rsidRDefault="007B6BD6" w:rsidP="00EA3376">
            <w:pPr>
              <w:jc w:val="center"/>
              <w:rPr>
                <w:rFonts w:eastAsia="Times New Roman" w:cs="Times New Roman"/>
                <w:b/>
                <w:color w:val="000000"/>
                <w:sz w:val="21"/>
                <w:szCs w:val="21"/>
                <w:lang w:eastAsia="lv-LV"/>
              </w:rPr>
            </w:pPr>
            <w:r w:rsidRPr="00F250B1">
              <w:rPr>
                <w:rFonts w:eastAsia="Times New Roman" w:cs="Times New Roman"/>
                <w:b/>
                <w:color w:val="000000"/>
                <w:sz w:val="21"/>
                <w:szCs w:val="21"/>
                <w:lang w:eastAsia="lv-LV"/>
              </w:rPr>
              <w:t>2019</w:t>
            </w:r>
          </w:p>
        </w:tc>
        <w:tc>
          <w:tcPr>
            <w:tcW w:w="985" w:type="dxa"/>
            <w:tcBorders>
              <w:top w:val="single" w:sz="4" w:space="0" w:color="auto"/>
              <w:left w:val="nil"/>
              <w:bottom w:val="single" w:sz="4" w:space="0" w:color="auto"/>
              <w:right w:val="single" w:sz="4" w:space="0" w:color="auto"/>
            </w:tcBorders>
            <w:shd w:val="clear" w:color="000000" w:fill="C6E0B4"/>
          </w:tcPr>
          <w:p w:rsidR="007B6BD6" w:rsidRPr="00F250B1" w:rsidRDefault="007B6BD6" w:rsidP="00EA3376">
            <w:pPr>
              <w:jc w:val="center"/>
              <w:rPr>
                <w:rFonts w:eastAsia="Times New Roman" w:cs="Times New Roman"/>
                <w:b/>
                <w:color w:val="000000"/>
                <w:sz w:val="21"/>
                <w:szCs w:val="21"/>
                <w:lang w:eastAsia="lv-LV"/>
              </w:rPr>
            </w:pPr>
            <w:r w:rsidRPr="00F250B1">
              <w:rPr>
                <w:rFonts w:eastAsia="Times New Roman" w:cs="Times New Roman"/>
                <w:b/>
                <w:color w:val="000000"/>
                <w:sz w:val="21"/>
                <w:szCs w:val="21"/>
                <w:lang w:eastAsia="lv-LV"/>
              </w:rPr>
              <w:t>2020</w:t>
            </w:r>
          </w:p>
        </w:tc>
      </w:tr>
      <w:tr w:rsidR="007B6BD6" w:rsidRPr="00F250B1" w:rsidTr="00EA3376">
        <w:trPr>
          <w:trHeight w:val="270"/>
          <w:jc w:val="center"/>
        </w:trPr>
        <w:tc>
          <w:tcPr>
            <w:tcW w:w="5949" w:type="dxa"/>
            <w:tcBorders>
              <w:top w:val="nil"/>
              <w:left w:val="single" w:sz="4" w:space="0" w:color="auto"/>
              <w:bottom w:val="single" w:sz="4" w:space="0" w:color="auto"/>
              <w:right w:val="single" w:sz="4" w:space="0" w:color="auto"/>
            </w:tcBorders>
            <w:shd w:val="clear" w:color="auto" w:fill="auto"/>
            <w:vAlign w:val="bottom"/>
            <w:hideMark/>
          </w:tcPr>
          <w:p w:rsidR="007B6BD6" w:rsidRPr="00F250B1" w:rsidRDefault="007B6BD6" w:rsidP="00EA3376">
            <w:pPr>
              <w:rPr>
                <w:rFonts w:eastAsia="Times New Roman" w:cs="Times New Roman"/>
                <w:color w:val="000000"/>
                <w:sz w:val="21"/>
                <w:szCs w:val="21"/>
                <w:lang w:eastAsia="lv-LV"/>
              </w:rPr>
            </w:pPr>
            <w:r w:rsidRPr="00F250B1">
              <w:rPr>
                <w:rFonts w:eastAsia="Times New Roman" w:cs="Times New Roman"/>
                <w:color w:val="000000"/>
                <w:sz w:val="21"/>
                <w:szCs w:val="21"/>
                <w:lang w:eastAsia="lv-LV"/>
              </w:rPr>
              <w:t>VVD un DAP apvienošana</w:t>
            </w:r>
          </w:p>
        </w:tc>
        <w:tc>
          <w:tcPr>
            <w:tcW w:w="1417" w:type="dxa"/>
            <w:tcBorders>
              <w:top w:val="nil"/>
              <w:left w:val="nil"/>
              <w:bottom w:val="single" w:sz="4" w:space="0" w:color="auto"/>
              <w:right w:val="single" w:sz="4" w:space="0" w:color="auto"/>
            </w:tcBorders>
            <w:shd w:val="clear" w:color="auto" w:fill="auto"/>
            <w:vAlign w:val="bottom"/>
            <w:hideMark/>
          </w:tcPr>
          <w:p w:rsidR="007B6BD6" w:rsidRPr="000A3593" w:rsidRDefault="007B6BD6" w:rsidP="00EA3376">
            <w:pPr>
              <w:jc w:val="right"/>
              <w:rPr>
                <w:color w:val="000000"/>
                <w:sz w:val="21"/>
                <w:szCs w:val="21"/>
              </w:rPr>
            </w:pPr>
            <w:r w:rsidRPr="000A3593">
              <w:rPr>
                <w:rFonts w:eastAsia="Times New Roman" w:cs="Times New Roman"/>
                <w:bCs/>
                <w:color w:val="000000"/>
                <w:sz w:val="21"/>
                <w:szCs w:val="21"/>
                <w:lang w:eastAsia="lv-LV"/>
              </w:rPr>
              <w:t>94 918</w:t>
            </w:r>
          </w:p>
        </w:tc>
        <w:tc>
          <w:tcPr>
            <w:tcW w:w="993" w:type="dxa"/>
            <w:tcBorders>
              <w:top w:val="nil"/>
              <w:left w:val="nil"/>
              <w:bottom w:val="single" w:sz="4" w:space="0" w:color="auto"/>
              <w:right w:val="single" w:sz="4" w:space="0" w:color="auto"/>
            </w:tcBorders>
            <w:vAlign w:val="bottom"/>
          </w:tcPr>
          <w:p w:rsidR="007B6BD6" w:rsidRDefault="007B6BD6" w:rsidP="00EA3376">
            <w:pPr>
              <w:jc w:val="right"/>
              <w:rPr>
                <w:color w:val="000000"/>
                <w:sz w:val="21"/>
                <w:szCs w:val="21"/>
              </w:rPr>
            </w:pPr>
            <w:r>
              <w:rPr>
                <w:color w:val="000000"/>
                <w:sz w:val="21"/>
                <w:szCs w:val="21"/>
              </w:rPr>
              <w:t>463 341</w:t>
            </w:r>
          </w:p>
        </w:tc>
        <w:tc>
          <w:tcPr>
            <w:tcW w:w="985" w:type="dxa"/>
            <w:tcBorders>
              <w:top w:val="nil"/>
              <w:left w:val="nil"/>
              <w:bottom w:val="single" w:sz="4" w:space="0" w:color="auto"/>
              <w:right w:val="single" w:sz="4" w:space="0" w:color="auto"/>
            </w:tcBorders>
            <w:vAlign w:val="bottom"/>
          </w:tcPr>
          <w:p w:rsidR="007B6BD6" w:rsidRDefault="007B6BD6" w:rsidP="00EA3376">
            <w:pPr>
              <w:jc w:val="right"/>
              <w:rPr>
                <w:color w:val="000000"/>
                <w:sz w:val="21"/>
                <w:szCs w:val="21"/>
              </w:rPr>
            </w:pPr>
            <w:r>
              <w:rPr>
                <w:color w:val="000000"/>
                <w:sz w:val="21"/>
                <w:szCs w:val="21"/>
              </w:rPr>
              <w:t>463 337</w:t>
            </w:r>
          </w:p>
        </w:tc>
      </w:tr>
      <w:tr w:rsidR="007B6BD6" w:rsidRPr="00821367" w:rsidTr="00821367">
        <w:trPr>
          <w:trHeight w:val="270"/>
          <w:jc w:val="center"/>
        </w:trPr>
        <w:tc>
          <w:tcPr>
            <w:tcW w:w="5949" w:type="dxa"/>
            <w:tcBorders>
              <w:top w:val="nil"/>
              <w:left w:val="single" w:sz="4" w:space="0" w:color="auto"/>
              <w:bottom w:val="single" w:sz="4" w:space="0" w:color="auto"/>
              <w:right w:val="single" w:sz="4" w:space="0" w:color="auto"/>
            </w:tcBorders>
            <w:shd w:val="clear" w:color="auto" w:fill="auto"/>
            <w:vAlign w:val="bottom"/>
            <w:hideMark/>
          </w:tcPr>
          <w:p w:rsidR="007B6BD6" w:rsidRPr="00821367" w:rsidRDefault="007B6BD6" w:rsidP="00EA3376">
            <w:pPr>
              <w:rPr>
                <w:rFonts w:eastAsia="Times New Roman" w:cs="Times New Roman"/>
                <w:color w:val="000000"/>
                <w:sz w:val="21"/>
                <w:szCs w:val="21"/>
                <w:lang w:eastAsia="lv-LV"/>
              </w:rPr>
            </w:pPr>
            <w:r w:rsidRPr="00821367">
              <w:rPr>
                <w:rFonts w:eastAsia="Times New Roman" w:cs="Times New Roman"/>
                <w:color w:val="000000"/>
                <w:sz w:val="21"/>
                <w:szCs w:val="21"/>
                <w:lang w:eastAsia="lv-LV"/>
              </w:rPr>
              <w:t>VPVB pievienošana VARAM centrālajam aparātam</w:t>
            </w:r>
          </w:p>
        </w:tc>
        <w:tc>
          <w:tcPr>
            <w:tcW w:w="1417" w:type="dxa"/>
            <w:tcBorders>
              <w:top w:val="nil"/>
              <w:left w:val="nil"/>
              <w:bottom w:val="single" w:sz="4" w:space="0" w:color="auto"/>
              <w:right w:val="single" w:sz="4" w:space="0" w:color="auto"/>
            </w:tcBorders>
            <w:shd w:val="clear" w:color="auto" w:fill="auto"/>
            <w:vAlign w:val="bottom"/>
            <w:hideMark/>
          </w:tcPr>
          <w:p w:rsidR="007B6BD6" w:rsidRPr="00821367" w:rsidRDefault="007B6BD6" w:rsidP="00EA3376">
            <w:pPr>
              <w:jc w:val="right"/>
              <w:rPr>
                <w:color w:val="000000"/>
                <w:sz w:val="21"/>
                <w:szCs w:val="21"/>
              </w:rPr>
            </w:pPr>
            <w:r w:rsidRPr="00821367">
              <w:rPr>
                <w:color w:val="000000"/>
                <w:sz w:val="21"/>
                <w:szCs w:val="21"/>
              </w:rPr>
              <w:t>0</w:t>
            </w:r>
          </w:p>
        </w:tc>
        <w:tc>
          <w:tcPr>
            <w:tcW w:w="993"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color w:val="000000"/>
                <w:sz w:val="21"/>
                <w:szCs w:val="21"/>
              </w:rPr>
            </w:pPr>
            <w:r w:rsidRPr="00821367">
              <w:rPr>
                <w:rFonts w:eastAsia="Times New Roman" w:cs="Times New Roman"/>
                <w:color w:val="000000"/>
                <w:sz w:val="21"/>
                <w:szCs w:val="21"/>
                <w:lang w:eastAsia="lv-LV"/>
              </w:rPr>
              <w:t>17 737</w:t>
            </w:r>
          </w:p>
        </w:tc>
        <w:tc>
          <w:tcPr>
            <w:tcW w:w="985"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color w:val="000000"/>
                <w:sz w:val="21"/>
                <w:szCs w:val="21"/>
              </w:rPr>
            </w:pPr>
            <w:r w:rsidRPr="00821367">
              <w:rPr>
                <w:rFonts w:eastAsia="Times New Roman" w:cs="Times New Roman"/>
                <w:color w:val="000000"/>
                <w:sz w:val="21"/>
                <w:szCs w:val="21"/>
                <w:lang w:eastAsia="lv-LV"/>
              </w:rPr>
              <w:t>17 737</w:t>
            </w:r>
          </w:p>
        </w:tc>
      </w:tr>
      <w:tr w:rsidR="007B6BD6" w:rsidRPr="00821367" w:rsidTr="00821367">
        <w:trPr>
          <w:trHeight w:val="270"/>
          <w:jc w:val="center"/>
        </w:trPr>
        <w:tc>
          <w:tcPr>
            <w:tcW w:w="5949" w:type="dxa"/>
            <w:tcBorders>
              <w:top w:val="nil"/>
              <w:left w:val="single" w:sz="4" w:space="0" w:color="auto"/>
              <w:bottom w:val="single" w:sz="4" w:space="0" w:color="auto"/>
              <w:right w:val="single" w:sz="4" w:space="0" w:color="auto"/>
            </w:tcBorders>
            <w:shd w:val="clear" w:color="auto" w:fill="auto"/>
            <w:vAlign w:val="bottom"/>
            <w:hideMark/>
          </w:tcPr>
          <w:p w:rsidR="007B6BD6" w:rsidRPr="00821367" w:rsidRDefault="007B6BD6" w:rsidP="00EA3376">
            <w:pPr>
              <w:rPr>
                <w:rFonts w:eastAsia="Times New Roman" w:cs="Times New Roman"/>
                <w:color w:val="000000"/>
                <w:sz w:val="21"/>
                <w:szCs w:val="21"/>
                <w:lang w:eastAsia="lv-LV"/>
              </w:rPr>
            </w:pPr>
            <w:r w:rsidRPr="00821367">
              <w:rPr>
                <w:rFonts w:eastAsia="Times New Roman" w:cs="Times New Roman"/>
                <w:color w:val="000000"/>
                <w:sz w:val="21"/>
                <w:szCs w:val="21"/>
                <w:lang w:eastAsia="lv-LV"/>
              </w:rPr>
              <w:t>LVFVA pievienošana centrālajam aparātam</w:t>
            </w:r>
          </w:p>
        </w:tc>
        <w:tc>
          <w:tcPr>
            <w:tcW w:w="1417" w:type="dxa"/>
            <w:tcBorders>
              <w:top w:val="nil"/>
              <w:left w:val="nil"/>
              <w:bottom w:val="single" w:sz="4" w:space="0" w:color="auto"/>
              <w:right w:val="single" w:sz="4" w:space="0" w:color="auto"/>
            </w:tcBorders>
            <w:shd w:val="clear" w:color="auto" w:fill="auto"/>
            <w:vAlign w:val="bottom"/>
            <w:hideMark/>
          </w:tcPr>
          <w:p w:rsidR="007B6BD6" w:rsidRPr="00821367" w:rsidRDefault="007B6BD6" w:rsidP="00EA3376">
            <w:pPr>
              <w:jc w:val="right"/>
              <w:rPr>
                <w:color w:val="000000"/>
                <w:sz w:val="21"/>
                <w:szCs w:val="21"/>
              </w:rPr>
            </w:pPr>
            <w:r w:rsidRPr="00821367">
              <w:rPr>
                <w:color w:val="000000"/>
                <w:sz w:val="21"/>
                <w:szCs w:val="21"/>
              </w:rPr>
              <w:t>0</w:t>
            </w:r>
          </w:p>
        </w:tc>
        <w:tc>
          <w:tcPr>
            <w:tcW w:w="993"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color w:val="000000"/>
                <w:sz w:val="21"/>
                <w:szCs w:val="21"/>
              </w:rPr>
            </w:pPr>
            <w:r w:rsidRPr="00821367">
              <w:rPr>
                <w:color w:val="000000"/>
                <w:sz w:val="21"/>
                <w:szCs w:val="21"/>
              </w:rPr>
              <w:t>28 431</w:t>
            </w:r>
          </w:p>
        </w:tc>
        <w:tc>
          <w:tcPr>
            <w:tcW w:w="985"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color w:val="000000"/>
                <w:sz w:val="21"/>
                <w:szCs w:val="21"/>
              </w:rPr>
            </w:pPr>
            <w:r w:rsidRPr="00821367">
              <w:rPr>
                <w:color w:val="000000"/>
                <w:sz w:val="21"/>
                <w:szCs w:val="21"/>
              </w:rPr>
              <w:t>28 431</w:t>
            </w:r>
          </w:p>
        </w:tc>
      </w:tr>
      <w:tr w:rsidR="007B6BD6" w:rsidRPr="00821367" w:rsidTr="00821367">
        <w:trPr>
          <w:trHeight w:val="270"/>
          <w:jc w:val="center"/>
        </w:trPr>
        <w:tc>
          <w:tcPr>
            <w:tcW w:w="5949" w:type="dxa"/>
            <w:tcBorders>
              <w:top w:val="nil"/>
              <w:left w:val="single" w:sz="4" w:space="0" w:color="auto"/>
              <w:bottom w:val="single" w:sz="4" w:space="0" w:color="auto"/>
              <w:right w:val="single" w:sz="4" w:space="0" w:color="auto"/>
            </w:tcBorders>
            <w:shd w:val="clear" w:color="auto" w:fill="auto"/>
            <w:vAlign w:val="bottom"/>
          </w:tcPr>
          <w:p w:rsidR="007B6BD6" w:rsidRPr="00821367" w:rsidRDefault="007B6BD6" w:rsidP="00EA3376">
            <w:pPr>
              <w:rPr>
                <w:rFonts w:eastAsia="Times New Roman" w:cs="Times New Roman"/>
                <w:bCs/>
                <w:color w:val="000000"/>
                <w:sz w:val="21"/>
                <w:szCs w:val="21"/>
                <w:lang w:eastAsia="lv-LV"/>
              </w:rPr>
            </w:pPr>
            <w:r w:rsidRPr="00821367">
              <w:rPr>
                <w:rFonts w:eastAsia="Times New Roman" w:cs="Times New Roman"/>
                <w:bCs/>
                <w:color w:val="000000"/>
                <w:sz w:val="21"/>
                <w:szCs w:val="21"/>
                <w:lang w:eastAsia="lv-LV"/>
              </w:rPr>
              <w:t>LHEI deleģētā uzdevuma ietaupījums</w:t>
            </w:r>
          </w:p>
        </w:tc>
        <w:tc>
          <w:tcPr>
            <w:tcW w:w="1417"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color w:val="000000"/>
                <w:sz w:val="21"/>
                <w:szCs w:val="21"/>
              </w:rPr>
            </w:pPr>
            <w:r w:rsidRPr="00821367">
              <w:rPr>
                <w:color w:val="000000"/>
                <w:sz w:val="21"/>
                <w:szCs w:val="21"/>
              </w:rPr>
              <w:t>1 281</w:t>
            </w:r>
          </w:p>
        </w:tc>
        <w:tc>
          <w:tcPr>
            <w:tcW w:w="993"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color w:val="000000"/>
                <w:sz w:val="21"/>
                <w:szCs w:val="21"/>
              </w:rPr>
            </w:pPr>
            <w:r w:rsidRPr="00821367">
              <w:rPr>
                <w:color w:val="000000"/>
                <w:sz w:val="21"/>
                <w:szCs w:val="21"/>
              </w:rPr>
              <w:t>1 281</w:t>
            </w:r>
          </w:p>
        </w:tc>
        <w:tc>
          <w:tcPr>
            <w:tcW w:w="985"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color w:val="000000"/>
                <w:sz w:val="21"/>
                <w:szCs w:val="21"/>
              </w:rPr>
            </w:pPr>
            <w:r w:rsidRPr="00821367">
              <w:rPr>
                <w:color w:val="000000"/>
                <w:sz w:val="21"/>
                <w:szCs w:val="21"/>
              </w:rPr>
              <w:t>1 281</w:t>
            </w:r>
          </w:p>
        </w:tc>
      </w:tr>
      <w:tr w:rsidR="007B6BD6" w:rsidRPr="00F250B1" w:rsidTr="00821367">
        <w:trPr>
          <w:trHeight w:val="270"/>
          <w:jc w:val="center"/>
        </w:trPr>
        <w:tc>
          <w:tcPr>
            <w:tcW w:w="5949" w:type="dxa"/>
            <w:tcBorders>
              <w:top w:val="nil"/>
              <w:left w:val="single" w:sz="4" w:space="0" w:color="auto"/>
              <w:bottom w:val="single" w:sz="4" w:space="0" w:color="auto"/>
              <w:right w:val="single" w:sz="4" w:space="0" w:color="auto"/>
            </w:tcBorders>
            <w:shd w:val="clear" w:color="auto" w:fill="auto"/>
            <w:vAlign w:val="bottom"/>
            <w:hideMark/>
          </w:tcPr>
          <w:p w:rsidR="007B6BD6" w:rsidRPr="00821367" w:rsidRDefault="007B6BD6" w:rsidP="007B6BD6">
            <w:pPr>
              <w:jc w:val="right"/>
              <w:rPr>
                <w:rFonts w:eastAsia="Times New Roman" w:cs="Times New Roman"/>
                <w:b/>
                <w:bCs/>
                <w:color w:val="000000"/>
                <w:sz w:val="21"/>
                <w:szCs w:val="21"/>
                <w:lang w:eastAsia="lv-LV"/>
              </w:rPr>
            </w:pPr>
            <w:r w:rsidRPr="00821367">
              <w:rPr>
                <w:rFonts w:eastAsia="Times New Roman" w:cs="Times New Roman"/>
                <w:b/>
                <w:bCs/>
                <w:color w:val="000000"/>
                <w:sz w:val="21"/>
                <w:szCs w:val="21"/>
                <w:lang w:eastAsia="lv-LV"/>
              </w:rPr>
              <w:t>KOPĀ:</w:t>
            </w:r>
          </w:p>
        </w:tc>
        <w:tc>
          <w:tcPr>
            <w:tcW w:w="1417" w:type="dxa"/>
            <w:tcBorders>
              <w:top w:val="nil"/>
              <w:left w:val="nil"/>
              <w:bottom w:val="single" w:sz="4" w:space="0" w:color="auto"/>
              <w:right w:val="single" w:sz="4" w:space="0" w:color="auto"/>
            </w:tcBorders>
            <w:shd w:val="clear" w:color="auto" w:fill="auto"/>
            <w:vAlign w:val="bottom"/>
            <w:hideMark/>
          </w:tcPr>
          <w:p w:rsidR="007B6BD6" w:rsidRPr="00821367" w:rsidRDefault="007B6BD6" w:rsidP="00EA3376">
            <w:pPr>
              <w:jc w:val="right"/>
              <w:rPr>
                <w:b/>
                <w:bCs/>
                <w:color w:val="000000"/>
                <w:sz w:val="21"/>
                <w:szCs w:val="21"/>
              </w:rPr>
            </w:pPr>
            <w:r w:rsidRPr="00821367">
              <w:rPr>
                <w:b/>
                <w:bCs/>
                <w:color w:val="000000"/>
                <w:sz w:val="21"/>
                <w:szCs w:val="21"/>
              </w:rPr>
              <w:t>96 199</w:t>
            </w:r>
          </w:p>
        </w:tc>
        <w:tc>
          <w:tcPr>
            <w:tcW w:w="993" w:type="dxa"/>
            <w:tcBorders>
              <w:top w:val="nil"/>
              <w:left w:val="nil"/>
              <w:bottom w:val="single" w:sz="4" w:space="0" w:color="auto"/>
              <w:right w:val="single" w:sz="4" w:space="0" w:color="auto"/>
            </w:tcBorders>
            <w:shd w:val="clear" w:color="auto" w:fill="auto"/>
            <w:vAlign w:val="bottom"/>
          </w:tcPr>
          <w:p w:rsidR="007B6BD6" w:rsidRPr="00821367" w:rsidRDefault="007B6BD6" w:rsidP="00EA3376">
            <w:pPr>
              <w:jc w:val="right"/>
              <w:rPr>
                <w:b/>
                <w:bCs/>
                <w:color w:val="000000"/>
                <w:sz w:val="21"/>
                <w:szCs w:val="21"/>
              </w:rPr>
            </w:pPr>
            <w:r w:rsidRPr="00821367">
              <w:rPr>
                <w:b/>
                <w:bCs/>
                <w:color w:val="000000"/>
                <w:sz w:val="21"/>
                <w:szCs w:val="21"/>
              </w:rPr>
              <w:t>510 790</w:t>
            </w:r>
          </w:p>
        </w:tc>
        <w:tc>
          <w:tcPr>
            <w:tcW w:w="985" w:type="dxa"/>
            <w:tcBorders>
              <w:top w:val="nil"/>
              <w:left w:val="nil"/>
              <w:bottom w:val="single" w:sz="4" w:space="0" w:color="auto"/>
              <w:right w:val="single" w:sz="4" w:space="0" w:color="auto"/>
            </w:tcBorders>
            <w:shd w:val="clear" w:color="auto" w:fill="auto"/>
            <w:vAlign w:val="bottom"/>
          </w:tcPr>
          <w:p w:rsidR="007B6BD6" w:rsidRDefault="007B6BD6" w:rsidP="00EA3376">
            <w:pPr>
              <w:jc w:val="right"/>
              <w:rPr>
                <w:b/>
                <w:bCs/>
                <w:color w:val="000000"/>
                <w:sz w:val="21"/>
                <w:szCs w:val="21"/>
              </w:rPr>
            </w:pPr>
            <w:r w:rsidRPr="00821367">
              <w:rPr>
                <w:b/>
                <w:bCs/>
                <w:color w:val="000000"/>
                <w:sz w:val="21"/>
                <w:szCs w:val="21"/>
              </w:rPr>
              <w:t>510 786</w:t>
            </w:r>
          </w:p>
        </w:tc>
      </w:tr>
    </w:tbl>
    <w:p w:rsidR="00E808B0" w:rsidRDefault="00A972F8" w:rsidP="00121FBE">
      <w:pPr>
        <w:spacing w:before="120" w:after="120"/>
        <w:ind w:firstLine="720"/>
        <w:jc w:val="both"/>
        <w:rPr>
          <w:szCs w:val="24"/>
        </w:rPr>
      </w:pPr>
      <w:r>
        <w:rPr>
          <w:szCs w:val="24"/>
        </w:rPr>
        <w:t xml:space="preserve">Ņemot vērā FM vērtējumu par iekšējiem resursiem un VARAM sniegto informāciju </w:t>
      </w:r>
      <w:r w:rsidR="00E808B0">
        <w:rPr>
          <w:szCs w:val="24"/>
        </w:rPr>
        <w:t xml:space="preserve">VARAM </w:t>
      </w:r>
      <w:r>
        <w:rPr>
          <w:szCs w:val="24"/>
        </w:rPr>
        <w:t xml:space="preserve">nepieciešams </w:t>
      </w:r>
      <w:r w:rsidR="00E808B0">
        <w:rPr>
          <w:szCs w:val="24"/>
        </w:rPr>
        <w:t>izvērtē</w:t>
      </w:r>
      <w:r>
        <w:rPr>
          <w:szCs w:val="24"/>
        </w:rPr>
        <w:t>t</w:t>
      </w:r>
      <w:r w:rsidR="00E808B0">
        <w:rPr>
          <w:szCs w:val="24"/>
        </w:rPr>
        <w:t>:</w:t>
      </w:r>
    </w:p>
    <w:p w:rsidR="00A972F8" w:rsidRDefault="00A972F8" w:rsidP="00A972F8">
      <w:pPr>
        <w:pStyle w:val="ListParagraph"/>
        <w:numPr>
          <w:ilvl w:val="0"/>
          <w:numId w:val="29"/>
        </w:numPr>
        <w:spacing w:after="120"/>
        <w:jc w:val="both"/>
        <w:rPr>
          <w:szCs w:val="24"/>
        </w:rPr>
      </w:pPr>
      <w:r w:rsidRPr="00A972F8">
        <w:rPr>
          <w:szCs w:val="24"/>
        </w:rPr>
        <w:t xml:space="preserve">atbalsta funkciju īstenošanai novirzītos resursus </w:t>
      </w:r>
      <w:r>
        <w:rPr>
          <w:szCs w:val="24"/>
        </w:rPr>
        <w:t xml:space="preserve">VVD </w:t>
      </w:r>
      <w:r w:rsidRPr="00A972F8">
        <w:rPr>
          <w:szCs w:val="24"/>
        </w:rPr>
        <w:t xml:space="preserve">un </w:t>
      </w:r>
      <w:r>
        <w:rPr>
          <w:szCs w:val="24"/>
        </w:rPr>
        <w:t>DAP</w:t>
      </w:r>
      <w:r w:rsidRPr="00A972F8">
        <w:rPr>
          <w:szCs w:val="24"/>
        </w:rPr>
        <w:t xml:space="preserve">, kā arī </w:t>
      </w:r>
      <w:r>
        <w:rPr>
          <w:szCs w:val="24"/>
        </w:rPr>
        <w:t>DAP struktūras optimizēšanu;</w:t>
      </w:r>
    </w:p>
    <w:p w:rsidR="00A972F8" w:rsidRDefault="00A972F8" w:rsidP="00A972F8">
      <w:pPr>
        <w:pStyle w:val="ListParagraph"/>
        <w:numPr>
          <w:ilvl w:val="0"/>
          <w:numId w:val="29"/>
        </w:numPr>
        <w:spacing w:after="120"/>
        <w:jc w:val="both"/>
        <w:rPr>
          <w:szCs w:val="24"/>
        </w:rPr>
      </w:pPr>
      <w:r w:rsidRPr="00A972F8">
        <w:rPr>
          <w:szCs w:val="24"/>
        </w:rPr>
        <w:t>L</w:t>
      </w:r>
      <w:r>
        <w:rPr>
          <w:szCs w:val="24"/>
        </w:rPr>
        <w:t xml:space="preserve">VAFA </w:t>
      </w:r>
      <w:r w:rsidRPr="00A972F8">
        <w:rPr>
          <w:szCs w:val="24"/>
        </w:rPr>
        <w:t xml:space="preserve">pievienošanu </w:t>
      </w:r>
      <w:r>
        <w:rPr>
          <w:szCs w:val="24"/>
        </w:rPr>
        <w:t xml:space="preserve">VRAA vai </w:t>
      </w:r>
      <w:r w:rsidRPr="00A972F8">
        <w:rPr>
          <w:szCs w:val="24"/>
        </w:rPr>
        <w:t>VARAM centrālajam aparātam</w:t>
      </w:r>
      <w:r>
        <w:rPr>
          <w:szCs w:val="24"/>
        </w:rPr>
        <w:t>;</w:t>
      </w:r>
    </w:p>
    <w:p w:rsidR="00A972F8" w:rsidRDefault="00A972F8" w:rsidP="00A972F8">
      <w:pPr>
        <w:pStyle w:val="ListParagraph"/>
        <w:numPr>
          <w:ilvl w:val="0"/>
          <w:numId w:val="29"/>
        </w:numPr>
        <w:spacing w:after="120"/>
        <w:jc w:val="both"/>
        <w:rPr>
          <w:szCs w:val="24"/>
        </w:rPr>
      </w:pPr>
      <w:r w:rsidRPr="006C641D">
        <w:rPr>
          <w:szCs w:val="24"/>
        </w:rPr>
        <w:t>KPFI projektu pēcuzraudzības un EKII projektu ievieša</w:t>
      </w:r>
      <w:r>
        <w:rPr>
          <w:szCs w:val="24"/>
        </w:rPr>
        <w:t>nas uzraudzības funkciju izpildes nodošana VRAA vai VARAM centrālajam aparātam.</w:t>
      </w:r>
    </w:p>
    <w:p w:rsidR="00E808B0" w:rsidRDefault="00E808B0" w:rsidP="00A972F8">
      <w:pPr>
        <w:pStyle w:val="ListParagraph"/>
        <w:numPr>
          <w:ilvl w:val="0"/>
          <w:numId w:val="29"/>
        </w:numPr>
        <w:spacing w:after="120"/>
        <w:jc w:val="both"/>
        <w:rPr>
          <w:szCs w:val="24"/>
        </w:rPr>
      </w:pPr>
      <w:r>
        <w:rPr>
          <w:szCs w:val="24"/>
        </w:rPr>
        <w:t xml:space="preserve">LHEI </w:t>
      </w:r>
      <w:r w:rsidR="00A972F8" w:rsidRPr="00A972F8">
        <w:rPr>
          <w:szCs w:val="24"/>
        </w:rPr>
        <w:t>novirzīto valsts budžeta finansējumu par atsevišķu pārvaldes deleģēto uzdevumu izpildi un tā sasaisti ar sasniegto rezultātu</w:t>
      </w:r>
      <w:r>
        <w:rPr>
          <w:szCs w:val="24"/>
        </w:rPr>
        <w:t>;</w:t>
      </w:r>
    </w:p>
    <w:p w:rsidR="00E808B0" w:rsidRDefault="00E808B0" w:rsidP="00A972F8">
      <w:pPr>
        <w:pStyle w:val="ListParagraph"/>
        <w:numPr>
          <w:ilvl w:val="0"/>
          <w:numId w:val="29"/>
        </w:numPr>
        <w:spacing w:after="120"/>
        <w:jc w:val="both"/>
        <w:rPr>
          <w:szCs w:val="24"/>
        </w:rPr>
      </w:pPr>
      <w:r>
        <w:rPr>
          <w:szCs w:val="24"/>
        </w:rPr>
        <w:t xml:space="preserve">LVĢMC </w:t>
      </w:r>
      <w:r w:rsidR="00A972F8" w:rsidRPr="00A972F8">
        <w:rPr>
          <w:szCs w:val="24"/>
        </w:rPr>
        <w:t>novirzīto valsts budžeta finansējumu par atsevišķu pārvaldes deleģēto uzdevumu izpildi un tā sasaisti ar sasniegto rezultātu</w:t>
      </w:r>
      <w:r>
        <w:rPr>
          <w:szCs w:val="24"/>
        </w:rPr>
        <w:t>;</w:t>
      </w:r>
    </w:p>
    <w:p w:rsidR="00E40BDF" w:rsidRPr="00730283" w:rsidRDefault="00B003AC" w:rsidP="00730283">
      <w:pPr>
        <w:spacing w:before="240" w:after="240"/>
        <w:rPr>
          <w:b/>
          <w:u w:val="single"/>
        </w:rPr>
      </w:pPr>
      <w:r>
        <w:rPr>
          <w:b/>
          <w:u w:val="single"/>
        </w:rPr>
        <w:t xml:space="preserve">SM </w:t>
      </w:r>
      <w:r w:rsidRPr="00B003AC">
        <w:rPr>
          <w:b/>
          <w:bCs/>
          <w:u w:val="single"/>
        </w:rPr>
        <w:t>k</w:t>
      </w:r>
      <w:r w:rsidR="00E40BDF" w:rsidRPr="00B003AC">
        <w:rPr>
          <w:b/>
          <w:bCs/>
          <w:u w:val="single"/>
        </w:rPr>
        <w:t>apitālsabiedrību funkcionālā analīze</w:t>
      </w:r>
    </w:p>
    <w:p w:rsidR="00E40BDF" w:rsidRPr="004866B7" w:rsidRDefault="00571E1B" w:rsidP="00E40BDF">
      <w:pPr>
        <w:ind w:firstLine="567"/>
        <w:jc w:val="both"/>
        <w:rPr>
          <w:rFonts w:cs="Times New Roman"/>
          <w:szCs w:val="24"/>
        </w:rPr>
      </w:pPr>
      <w:r>
        <w:rPr>
          <w:rFonts w:cs="Times New Roman"/>
          <w:szCs w:val="24"/>
        </w:rPr>
        <w:t>SM</w:t>
      </w:r>
      <w:r w:rsidR="00E40BDF" w:rsidRPr="002C391B">
        <w:rPr>
          <w:rFonts w:cs="Times New Roman"/>
          <w:szCs w:val="24"/>
        </w:rPr>
        <w:t xml:space="preserve"> ir valsts kapitāla daļu</w:t>
      </w:r>
      <w:r w:rsidR="00E40BDF">
        <w:rPr>
          <w:rFonts w:cs="Times New Roman"/>
          <w:szCs w:val="24"/>
        </w:rPr>
        <w:t xml:space="preserve"> turētāja 12 kapitālsabiedrībās, kuras var iedalīt 6 grupās atbilstoši ministrijas pārraudzītajām nozarēm: autosatiksme, aviācija, sakari, pasažieru pārvadījumi, dzelzceļš un jūrniecība</w:t>
      </w:r>
      <w:r>
        <w:rPr>
          <w:rFonts w:cs="Times New Roman"/>
          <w:szCs w:val="24"/>
        </w:rPr>
        <w:t xml:space="preserve"> (skat. 3.20.attēlu)</w:t>
      </w:r>
      <w:r w:rsidR="00E40BDF">
        <w:rPr>
          <w:rFonts w:cs="Times New Roman"/>
          <w:szCs w:val="24"/>
        </w:rPr>
        <w:t>.</w:t>
      </w:r>
    </w:p>
    <w:p w:rsidR="00E40BDF" w:rsidRDefault="00E40BDF" w:rsidP="00E40BDF">
      <w:pPr>
        <w:jc w:val="center"/>
        <w:rPr>
          <w:b/>
          <w:bCs/>
        </w:rPr>
      </w:pPr>
      <w:r>
        <w:rPr>
          <w:b/>
          <w:bCs/>
          <w:noProof/>
          <w:lang w:eastAsia="lv-LV"/>
        </w:rPr>
        <w:drawing>
          <wp:inline distT="0" distB="0" distL="0" distR="0" wp14:anchorId="1609A208" wp14:editId="0A99C4F5">
            <wp:extent cx="5986974" cy="36576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15051"/>
                    <a:stretch/>
                  </pic:blipFill>
                  <pic:spPr bwMode="auto">
                    <a:xfrm>
                      <a:off x="0" y="0"/>
                      <a:ext cx="6018055" cy="3676588"/>
                    </a:xfrm>
                    <a:prstGeom prst="rect">
                      <a:avLst/>
                    </a:prstGeom>
                    <a:noFill/>
                    <a:ln>
                      <a:noFill/>
                    </a:ln>
                    <a:extLst>
                      <a:ext uri="{53640926-AAD7-44D8-BBD7-CCE9431645EC}">
                        <a14:shadowObscured xmlns:a14="http://schemas.microsoft.com/office/drawing/2010/main"/>
                      </a:ext>
                    </a:extLst>
                  </pic:spPr>
                </pic:pic>
              </a:graphicData>
            </a:graphic>
          </wp:inline>
        </w:drawing>
      </w:r>
    </w:p>
    <w:p w:rsidR="00E40BDF" w:rsidRPr="00457B39" w:rsidRDefault="00571E1B" w:rsidP="00B003AC">
      <w:pPr>
        <w:spacing w:before="240"/>
        <w:jc w:val="center"/>
        <w:rPr>
          <w:rFonts w:cs="Times New Roman"/>
          <w:b/>
          <w:sz w:val="22"/>
        </w:rPr>
      </w:pPr>
      <w:r w:rsidRPr="00571E1B">
        <w:rPr>
          <w:rFonts w:cs="Times New Roman"/>
          <w:i/>
          <w:sz w:val="22"/>
        </w:rPr>
        <w:t>3.20</w:t>
      </w:r>
      <w:r w:rsidR="00E40BDF" w:rsidRPr="00571E1B">
        <w:rPr>
          <w:rFonts w:cs="Times New Roman"/>
          <w:i/>
          <w:sz w:val="22"/>
        </w:rPr>
        <w:t>.att.</w:t>
      </w:r>
      <w:r w:rsidR="00E40BDF" w:rsidRPr="00457B39">
        <w:rPr>
          <w:rFonts w:cs="Times New Roman"/>
          <w:sz w:val="22"/>
        </w:rPr>
        <w:t xml:space="preserve"> </w:t>
      </w:r>
      <w:r>
        <w:rPr>
          <w:rFonts w:cs="Times New Roman"/>
          <w:b/>
          <w:sz w:val="22"/>
        </w:rPr>
        <w:t>SM</w:t>
      </w:r>
      <w:r w:rsidR="00E40BDF">
        <w:rPr>
          <w:rFonts w:cs="Times New Roman"/>
          <w:b/>
          <w:sz w:val="22"/>
        </w:rPr>
        <w:t xml:space="preserve"> kapitālsabiedrības</w:t>
      </w:r>
    </w:p>
    <w:p w:rsidR="00B003AC" w:rsidRDefault="00B003AC" w:rsidP="00E40BDF">
      <w:pPr>
        <w:ind w:firstLine="567"/>
        <w:jc w:val="both"/>
        <w:rPr>
          <w:rFonts w:cs="Times New Roman"/>
          <w:szCs w:val="24"/>
        </w:rPr>
      </w:pPr>
    </w:p>
    <w:p w:rsidR="00121FBE" w:rsidRDefault="00E40BDF" w:rsidP="00BC55F8">
      <w:pPr>
        <w:spacing w:after="240"/>
        <w:ind w:firstLine="567"/>
        <w:jc w:val="both"/>
        <w:rPr>
          <w:rFonts w:cs="Times New Roman"/>
          <w:szCs w:val="24"/>
        </w:rPr>
      </w:pPr>
      <w:r>
        <w:rPr>
          <w:rFonts w:cs="Times New Roman"/>
          <w:szCs w:val="24"/>
        </w:rPr>
        <w:lastRenderedPageBreak/>
        <w:t xml:space="preserve">Analizējot kapitālsabiedrības pēc kritērija, vai kapitālsabiedrība saņem valsts budžeta dotāciju, secināts, ka 7 kapitālsabiedrības saņem finansējumu </w:t>
      </w:r>
      <w:r w:rsidR="00014F3B">
        <w:rPr>
          <w:rFonts w:cs="Times New Roman"/>
          <w:szCs w:val="24"/>
        </w:rPr>
        <w:t>no valsts budžeta, tajā skaitā:</w:t>
      </w:r>
    </w:p>
    <w:tbl>
      <w:tblPr>
        <w:tblStyle w:val="TableGrid"/>
        <w:tblW w:w="0" w:type="auto"/>
        <w:tblLook w:val="04A0" w:firstRow="1" w:lastRow="0" w:firstColumn="1" w:lastColumn="0" w:noHBand="0" w:noVBand="1"/>
      </w:tblPr>
      <w:tblGrid>
        <w:gridCol w:w="4529"/>
        <w:gridCol w:w="4532"/>
      </w:tblGrid>
      <w:tr w:rsidR="00E40BDF" w:rsidTr="00E40BDF">
        <w:tc>
          <w:tcPr>
            <w:tcW w:w="4672" w:type="dxa"/>
            <w:shd w:val="clear" w:color="auto" w:fill="FBE4D5" w:themeFill="accent2" w:themeFillTint="33"/>
          </w:tcPr>
          <w:p w:rsidR="00E40BDF" w:rsidRPr="005661D2" w:rsidRDefault="00E40BDF" w:rsidP="006D27D1">
            <w:pPr>
              <w:jc w:val="center"/>
              <w:rPr>
                <w:b/>
                <w:sz w:val="22"/>
              </w:rPr>
            </w:pPr>
            <w:r w:rsidRPr="005661D2">
              <w:rPr>
                <w:rFonts w:eastAsia="Times New Roman" w:cs="Times New Roman"/>
                <w:b/>
                <w:sz w:val="22"/>
                <w:lang w:eastAsia="lv-LV"/>
              </w:rPr>
              <w:t>Zaudējumu segšanai</w:t>
            </w:r>
          </w:p>
        </w:tc>
        <w:tc>
          <w:tcPr>
            <w:tcW w:w="4672" w:type="dxa"/>
            <w:shd w:val="clear" w:color="auto" w:fill="E2EFD9" w:themeFill="accent6" w:themeFillTint="33"/>
          </w:tcPr>
          <w:p w:rsidR="00E40BDF" w:rsidRPr="005661D2" w:rsidRDefault="00E40BDF" w:rsidP="006D27D1">
            <w:pPr>
              <w:jc w:val="center"/>
              <w:rPr>
                <w:b/>
                <w:sz w:val="22"/>
              </w:rPr>
            </w:pPr>
            <w:r w:rsidRPr="005661D2">
              <w:rPr>
                <w:b/>
                <w:sz w:val="22"/>
              </w:rPr>
              <w:t>Valsts deleģēto funkciju veikšanai</w:t>
            </w:r>
          </w:p>
        </w:tc>
      </w:tr>
      <w:tr w:rsidR="00E40BDF" w:rsidTr="00E40BDF">
        <w:trPr>
          <w:trHeight w:val="2600"/>
        </w:trPr>
        <w:tc>
          <w:tcPr>
            <w:tcW w:w="4672" w:type="dxa"/>
            <w:shd w:val="clear" w:color="auto" w:fill="FBE4D5" w:themeFill="accent2" w:themeFillTint="33"/>
          </w:tcPr>
          <w:p w:rsidR="00E40BDF" w:rsidRPr="00E40BDF" w:rsidRDefault="00E40BDF" w:rsidP="008C25BB">
            <w:pPr>
              <w:pStyle w:val="ListParagraph"/>
              <w:numPr>
                <w:ilvl w:val="0"/>
                <w:numId w:val="43"/>
              </w:numPr>
              <w:ind w:left="313" w:hanging="284"/>
              <w:jc w:val="both"/>
              <w:rPr>
                <w:sz w:val="22"/>
              </w:rPr>
            </w:pPr>
            <w:r w:rsidRPr="005661D2">
              <w:rPr>
                <w:rFonts w:eastAsia="Times New Roman" w:cs="Times New Roman"/>
                <w:sz w:val="22"/>
                <w:lang w:eastAsia="lv-LV"/>
              </w:rPr>
              <w:t>VAS “Latvijas Pasts” par abonētās preses piegādes pakalpojumiem</w:t>
            </w:r>
          </w:p>
          <w:p w:rsidR="00E40BDF" w:rsidRPr="005661D2" w:rsidRDefault="00E40BDF" w:rsidP="008C25BB">
            <w:pPr>
              <w:pStyle w:val="ListParagraph"/>
              <w:numPr>
                <w:ilvl w:val="0"/>
                <w:numId w:val="43"/>
              </w:numPr>
              <w:ind w:left="313" w:hanging="284"/>
              <w:jc w:val="both"/>
              <w:rPr>
                <w:sz w:val="22"/>
              </w:rPr>
            </w:pPr>
            <w:r w:rsidRPr="005661D2">
              <w:rPr>
                <w:rFonts w:eastAsia="Times New Roman" w:cs="Times New Roman"/>
                <w:sz w:val="22"/>
                <w:lang w:eastAsia="lv-LV"/>
              </w:rPr>
              <w:t xml:space="preserve">AS “Pasažieru vilciens” maksai par dzelzceļa infrastruktūras lietošanu </w:t>
            </w:r>
          </w:p>
        </w:tc>
        <w:tc>
          <w:tcPr>
            <w:tcW w:w="4672" w:type="dxa"/>
            <w:shd w:val="clear" w:color="auto" w:fill="E2EFD9" w:themeFill="accent6" w:themeFillTint="33"/>
          </w:tcPr>
          <w:p w:rsidR="00E40BDF" w:rsidRPr="00E40BDF" w:rsidRDefault="00E40BDF" w:rsidP="008C25BB">
            <w:pPr>
              <w:pStyle w:val="ListParagraph"/>
              <w:numPr>
                <w:ilvl w:val="0"/>
                <w:numId w:val="43"/>
              </w:numPr>
              <w:ind w:left="318" w:hanging="283"/>
              <w:jc w:val="both"/>
              <w:rPr>
                <w:sz w:val="22"/>
              </w:rPr>
            </w:pPr>
            <w:r w:rsidRPr="005661D2">
              <w:rPr>
                <w:rFonts w:eastAsia="Times New Roman" w:cs="Times New Roman"/>
                <w:sz w:val="22"/>
                <w:lang w:eastAsia="lv-LV"/>
              </w:rPr>
              <w:t>VAS “Latvijas Valsts ceļi” un VAS “Latvijas autoceļu uzturētājs” valsts autoceļu pārvaldīšanai, uzturēšanai un atjaunošanai</w:t>
            </w:r>
          </w:p>
          <w:p w:rsidR="00E40BDF" w:rsidRPr="00E40BDF" w:rsidRDefault="00E40BDF" w:rsidP="008C25BB">
            <w:pPr>
              <w:pStyle w:val="ListParagraph"/>
              <w:numPr>
                <w:ilvl w:val="0"/>
                <w:numId w:val="43"/>
              </w:numPr>
              <w:ind w:left="318" w:hanging="283"/>
              <w:jc w:val="both"/>
              <w:rPr>
                <w:rFonts w:eastAsia="Times New Roman" w:cs="Times New Roman"/>
                <w:sz w:val="22"/>
                <w:lang w:eastAsia="lv-LV"/>
              </w:rPr>
            </w:pPr>
            <w:r w:rsidRPr="005661D2">
              <w:rPr>
                <w:rFonts w:eastAsia="Times New Roman" w:cs="Times New Roman"/>
                <w:sz w:val="22"/>
                <w:lang w:eastAsia="lv-LV"/>
              </w:rPr>
              <w:t xml:space="preserve">VSIA “Autotransporta direkcija” sabiedriskā transporta pakalpojumu organizēšanai </w:t>
            </w:r>
          </w:p>
          <w:p w:rsidR="00E40BDF" w:rsidRPr="00E40BDF" w:rsidRDefault="00E40BDF" w:rsidP="008C25BB">
            <w:pPr>
              <w:pStyle w:val="ListParagraph"/>
              <w:numPr>
                <w:ilvl w:val="0"/>
                <w:numId w:val="43"/>
              </w:numPr>
              <w:ind w:left="318" w:hanging="283"/>
              <w:jc w:val="both"/>
              <w:rPr>
                <w:rFonts w:eastAsia="Times New Roman" w:cs="Times New Roman"/>
                <w:sz w:val="22"/>
                <w:lang w:eastAsia="lv-LV"/>
              </w:rPr>
            </w:pPr>
            <w:r w:rsidRPr="005661D2">
              <w:rPr>
                <w:rFonts w:eastAsia="Times New Roman" w:cs="Times New Roman"/>
                <w:sz w:val="22"/>
                <w:lang w:eastAsia="lv-LV"/>
              </w:rPr>
              <w:t>VAS “Latvijas valsts radio un televīzijas centrs” ārkārtas situāciju valsts elektronisko sakaru tīkla uzturēšanai</w:t>
            </w:r>
          </w:p>
          <w:p w:rsidR="00E40BDF" w:rsidRPr="005661D2" w:rsidRDefault="00E40BDF" w:rsidP="008C25BB">
            <w:pPr>
              <w:pStyle w:val="ListParagraph"/>
              <w:numPr>
                <w:ilvl w:val="0"/>
                <w:numId w:val="43"/>
              </w:numPr>
              <w:ind w:left="318" w:hanging="283"/>
              <w:jc w:val="both"/>
              <w:rPr>
                <w:rFonts w:eastAsia="Times New Roman" w:cs="Times New Roman"/>
                <w:sz w:val="22"/>
                <w:lang w:eastAsia="lv-LV"/>
              </w:rPr>
            </w:pPr>
            <w:r w:rsidRPr="005661D2">
              <w:rPr>
                <w:rFonts w:eastAsia="Times New Roman" w:cs="Times New Roman"/>
                <w:sz w:val="22"/>
                <w:lang w:eastAsia="lv-LV"/>
              </w:rPr>
              <w:t xml:space="preserve">VAS “Starptautiskā lidosta “Rīga”” drošības pasākumu nodrošināšanai </w:t>
            </w:r>
          </w:p>
        </w:tc>
      </w:tr>
    </w:tbl>
    <w:p w:rsidR="00E40BDF" w:rsidRPr="000614B3" w:rsidRDefault="00E40BDF" w:rsidP="00014F3B">
      <w:pPr>
        <w:spacing w:before="240" w:after="120"/>
        <w:ind w:firstLine="567"/>
        <w:jc w:val="both"/>
        <w:rPr>
          <w:szCs w:val="24"/>
        </w:rPr>
      </w:pPr>
      <w:r w:rsidRPr="000614B3">
        <w:rPr>
          <w:szCs w:val="24"/>
        </w:rPr>
        <w:t xml:space="preserve">Saskaņā ar likumu “Par valsts budžetu 2015.gadam” </w:t>
      </w:r>
      <w:r w:rsidR="00014F3B">
        <w:rPr>
          <w:szCs w:val="24"/>
        </w:rPr>
        <w:t>SM</w:t>
      </w:r>
      <w:r w:rsidRPr="000614B3">
        <w:rPr>
          <w:szCs w:val="24"/>
        </w:rPr>
        <w:t xml:space="preserve"> budžetā zaudējumu segšanai par </w:t>
      </w:r>
      <w:r w:rsidRPr="000614B3">
        <w:rPr>
          <w:rFonts w:eastAsia="Times New Roman" w:cs="Times New Roman"/>
          <w:szCs w:val="24"/>
          <w:lang w:eastAsia="lv-LV"/>
        </w:rPr>
        <w:t xml:space="preserve">abonētās preses piegādes pakalpojumiem un maksai par dzelzceļa infrastruktūras lietošanu tika paredzēts finansējums kopumā 29,8 milj. </w:t>
      </w:r>
      <w:r w:rsidRPr="000614B3">
        <w:rPr>
          <w:rFonts w:eastAsia="Times New Roman" w:cs="Times New Roman"/>
          <w:i/>
          <w:szCs w:val="24"/>
          <w:lang w:eastAsia="lv-LV"/>
        </w:rPr>
        <w:t>euro</w:t>
      </w:r>
      <w:r w:rsidRPr="000614B3">
        <w:rPr>
          <w:rFonts w:eastAsia="Times New Roman" w:cs="Times New Roman"/>
          <w:szCs w:val="24"/>
          <w:lang w:eastAsia="lv-LV"/>
        </w:rPr>
        <w:t xml:space="preserve"> apmērā. VAS “Latvijas Pasts” un AS “Pasažieru vilciens” </w:t>
      </w:r>
      <w:r>
        <w:rPr>
          <w:rFonts w:eastAsia="Times New Roman" w:cs="Times New Roman"/>
          <w:szCs w:val="24"/>
          <w:lang w:eastAsia="lv-LV"/>
        </w:rPr>
        <w:t xml:space="preserve">gadījumā </w:t>
      </w:r>
      <w:r w:rsidRPr="000614B3">
        <w:rPr>
          <w:rFonts w:eastAsia="Times New Roman" w:cs="Times New Roman"/>
          <w:szCs w:val="24"/>
          <w:lang w:eastAsia="lv-LV"/>
        </w:rPr>
        <w:t>valsts budžeta dotācij</w:t>
      </w:r>
      <w:r>
        <w:rPr>
          <w:rFonts w:eastAsia="Times New Roman" w:cs="Times New Roman"/>
          <w:szCs w:val="24"/>
          <w:lang w:eastAsia="lv-LV"/>
        </w:rPr>
        <w:t xml:space="preserve">ai ir izmaksu kompensējošs raksturs, kas kapitālsabiedrībām sedz </w:t>
      </w:r>
      <w:r w:rsidRPr="000614B3">
        <w:rPr>
          <w:rFonts w:eastAsia="Times New Roman" w:cs="Times New Roman"/>
          <w:szCs w:val="24"/>
          <w:lang w:eastAsia="lv-LV"/>
        </w:rPr>
        <w:t>faktisk</w:t>
      </w:r>
      <w:r>
        <w:rPr>
          <w:rFonts w:eastAsia="Times New Roman" w:cs="Times New Roman"/>
          <w:szCs w:val="24"/>
          <w:lang w:eastAsia="lv-LV"/>
        </w:rPr>
        <w:t>os</w:t>
      </w:r>
      <w:r w:rsidRPr="000614B3">
        <w:rPr>
          <w:rFonts w:eastAsia="Times New Roman" w:cs="Times New Roman"/>
          <w:szCs w:val="24"/>
          <w:lang w:eastAsia="lv-LV"/>
        </w:rPr>
        <w:t xml:space="preserve"> zaudējumu</w:t>
      </w:r>
      <w:r>
        <w:rPr>
          <w:rFonts w:eastAsia="Times New Roman" w:cs="Times New Roman"/>
          <w:szCs w:val="24"/>
          <w:lang w:eastAsia="lv-LV"/>
        </w:rPr>
        <w:t>s</w:t>
      </w:r>
      <w:r w:rsidRPr="000614B3">
        <w:rPr>
          <w:rFonts w:eastAsia="Times New Roman" w:cs="Times New Roman"/>
          <w:szCs w:val="24"/>
          <w:lang w:eastAsia="lv-LV"/>
        </w:rPr>
        <w:t xml:space="preserve">, </w:t>
      </w:r>
      <w:r>
        <w:rPr>
          <w:rFonts w:eastAsia="Times New Roman" w:cs="Times New Roman"/>
          <w:szCs w:val="24"/>
          <w:lang w:eastAsia="lv-LV"/>
        </w:rPr>
        <w:t>līdz ar to detalizētāk tika analizētas kapitālsabiedrības, kas saņem valsts budžeta dotāciju konkrētu valsts deleģēto funkciju veikšanai.</w:t>
      </w:r>
      <w:r w:rsidRPr="000614B3">
        <w:rPr>
          <w:rFonts w:eastAsia="Times New Roman" w:cs="Times New Roman"/>
          <w:szCs w:val="24"/>
          <w:lang w:eastAsia="lv-LV"/>
        </w:rPr>
        <w:t xml:space="preserve"> </w:t>
      </w:r>
    </w:p>
    <w:p w:rsidR="00E40BDF" w:rsidRDefault="00E40BDF" w:rsidP="00014F3B">
      <w:pPr>
        <w:spacing w:after="120"/>
        <w:ind w:firstLine="567"/>
        <w:jc w:val="both"/>
        <w:rPr>
          <w:rFonts w:eastAsia="Times New Roman" w:cs="Times New Roman"/>
          <w:szCs w:val="24"/>
          <w:lang w:eastAsia="lv-LV"/>
        </w:rPr>
      </w:pPr>
      <w:r w:rsidRPr="00EB4243">
        <w:rPr>
          <w:szCs w:val="24"/>
        </w:rPr>
        <w:t>Salīdzinot kapitālsabiedrības, kas saņem valsts budžeta dotāciju valsts deleģēto funkciju veikšanai, secināts, ka 2015.gadā</w:t>
      </w:r>
      <w:r w:rsidRPr="00EB4243">
        <w:rPr>
          <w:rFonts w:eastAsia="Times New Roman" w:cs="Times New Roman"/>
          <w:szCs w:val="24"/>
          <w:lang w:eastAsia="lv-LV"/>
        </w:rPr>
        <w:t xml:space="preserve"> VAS “Latvijas Valsts ceļi” </w:t>
      </w:r>
      <w:r w:rsidRPr="00EB4243">
        <w:rPr>
          <w:szCs w:val="24"/>
        </w:rPr>
        <w:t xml:space="preserve">ieņēmumi </w:t>
      </w:r>
      <w:r w:rsidRPr="00EB4243">
        <w:rPr>
          <w:rFonts w:eastAsia="Times New Roman" w:cs="Times New Roman"/>
          <w:szCs w:val="24"/>
          <w:lang w:eastAsia="lv-LV"/>
        </w:rPr>
        <w:t xml:space="preserve">13,5 milj. </w:t>
      </w:r>
      <w:r w:rsidRPr="00EB4243">
        <w:rPr>
          <w:rFonts w:eastAsia="Times New Roman" w:cs="Times New Roman"/>
          <w:i/>
          <w:szCs w:val="24"/>
          <w:lang w:eastAsia="lv-LV"/>
        </w:rPr>
        <w:t>euro</w:t>
      </w:r>
      <w:r w:rsidRPr="00EB4243">
        <w:rPr>
          <w:rFonts w:eastAsia="Times New Roman" w:cs="Times New Roman"/>
          <w:szCs w:val="24"/>
          <w:lang w:eastAsia="lv-LV"/>
        </w:rPr>
        <w:t xml:space="preserve"> apmērā par </w:t>
      </w:r>
      <w:r w:rsidRPr="00F93C2D">
        <w:rPr>
          <w:rFonts w:eastAsia="Times New Roman" w:cs="Times New Roman"/>
          <w:szCs w:val="24"/>
          <w:lang w:eastAsia="lv-LV"/>
        </w:rPr>
        <w:t xml:space="preserve">valsts deleģēto funkciju veikšanu no visiem </w:t>
      </w:r>
      <w:r w:rsidRPr="00F93C2D">
        <w:rPr>
          <w:szCs w:val="24"/>
        </w:rPr>
        <w:t>ieņēmumiem veidoja 98%,</w:t>
      </w:r>
      <w:r w:rsidR="00571E1B">
        <w:rPr>
          <w:szCs w:val="24"/>
        </w:rPr>
        <w:t xml:space="preserve"> </w:t>
      </w:r>
      <w:r w:rsidRPr="00F93C2D">
        <w:rPr>
          <w:rFonts w:eastAsia="Times New Roman" w:cs="Times New Roman"/>
          <w:szCs w:val="24"/>
          <w:lang w:eastAsia="lv-LV"/>
        </w:rPr>
        <w:t xml:space="preserve">VAS “Latvijas autoceļu uzturētājs” </w:t>
      </w:r>
      <w:r w:rsidRPr="00F93C2D">
        <w:rPr>
          <w:szCs w:val="24"/>
        </w:rPr>
        <w:t xml:space="preserve">ieņēmumi </w:t>
      </w:r>
      <w:r w:rsidRPr="00F93C2D">
        <w:rPr>
          <w:rFonts w:eastAsia="Times New Roman" w:cs="Times New Roman"/>
          <w:szCs w:val="24"/>
          <w:lang w:eastAsia="lv-LV"/>
        </w:rPr>
        <w:t xml:space="preserve">53,8 milj. </w:t>
      </w:r>
      <w:r w:rsidRPr="00F93C2D">
        <w:rPr>
          <w:rFonts w:eastAsia="Times New Roman" w:cs="Times New Roman"/>
          <w:i/>
          <w:szCs w:val="24"/>
          <w:lang w:eastAsia="lv-LV"/>
        </w:rPr>
        <w:t>euro</w:t>
      </w:r>
      <w:r w:rsidRPr="00F93C2D">
        <w:rPr>
          <w:rFonts w:eastAsia="Times New Roman" w:cs="Times New Roman"/>
          <w:szCs w:val="24"/>
          <w:lang w:eastAsia="lv-LV"/>
        </w:rPr>
        <w:t xml:space="preserve"> apmērā par valsts deleģēto funkciju veikšanu no visiem </w:t>
      </w:r>
      <w:r w:rsidRPr="00F93C2D">
        <w:rPr>
          <w:szCs w:val="24"/>
        </w:rPr>
        <w:t xml:space="preserve">ieņēmumiem veidoja </w:t>
      </w:r>
      <w:r w:rsidRPr="00F93C2D">
        <w:rPr>
          <w:rFonts w:eastAsia="Times New Roman" w:cs="Times New Roman"/>
          <w:szCs w:val="24"/>
          <w:lang w:eastAsia="lv-LV"/>
        </w:rPr>
        <w:t>86%. Pārējo trīs kapitālsabiedrību (VSIA “Autotransporta direkcija”, VAS “Latvijas valsts radio un televīzijas centrs”, VAS “Starptautiskā lidosta “Rīga””) kopējos ieņēmumos saņemtā</w:t>
      </w:r>
      <w:r>
        <w:rPr>
          <w:rFonts w:eastAsia="Times New Roman" w:cs="Times New Roman"/>
          <w:szCs w:val="24"/>
          <w:lang w:eastAsia="lv-LV"/>
        </w:rPr>
        <w:t>s</w:t>
      </w:r>
      <w:r w:rsidRPr="00F93C2D">
        <w:rPr>
          <w:rFonts w:eastAsia="Times New Roman" w:cs="Times New Roman"/>
          <w:szCs w:val="24"/>
          <w:lang w:eastAsia="lv-LV"/>
        </w:rPr>
        <w:t xml:space="preserve"> valsts budžeta dotācija</w:t>
      </w:r>
      <w:r>
        <w:rPr>
          <w:rFonts w:eastAsia="Times New Roman" w:cs="Times New Roman"/>
          <w:szCs w:val="24"/>
          <w:lang w:eastAsia="lv-LV"/>
        </w:rPr>
        <w:t>s</w:t>
      </w:r>
      <w:r w:rsidRPr="00F93C2D">
        <w:rPr>
          <w:rFonts w:eastAsia="Times New Roman" w:cs="Times New Roman"/>
          <w:szCs w:val="24"/>
          <w:lang w:eastAsia="lv-LV"/>
        </w:rPr>
        <w:t xml:space="preserve"> 2015.gadā </w:t>
      </w:r>
      <w:r>
        <w:rPr>
          <w:rFonts w:eastAsia="Times New Roman" w:cs="Times New Roman"/>
          <w:szCs w:val="24"/>
          <w:lang w:eastAsia="lv-LV"/>
        </w:rPr>
        <w:t xml:space="preserve">daļa bija </w:t>
      </w:r>
      <w:r w:rsidRPr="00F93C2D">
        <w:rPr>
          <w:rFonts w:eastAsia="Times New Roman" w:cs="Times New Roman"/>
          <w:szCs w:val="24"/>
          <w:lang w:eastAsia="lv-LV"/>
        </w:rPr>
        <w:t xml:space="preserve">attiecīgi </w:t>
      </w:r>
      <w:r>
        <w:rPr>
          <w:rFonts w:eastAsia="Times New Roman" w:cs="Times New Roman"/>
          <w:szCs w:val="24"/>
          <w:lang w:eastAsia="lv-LV"/>
        </w:rPr>
        <w:t>17</w:t>
      </w:r>
      <w:r w:rsidR="00014F3B">
        <w:rPr>
          <w:rFonts w:eastAsia="Times New Roman" w:cs="Times New Roman"/>
          <w:szCs w:val="24"/>
          <w:lang w:eastAsia="lv-LV"/>
        </w:rPr>
        <w:t>%</w:t>
      </w:r>
      <w:r w:rsidRPr="00F93C2D">
        <w:rPr>
          <w:rFonts w:eastAsia="Times New Roman" w:cs="Times New Roman"/>
          <w:szCs w:val="24"/>
          <w:lang w:eastAsia="lv-LV"/>
        </w:rPr>
        <w:t>, 1,5</w:t>
      </w:r>
      <w:r w:rsidR="00014F3B">
        <w:rPr>
          <w:rFonts w:eastAsia="Times New Roman" w:cs="Times New Roman"/>
          <w:szCs w:val="24"/>
          <w:lang w:eastAsia="lv-LV"/>
        </w:rPr>
        <w:t>%</w:t>
      </w:r>
      <w:r>
        <w:rPr>
          <w:rFonts w:eastAsia="Times New Roman" w:cs="Times New Roman"/>
          <w:szCs w:val="24"/>
          <w:lang w:eastAsia="lv-LV"/>
        </w:rPr>
        <w:t xml:space="preserve"> </w:t>
      </w:r>
      <w:r w:rsidRPr="00F93C2D">
        <w:rPr>
          <w:rFonts w:eastAsia="Times New Roman" w:cs="Times New Roman"/>
          <w:szCs w:val="24"/>
          <w:lang w:eastAsia="lv-LV"/>
        </w:rPr>
        <w:t>un 0,04%.</w:t>
      </w:r>
      <w:r>
        <w:rPr>
          <w:rFonts w:eastAsia="Times New Roman" w:cs="Times New Roman"/>
          <w:szCs w:val="24"/>
          <w:lang w:eastAsia="lv-LV"/>
        </w:rPr>
        <w:t xml:space="preserve"> Ņemot vērā minēto, detalizēta valsts deleģēto funkciju, kapitālsabiedrības ieņēmumu un izmaksu struktūras analīze tika veikta par </w:t>
      </w:r>
      <w:r w:rsidRPr="00EB4243">
        <w:rPr>
          <w:rFonts w:eastAsia="Times New Roman" w:cs="Times New Roman"/>
          <w:szCs w:val="24"/>
          <w:lang w:eastAsia="lv-LV"/>
        </w:rPr>
        <w:t>VAS “Latvijas Valsts ceļi”</w:t>
      </w:r>
      <w:r>
        <w:rPr>
          <w:rFonts w:eastAsia="Times New Roman" w:cs="Times New Roman"/>
          <w:szCs w:val="24"/>
          <w:lang w:eastAsia="lv-LV"/>
        </w:rPr>
        <w:t xml:space="preserve"> un </w:t>
      </w:r>
      <w:r w:rsidRPr="00F93C2D">
        <w:rPr>
          <w:rFonts w:eastAsia="Times New Roman" w:cs="Times New Roman"/>
          <w:szCs w:val="24"/>
          <w:lang w:eastAsia="lv-LV"/>
        </w:rPr>
        <w:t>VAS “Latvijas autoceļu uzturētājs”</w:t>
      </w:r>
      <w:r w:rsidR="00014F3B">
        <w:rPr>
          <w:rFonts w:eastAsia="Times New Roman" w:cs="Times New Roman"/>
          <w:szCs w:val="24"/>
          <w:lang w:eastAsia="lv-LV"/>
        </w:rPr>
        <w:t>.</w:t>
      </w:r>
    </w:p>
    <w:p w:rsidR="00E40BDF" w:rsidRDefault="00E40BDF" w:rsidP="00121FBE">
      <w:pPr>
        <w:spacing w:before="360" w:after="120"/>
        <w:jc w:val="both"/>
        <w:rPr>
          <w:rFonts w:eastAsia="Times New Roman" w:cs="Times New Roman"/>
          <w:b/>
          <w:szCs w:val="24"/>
          <w:lang w:eastAsia="lv-LV"/>
        </w:rPr>
      </w:pPr>
      <w:r w:rsidRPr="004A4E68">
        <w:rPr>
          <w:rFonts w:eastAsia="Times New Roman" w:cs="Times New Roman"/>
          <w:b/>
          <w:szCs w:val="24"/>
          <w:lang w:eastAsia="lv-LV"/>
        </w:rPr>
        <w:t>VAS “Latvijas autoceļu uzturētājs”</w:t>
      </w:r>
    </w:p>
    <w:p w:rsidR="00121FBE" w:rsidRDefault="00E40BDF" w:rsidP="007C29C1">
      <w:pPr>
        <w:spacing w:after="360"/>
        <w:ind w:firstLine="709"/>
        <w:jc w:val="both"/>
        <w:rPr>
          <w:rFonts w:eastAsia="Times New Roman" w:cs="Times New Roman"/>
          <w:bCs/>
          <w:szCs w:val="24"/>
          <w:lang w:eastAsia="lv-LV"/>
        </w:rPr>
      </w:pPr>
      <w:r w:rsidRPr="004A4E68">
        <w:rPr>
          <w:rFonts w:eastAsia="Times New Roman" w:cs="Times New Roman"/>
          <w:szCs w:val="24"/>
          <w:lang w:eastAsia="lv-LV"/>
        </w:rPr>
        <w:t xml:space="preserve">Saskaņā ar </w:t>
      </w:r>
      <w:r w:rsidR="004275DE">
        <w:rPr>
          <w:rFonts w:eastAsia="Times New Roman" w:cs="Times New Roman"/>
          <w:szCs w:val="24"/>
          <w:lang w:eastAsia="lv-LV"/>
        </w:rPr>
        <w:t>MK</w:t>
      </w:r>
      <w:r w:rsidRPr="004A4E68">
        <w:rPr>
          <w:rFonts w:eastAsia="Times New Roman" w:cs="Times New Roman"/>
          <w:szCs w:val="24"/>
          <w:lang w:eastAsia="lv-LV"/>
        </w:rPr>
        <w:t xml:space="preserve"> 2013.ga</w:t>
      </w:r>
      <w:r>
        <w:rPr>
          <w:rFonts w:eastAsia="Times New Roman" w:cs="Times New Roman"/>
          <w:szCs w:val="24"/>
          <w:lang w:eastAsia="lv-LV"/>
        </w:rPr>
        <w:t>da 27.decembra rīkojumu Nr.684 “</w:t>
      </w:r>
      <w:r w:rsidRPr="004A4E68">
        <w:rPr>
          <w:rFonts w:eastAsia="Times New Roman" w:cs="Times New Roman"/>
          <w:szCs w:val="24"/>
          <w:lang w:eastAsia="lv-LV"/>
        </w:rPr>
        <w:t>Par valsts autoceļu kompleksās ikdienas uzturēšanas darbu</w:t>
      </w:r>
      <w:r>
        <w:rPr>
          <w:rFonts w:eastAsia="Times New Roman" w:cs="Times New Roman"/>
          <w:szCs w:val="24"/>
          <w:lang w:eastAsia="lv-LV"/>
        </w:rPr>
        <w:t xml:space="preserve"> deleģēšanu akciju sabiedrībai “Latvijas autoceļu uzturētājs”” ar </w:t>
      </w:r>
      <w:r w:rsidRPr="004A4E68">
        <w:rPr>
          <w:rFonts w:eastAsia="Times New Roman" w:cs="Times New Roman"/>
          <w:szCs w:val="24"/>
          <w:lang w:eastAsia="lv-LV"/>
        </w:rPr>
        <w:t xml:space="preserve">2014.gada 1.janvāri </w:t>
      </w:r>
      <w:r w:rsidRPr="004A4E68">
        <w:rPr>
          <w:rFonts w:eastAsia="Times New Roman" w:cs="Times New Roman"/>
          <w:bCs/>
          <w:szCs w:val="24"/>
          <w:lang w:eastAsia="lv-LV"/>
        </w:rPr>
        <w:t>ir noslēgts deleģēšanas līgums uz septiņiem gadiem (līdz 2021.gadam).</w:t>
      </w:r>
    </w:p>
    <w:p w:rsidR="00121FBE" w:rsidRDefault="007C29C1" w:rsidP="007C29C1">
      <w:pPr>
        <w:spacing w:after="120"/>
        <w:jc w:val="both"/>
        <w:rPr>
          <w:rFonts w:eastAsia="Times New Roman" w:cs="Times New Roman"/>
          <w:bCs/>
          <w:szCs w:val="24"/>
          <w:lang w:eastAsia="lv-LV"/>
        </w:rPr>
      </w:pPr>
      <w:r>
        <w:rPr>
          <w:rFonts w:eastAsia="Times New Roman" w:cs="Times New Roman"/>
          <w:bCs/>
          <w:noProof/>
          <w:szCs w:val="24"/>
          <w:lang w:eastAsia="lv-LV"/>
        </w:rPr>
        <w:drawing>
          <wp:inline distT="0" distB="0" distL="0" distR="0" wp14:anchorId="282E4C51" wp14:editId="13329238">
            <wp:extent cx="5760085" cy="803604"/>
            <wp:effectExtent l="0" t="0" r="12065" b="15875"/>
            <wp:docPr id="103" name="Diagram 10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E40BDF" w:rsidRDefault="00E40BDF" w:rsidP="00E40BDF">
      <w:pPr>
        <w:spacing w:after="120"/>
        <w:jc w:val="both"/>
        <w:rPr>
          <w:rFonts w:eastAsia="Times New Roman" w:cs="Times New Roman"/>
          <w:bCs/>
          <w:szCs w:val="24"/>
          <w:lang w:eastAsia="lv-LV"/>
        </w:rPr>
      </w:pPr>
    </w:p>
    <w:p w:rsidR="00A53A92" w:rsidRDefault="00A53A92" w:rsidP="00014F3B">
      <w:pPr>
        <w:spacing w:before="360" w:after="120"/>
        <w:jc w:val="both"/>
        <w:rPr>
          <w:rFonts w:eastAsia="Times New Roman" w:cs="Times New Roman"/>
          <w:b/>
          <w:szCs w:val="24"/>
          <w:lang w:eastAsia="lv-LV"/>
        </w:rPr>
      </w:pPr>
      <w:r>
        <w:rPr>
          <w:noProof/>
          <w:lang w:eastAsia="lv-LV"/>
        </w:rPr>
        <w:lastRenderedPageBreak/>
        <w:drawing>
          <wp:inline distT="0" distB="0" distL="0" distR="0" wp14:anchorId="6D953757" wp14:editId="1078F05B">
            <wp:extent cx="5954400" cy="3043239"/>
            <wp:effectExtent l="0" t="0" r="8255" b="508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623E7E" w:rsidRPr="00C456D9" w:rsidRDefault="00575C47" w:rsidP="00623E7E">
      <w:pPr>
        <w:spacing w:after="240"/>
        <w:jc w:val="center"/>
        <w:rPr>
          <w:rFonts w:eastAsia="Times New Roman" w:cs="Times New Roman"/>
          <w:b/>
          <w:szCs w:val="24"/>
          <w:lang w:eastAsia="lv-LV"/>
        </w:rPr>
      </w:pPr>
      <w:r w:rsidRPr="00575C47">
        <w:rPr>
          <w:rFonts w:cs="Times New Roman"/>
          <w:i/>
          <w:sz w:val="22"/>
        </w:rPr>
        <w:t>3.21.</w:t>
      </w:r>
      <w:r w:rsidR="00623E7E" w:rsidRPr="00575C47">
        <w:rPr>
          <w:rFonts w:cs="Times New Roman"/>
          <w:i/>
          <w:sz w:val="22"/>
        </w:rPr>
        <w:t>att.</w:t>
      </w:r>
      <w:r w:rsidR="00623E7E" w:rsidRPr="00575C47">
        <w:rPr>
          <w:rFonts w:cs="Times New Roman"/>
          <w:sz w:val="22"/>
        </w:rPr>
        <w:t xml:space="preserve"> </w:t>
      </w:r>
      <w:r w:rsidR="00623E7E" w:rsidRPr="00575C47">
        <w:rPr>
          <w:rFonts w:cs="Times New Roman"/>
          <w:b/>
          <w:sz w:val="22"/>
        </w:rPr>
        <w:t>VAS</w:t>
      </w:r>
      <w:r w:rsidR="00623E7E">
        <w:rPr>
          <w:rFonts w:cs="Times New Roman"/>
          <w:b/>
          <w:sz w:val="22"/>
        </w:rPr>
        <w:t xml:space="preserve"> “</w:t>
      </w:r>
      <w:r w:rsidR="00623E7E" w:rsidRPr="008C442E">
        <w:rPr>
          <w:rFonts w:cs="Times New Roman"/>
          <w:b/>
          <w:sz w:val="22"/>
        </w:rPr>
        <w:t xml:space="preserve">Latvijas </w:t>
      </w:r>
      <w:r w:rsidR="00623E7E">
        <w:rPr>
          <w:rFonts w:cs="Times New Roman"/>
          <w:b/>
          <w:sz w:val="22"/>
        </w:rPr>
        <w:t>autoceļu uzturētājs” ieņēmumi un izmaksas 2014. un 2015</w:t>
      </w:r>
      <w:r w:rsidR="00623E7E" w:rsidRPr="008C442E">
        <w:rPr>
          <w:rFonts w:cs="Times New Roman"/>
          <w:b/>
          <w:sz w:val="22"/>
        </w:rPr>
        <w:t>.gadā</w:t>
      </w:r>
      <w:r w:rsidR="00623E7E" w:rsidRPr="00457B39">
        <w:rPr>
          <w:rFonts w:cs="Times New Roman"/>
          <w:b/>
          <w:sz w:val="22"/>
        </w:rPr>
        <w:t xml:space="preserve">, milj. </w:t>
      </w:r>
      <w:r w:rsidR="00623E7E" w:rsidRPr="00457B39">
        <w:rPr>
          <w:rFonts w:cs="Times New Roman"/>
          <w:b/>
          <w:i/>
          <w:sz w:val="22"/>
        </w:rPr>
        <w:t>euro</w:t>
      </w:r>
      <w:r w:rsidR="00623E7E" w:rsidRPr="00C456D9">
        <w:rPr>
          <w:rStyle w:val="FootnoteReference"/>
          <w:rFonts w:cs="Times New Roman"/>
          <w:b/>
          <w:sz w:val="22"/>
        </w:rPr>
        <w:footnoteReference w:id="59"/>
      </w:r>
    </w:p>
    <w:p w:rsidR="00623E7E" w:rsidRDefault="00623E7E" w:rsidP="007C29C1">
      <w:pPr>
        <w:ind w:firstLine="709"/>
        <w:jc w:val="both"/>
        <w:rPr>
          <w:rFonts w:eastAsia="Times New Roman" w:cs="Times New Roman"/>
          <w:szCs w:val="24"/>
          <w:lang w:eastAsia="lv-LV"/>
        </w:rPr>
      </w:pPr>
      <w:r w:rsidRPr="00EB4243">
        <w:rPr>
          <w:rFonts w:eastAsia="Times New Roman" w:cs="Times New Roman"/>
          <w:szCs w:val="24"/>
          <w:lang w:eastAsia="lv-LV"/>
        </w:rPr>
        <w:t xml:space="preserve">VAS “Latvijas </w:t>
      </w:r>
      <w:r>
        <w:rPr>
          <w:rFonts w:eastAsia="Times New Roman" w:cs="Times New Roman"/>
          <w:szCs w:val="24"/>
          <w:lang w:eastAsia="lv-LV"/>
        </w:rPr>
        <w:t>autoceļu uzturētājs</w:t>
      </w:r>
      <w:r w:rsidRPr="00EB4243">
        <w:rPr>
          <w:rFonts w:eastAsia="Times New Roman" w:cs="Times New Roman"/>
          <w:szCs w:val="24"/>
          <w:lang w:eastAsia="lv-LV"/>
        </w:rPr>
        <w:t>”</w:t>
      </w:r>
      <w:r>
        <w:rPr>
          <w:rFonts w:eastAsia="Times New Roman" w:cs="Times New Roman"/>
          <w:szCs w:val="24"/>
          <w:lang w:eastAsia="lv-LV"/>
        </w:rPr>
        <w:t xml:space="preserve"> ieņēmumu struktūra uzskatāmi parāda, ka būtiskākais ieņēmumu avots ir deleģēšanas līgums ar LR SM, kas 2014.gadā veido</w:t>
      </w:r>
      <w:r w:rsidRPr="00942DAC">
        <w:rPr>
          <w:rFonts w:eastAsia="Times New Roman" w:cs="Times New Roman"/>
          <w:szCs w:val="24"/>
          <w:lang w:eastAsia="lv-LV"/>
        </w:rPr>
        <w:t xml:space="preserve"> </w:t>
      </w:r>
      <w:r>
        <w:rPr>
          <w:rFonts w:eastAsia="Times New Roman" w:cs="Times New Roman"/>
          <w:szCs w:val="24"/>
          <w:lang w:eastAsia="lv-LV"/>
        </w:rPr>
        <w:t>83% no visiem kapitālsabiedrības ieņēmumiem, 2015.gadā 86%</w:t>
      </w:r>
      <w:r w:rsidR="00575C47">
        <w:rPr>
          <w:rFonts w:eastAsia="Times New Roman" w:cs="Times New Roman"/>
          <w:szCs w:val="24"/>
          <w:lang w:eastAsia="lv-LV"/>
        </w:rPr>
        <w:t xml:space="preserve"> (skat. 3.21.attēlu)</w:t>
      </w:r>
      <w:r>
        <w:rPr>
          <w:rFonts w:eastAsia="Times New Roman" w:cs="Times New Roman"/>
          <w:szCs w:val="24"/>
          <w:lang w:eastAsia="lv-LV"/>
        </w:rPr>
        <w:t xml:space="preserve">. </w:t>
      </w:r>
    </w:p>
    <w:p w:rsidR="00A53A92" w:rsidRDefault="00623E7E" w:rsidP="007C29C1">
      <w:pPr>
        <w:ind w:firstLine="709"/>
        <w:jc w:val="both"/>
        <w:rPr>
          <w:rFonts w:eastAsia="Times New Roman" w:cs="Times New Roman"/>
          <w:szCs w:val="24"/>
          <w:lang w:eastAsia="lv-LV"/>
        </w:rPr>
      </w:pPr>
      <w:r>
        <w:rPr>
          <w:rFonts w:eastAsia="Times New Roman" w:cs="Times New Roman"/>
          <w:szCs w:val="24"/>
          <w:lang w:eastAsia="lv-LV"/>
        </w:rPr>
        <w:t>Izmaksu struktūras analīze parāda, ka 93% no visām izmaksām ir pārdotās produkcijas izmaksas, kurās galvenās izmaksu pozīcijas ir darba alga, materiālu un transporta izmaksas.</w:t>
      </w:r>
    </w:p>
    <w:p w:rsidR="00E40BDF" w:rsidRPr="00485DD1" w:rsidRDefault="00E40BDF" w:rsidP="00623E7E">
      <w:pPr>
        <w:spacing w:before="240" w:after="120"/>
        <w:jc w:val="both"/>
        <w:rPr>
          <w:rFonts w:eastAsia="Times New Roman" w:cs="Times New Roman"/>
          <w:b/>
          <w:szCs w:val="24"/>
          <w:lang w:eastAsia="lv-LV"/>
        </w:rPr>
      </w:pPr>
      <w:r w:rsidRPr="0097232A">
        <w:rPr>
          <w:rFonts w:eastAsia="Times New Roman" w:cs="Times New Roman"/>
          <w:b/>
          <w:szCs w:val="24"/>
          <w:lang w:eastAsia="lv-LV"/>
        </w:rPr>
        <w:t>VAS “Latvijas Valsts ceļi”</w:t>
      </w:r>
    </w:p>
    <w:p w:rsidR="00E40BDF" w:rsidRDefault="00E40BDF" w:rsidP="00E40BDF">
      <w:r>
        <w:rPr>
          <w:rFonts w:eastAsia="Times New Roman" w:cs="Times New Roman"/>
          <w:bCs/>
          <w:noProof/>
          <w:szCs w:val="24"/>
          <w:lang w:eastAsia="lv-LV"/>
        </w:rPr>
        <w:drawing>
          <wp:inline distT="0" distB="0" distL="0" distR="0" wp14:anchorId="1B6FA9E3" wp14:editId="25D51E37">
            <wp:extent cx="5924550" cy="1858061"/>
            <wp:effectExtent l="0" t="0" r="19050" b="46990"/>
            <wp:docPr id="104" name="Diagram 1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E40BDF" w:rsidRPr="00E40BDF" w:rsidRDefault="00E40BDF" w:rsidP="00E40BDF">
      <w:pPr>
        <w:rPr>
          <w:sz w:val="18"/>
        </w:rPr>
      </w:pPr>
    </w:p>
    <w:p w:rsidR="00E40BDF" w:rsidRPr="00E40BDF" w:rsidRDefault="00E40BDF" w:rsidP="00E40BDF">
      <w:pPr>
        <w:rPr>
          <w:sz w:val="10"/>
        </w:rPr>
      </w:pPr>
    </w:p>
    <w:p w:rsidR="00E40BDF" w:rsidRPr="00F93C2D" w:rsidRDefault="00E40BDF" w:rsidP="00E40BDF">
      <w:r>
        <w:rPr>
          <w:noProof/>
          <w:lang w:eastAsia="lv-LV"/>
        </w:rPr>
        <w:lastRenderedPageBreak/>
        <w:drawing>
          <wp:inline distT="0" distB="0" distL="0" distR="0" wp14:anchorId="7BF4F905" wp14:editId="00023B3E">
            <wp:extent cx="5954395" cy="2479853"/>
            <wp:effectExtent l="0" t="0" r="8255" b="15875"/>
            <wp:docPr id="105" name="Chart 10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E40BDF" w:rsidRPr="00457B39" w:rsidRDefault="00575C47" w:rsidP="00E40BDF">
      <w:pPr>
        <w:spacing w:before="120"/>
        <w:jc w:val="center"/>
        <w:rPr>
          <w:rFonts w:cs="Times New Roman"/>
          <w:b/>
          <w:sz w:val="22"/>
        </w:rPr>
      </w:pPr>
      <w:r w:rsidRPr="00575C47">
        <w:rPr>
          <w:rFonts w:cs="Times New Roman"/>
          <w:i/>
          <w:sz w:val="22"/>
        </w:rPr>
        <w:t>3.22.</w:t>
      </w:r>
      <w:r w:rsidR="00E40BDF" w:rsidRPr="00575C47">
        <w:rPr>
          <w:rFonts w:cs="Times New Roman"/>
          <w:i/>
          <w:sz w:val="22"/>
        </w:rPr>
        <w:t>att.</w:t>
      </w:r>
      <w:r w:rsidR="00E40BDF" w:rsidRPr="00575C47">
        <w:rPr>
          <w:rFonts w:cs="Times New Roman"/>
          <w:sz w:val="22"/>
        </w:rPr>
        <w:t xml:space="preserve"> </w:t>
      </w:r>
      <w:r w:rsidR="001833DD" w:rsidRPr="00575C47">
        <w:rPr>
          <w:rFonts w:cs="Times New Roman"/>
          <w:b/>
          <w:sz w:val="22"/>
        </w:rPr>
        <w:t>VAS</w:t>
      </w:r>
      <w:r w:rsidR="001833DD">
        <w:rPr>
          <w:rFonts w:cs="Times New Roman"/>
          <w:b/>
          <w:sz w:val="22"/>
        </w:rPr>
        <w:t xml:space="preserve"> “Latvijas Valsts ceļi”</w:t>
      </w:r>
      <w:r w:rsidR="00E40BDF" w:rsidRPr="008C442E">
        <w:rPr>
          <w:rFonts w:cs="Times New Roman"/>
          <w:b/>
          <w:sz w:val="22"/>
        </w:rPr>
        <w:t xml:space="preserve"> ieņēmumi un izmaksas 2014.-2016.gadā</w:t>
      </w:r>
      <w:r w:rsidR="00E40BDF" w:rsidRPr="00457B39">
        <w:rPr>
          <w:rFonts w:cs="Times New Roman"/>
          <w:b/>
          <w:sz w:val="22"/>
        </w:rPr>
        <w:t xml:space="preserve">, milj. </w:t>
      </w:r>
      <w:r w:rsidR="00E40BDF" w:rsidRPr="00457B39">
        <w:rPr>
          <w:rFonts w:cs="Times New Roman"/>
          <w:b/>
          <w:i/>
          <w:sz w:val="22"/>
        </w:rPr>
        <w:t>euro</w:t>
      </w:r>
      <w:r w:rsidR="00E40BDF">
        <w:rPr>
          <w:rStyle w:val="FootnoteReference"/>
          <w:rFonts w:cs="Times New Roman"/>
          <w:b/>
          <w:i/>
          <w:sz w:val="22"/>
        </w:rPr>
        <w:footnoteReference w:id="60"/>
      </w:r>
    </w:p>
    <w:p w:rsidR="00E40BDF" w:rsidRPr="00F93C2D" w:rsidRDefault="00E40BDF" w:rsidP="00E40BDF"/>
    <w:p w:rsidR="00E40BDF" w:rsidRDefault="00E40BDF" w:rsidP="00E40BDF">
      <w:pPr>
        <w:spacing w:after="120"/>
        <w:ind w:firstLine="709"/>
        <w:jc w:val="both"/>
        <w:rPr>
          <w:rFonts w:eastAsia="Times New Roman" w:cs="Times New Roman"/>
          <w:szCs w:val="24"/>
          <w:lang w:eastAsia="lv-LV"/>
        </w:rPr>
      </w:pPr>
      <w:r w:rsidRPr="00EB4243">
        <w:rPr>
          <w:rFonts w:eastAsia="Times New Roman" w:cs="Times New Roman"/>
          <w:szCs w:val="24"/>
          <w:lang w:eastAsia="lv-LV"/>
        </w:rPr>
        <w:t>VAS “Latvijas Valsts ceļi”</w:t>
      </w:r>
      <w:r>
        <w:rPr>
          <w:rFonts w:eastAsia="Times New Roman" w:cs="Times New Roman"/>
          <w:szCs w:val="24"/>
          <w:lang w:eastAsia="lv-LV"/>
        </w:rPr>
        <w:t xml:space="preserve"> ieņēmumu struktūra uzskatāmi parāda, ka galvenais ieņēmumu avots ir deleģēšanas līgums ar </w:t>
      </w:r>
      <w:r w:rsidR="001833DD">
        <w:rPr>
          <w:rFonts w:eastAsia="Times New Roman" w:cs="Times New Roman"/>
          <w:szCs w:val="24"/>
          <w:lang w:eastAsia="lv-LV"/>
        </w:rPr>
        <w:t>SM</w:t>
      </w:r>
      <w:r>
        <w:rPr>
          <w:rFonts w:eastAsia="Times New Roman" w:cs="Times New Roman"/>
          <w:szCs w:val="24"/>
          <w:lang w:eastAsia="lv-LV"/>
        </w:rPr>
        <w:t>, kas visos gados veido</w:t>
      </w:r>
      <w:r w:rsidRPr="00942DAC">
        <w:rPr>
          <w:rFonts w:eastAsia="Times New Roman" w:cs="Times New Roman"/>
          <w:szCs w:val="24"/>
          <w:lang w:eastAsia="lv-LV"/>
        </w:rPr>
        <w:t xml:space="preserve"> </w:t>
      </w:r>
      <w:r>
        <w:rPr>
          <w:rFonts w:eastAsia="Times New Roman" w:cs="Times New Roman"/>
          <w:szCs w:val="24"/>
          <w:lang w:eastAsia="lv-LV"/>
        </w:rPr>
        <w:t>vairāk kā 98% no visiem kapitālsabiedrības ieņēmumiem</w:t>
      </w:r>
      <w:r w:rsidR="00394FC2">
        <w:rPr>
          <w:rFonts w:eastAsia="Times New Roman" w:cs="Times New Roman"/>
          <w:szCs w:val="24"/>
          <w:lang w:eastAsia="lv-LV"/>
        </w:rPr>
        <w:t xml:space="preserve"> (skat 3.22.attēlu)</w:t>
      </w:r>
      <w:r>
        <w:rPr>
          <w:rFonts w:eastAsia="Times New Roman" w:cs="Times New Roman"/>
          <w:szCs w:val="24"/>
          <w:lang w:eastAsia="lv-LV"/>
        </w:rPr>
        <w:t>. Ņemot vērā minēto, var secināt, ka gandrīz visas kapitālsabiedrības izmaksas tiek segtas no ieņēmumiem par valsts deleģēto funkciju veikšanu, attiecīgi pastarpināti no valsts budžeta līdzekļiem.</w:t>
      </w:r>
    </w:p>
    <w:p w:rsidR="00E40BDF" w:rsidRDefault="00E40BDF" w:rsidP="00E40BDF">
      <w:pPr>
        <w:spacing w:after="120"/>
        <w:ind w:firstLine="709"/>
        <w:jc w:val="both"/>
        <w:rPr>
          <w:rFonts w:eastAsia="Times New Roman" w:cs="Times New Roman"/>
          <w:szCs w:val="24"/>
          <w:lang w:eastAsia="lv-LV"/>
        </w:rPr>
      </w:pPr>
      <w:r>
        <w:rPr>
          <w:rFonts w:eastAsia="Times New Roman" w:cs="Times New Roman"/>
          <w:szCs w:val="24"/>
          <w:lang w:eastAsia="lv-LV"/>
        </w:rPr>
        <w:t>Izmaksu struktūras analīze parāda, ka vairāk kā 75% no visām izmaksām ir personāla izmaksas. Vidējais kapitālsabiedrībā nodarbināto skaits (neieskaitot valdes locekļus) 2014.- 2016.gadā būtiski nemainījās, 2014.gadā 334, 2015.gadā 332 un 2016.gadā 331</w:t>
      </w:r>
      <w:r w:rsidR="001732D1">
        <w:rPr>
          <w:rFonts w:eastAsia="Times New Roman" w:cs="Times New Roman"/>
          <w:szCs w:val="24"/>
          <w:lang w:eastAsia="lv-LV"/>
        </w:rPr>
        <w:t xml:space="preserve"> nodarbinātais</w:t>
      </w:r>
      <w:r>
        <w:rPr>
          <w:rFonts w:eastAsia="Times New Roman" w:cs="Times New Roman"/>
          <w:szCs w:val="24"/>
          <w:lang w:eastAsia="lv-LV"/>
        </w:rPr>
        <w:t xml:space="preserve">. Saskaņā ar kapitālsabiedrības 2015.gada pārskatā sniegto informāciju personāla izmaksas palielinājušās salīdzinot ar 2014.gadu, jo 2015.gadā tika palielināts darbinieku atalgojums par 5%, kā arī palielinājumu ietekmēja uzkrājumu darbinieku prēmijām un pensijām izveidošana. Jāatzīmē, ka uzkrājums pensiju pabalstiem 2015.gadā 207 231 </w:t>
      </w:r>
      <w:r w:rsidRPr="005B48E9">
        <w:rPr>
          <w:rFonts w:eastAsia="Times New Roman" w:cs="Times New Roman"/>
          <w:i/>
          <w:szCs w:val="24"/>
          <w:lang w:eastAsia="lv-LV"/>
        </w:rPr>
        <w:t>euro</w:t>
      </w:r>
      <w:r>
        <w:rPr>
          <w:rFonts w:eastAsia="Times New Roman" w:cs="Times New Roman"/>
          <w:szCs w:val="24"/>
          <w:lang w:eastAsia="lv-LV"/>
        </w:rPr>
        <w:t xml:space="preserve">, savukārt 2016.gadā palielinājās divas reizes un sasniedza 454 024 </w:t>
      </w:r>
      <w:r w:rsidRPr="005B48E9">
        <w:rPr>
          <w:rFonts w:eastAsia="Times New Roman" w:cs="Times New Roman"/>
          <w:i/>
          <w:szCs w:val="24"/>
          <w:lang w:eastAsia="lv-LV"/>
        </w:rPr>
        <w:t>euro</w:t>
      </w:r>
      <w:r>
        <w:rPr>
          <w:rFonts w:eastAsia="Times New Roman" w:cs="Times New Roman"/>
          <w:szCs w:val="24"/>
          <w:lang w:eastAsia="lv-LV"/>
        </w:rPr>
        <w:t xml:space="preserve">. </w:t>
      </w:r>
    </w:p>
    <w:p w:rsidR="00E40BDF" w:rsidRDefault="00E40BDF" w:rsidP="00E40BDF">
      <w:pPr>
        <w:spacing w:after="120"/>
        <w:ind w:firstLine="709"/>
        <w:jc w:val="both"/>
        <w:rPr>
          <w:rFonts w:eastAsia="Times New Roman" w:cs="Times New Roman"/>
          <w:szCs w:val="24"/>
          <w:lang w:eastAsia="lv-LV"/>
        </w:rPr>
      </w:pPr>
      <w:r>
        <w:rPr>
          <w:rFonts w:eastAsia="Times New Roman" w:cs="Times New Roman"/>
          <w:szCs w:val="24"/>
          <w:lang w:eastAsia="lv-LV"/>
        </w:rPr>
        <w:t xml:space="preserve">Pārējās izmaksās aptuveni 0,5 milj. </w:t>
      </w:r>
      <w:r w:rsidRPr="00933A3B">
        <w:rPr>
          <w:rFonts w:eastAsia="Times New Roman" w:cs="Times New Roman"/>
          <w:i/>
          <w:szCs w:val="24"/>
          <w:lang w:eastAsia="lv-LV"/>
        </w:rPr>
        <w:t>euro</w:t>
      </w:r>
      <w:r>
        <w:rPr>
          <w:rFonts w:eastAsia="Times New Roman" w:cs="Times New Roman"/>
          <w:szCs w:val="24"/>
          <w:lang w:eastAsia="lv-LV"/>
        </w:rPr>
        <w:t xml:space="preserve"> 2014.gadā un 0,8 milj. </w:t>
      </w:r>
      <w:r w:rsidRPr="00933A3B">
        <w:rPr>
          <w:rFonts w:eastAsia="Times New Roman" w:cs="Times New Roman"/>
          <w:i/>
          <w:szCs w:val="24"/>
          <w:lang w:eastAsia="lv-LV"/>
        </w:rPr>
        <w:t>euro</w:t>
      </w:r>
      <w:r>
        <w:rPr>
          <w:rFonts w:eastAsia="Times New Roman" w:cs="Times New Roman"/>
          <w:i/>
          <w:szCs w:val="24"/>
          <w:lang w:eastAsia="lv-LV"/>
        </w:rPr>
        <w:t xml:space="preserve"> </w:t>
      </w:r>
      <w:r>
        <w:rPr>
          <w:rFonts w:eastAsia="Times New Roman" w:cs="Times New Roman"/>
          <w:szCs w:val="24"/>
          <w:lang w:eastAsia="lv-LV"/>
        </w:rPr>
        <w:t xml:space="preserve">2015. un 2016.gadā ik gadu ir norēķiniem ar apakšuzņēmējiem saskaņā ar deleģēšanas līgumu ar </w:t>
      </w:r>
      <w:r w:rsidR="001833DD">
        <w:rPr>
          <w:rFonts w:eastAsia="Times New Roman" w:cs="Times New Roman"/>
          <w:szCs w:val="24"/>
          <w:lang w:eastAsia="lv-LV"/>
        </w:rPr>
        <w:t>SM</w:t>
      </w:r>
      <w:r>
        <w:rPr>
          <w:rFonts w:eastAsia="Times New Roman" w:cs="Times New Roman"/>
          <w:szCs w:val="24"/>
          <w:lang w:eastAsia="lv-LV"/>
        </w:rPr>
        <w:t xml:space="preserve">. Jāatzīmē, ka liekāko daļu veido norēķini ar VAS “Ceļu satiksmes drošības direkcija” par autoceļu lietošanas nodevas portāla uzturēšanu - 2014.gadā 0,3 milj. </w:t>
      </w:r>
      <w:r w:rsidRPr="00933A3B">
        <w:rPr>
          <w:rFonts w:eastAsia="Times New Roman" w:cs="Times New Roman"/>
          <w:i/>
          <w:szCs w:val="24"/>
          <w:lang w:eastAsia="lv-LV"/>
        </w:rPr>
        <w:t>euro</w:t>
      </w:r>
      <w:r>
        <w:rPr>
          <w:rFonts w:eastAsia="Times New Roman" w:cs="Times New Roman"/>
          <w:szCs w:val="24"/>
          <w:lang w:eastAsia="lv-LV"/>
        </w:rPr>
        <w:t xml:space="preserve">, 2015.gadā 0,5 milj. </w:t>
      </w:r>
      <w:r w:rsidRPr="00933A3B">
        <w:rPr>
          <w:rFonts w:eastAsia="Times New Roman" w:cs="Times New Roman"/>
          <w:i/>
          <w:szCs w:val="24"/>
          <w:lang w:eastAsia="lv-LV"/>
        </w:rPr>
        <w:t>euro</w:t>
      </w:r>
      <w:r>
        <w:rPr>
          <w:rFonts w:eastAsia="Times New Roman" w:cs="Times New Roman"/>
          <w:szCs w:val="24"/>
          <w:lang w:eastAsia="lv-LV"/>
        </w:rPr>
        <w:t xml:space="preserve"> un 2016.gadā 0,6</w:t>
      </w:r>
      <w:r w:rsidRPr="00933A3B">
        <w:rPr>
          <w:rFonts w:eastAsia="Times New Roman" w:cs="Times New Roman"/>
          <w:szCs w:val="24"/>
          <w:lang w:eastAsia="lv-LV"/>
        </w:rPr>
        <w:t xml:space="preserve"> </w:t>
      </w:r>
      <w:r>
        <w:rPr>
          <w:rFonts w:eastAsia="Times New Roman" w:cs="Times New Roman"/>
          <w:szCs w:val="24"/>
          <w:lang w:eastAsia="lv-LV"/>
        </w:rPr>
        <w:t xml:space="preserve">milj. </w:t>
      </w:r>
      <w:r w:rsidRPr="00933A3B">
        <w:rPr>
          <w:rFonts w:eastAsia="Times New Roman" w:cs="Times New Roman"/>
          <w:i/>
          <w:szCs w:val="24"/>
          <w:lang w:eastAsia="lv-LV"/>
        </w:rPr>
        <w:t>euro</w:t>
      </w:r>
      <w:r>
        <w:rPr>
          <w:rFonts w:eastAsia="Times New Roman" w:cs="Times New Roman"/>
          <w:i/>
          <w:szCs w:val="24"/>
          <w:lang w:eastAsia="lv-LV"/>
        </w:rPr>
        <w:t>.</w:t>
      </w:r>
      <w:r w:rsidRPr="001754AF">
        <w:rPr>
          <w:rFonts w:eastAsia="Times New Roman" w:cs="Times New Roman"/>
          <w:szCs w:val="24"/>
          <w:lang w:eastAsia="lv-LV"/>
        </w:rPr>
        <w:t xml:space="preserve"> </w:t>
      </w:r>
      <w:r>
        <w:rPr>
          <w:rFonts w:eastAsia="Times New Roman" w:cs="Times New Roman"/>
          <w:szCs w:val="24"/>
          <w:lang w:eastAsia="lv-LV"/>
        </w:rPr>
        <w:t xml:space="preserve">Deleģēšanas līguma ietvaros tiek segta dalības maksa vietējās un starptautiskajās organizācijās 0,03 milj. </w:t>
      </w:r>
      <w:r w:rsidRPr="00933A3B">
        <w:rPr>
          <w:rFonts w:eastAsia="Times New Roman" w:cs="Times New Roman"/>
          <w:i/>
          <w:szCs w:val="24"/>
          <w:lang w:eastAsia="lv-LV"/>
        </w:rPr>
        <w:t>euro</w:t>
      </w:r>
      <w:r>
        <w:rPr>
          <w:rFonts w:eastAsia="Times New Roman" w:cs="Times New Roman"/>
          <w:szCs w:val="24"/>
          <w:lang w:eastAsia="lv-LV"/>
        </w:rPr>
        <w:t xml:space="preserve"> apmērā ik gadu. </w:t>
      </w:r>
    </w:p>
    <w:p w:rsidR="00E40BDF" w:rsidRPr="00E40BDF" w:rsidRDefault="00E40BDF" w:rsidP="00E40BDF">
      <w:pPr>
        <w:spacing w:after="120"/>
        <w:ind w:firstLine="709"/>
        <w:jc w:val="both"/>
        <w:rPr>
          <w:rFonts w:eastAsia="Times New Roman" w:cs="Times New Roman"/>
          <w:szCs w:val="24"/>
          <w:lang w:eastAsia="lv-LV"/>
        </w:rPr>
      </w:pPr>
      <w:r w:rsidRPr="00E40BDF">
        <w:rPr>
          <w:rFonts w:eastAsia="Times New Roman" w:cs="Times New Roman"/>
          <w:szCs w:val="24"/>
          <w:lang w:eastAsia="lv-LV"/>
        </w:rPr>
        <w:t xml:space="preserve">Ņemot vērā, ka tiek nodrošināta elektroniskā komunikācija ar sabiedrību </w:t>
      </w:r>
      <w:r w:rsidR="001833DD">
        <w:rPr>
          <w:rFonts w:eastAsia="Times New Roman" w:cs="Times New Roman"/>
          <w:szCs w:val="24"/>
          <w:lang w:eastAsia="lv-LV"/>
        </w:rPr>
        <w:t>VAS “Latvijas Valsts ceļi”</w:t>
      </w:r>
      <w:r w:rsidRPr="00E40BDF">
        <w:rPr>
          <w:rFonts w:eastAsia="Times New Roman" w:cs="Times New Roman"/>
          <w:szCs w:val="24"/>
          <w:lang w:eastAsia="lv-LV"/>
        </w:rPr>
        <w:t xml:space="preserve"> </w:t>
      </w:r>
      <w:r w:rsidRPr="00394FC2">
        <w:rPr>
          <w:rFonts w:eastAsia="Times New Roman" w:cs="Times New Roman"/>
          <w:i/>
          <w:szCs w:val="24"/>
          <w:lang w:eastAsia="lv-LV"/>
        </w:rPr>
        <w:t>web</w:t>
      </w:r>
      <w:r w:rsidRPr="00E40BDF">
        <w:rPr>
          <w:rFonts w:eastAsia="Times New Roman" w:cs="Times New Roman"/>
          <w:szCs w:val="24"/>
          <w:lang w:eastAsia="lv-LV"/>
        </w:rPr>
        <w:t xml:space="preserve"> lapā un tiek attīstīti </w:t>
      </w:r>
      <w:r w:rsidR="001833DD">
        <w:rPr>
          <w:rFonts w:eastAsia="Times New Roman" w:cs="Times New Roman"/>
          <w:szCs w:val="24"/>
          <w:lang w:eastAsia="lv-LV"/>
        </w:rPr>
        <w:t>VAS “Latvijas Valsts ceļi”</w:t>
      </w:r>
      <w:r w:rsidR="001833DD" w:rsidRPr="00E40BDF">
        <w:rPr>
          <w:rFonts w:eastAsia="Times New Roman" w:cs="Times New Roman"/>
          <w:szCs w:val="24"/>
          <w:lang w:eastAsia="lv-LV"/>
        </w:rPr>
        <w:t xml:space="preserve"> </w:t>
      </w:r>
      <w:r w:rsidRPr="00E40BDF">
        <w:rPr>
          <w:rFonts w:eastAsia="Times New Roman" w:cs="Times New Roman"/>
          <w:szCs w:val="24"/>
          <w:lang w:eastAsia="lv-LV"/>
        </w:rPr>
        <w:t xml:space="preserve">sociālo tīklu konti, uzskatām, ka ir jāizvērtē vai Autoceļu avīze, kas tiek izdota kopš 2004.gada un </w:t>
      </w:r>
      <w:r w:rsidRPr="00E40BDF">
        <w:rPr>
          <w:rStyle w:val="A16"/>
          <w:b w:val="0"/>
          <w:sz w:val="24"/>
          <w:szCs w:val="24"/>
        </w:rPr>
        <w:t xml:space="preserve">izplatīta </w:t>
      </w:r>
      <w:r w:rsidR="001833DD">
        <w:rPr>
          <w:rStyle w:val="A16"/>
          <w:b w:val="0"/>
          <w:sz w:val="24"/>
          <w:szCs w:val="24"/>
        </w:rPr>
        <w:t>VAS “</w:t>
      </w:r>
      <w:r w:rsidR="001833DD" w:rsidRPr="001833DD">
        <w:rPr>
          <w:rStyle w:val="A16"/>
          <w:b w:val="0"/>
          <w:sz w:val="24"/>
          <w:szCs w:val="24"/>
        </w:rPr>
        <w:t>Ceļu satiksmes drošības dire</w:t>
      </w:r>
      <w:r w:rsidR="001833DD">
        <w:rPr>
          <w:rStyle w:val="A16"/>
          <w:b w:val="0"/>
          <w:sz w:val="24"/>
          <w:szCs w:val="24"/>
        </w:rPr>
        <w:t>kcijas”</w:t>
      </w:r>
      <w:r w:rsidRPr="00E40BDF">
        <w:rPr>
          <w:rStyle w:val="A16"/>
          <w:b w:val="0"/>
          <w:sz w:val="24"/>
          <w:szCs w:val="24"/>
        </w:rPr>
        <w:t xml:space="preserve"> nodaļās, Lukoil, Astarte Nafta, Virši-A degvielas uzpildes stacijās un Elvi veikalos, ir efektīvākais sabiedrības informēšanas instruments</w:t>
      </w:r>
      <w:r w:rsidRPr="00E40BDF">
        <w:rPr>
          <w:rStyle w:val="A16"/>
          <w:sz w:val="24"/>
          <w:szCs w:val="24"/>
        </w:rPr>
        <w:t>.</w:t>
      </w:r>
    </w:p>
    <w:p w:rsidR="00E40BDF" w:rsidRPr="005255DD" w:rsidRDefault="00E40BDF" w:rsidP="00E40BDF">
      <w:pPr>
        <w:spacing w:after="120"/>
        <w:ind w:firstLine="709"/>
        <w:jc w:val="both"/>
        <w:rPr>
          <w:rFonts w:cs="Times New Roman"/>
          <w:color w:val="000000"/>
          <w:szCs w:val="24"/>
        </w:rPr>
      </w:pPr>
      <w:r w:rsidRPr="001754AF">
        <w:rPr>
          <w:rFonts w:eastAsia="Times New Roman" w:cs="Times New Roman"/>
          <w:szCs w:val="24"/>
          <w:lang w:eastAsia="lv-LV"/>
        </w:rPr>
        <w:t xml:space="preserve">VAS “Latvijas Valsts ceļi” struktūra atklāj, ka viena no struktūrvienībām ir </w:t>
      </w:r>
      <w:r w:rsidR="001833DD">
        <w:rPr>
          <w:rFonts w:eastAsia="Times New Roman" w:cs="Times New Roman"/>
          <w:szCs w:val="24"/>
          <w:lang w:eastAsia="lv-LV"/>
        </w:rPr>
        <w:t>VAS “Latvijas Valsts ceļi”</w:t>
      </w:r>
      <w:r w:rsidRPr="001754AF">
        <w:rPr>
          <w:rFonts w:eastAsia="Times New Roman" w:cs="Times New Roman"/>
          <w:szCs w:val="24"/>
          <w:lang w:eastAsia="lv-LV"/>
        </w:rPr>
        <w:t xml:space="preserve"> Ceļu muzejs. Atbilstoši VAS “Latvijas Valsts ceļi” sniegtajai informācijai muzeja uzturēšanas izmaksas 2015.gadā bija 174 744 </w:t>
      </w:r>
      <w:r w:rsidRPr="001754AF">
        <w:rPr>
          <w:rFonts w:eastAsia="Times New Roman" w:cs="Times New Roman"/>
          <w:i/>
          <w:szCs w:val="24"/>
          <w:lang w:eastAsia="lv-LV"/>
        </w:rPr>
        <w:t>euro</w:t>
      </w:r>
      <w:r w:rsidRPr="001754AF">
        <w:rPr>
          <w:rFonts w:eastAsia="Times New Roman" w:cs="Times New Roman"/>
          <w:szCs w:val="24"/>
          <w:lang w:eastAsia="lv-LV"/>
        </w:rPr>
        <w:t xml:space="preserve">, 2016.gadā 206 733 </w:t>
      </w:r>
      <w:r w:rsidRPr="001754AF">
        <w:rPr>
          <w:rFonts w:eastAsia="Times New Roman" w:cs="Times New Roman"/>
          <w:i/>
          <w:szCs w:val="24"/>
          <w:lang w:eastAsia="lv-LV"/>
        </w:rPr>
        <w:t>euro</w:t>
      </w:r>
      <w:r w:rsidRPr="001754AF">
        <w:rPr>
          <w:rFonts w:eastAsia="Times New Roman" w:cs="Times New Roman"/>
          <w:szCs w:val="24"/>
          <w:lang w:eastAsia="lv-LV"/>
        </w:rPr>
        <w:t xml:space="preserve"> un 2017.gadā plānotas 207 000 </w:t>
      </w:r>
      <w:r w:rsidRPr="001754AF">
        <w:rPr>
          <w:rFonts w:eastAsia="Times New Roman" w:cs="Times New Roman"/>
          <w:i/>
          <w:szCs w:val="24"/>
          <w:lang w:eastAsia="lv-LV"/>
        </w:rPr>
        <w:t>euro</w:t>
      </w:r>
      <w:r w:rsidRPr="001754AF">
        <w:rPr>
          <w:rFonts w:eastAsia="Times New Roman" w:cs="Times New Roman"/>
          <w:szCs w:val="24"/>
          <w:lang w:eastAsia="lv-LV"/>
        </w:rPr>
        <w:t xml:space="preserve"> apmērā. Ņemot vērā, ka muzejā ir bezmaksas ieeja, tad var uzskatīt, ka tā uzturēšanas izdevumi pastarpināti pilnībā tiek segti no valsts budžeta līdzekļiem. Muzejs atrodas </w:t>
      </w:r>
      <w:r w:rsidRPr="001754AF">
        <w:rPr>
          <w:szCs w:val="24"/>
        </w:rPr>
        <w:t xml:space="preserve">Šlokenbekas muižas ansamblī, Smārdes pagasta pašvaldības īpašums. </w:t>
      </w:r>
      <w:r w:rsidRPr="001754AF">
        <w:rPr>
          <w:rFonts w:eastAsia="Times New Roman" w:cs="Times New Roman"/>
          <w:szCs w:val="24"/>
          <w:lang w:eastAsia="lv-LV"/>
        </w:rPr>
        <w:t xml:space="preserve">Jāatzīmē </w:t>
      </w:r>
      <w:r w:rsidRPr="001754AF">
        <w:rPr>
          <w:rFonts w:eastAsia="Times New Roman" w:cs="Times New Roman"/>
          <w:szCs w:val="24"/>
          <w:lang w:eastAsia="lv-LV"/>
        </w:rPr>
        <w:lastRenderedPageBreak/>
        <w:t xml:space="preserve">uz </w:t>
      </w:r>
      <w:r w:rsidRPr="001754AF">
        <w:rPr>
          <w:szCs w:val="24"/>
        </w:rPr>
        <w:t xml:space="preserve">Šlokenbekas muižas ansambļa attīstības un darbības stratēģijā </w:t>
      </w:r>
      <w:r w:rsidRPr="001754AF">
        <w:rPr>
          <w:bCs/>
          <w:szCs w:val="24"/>
        </w:rPr>
        <w:t>2016. - 2025.gadam</w:t>
      </w:r>
      <w:r w:rsidRPr="001754AF">
        <w:rPr>
          <w:rStyle w:val="FootnoteReference"/>
          <w:bCs/>
          <w:szCs w:val="24"/>
        </w:rPr>
        <w:footnoteReference w:id="61"/>
      </w:r>
      <w:r w:rsidRPr="001754AF">
        <w:rPr>
          <w:bCs/>
          <w:szCs w:val="24"/>
        </w:rPr>
        <w:t xml:space="preserve"> SVID analīzē norādītajām vājajām pusēm, ka </w:t>
      </w:r>
      <w:r w:rsidRPr="001754AF">
        <w:rPr>
          <w:szCs w:val="24"/>
        </w:rPr>
        <w:t>m</w:t>
      </w:r>
      <w:r w:rsidRPr="00A04541">
        <w:rPr>
          <w:rFonts w:cs="Times New Roman"/>
          <w:color w:val="000000"/>
          <w:szCs w:val="24"/>
        </w:rPr>
        <w:t xml:space="preserve">uzejs piedāvā apmeklējumu un ekskursijas bezmaksas, bet </w:t>
      </w:r>
      <w:r w:rsidRPr="001754AF">
        <w:rPr>
          <w:szCs w:val="24"/>
        </w:rPr>
        <w:t xml:space="preserve">pārējā ansamblī </w:t>
      </w:r>
      <w:r w:rsidRPr="00A04541">
        <w:rPr>
          <w:rFonts w:cs="Times New Roman"/>
          <w:color w:val="000000"/>
          <w:szCs w:val="24"/>
        </w:rPr>
        <w:t xml:space="preserve"> </w:t>
      </w:r>
      <w:r w:rsidRPr="001754AF">
        <w:rPr>
          <w:szCs w:val="24"/>
        </w:rPr>
        <w:t xml:space="preserve">maksa </w:t>
      </w:r>
      <w:r w:rsidRPr="00A04541">
        <w:rPr>
          <w:rFonts w:cs="Times New Roman"/>
          <w:color w:val="000000"/>
          <w:szCs w:val="24"/>
        </w:rPr>
        <w:t xml:space="preserve">par ekskursijām </w:t>
      </w:r>
      <w:r w:rsidRPr="001754AF">
        <w:rPr>
          <w:szCs w:val="24"/>
        </w:rPr>
        <w:t>tiek iekasēta, turklāt m</w:t>
      </w:r>
      <w:r w:rsidRPr="001754AF">
        <w:rPr>
          <w:rFonts w:cs="Times New Roman"/>
          <w:color w:val="000000"/>
          <w:szCs w:val="24"/>
        </w:rPr>
        <w:t xml:space="preserve">uzejs ir atsevišķs uzņēmums </w:t>
      </w:r>
      <w:r w:rsidRPr="001754AF">
        <w:rPr>
          <w:szCs w:val="24"/>
        </w:rPr>
        <w:t xml:space="preserve">ar </w:t>
      </w:r>
      <w:r w:rsidRPr="00A04541">
        <w:rPr>
          <w:rFonts w:cs="Times New Roman"/>
          <w:color w:val="000000"/>
          <w:szCs w:val="24"/>
        </w:rPr>
        <w:t>savu vadību, līdz ar to katra iestāde pastāv par sevi</w:t>
      </w:r>
      <w:r w:rsidRPr="001754AF">
        <w:rPr>
          <w:szCs w:val="24"/>
        </w:rPr>
        <w:t xml:space="preserve"> (</w:t>
      </w:r>
      <w:r w:rsidRPr="00A04541">
        <w:rPr>
          <w:rFonts w:cs="Times New Roman"/>
          <w:color w:val="000000"/>
          <w:szCs w:val="24"/>
        </w:rPr>
        <w:t>piemēram, muzeja darba laiks ir strikti noteikts, netiek domāts par tūristu vajadzībām un interesēm, nepietiekama savstarpēja sadarbība kopēja produkta radīšanā</w:t>
      </w:r>
      <w:r w:rsidRPr="001754AF">
        <w:rPr>
          <w:szCs w:val="24"/>
        </w:rPr>
        <w:t>).</w:t>
      </w:r>
      <w:r w:rsidRPr="00A04541">
        <w:rPr>
          <w:rFonts w:cs="Times New Roman"/>
          <w:color w:val="000000"/>
          <w:szCs w:val="24"/>
        </w:rPr>
        <w:t xml:space="preserve"> </w:t>
      </w:r>
      <w:r>
        <w:rPr>
          <w:rFonts w:cs="Times New Roman"/>
          <w:color w:val="000000"/>
          <w:szCs w:val="24"/>
        </w:rPr>
        <w:t>Līdz ar to uzskatām, ka muzejs varētu tikt nodots pašvaldībai, lai a</w:t>
      </w:r>
      <w:r w:rsidR="005255DD">
        <w:rPr>
          <w:rFonts w:cs="Times New Roman"/>
          <w:color w:val="000000"/>
          <w:szCs w:val="24"/>
        </w:rPr>
        <w:t>ttīstītu kopējo muižas ansambli, tādējādi finansējums 20</w:t>
      </w:r>
      <w:r w:rsidR="00A12F9A">
        <w:rPr>
          <w:rFonts w:cs="Times New Roman"/>
          <w:color w:val="000000"/>
          <w:szCs w:val="24"/>
        </w:rPr>
        <w:t>7</w:t>
      </w:r>
      <w:r w:rsidR="005255DD">
        <w:rPr>
          <w:rFonts w:cs="Times New Roman"/>
          <w:color w:val="000000"/>
          <w:szCs w:val="24"/>
        </w:rPr>
        <w:t> </w:t>
      </w:r>
      <w:r w:rsidR="00A12F9A">
        <w:rPr>
          <w:rFonts w:cs="Times New Roman"/>
          <w:color w:val="000000"/>
          <w:szCs w:val="24"/>
        </w:rPr>
        <w:t>000</w:t>
      </w:r>
      <w:r w:rsidR="005255DD">
        <w:rPr>
          <w:rFonts w:cs="Times New Roman"/>
          <w:color w:val="000000"/>
          <w:szCs w:val="24"/>
        </w:rPr>
        <w:t xml:space="preserve"> </w:t>
      </w:r>
      <w:r w:rsidR="005255DD">
        <w:rPr>
          <w:rFonts w:cs="Times New Roman"/>
          <w:i/>
          <w:color w:val="000000"/>
          <w:szCs w:val="24"/>
        </w:rPr>
        <w:t xml:space="preserve">euro </w:t>
      </w:r>
      <w:r w:rsidR="005255DD">
        <w:rPr>
          <w:rFonts w:cs="Times New Roman"/>
          <w:color w:val="000000"/>
          <w:szCs w:val="24"/>
        </w:rPr>
        <w:t>apmērā, sākot ar 2018.gadu, ir novirzāms aktuālāku pasākumu īstenošanai.</w:t>
      </w:r>
    </w:p>
    <w:p w:rsidR="00E40BDF" w:rsidRPr="00A04541" w:rsidRDefault="00E40BDF" w:rsidP="00E40BDF">
      <w:pPr>
        <w:spacing w:after="120"/>
        <w:ind w:firstLine="709"/>
        <w:jc w:val="both"/>
        <w:rPr>
          <w:rFonts w:eastAsia="Times New Roman" w:cs="Times New Roman"/>
          <w:szCs w:val="24"/>
          <w:lang w:eastAsia="lv-LV"/>
        </w:rPr>
      </w:pPr>
      <w:r>
        <w:rPr>
          <w:rFonts w:eastAsia="Times New Roman" w:cs="Times New Roman"/>
          <w:szCs w:val="24"/>
          <w:lang w:eastAsia="lv-LV"/>
        </w:rPr>
        <w:t xml:space="preserve">Ņemot vērā visu iepriekš minēto, uzskatām, ka </w:t>
      </w:r>
      <w:r w:rsidR="0055785B">
        <w:rPr>
          <w:rFonts w:eastAsia="Times New Roman" w:cs="Times New Roman"/>
          <w:szCs w:val="24"/>
          <w:lang w:eastAsia="lv-LV"/>
        </w:rPr>
        <w:t>SM</w:t>
      </w:r>
      <w:r>
        <w:rPr>
          <w:rFonts w:eastAsia="Times New Roman" w:cs="Times New Roman"/>
          <w:szCs w:val="24"/>
          <w:lang w:eastAsia="lv-LV"/>
        </w:rPr>
        <w:t xml:space="preserve"> ir jāizvērtē</w:t>
      </w:r>
      <w:r w:rsidRPr="001754AF">
        <w:t xml:space="preserve"> </w:t>
      </w:r>
      <w:r w:rsidRPr="008C442E">
        <w:t>valsts deleģēto funkciju ietvaros veicamo pasākumu nepieciešamību</w:t>
      </w:r>
      <w:r>
        <w:t>, turklāt izvērtējot vai uzdevumu izpilde tiek sasniegta ar mazāko finanšu līdzekļu izlietojumu.</w:t>
      </w:r>
    </w:p>
    <w:p w:rsidR="00997E07" w:rsidRDefault="00997E07" w:rsidP="0078482A">
      <w:pPr>
        <w:spacing w:after="120"/>
        <w:ind w:firstLine="709"/>
        <w:jc w:val="both"/>
        <w:rPr>
          <w:rFonts w:eastAsia="Times New Roman" w:cs="Times New Roman"/>
          <w:szCs w:val="24"/>
          <w:lang w:eastAsia="lv-LV"/>
        </w:rPr>
      </w:pPr>
      <w:r>
        <w:rPr>
          <w:rFonts w:eastAsia="Times New Roman" w:cs="Times New Roman"/>
          <w:szCs w:val="24"/>
          <w:lang w:eastAsia="lv-LV"/>
        </w:rPr>
        <w:t>Lai arī autoceļu pārvaldīšanas izdevumi no kopējā SM budžeta apakšprogrammā 23.06.00 “Valsts autoceļu pārvaldīšana, uzturēšana un atjaunošana” izlietotā finansējuma 2016.gadā veidoja tikai 9%, tomēr uzskatām, ka būtu lietderīgi atsevišķi izdalīt autoceļu pārvaldīšanai paredzēto finansējumu, lai autoceļiem piešķirtā finansējuma izlietojums būtu caurskatāms un identificējams finansējums tieši autoceļu uzturēšanai un atjaunošanai.</w:t>
      </w:r>
    </w:p>
    <w:p w:rsidR="00E40BDF" w:rsidRPr="00525FB1" w:rsidRDefault="00A41216" w:rsidP="00A41216">
      <w:pPr>
        <w:spacing w:after="120"/>
        <w:jc w:val="both"/>
        <w:rPr>
          <w:rFonts w:eastAsia="Times New Roman" w:cs="Times New Roman"/>
          <w:szCs w:val="24"/>
          <w:lang w:eastAsia="lv-LV"/>
        </w:rPr>
      </w:pPr>
      <w:r>
        <w:rPr>
          <w:rFonts w:eastAsia="Times New Roman" w:cs="Times New Roman"/>
          <w:szCs w:val="24"/>
          <w:lang w:eastAsia="lv-LV"/>
        </w:rPr>
        <w:t xml:space="preserve">Rezultātā </w:t>
      </w:r>
      <w:r w:rsidR="0055785B">
        <w:rPr>
          <w:rFonts w:eastAsia="Times New Roman" w:cs="Times New Roman"/>
          <w:szCs w:val="24"/>
          <w:lang w:eastAsia="lv-LV"/>
        </w:rPr>
        <w:t>SM</w:t>
      </w:r>
      <w:r w:rsidR="00E40BDF">
        <w:rPr>
          <w:rFonts w:eastAsia="Times New Roman" w:cs="Times New Roman"/>
          <w:szCs w:val="24"/>
          <w:lang w:eastAsia="lv-LV"/>
        </w:rPr>
        <w:t xml:space="preserve"> </w:t>
      </w:r>
      <w:r>
        <w:rPr>
          <w:rFonts w:eastAsia="Times New Roman" w:cs="Times New Roman"/>
          <w:szCs w:val="24"/>
          <w:lang w:eastAsia="lv-LV"/>
        </w:rPr>
        <w:t>nosakāmi šādi uzdevumi</w:t>
      </w:r>
      <w:r w:rsidR="00E40BDF">
        <w:rPr>
          <w:rFonts w:eastAsia="Times New Roman" w:cs="Times New Roman"/>
          <w:szCs w:val="24"/>
          <w:lang w:eastAsia="lv-LV"/>
        </w:rPr>
        <w:t>:</w:t>
      </w:r>
    </w:p>
    <w:p w:rsidR="00E40BDF" w:rsidRPr="00F93C2D" w:rsidRDefault="00E40BDF" w:rsidP="008C25BB">
      <w:pPr>
        <w:numPr>
          <w:ilvl w:val="0"/>
          <w:numId w:val="44"/>
        </w:numPr>
        <w:spacing w:after="120"/>
        <w:jc w:val="both"/>
      </w:pPr>
      <w:r>
        <w:t xml:space="preserve">izvērtēt </w:t>
      </w:r>
      <w:r w:rsidR="0055785B">
        <w:t>VAS “Latvijas Valsts ceļi”</w:t>
      </w:r>
      <w:r w:rsidRPr="008C442E">
        <w:t xml:space="preserve"> valsts deleģēto funkciju ietvaros veicamo pasākumu nepieciešamību, tajā skaitā Latvijas ceļu muzeja nodošanu pašvaldībai, lai</w:t>
      </w:r>
      <w:r w:rsidR="00627383">
        <w:t xml:space="preserve"> iegūtos iekšējos resursus novirzītu prioritāro pasākumu finansēšanai</w:t>
      </w:r>
      <w:r>
        <w:t>;</w:t>
      </w:r>
    </w:p>
    <w:p w:rsidR="0055760A" w:rsidRPr="0055785B" w:rsidRDefault="0055785B" w:rsidP="008C25BB">
      <w:pPr>
        <w:numPr>
          <w:ilvl w:val="0"/>
          <w:numId w:val="44"/>
        </w:numPr>
        <w:spacing w:after="120"/>
        <w:jc w:val="both"/>
      </w:pPr>
      <w:r>
        <w:t>SM</w:t>
      </w:r>
      <w:r w:rsidR="00E40BDF">
        <w:t xml:space="preserve"> budžeta programmā </w:t>
      </w:r>
      <w:r>
        <w:t>23.0</w:t>
      </w:r>
      <w:r w:rsidR="00A41216">
        <w:t>0</w:t>
      </w:r>
      <w:r>
        <w:t xml:space="preserve">.00 </w:t>
      </w:r>
      <w:r w:rsidR="00E40BDF">
        <w:t>“Valsts autoceļu fonds”</w:t>
      </w:r>
      <w:r w:rsidR="00E40BDF" w:rsidRPr="008C442E">
        <w:t xml:space="preserve"> </w:t>
      </w:r>
      <w:r w:rsidR="00E40BDF">
        <w:t>izveidot</w:t>
      </w:r>
      <w:r w:rsidR="00E40BDF" w:rsidRPr="008C442E">
        <w:t xml:space="preserve"> atsevišķu apakšprogrammu, kurā tiek nodalīts valsts autoceļu pārvaldīšanai paredzētais finansējums.</w:t>
      </w:r>
    </w:p>
    <w:p w:rsidR="0055760A" w:rsidRPr="0055785B" w:rsidRDefault="0055785B" w:rsidP="0055785B">
      <w:pPr>
        <w:spacing w:before="120" w:after="240"/>
        <w:rPr>
          <w:b/>
          <w:u w:val="single"/>
        </w:rPr>
      </w:pPr>
      <w:r>
        <w:rPr>
          <w:b/>
          <w:u w:val="single"/>
        </w:rPr>
        <w:t xml:space="preserve">Valsts muzeji </w:t>
      </w:r>
    </w:p>
    <w:p w:rsidR="00DB6418" w:rsidRPr="00DB6418" w:rsidRDefault="00DB6418" w:rsidP="00DB6418">
      <w:pPr>
        <w:spacing w:after="120"/>
        <w:ind w:firstLine="720"/>
        <w:jc w:val="both"/>
        <w:rPr>
          <w:rFonts w:cs="Times New Roman"/>
          <w:bCs/>
          <w:color w:val="000000" w:themeColor="text1"/>
          <w:szCs w:val="24"/>
        </w:rPr>
      </w:pPr>
      <w:r w:rsidRPr="00F06EA3">
        <w:rPr>
          <w:rFonts w:cs="Times New Roman"/>
          <w:color w:val="000000" w:themeColor="text1"/>
          <w:szCs w:val="24"/>
        </w:rPr>
        <w:t xml:space="preserve">Šobrīd dažādu muzeju materiālo un nemateriālo kultūras un dabas vērtību saglabāšanai tiek plānoti valsts budžeta līdzekļi </w:t>
      </w:r>
      <w:r>
        <w:rPr>
          <w:rFonts w:cs="Times New Roman"/>
          <w:color w:val="000000" w:themeColor="text1"/>
          <w:szCs w:val="24"/>
        </w:rPr>
        <w:t>KM</w:t>
      </w:r>
      <w:r w:rsidRPr="00F06EA3">
        <w:rPr>
          <w:rFonts w:cs="Times New Roman"/>
          <w:color w:val="000000" w:themeColor="text1"/>
          <w:szCs w:val="24"/>
        </w:rPr>
        <w:t xml:space="preserve">, </w:t>
      </w:r>
      <w:r>
        <w:rPr>
          <w:rFonts w:cs="Times New Roman"/>
          <w:color w:val="000000" w:themeColor="text1"/>
          <w:szCs w:val="24"/>
        </w:rPr>
        <w:t>VM</w:t>
      </w:r>
      <w:r w:rsidRPr="00F06EA3">
        <w:rPr>
          <w:rFonts w:cs="Times New Roman"/>
          <w:color w:val="000000" w:themeColor="text1"/>
          <w:szCs w:val="24"/>
        </w:rPr>
        <w:t xml:space="preserve">, </w:t>
      </w:r>
      <w:r>
        <w:rPr>
          <w:rFonts w:cs="Times New Roman"/>
          <w:color w:val="000000" w:themeColor="text1"/>
          <w:szCs w:val="24"/>
        </w:rPr>
        <w:t>AiM</w:t>
      </w:r>
      <w:r w:rsidRPr="00F06EA3">
        <w:rPr>
          <w:rFonts w:cs="Times New Roman"/>
          <w:color w:val="000000" w:themeColor="text1"/>
          <w:szCs w:val="24"/>
        </w:rPr>
        <w:t xml:space="preserve">, </w:t>
      </w:r>
      <w:r>
        <w:rPr>
          <w:rFonts w:cs="Times New Roman"/>
          <w:color w:val="000000" w:themeColor="text1"/>
          <w:szCs w:val="24"/>
        </w:rPr>
        <w:t>IZM</w:t>
      </w:r>
      <w:r w:rsidRPr="00F06EA3">
        <w:rPr>
          <w:rFonts w:cs="Times New Roman"/>
          <w:color w:val="000000" w:themeColor="text1"/>
          <w:szCs w:val="24"/>
        </w:rPr>
        <w:t xml:space="preserve">, </w:t>
      </w:r>
      <w:r>
        <w:rPr>
          <w:rFonts w:cs="Times New Roman"/>
          <w:color w:val="000000" w:themeColor="text1"/>
          <w:szCs w:val="24"/>
        </w:rPr>
        <w:t>ZM</w:t>
      </w:r>
      <w:r w:rsidRPr="00F06EA3">
        <w:rPr>
          <w:rFonts w:cs="Times New Roman"/>
          <w:color w:val="000000" w:themeColor="text1"/>
          <w:szCs w:val="24"/>
        </w:rPr>
        <w:t xml:space="preserve"> un </w:t>
      </w:r>
      <w:r>
        <w:rPr>
          <w:rFonts w:cs="Times New Roman"/>
          <w:bCs/>
          <w:color w:val="000000" w:themeColor="text1"/>
          <w:szCs w:val="24"/>
        </w:rPr>
        <w:t>VARAM</w:t>
      </w:r>
      <w:r w:rsidRPr="00F06EA3">
        <w:rPr>
          <w:rFonts w:cs="Times New Roman"/>
          <w:bCs/>
          <w:color w:val="000000" w:themeColor="text1"/>
          <w:szCs w:val="24"/>
        </w:rPr>
        <w:t xml:space="preserve"> budžetos.</w:t>
      </w:r>
      <w:r>
        <w:rPr>
          <w:rFonts w:cs="Times New Roman"/>
          <w:bCs/>
          <w:color w:val="000000" w:themeColor="text1"/>
          <w:szCs w:val="24"/>
        </w:rPr>
        <w:t xml:space="preserve"> </w:t>
      </w:r>
      <w:r w:rsidRPr="00F06EA3">
        <w:rPr>
          <w:rFonts w:cs="Times New Roman"/>
          <w:color w:val="000000" w:themeColor="text1"/>
          <w:szCs w:val="24"/>
        </w:rPr>
        <w:t>Atbilstoši Muzeju likuma 7.pantam muzejs ir sabiedrībai pieejama izglītojoša un pētniecības institūcija, kuras uzdevums ir atbilstoši muzeja darbības specifikai vākt, saglabāt un popularizēt sabiedrībā dabas, materiālās un nemateriālās kultūras vērtības, kā arī sekmēt to izmantošanu sabiedrības izglītošanai un attīstībai.</w:t>
      </w:r>
    </w:p>
    <w:p w:rsidR="00DB6418" w:rsidRPr="00F06EA3" w:rsidRDefault="00DB6418" w:rsidP="00DB6418">
      <w:pPr>
        <w:spacing w:after="120"/>
        <w:ind w:firstLine="720"/>
        <w:jc w:val="both"/>
        <w:rPr>
          <w:rFonts w:cs="Times New Roman"/>
          <w:color w:val="000000" w:themeColor="text1"/>
          <w:szCs w:val="24"/>
        </w:rPr>
      </w:pPr>
      <w:r w:rsidRPr="00F06EA3">
        <w:rPr>
          <w:rFonts w:cs="Times New Roman"/>
          <w:color w:val="000000" w:themeColor="text1"/>
          <w:szCs w:val="24"/>
        </w:rPr>
        <w:t>Muzeja funkcijās ietilpst materiālās un nemateriālās kultūras un dabas vērtību uzkrāšana, dokumentēšana un saglabāšana, muzeja krājuma un ar to saistītās informācijas pētniecība, sabiedrības izglītošana, materiālās un nemateriālās kultūras un dabas vērtību popularizēšana, veidojot ekspozīcijas un izstādes, kā arī izmantojot citus ar muzeja darbību saistītus izglītošanas un popularizēšanas veidus.</w:t>
      </w:r>
    </w:p>
    <w:p w:rsidR="00DB6418" w:rsidRPr="0021336C" w:rsidRDefault="00DB6418" w:rsidP="0021336C">
      <w:pPr>
        <w:spacing w:after="120"/>
        <w:ind w:firstLine="720"/>
        <w:jc w:val="both"/>
        <w:rPr>
          <w:rFonts w:cs="Times New Roman"/>
          <w:szCs w:val="24"/>
        </w:rPr>
      </w:pPr>
      <w:r>
        <w:rPr>
          <w:rFonts w:cs="Times New Roman"/>
          <w:szCs w:val="24"/>
        </w:rPr>
        <w:t>Analizēj</w:t>
      </w:r>
      <w:r w:rsidR="00B50F54">
        <w:rPr>
          <w:rFonts w:cs="Times New Roman"/>
          <w:szCs w:val="24"/>
        </w:rPr>
        <w:t>ot muzeju darbības efektivitāti</w:t>
      </w:r>
      <w:r>
        <w:rPr>
          <w:rFonts w:cs="Times New Roman"/>
          <w:szCs w:val="24"/>
        </w:rPr>
        <w:t xml:space="preserve"> un izvērtējot kopējo muzeju apmeklējumu skaitu </w:t>
      </w:r>
      <w:r w:rsidRPr="00226F5A">
        <w:rPr>
          <w:rFonts w:cs="Times New Roman"/>
          <w:szCs w:val="24"/>
        </w:rPr>
        <w:t>2016.gadā</w:t>
      </w:r>
      <w:r>
        <w:rPr>
          <w:rFonts w:cs="Times New Roman"/>
          <w:szCs w:val="24"/>
        </w:rPr>
        <w:t xml:space="preserve">, secināms, ka visvairāk apmeklētākais muzejs ir </w:t>
      </w:r>
      <w:r w:rsidRPr="00C71297">
        <w:rPr>
          <w:rFonts w:cs="Times New Roman"/>
          <w:szCs w:val="24"/>
        </w:rPr>
        <w:t>Lat</w:t>
      </w:r>
      <w:r>
        <w:rPr>
          <w:rFonts w:cs="Times New Roman"/>
          <w:szCs w:val="24"/>
        </w:rPr>
        <w:t>vijas Nacionālais mākslas muzejs, savukārt vismazāk -</w:t>
      </w:r>
      <w:r w:rsidRPr="00C71297">
        <w:t xml:space="preserve"> </w:t>
      </w:r>
      <w:r>
        <w:rPr>
          <w:rFonts w:cs="Times New Roman"/>
          <w:szCs w:val="24"/>
        </w:rPr>
        <w:t>Kārļa U</w:t>
      </w:r>
      <w:r w:rsidR="00920F86">
        <w:rPr>
          <w:rFonts w:cs="Times New Roman"/>
          <w:szCs w:val="24"/>
        </w:rPr>
        <w:t>lmaņa piemiņas muzejs “Pikšas”</w:t>
      </w:r>
      <w:r w:rsidR="00E84089">
        <w:rPr>
          <w:rFonts w:cs="Times New Roman"/>
          <w:szCs w:val="24"/>
        </w:rPr>
        <w:t xml:space="preserve"> (skat. 3.23.attēlu)</w:t>
      </w:r>
      <w:r w:rsidR="00920F86">
        <w:rPr>
          <w:rFonts w:cs="Times New Roman"/>
          <w:szCs w:val="24"/>
        </w:rPr>
        <w:t>.</w:t>
      </w:r>
    </w:p>
    <w:p w:rsidR="00DB6418" w:rsidRDefault="00DB6418" w:rsidP="00DB6418">
      <w:pPr>
        <w:spacing w:before="120"/>
        <w:rPr>
          <w:rFonts w:cs="Times New Roman"/>
          <w:i/>
          <w:sz w:val="22"/>
        </w:rPr>
      </w:pPr>
      <w:r>
        <w:rPr>
          <w:noProof/>
          <w:lang w:eastAsia="lv-LV"/>
        </w:rPr>
        <w:lastRenderedPageBreak/>
        <w:drawing>
          <wp:inline distT="0" distB="0" distL="0" distR="0" wp14:anchorId="6D705A1D" wp14:editId="0A3E062C">
            <wp:extent cx="5939790" cy="3116275"/>
            <wp:effectExtent l="0" t="0" r="3810" b="825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DB6418" w:rsidRPr="00457B39" w:rsidRDefault="00394FC2" w:rsidP="00DB6418">
      <w:pPr>
        <w:spacing w:before="120"/>
        <w:jc w:val="center"/>
        <w:rPr>
          <w:rFonts w:cs="Times New Roman"/>
          <w:b/>
          <w:sz w:val="22"/>
        </w:rPr>
      </w:pPr>
      <w:r w:rsidRPr="00E84089">
        <w:rPr>
          <w:rFonts w:cs="Times New Roman"/>
          <w:i/>
          <w:sz w:val="22"/>
        </w:rPr>
        <w:t>3.23</w:t>
      </w:r>
      <w:r w:rsidR="00DB6418" w:rsidRPr="00E84089">
        <w:rPr>
          <w:rFonts w:cs="Times New Roman"/>
          <w:i/>
          <w:sz w:val="22"/>
        </w:rPr>
        <w:t>.att.</w:t>
      </w:r>
      <w:r w:rsidR="00DB6418" w:rsidRPr="00E84089">
        <w:rPr>
          <w:rFonts w:cs="Times New Roman"/>
          <w:sz w:val="22"/>
        </w:rPr>
        <w:t xml:space="preserve"> </w:t>
      </w:r>
      <w:r w:rsidR="0055785B" w:rsidRPr="00E84089">
        <w:rPr>
          <w:rFonts w:cs="Times New Roman"/>
          <w:b/>
          <w:sz w:val="22"/>
        </w:rPr>
        <w:t>F</w:t>
      </w:r>
      <w:r w:rsidR="00DB6418" w:rsidRPr="00E84089">
        <w:rPr>
          <w:rFonts w:cs="Times New Roman"/>
          <w:b/>
          <w:sz w:val="22"/>
        </w:rPr>
        <w:t>inansējuma</w:t>
      </w:r>
      <w:r w:rsidR="00DB6418">
        <w:rPr>
          <w:rFonts w:cs="Times New Roman"/>
          <w:b/>
          <w:sz w:val="22"/>
        </w:rPr>
        <w:t xml:space="preserve"> un apmeklējumu</w:t>
      </w:r>
      <w:r w:rsidR="0055785B">
        <w:rPr>
          <w:rFonts w:cs="Times New Roman"/>
          <w:b/>
          <w:sz w:val="22"/>
        </w:rPr>
        <w:t xml:space="preserve"> attiecība</w:t>
      </w:r>
      <w:r w:rsidR="00DB6418" w:rsidRPr="00457B39">
        <w:rPr>
          <w:rFonts w:cs="Times New Roman"/>
          <w:b/>
          <w:sz w:val="22"/>
        </w:rPr>
        <w:t xml:space="preserve">, milj. </w:t>
      </w:r>
      <w:r w:rsidR="00DB6418" w:rsidRPr="00457B39">
        <w:rPr>
          <w:rFonts w:cs="Times New Roman"/>
          <w:b/>
          <w:i/>
          <w:sz w:val="22"/>
        </w:rPr>
        <w:t>euro</w:t>
      </w:r>
    </w:p>
    <w:p w:rsidR="00DB6418" w:rsidRDefault="00DB6418" w:rsidP="0021336C">
      <w:pPr>
        <w:spacing w:before="240" w:after="240"/>
        <w:ind w:firstLine="720"/>
        <w:jc w:val="both"/>
        <w:rPr>
          <w:rFonts w:cs="Times New Roman"/>
          <w:szCs w:val="24"/>
        </w:rPr>
      </w:pPr>
      <w:r w:rsidRPr="00F06EA3">
        <w:rPr>
          <w:rFonts w:cs="Times New Roman"/>
          <w:szCs w:val="24"/>
        </w:rPr>
        <w:t>Izvērtējot ieguldītos 2016.gadā</w:t>
      </w:r>
      <w:r>
        <w:rPr>
          <w:rFonts w:cs="Times New Roman"/>
          <w:szCs w:val="24"/>
        </w:rPr>
        <w:t xml:space="preserve"> līdzekļus</w:t>
      </w:r>
      <w:r w:rsidRPr="00F06EA3">
        <w:rPr>
          <w:rFonts w:cs="Times New Roman"/>
          <w:szCs w:val="24"/>
        </w:rPr>
        <w:t xml:space="preserve">, lai nodrošinātu vienu apmeklējumu, secināms, ka, visvairāk resursu </w:t>
      </w:r>
      <w:r>
        <w:rPr>
          <w:rFonts w:cs="Times New Roman"/>
          <w:szCs w:val="24"/>
        </w:rPr>
        <w:t xml:space="preserve">uz vienu apmeklējumu ir </w:t>
      </w:r>
      <w:r w:rsidRPr="00F06EA3">
        <w:rPr>
          <w:rFonts w:cs="Times New Roman"/>
          <w:szCs w:val="24"/>
        </w:rPr>
        <w:t>nepieciešams Latvijas Nacionālajam vēstures muzejam, savukārt vismazāk</w:t>
      </w:r>
      <w:r>
        <w:rPr>
          <w:rFonts w:cs="Times New Roman"/>
          <w:szCs w:val="24"/>
        </w:rPr>
        <w:t xml:space="preserve"> resursu nepieciešams īpaši aizsargājamajam kultūras piemine</w:t>
      </w:r>
      <w:r w:rsidR="00E84089">
        <w:rPr>
          <w:rFonts w:cs="Times New Roman"/>
          <w:szCs w:val="24"/>
        </w:rPr>
        <w:t>klim – Turaidas muzejrezervātam (skat. 3.24</w:t>
      </w:r>
      <w:r w:rsidR="00E84089" w:rsidRPr="00E84089">
        <w:rPr>
          <w:rFonts w:cs="Times New Roman"/>
          <w:szCs w:val="24"/>
        </w:rPr>
        <w:t>.attēlu).</w:t>
      </w:r>
    </w:p>
    <w:p w:rsidR="00DB6418" w:rsidRDefault="00DB6418" w:rsidP="00DB6418">
      <w:pPr>
        <w:spacing w:before="120"/>
        <w:rPr>
          <w:rFonts w:cs="Times New Roman"/>
          <w:i/>
          <w:sz w:val="22"/>
        </w:rPr>
      </w:pPr>
      <w:r>
        <w:rPr>
          <w:noProof/>
          <w:lang w:eastAsia="lv-LV"/>
        </w:rPr>
        <w:drawing>
          <wp:inline distT="0" distB="0" distL="0" distR="0" wp14:anchorId="087F6E60" wp14:editId="1BBA08AF">
            <wp:extent cx="5939790" cy="2924175"/>
            <wp:effectExtent l="0" t="0" r="3810"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DB6418" w:rsidRDefault="00E84089" w:rsidP="00DB6418">
      <w:pPr>
        <w:spacing w:before="120"/>
        <w:jc w:val="center"/>
        <w:rPr>
          <w:rFonts w:cs="Times New Roman"/>
          <w:b/>
          <w:i/>
          <w:sz w:val="22"/>
        </w:rPr>
      </w:pPr>
      <w:r w:rsidRPr="00E84089">
        <w:rPr>
          <w:rFonts w:cs="Times New Roman"/>
          <w:i/>
          <w:sz w:val="22"/>
        </w:rPr>
        <w:t>3.24</w:t>
      </w:r>
      <w:r w:rsidR="00DB6418" w:rsidRPr="00E84089">
        <w:rPr>
          <w:rFonts w:cs="Times New Roman"/>
          <w:i/>
          <w:sz w:val="22"/>
        </w:rPr>
        <w:t>.att.</w:t>
      </w:r>
      <w:r w:rsidR="00DB6418" w:rsidRPr="00E84089">
        <w:rPr>
          <w:rFonts w:cs="Times New Roman"/>
          <w:sz w:val="22"/>
        </w:rPr>
        <w:t xml:space="preserve"> </w:t>
      </w:r>
      <w:r w:rsidR="00DB6418" w:rsidRPr="00E84089">
        <w:rPr>
          <w:rFonts w:cs="Times New Roman"/>
          <w:b/>
          <w:sz w:val="22"/>
        </w:rPr>
        <w:t xml:space="preserve">Izdevumi uz vienu apmeklējumu, </w:t>
      </w:r>
      <w:r w:rsidR="00DB6418" w:rsidRPr="00E84089">
        <w:rPr>
          <w:rFonts w:cs="Times New Roman"/>
          <w:b/>
          <w:i/>
          <w:sz w:val="22"/>
        </w:rPr>
        <w:t>euro</w:t>
      </w:r>
    </w:p>
    <w:p w:rsidR="00A41216" w:rsidRPr="00BD10BB" w:rsidRDefault="00A41216" w:rsidP="00A41216">
      <w:pPr>
        <w:spacing w:before="120"/>
        <w:ind w:firstLine="720"/>
        <w:jc w:val="both"/>
        <w:rPr>
          <w:rFonts w:cs="Times New Roman"/>
          <w:szCs w:val="24"/>
        </w:rPr>
      </w:pPr>
      <w:r w:rsidRPr="00BD10BB">
        <w:rPr>
          <w:rFonts w:cs="Times New Roman"/>
          <w:szCs w:val="24"/>
        </w:rPr>
        <w:t xml:space="preserve">Jāatzīmē, ka muzeja apmeklējumu skaitu ietekmē muzeja atrašanās vieta, filiāļu skaits, ekspozīciju un pasākumu skaits, kā arī muzeja pieejamība, ja tiek veikti rekonstrukcijas darbi (skat. 3.25.attēlu). Detalizēta informācija par valsts muzeju izdevumiem, atrašanās vietu, amata vietu un apmeklējumu skaitu sadalījumā pa muzejiem un to struktūrvienībām no 2014.gada līdz 2016.gadam norādīta informatīvā ziņojuma </w:t>
      </w:r>
      <w:r w:rsidR="00517B32" w:rsidRPr="00BD10BB">
        <w:rPr>
          <w:rFonts w:cs="Times New Roman"/>
          <w:szCs w:val="24"/>
        </w:rPr>
        <w:t>10</w:t>
      </w:r>
      <w:r w:rsidRPr="00BD10BB">
        <w:rPr>
          <w:rFonts w:cs="Times New Roman"/>
          <w:szCs w:val="24"/>
        </w:rPr>
        <w:t>.pielikumā “Izdevumi sadalījumā pa finansējuma avotiem (</w:t>
      </w:r>
      <w:r w:rsidRPr="00BD10BB">
        <w:rPr>
          <w:rFonts w:cs="Times New Roman"/>
          <w:i/>
          <w:szCs w:val="24"/>
        </w:rPr>
        <w:t>euro</w:t>
      </w:r>
      <w:r w:rsidRPr="00BD10BB">
        <w:rPr>
          <w:rFonts w:cs="Times New Roman"/>
          <w:szCs w:val="24"/>
        </w:rPr>
        <w:t>), amata vietu skaits un apmeklējumu skaits valsts muzejos 2014. – 2016.gadā”.</w:t>
      </w:r>
    </w:p>
    <w:p w:rsidR="00DB6418" w:rsidRDefault="00DB6418" w:rsidP="00DB6418">
      <w:pPr>
        <w:spacing w:before="120"/>
        <w:rPr>
          <w:rFonts w:cs="Times New Roman"/>
          <w:i/>
          <w:sz w:val="22"/>
        </w:rPr>
      </w:pPr>
      <w:r>
        <w:rPr>
          <w:noProof/>
          <w:lang w:eastAsia="lv-LV"/>
        </w:rPr>
        <w:lastRenderedPageBreak/>
        <w:drawing>
          <wp:inline distT="0" distB="0" distL="0" distR="0" wp14:anchorId="4AEBD0B4" wp14:editId="53B26CE5">
            <wp:extent cx="5939790" cy="2896819"/>
            <wp:effectExtent l="0" t="0" r="3810" b="18415"/>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DB6418" w:rsidRPr="00457B39" w:rsidRDefault="00E84089" w:rsidP="0055785B">
      <w:pPr>
        <w:spacing w:before="120" w:after="240"/>
        <w:jc w:val="center"/>
        <w:rPr>
          <w:rFonts w:cs="Times New Roman"/>
          <w:b/>
          <w:sz w:val="22"/>
        </w:rPr>
      </w:pPr>
      <w:r w:rsidRPr="00E84089">
        <w:rPr>
          <w:rFonts w:cs="Times New Roman"/>
          <w:i/>
          <w:sz w:val="22"/>
        </w:rPr>
        <w:t>3.25</w:t>
      </w:r>
      <w:r w:rsidR="00DB6418" w:rsidRPr="00E84089">
        <w:rPr>
          <w:rFonts w:cs="Times New Roman"/>
          <w:i/>
          <w:sz w:val="22"/>
        </w:rPr>
        <w:t>.att.</w:t>
      </w:r>
      <w:r w:rsidR="00DB6418" w:rsidRPr="00E84089">
        <w:rPr>
          <w:rFonts w:cs="Times New Roman"/>
          <w:sz w:val="22"/>
        </w:rPr>
        <w:t xml:space="preserve"> </w:t>
      </w:r>
      <w:r w:rsidR="00B003AC" w:rsidRPr="00E84089">
        <w:rPr>
          <w:rFonts w:cs="Times New Roman"/>
          <w:b/>
          <w:sz w:val="22"/>
        </w:rPr>
        <w:t>A</w:t>
      </w:r>
      <w:r w:rsidR="00DB6418" w:rsidRPr="00E84089">
        <w:rPr>
          <w:rFonts w:cs="Times New Roman"/>
          <w:b/>
          <w:sz w:val="22"/>
        </w:rPr>
        <w:t>pmeklējumu skaits uz vienu amata vietu, skaits</w:t>
      </w:r>
    </w:p>
    <w:p w:rsidR="00DB6418" w:rsidRDefault="00DB6418" w:rsidP="00DB6418">
      <w:pPr>
        <w:spacing w:after="120"/>
        <w:ind w:firstLine="720"/>
        <w:jc w:val="both"/>
        <w:rPr>
          <w:rFonts w:cs="Times New Roman"/>
          <w:szCs w:val="24"/>
        </w:rPr>
      </w:pPr>
      <w:r w:rsidRPr="00E863CE">
        <w:rPr>
          <w:rFonts w:cs="Times New Roman"/>
          <w:color w:val="000000" w:themeColor="text1"/>
          <w:szCs w:val="24"/>
        </w:rPr>
        <w:t>Valsts muzeji var saņemt papildu finanšu līdzekļus arī no citiem avotiem ziedojumu</w:t>
      </w:r>
      <w:r w:rsidRPr="00F06EA3">
        <w:rPr>
          <w:rFonts w:cs="Times New Roman"/>
          <w:color w:val="000000" w:themeColor="text1"/>
          <w:szCs w:val="24"/>
        </w:rPr>
        <w:t xml:space="preserve"> un dāvinājumu veidā, kā arī gūt ienākumus no maksas pakalpojumiem un citiem pašu ieņēmumiem. Līdzekļi, kas iegūti no maksas pakalpojumiem un citiem pašu ieņēmumiem, tiek ieskaitīti muzeja pamatbudžeta kontā, un tos izmanto t</w:t>
      </w:r>
      <w:r>
        <w:rPr>
          <w:rFonts w:cs="Times New Roman"/>
          <w:color w:val="000000" w:themeColor="text1"/>
          <w:szCs w:val="24"/>
        </w:rPr>
        <w:t xml:space="preserve">ikai muzeja darbības attīstībai. </w:t>
      </w:r>
      <w:r w:rsidRPr="00F06EA3">
        <w:rPr>
          <w:rFonts w:cs="Times New Roman"/>
          <w:szCs w:val="24"/>
        </w:rPr>
        <w:t>Analizējot procentuālo</w:t>
      </w:r>
      <w:r>
        <w:rPr>
          <w:rFonts w:cs="Times New Roman"/>
          <w:szCs w:val="24"/>
        </w:rPr>
        <w:t xml:space="preserve"> pašu piesaistīto ieņēmumu un saņemtās valsts dotācijas attiecību </w:t>
      </w:r>
      <w:r w:rsidRPr="00226F5A">
        <w:rPr>
          <w:rFonts w:cs="Times New Roman"/>
          <w:szCs w:val="24"/>
        </w:rPr>
        <w:t>2016.gadā</w:t>
      </w:r>
      <w:r>
        <w:rPr>
          <w:rFonts w:cs="Times New Roman"/>
          <w:szCs w:val="24"/>
        </w:rPr>
        <w:t xml:space="preserve">, secināms, ka vislielākos pašu ieņēmumus no saimnieciskās darbības gūst </w:t>
      </w:r>
      <w:r w:rsidRPr="00E65B6A">
        <w:rPr>
          <w:rFonts w:cs="Times New Roman"/>
          <w:szCs w:val="24"/>
        </w:rPr>
        <w:t>Rundāles pils muzejs</w:t>
      </w:r>
      <w:r>
        <w:rPr>
          <w:rFonts w:cs="Times New Roman"/>
          <w:szCs w:val="24"/>
        </w:rPr>
        <w:t>, savukārt vismazākie tie ir Latvijas Sporta muzejam</w:t>
      </w:r>
      <w:r w:rsidR="00E84089">
        <w:rPr>
          <w:rFonts w:cs="Times New Roman"/>
          <w:szCs w:val="24"/>
        </w:rPr>
        <w:t xml:space="preserve"> (skat. 3.26.attēlu)</w:t>
      </w:r>
      <w:r>
        <w:rPr>
          <w:rFonts w:cs="Times New Roman"/>
          <w:szCs w:val="24"/>
        </w:rPr>
        <w:t>.</w:t>
      </w:r>
    </w:p>
    <w:p w:rsidR="00DB6418" w:rsidRDefault="00DB6418" w:rsidP="00DB6418">
      <w:pPr>
        <w:jc w:val="both"/>
        <w:rPr>
          <w:rFonts w:cs="Times New Roman"/>
          <w:i/>
          <w:sz w:val="22"/>
        </w:rPr>
      </w:pPr>
      <w:r>
        <w:rPr>
          <w:noProof/>
          <w:lang w:eastAsia="lv-LV"/>
        </w:rPr>
        <w:drawing>
          <wp:inline distT="0" distB="0" distL="0" distR="0" wp14:anchorId="7F086F6B" wp14:editId="01A76119">
            <wp:extent cx="5939790" cy="2977286"/>
            <wp:effectExtent l="0" t="0" r="3810" b="1397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DB6418" w:rsidRPr="0021336C" w:rsidRDefault="00E84089" w:rsidP="0021336C">
      <w:pPr>
        <w:spacing w:before="120" w:after="120"/>
        <w:jc w:val="center"/>
        <w:rPr>
          <w:rFonts w:cs="Times New Roman"/>
          <w:b/>
          <w:sz w:val="22"/>
        </w:rPr>
      </w:pPr>
      <w:r>
        <w:rPr>
          <w:rFonts w:cs="Times New Roman"/>
          <w:i/>
          <w:sz w:val="22"/>
        </w:rPr>
        <w:t>3.26</w:t>
      </w:r>
      <w:r w:rsidR="00DB6418" w:rsidRPr="00457B39">
        <w:rPr>
          <w:rFonts w:cs="Times New Roman"/>
          <w:i/>
          <w:sz w:val="22"/>
        </w:rPr>
        <w:t>.att.</w:t>
      </w:r>
      <w:r w:rsidR="00DB6418" w:rsidRPr="00457B39">
        <w:rPr>
          <w:rFonts w:cs="Times New Roman"/>
          <w:sz w:val="22"/>
        </w:rPr>
        <w:t xml:space="preserve"> </w:t>
      </w:r>
      <w:r w:rsidR="00DB6418" w:rsidRPr="00615E0B">
        <w:rPr>
          <w:rFonts w:cs="Times New Roman"/>
          <w:b/>
          <w:sz w:val="22"/>
        </w:rPr>
        <w:t>Pašu ieņēmumu, valsts budžeta dotācijas un saņemto transfertu attiecība muzeju budžetos (%)</w:t>
      </w:r>
      <w:r w:rsidR="00DB6418">
        <w:rPr>
          <w:rFonts w:cs="Times New Roman"/>
          <w:b/>
          <w:sz w:val="22"/>
        </w:rPr>
        <w:t xml:space="preserve">, </w:t>
      </w:r>
      <w:r w:rsidR="00DB6418" w:rsidRPr="00457B39">
        <w:rPr>
          <w:rFonts w:cs="Times New Roman"/>
          <w:b/>
          <w:i/>
          <w:sz w:val="22"/>
        </w:rPr>
        <w:t>euro</w:t>
      </w:r>
    </w:p>
    <w:p w:rsidR="0078344F" w:rsidRDefault="00DB6418" w:rsidP="00DB6418">
      <w:pPr>
        <w:spacing w:after="120"/>
        <w:ind w:firstLine="720"/>
        <w:jc w:val="both"/>
        <w:rPr>
          <w:rFonts w:cs="Times New Roman"/>
          <w:szCs w:val="24"/>
        </w:rPr>
      </w:pPr>
      <w:r w:rsidRPr="00F06EA3">
        <w:rPr>
          <w:rFonts w:cs="Times New Roman"/>
          <w:szCs w:val="24"/>
        </w:rPr>
        <w:t xml:space="preserve">Lai nodrošinātu </w:t>
      </w:r>
      <w:r w:rsidRPr="00F06EA3">
        <w:rPr>
          <w:rFonts w:cs="Times New Roman"/>
          <w:color w:val="000000" w:themeColor="text1"/>
          <w:szCs w:val="24"/>
        </w:rPr>
        <w:t>valsts budžeta finansēto funkciju ekonomiskāku un racionālāku īstenošanu, ir izvērtējama esošo valsts muzeju koncentrēšana vienas ministrijas ietvaros, vienlaikus paredzot atsevišķu muzeju nodošanu pašvaldību padotībā.</w:t>
      </w:r>
      <w:r>
        <w:rPr>
          <w:rFonts w:cs="Times New Roman"/>
          <w:szCs w:val="24"/>
        </w:rPr>
        <w:t xml:space="preserve"> </w:t>
      </w:r>
      <w:r w:rsidRPr="00F06EA3">
        <w:rPr>
          <w:rFonts w:cs="Times New Roman"/>
          <w:szCs w:val="24"/>
        </w:rPr>
        <w:t xml:space="preserve">Saskaņā ar </w:t>
      </w:r>
      <w:r w:rsidR="00F915B1">
        <w:rPr>
          <w:rFonts w:cs="Times New Roman"/>
          <w:szCs w:val="24"/>
        </w:rPr>
        <w:t>MK</w:t>
      </w:r>
      <w:r w:rsidRPr="00F06EA3">
        <w:rPr>
          <w:rFonts w:cs="Times New Roman"/>
          <w:szCs w:val="24"/>
        </w:rPr>
        <w:t xml:space="preserve"> 2003.gada 29.aprī</w:t>
      </w:r>
      <w:r w:rsidR="0021336C">
        <w:rPr>
          <w:rFonts w:cs="Times New Roman"/>
          <w:szCs w:val="24"/>
        </w:rPr>
        <w:t>ļa noteikumiem Nr.241 “</w:t>
      </w:r>
      <w:r w:rsidRPr="00F06EA3">
        <w:rPr>
          <w:rFonts w:cs="Times New Roman"/>
          <w:szCs w:val="24"/>
        </w:rPr>
        <w:t xml:space="preserve">Kultūras ministrijas nolikums”” </w:t>
      </w:r>
      <w:r w:rsidR="00F915B1">
        <w:rPr>
          <w:rFonts w:cs="Times New Roman"/>
          <w:szCs w:val="24"/>
        </w:rPr>
        <w:t>KM</w:t>
      </w:r>
      <w:r w:rsidRPr="00F06EA3">
        <w:rPr>
          <w:rFonts w:cs="Times New Roman"/>
          <w:szCs w:val="24"/>
        </w:rPr>
        <w:t xml:space="preserve"> ir vadošā valsts pārvaldes iestāde kultūras nozarē, kas ietver muzeju apakšnozari. Tāpat </w:t>
      </w:r>
      <w:r w:rsidR="00F915B1">
        <w:rPr>
          <w:rFonts w:cs="Times New Roman"/>
          <w:szCs w:val="24"/>
        </w:rPr>
        <w:t>KM</w:t>
      </w:r>
      <w:r w:rsidRPr="00F06EA3">
        <w:rPr>
          <w:rFonts w:cs="Times New Roman"/>
          <w:szCs w:val="24"/>
        </w:rPr>
        <w:t xml:space="preserve"> funkcijās un </w:t>
      </w:r>
      <w:r w:rsidRPr="00E863CE">
        <w:rPr>
          <w:rFonts w:cs="Times New Roman"/>
          <w:szCs w:val="24"/>
        </w:rPr>
        <w:t xml:space="preserve">kompetencē </w:t>
      </w:r>
      <w:r w:rsidRPr="00E863CE">
        <w:rPr>
          <w:rFonts w:cs="Times New Roman"/>
          <w:szCs w:val="24"/>
        </w:rPr>
        <w:lastRenderedPageBreak/>
        <w:t xml:space="preserve">ietilpst sekmēt muzeju darbības pilnveidošanu un koordinēt to attīstību (neatkarīgi no muzeja statusa), nodrošināt muzeju darbības un muzeju personāla profesionalizācijas priekšnoteikumus, apkopot un analizēt informāciju, lai sekmētu muzejos uzkrātā kultūrvēsturiskā mantojuma apriti sabiedrībā. </w:t>
      </w:r>
    </w:p>
    <w:p w:rsidR="00DB6418" w:rsidRPr="00E863CE" w:rsidRDefault="00DB6418" w:rsidP="00DB6418">
      <w:pPr>
        <w:spacing w:after="120"/>
        <w:ind w:firstLine="720"/>
        <w:jc w:val="both"/>
        <w:rPr>
          <w:rFonts w:cs="Times New Roman"/>
          <w:color w:val="000000" w:themeColor="text1"/>
          <w:szCs w:val="24"/>
        </w:rPr>
      </w:pPr>
      <w:r w:rsidRPr="00E863CE">
        <w:rPr>
          <w:rFonts w:cs="Times New Roman"/>
          <w:szCs w:val="24"/>
        </w:rPr>
        <w:t>Līdz ar to, lai</w:t>
      </w:r>
      <w:r w:rsidRPr="00E863CE">
        <w:rPr>
          <w:rFonts w:cs="Times New Roman"/>
          <w:color w:val="000000" w:themeColor="text1"/>
          <w:szCs w:val="24"/>
        </w:rPr>
        <w:t xml:space="preserve"> novērstu valsts budžeta finansēto iestāžu funkciju dublēšanos, kā arī, lai ministrijas atbrīvotu no tām neraksturīgas funkcijas – muzeju darbības un attīstības nodrošināšanas – ir izvērtējamas iespējas:</w:t>
      </w:r>
    </w:p>
    <w:p w:rsidR="00DB6418" w:rsidRPr="00E863CE" w:rsidRDefault="00787E45" w:rsidP="00E84089">
      <w:pPr>
        <w:ind w:firstLine="720"/>
        <w:jc w:val="both"/>
        <w:rPr>
          <w:rFonts w:cs="Times New Roman"/>
          <w:color w:val="000000" w:themeColor="text1"/>
          <w:szCs w:val="24"/>
        </w:rPr>
      </w:pPr>
      <w:r>
        <w:rPr>
          <w:rFonts w:cs="Times New Roman"/>
          <w:color w:val="000000" w:themeColor="text1"/>
          <w:szCs w:val="24"/>
        </w:rPr>
        <w:t xml:space="preserve">1) </w:t>
      </w:r>
      <w:r w:rsidR="00DB6418" w:rsidRPr="00E863CE">
        <w:rPr>
          <w:rFonts w:cs="Times New Roman"/>
          <w:color w:val="000000" w:themeColor="text1"/>
          <w:szCs w:val="24"/>
        </w:rPr>
        <w:t xml:space="preserve">ministriju padotībā esošos muzejus nodot </w:t>
      </w:r>
      <w:r w:rsidR="00F915B1">
        <w:rPr>
          <w:rFonts w:cs="Times New Roman"/>
          <w:color w:val="000000" w:themeColor="text1"/>
          <w:szCs w:val="24"/>
        </w:rPr>
        <w:t>KM</w:t>
      </w:r>
      <w:r w:rsidR="00DB6418" w:rsidRPr="00E863CE">
        <w:rPr>
          <w:rFonts w:cs="Times New Roman"/>
          <w:color w:val="000000" w:themeColor="text1"/>
          <w:szCs w:val="24"/>
        </w:rPr>
        <w:t>;</w:t>
      </w:r>
    </w:p>
    <w:p w:rsidR="00F208B8" w:rsidRDefault="00DB6418" w:rsidP="0078482A">
      <w:pPr>
        <w:spacing w:after="120"/>
        <w:ind w:firstLine="720"/>
        <w:jc w:val="both"/>
      </w:pPr>
      <w:r w:rsidRPr="00E863CE">
        <w:t>2) muzejus vai to atsevišķas filiāles nodot pašvaldību pārziņā.</w:t>
      </w:r>
    </w:p>
    <w:p w:rsidR="00F208B8" w:rsidRPr="00F208B8" w:rsidRDefault="00F208B8" w:rsidP="00F208B8">
      <w:pPr>
        <w:pStyle w:val="NormalWeb"/>
        <w:spacing w:before="120" w:beforeAutospacing="0" w:after="120" w:afterAutospacing="0"/>
        <w:rPr>
          <w:b/>
          <w:color w:val="000000"/>
          <w:u w:val="single"/>
        </w:rPr>
      </w:pPr>
      <w:r w:rsidRPr="00F208B8">
        <w:rPr>
          <w:b/>
          <w:color w:val="000000"/>
          <w:u w:val="single"/>
        </w:rPr>
        <w:t xml:space="preserve">VM </w:t>
      </w:r>
      <w:r w:rsidR="0082364E">
        <w:rPr>
          <w:b/>
          <w:color w:val="000000"/>
          <w:u w:val="single"/>
        </w:rPr>
        <w:t>informācija</w:t>
      </w:r>
    </w:p>
    <w:p w:rsidR="00F208B8" w:rsidRPr="00D950C1" w:rsidRDefault="00F208B8" w:rsidP="00F208B8">
      <w:pPr>
        <w:pStyle w:val="NormalWeb"/>
        <w:spacing w:before="120" w:beforeAutospacing="0" w:after="120" w:afterAutospacing="0"/>
        <w:rPr>
          <w:rFonts w:cs="Angsana New"/>
          <w:color w:val="000000"/>
        </w:rPr>
      </w:pPr>
      <w:r w:rsidRPr="00D950C1">
        <w:rPr>
          <w:color w:val="000000"/>
        </w:rPr>
        <w:t>Atbilstoši VM sniegtajai informācija tiek plānota VM padotības iestāžu reorganizācija:</w:t>
      </w:r>
    </w:p>
    <w:p w:rsidR="00F208B8" w:rsidRPr="0078482A" w:rsidRDefault="00F208B8" w:rsidP="0078482A">
      <w:pPr>
        <w:pStyle w:val="xmsolistparagraph"/>
        <w:ind w:hanging="709"/>
        <w:jc w:val="both"/>
        <w:rPr>
          <w:rFonts w:cs="Angsana New"/>
          <w:color w:val="000000"/>
        </w:rPr>
      </w:pPr>
      <w:r w:rsidRPr="00D950C1">
        <w:rPr>
          <w:color w:val="000000"/>
        </w:rPr>
        <w:t>            </w:t>
      </w:r>
      <w:r w:rsidRPr="00D950C1">
        <w:rPr>
          <w:color w:val="000000"/>
        </w:rPr>
        <w:tab/>
        <w:t>Pašreizējā situācija veselības aprūpes nozarē saistās ar nepieciešamību veikt būtiskas strukturālas reformas nozares pārvaldībā, tai skai</w:t>
      </w:r>
      <w:r w:rsidR="00121FBE">
        <w:rPr>
          <w:color w:val="000000"/>
        </w:rPr>
        <w:t xml:space="preserve">tā pārskatīt iestāžu funkcijas. </w:t>
      </w:r>
      <w:r w:rsidRPr="00D950C1">
        <w:rPr>
          <w:color w:val="000000"/>
        </w:rPr>
        <w:t>Veicot VM padotības iestāžu funkciju, uzdevumu un procesu analīzi un apskatot to no pamatfunkciju nodrošināšanas puses - veselības aprūpes pakalpojumu administrēšana, veselības aprūpes pakalpojumu drošība un uzraudzība, kā arī veselības datu analīze un informācija, galvenās izmaiņas plānots veikt šādās iestādēs: NVD, VI, SPKC un NMPD. Minētajās iestādēs plānots veikt funkciju un uzdevumu pārdali, kuru mērķis ir nodrošināt efektīvu, pārskatāmu, savstarpēji papildinošu un nedublējošu veselības nozares administratīvo vadību. Galvenās izmaiņas tiek plānotas, balstoties uz stratēģiskā iepirkuma organizāciju, datu analīzes kapacitātes konsolidāciju un stiprināšanu, kā arī uzraudzības funkcijas uzlabošanu, atbilstoši pacientu interesēm un kvalitatīvai veselības aprūpes procesa organizācijai. Provizoriski</w:t>
      </w:r>
      <w:r w:rsidR="00121FBE">
        <w:rPr>
          <w:color w:val="000000"/>
        </w:rPr>
        <w:t xml:space="preserve"> </w:t>
      </w:r>
      <w:r w:rsidRPr="00D950C1">
        <w:rPr>
          <w:color w:val="000000"/>
        </w:rPr>
        <w:t xml:space="preserve">finansējuma pārdale starp VM padotības iestādēm plānota 314 728 </w:t>
      </w:r>
      <w:r w:rsidRPr="00D950C1">
        <w:rPr>
          <w:i/>
          <w:iCs/>
          <w:color w:val="000000"/>
        </w:rPr>
        <w:t xml:space="preserve">euro </w:t>
      </w:r>
      <w:r w:rsidRPr="00D950C1">
        <w:rPr>
          <w:color w:val="000000"/>
        </w:rPr>
        <w:t>apmērā gadā.</w:t>
      </w:r>
      <w:r>
        <w:rPr>
          <w:color w:val="000000"/>
        </w:rPr>
        <w:t> </w:t>
      </w:r>
    </w:p>
    <w:p w:rsidR="00441307" w:rsidRPr="00C90316" w:rsidRDefault="00441307" w:rsidP="00E84089">
      <w:pPr>
        <w:pStyle w:val="Heading3"/>
        <w:spacing w:before="360" w:after="240"/>
        <w:jc w:val="center"/>
        <w:rPr>
          <w:rFonts w:ascii="Times New Roman" w:hAnsi="Times New Roman" w:cs="Times New Roman"/>
          <w:color w:val="auto"/>
          <w:sz w:val="28"/>
          <w:szCs w:val="28"/>
        </w:rPr>
      </w:pPr>
      <w:bookmarkStart w:id="19" w:name="_Toc487036803"/>
      <w:r w:rsidRPr="00C90316">
        <w:rPr>
          <w:rFonts w:ascii="Times New Roman" w:hAnsi="Times New Roman" w:cs="Times New Roman"/>
          <w:color w:val="auto"/>
          <w:sz w:val="28"/>
          <w:szCs w:val="28"/>
        </w:rPr>
        <w:t>3.3.5. Ekspertīzes veicošo iestāžu funkciju pārskatīšana</w:t>
      </w:r>
      <w:bookmarkEnd w:id="19"/>
    </w:p>
    <w:p w:rsidR="00B239DD" w:rsidRPr="00E00329" w:rsidRDefault="00B239DD" w:rsidP="00B239DD">
      <w:pPr>
        <w:ind w:firstLine="720"/>
        <w:jc w:val="both"/>
        <w:rPr>
          <w:rFonts w:cs="Times New Roman"/>
          <w:szCs w:val="24"/>
        </w:rPr>
      </w:pPr>
      <w:r w:rsidRPr="00E00329">
        <w:rPr>
          <w:rFonts w:cs="Times New Roman"/>
          <w:bCs/>
          <w:szCs w:val="24"/>
        </w:rPr>
        <w:t>Latvijas normatīvajos aktos nav vien</w:t>
      </w:r>
      <w:r>
        <w:rPr>
          <w:rFonts w:cs="Times New Roman"/>
          <w:bCs/>
          <w:szCs w:val="24"/>
        </w:rPr>
        <w:t>ota</w:t>
      </w:r>
      <w:r w:rsidRPr="00E00329">
        <w:rPr>
          <w:rFonts w:cs="Times New Roman"/>
          <w:bCs/>
          <w:szCs w:val="24"/>
        </w:rPr>
        <w:t xml:space="preserve"> ekspertīzes termina skaidrojuma. Ekspertīzes tiek dalītas pa grupām – tiesu ekspertīzes, tiesu-medicīnas ekspertīzes, medicīniskās ekspertīzes, būvniecības ekspertīzes un daudzas citas. </w:t>
      </w:r>
      <w:r>
        <w:rPr>
          <w:rFonts w:cs="Times New Roman"/>
          <w:szCs w:val="24"/>
        </w:rPr>
        <w:t>Ak</w:t>
      </w:r>
      <w:r w:rsidRPr="00E00329">
        <w:rPr>
          <w:rFonts w:cs="Times New Roman"/>
          <w:szCs w:val="24"/>
        </w:rPr>
        <w:t>adēmiskajā terminu datu bāzē</w:t>
      </w:r>
      <w:r>
        <w:rPr>
          <w:rStyle w:val="FootnoteReference"/>
          <w:rFonts w:cs="Times New Roman"/>
          <w:szCs w:val="24"/>
        </w:rPr>
        <w:footnoteReference w:id="62"/>
      </w:r>
      <w:r w:rsidRPr="00E00329">
        <w:rPr>
          <w:rFonts w:cs="Times New Roman"/>
          <w:szCs w:val="24"/>
        </w:rPr>
        <w:t xml:space="preserve"> </w:t>
      </w:r>
      <w:hyperlink r:id="rId70" w:history="1">
        <w:r w:rsidRPr="00E00329">
          <w:rPr>
            <w:rFonts w:cs="Times New Roman"/>
            <w:color w:val="000000"/>
            <w:szCs w:val="24"/>
          </w:rPr>
          <w:t>ekspertīze</w:t>
        </w:r>
      </w:hyperlink>
      <w:r w:rsidRPr="00E00329">
        <w:rPr>
          <w:rFonts w:cs="Times New Roman"/>
          <w:szCs w:val="24"/>
        </w:rPr>
        <w:t xml:space="preserve"> tiek skaidrota kā </w:t>
      </w:r>
      <w:hyperlink r:id="rId71" w:history="1">
        <w:r w:rsidRPr="00E00329">
          <w:rPr>
            <w:rFonts w:cs="Times New Roman"/>
            <w:color w:val="000000"/>
            <w:szCs w:val="24"/>
          </w:rPr>
          <w:t>novērtēšana</w:t>
        </w:r>
      </w:hyperlink>
      <w:r w:rsidRPr="00E00329">
        <w:rPr>
          <w:rFonts w:cs="Times New Roman"/>
          <w:szCs w:val="24"/>
        </w:rPr>
        <w:t xml:space="preserve">, </w:t>
      </w:r>
      <w:hyperlink r:id="rId72" w:history="1">
        <w:r w:rsidRPr="00E00329">
          <w:rPr>
            <w:rFonts w:cs="Times New Roman"/>
            <w:color w:val="000000"/>
            <w:szCs w:val="24"/>
          </w:rPr>
          <w:t>novērtējums</w:t>
        </w:r>
      </w:hyperlink>
      <w:r w:rsidRPr="00E00329">
        <w:rPr>
          <w:rFonts w:cs="Times New Roman"/>
          <w:szCs w:val="24"/>
        </w:rPr>
        <w:t xml:space="preserve">, </w:t>
      </w:r>
      <w:hyperlink r:id="rId73" w:history="1">
        <w:r w:rsidRPr="00E00329">
          <w:rPr>
            <w:rFonts w:cs="Times New Roman"/>
            <w:color w:val="000000"/>
            <w:szCs w:val="24"/>
          </w:rPr>
          <w:t>revīzija</w:t>
        </w:r>
      </w:hyperlink>
      <w:r w:rsidRPr="00E00329">
        <w:rPr>
          <w:rFonts w:cs="Times New Roman"/>
          <w:szCs w:val="24"/>
        </w:rPr>
        <w:t xml:space="preserve">, </w:t>
      </w:r>
      <w:hyperlink r:id="rId74" w:history="1">
        <w:r w:rsidRPr="00E00329">
          <w:rPr>
            <w:rFonts w:cs="Times New Roman"/>
            <w:color w:val="000000"/>
            <w:szCs w:val="24"/>
          </w:rPr>
          <w:t>audits</w:t>
        </w:r>
      </w:hyperlink>
      <w:r w:rsidRPr="00E00329">
        <w:rPr>
          <w:rFonts w:cs="Times New Roman"/>
          <w:szCs w:val="24"/>
        </w:rPr>
        <w:t xml:space="preserve">, </w:t>
      </w:r>
      <w:hyperlink r:id="rId75" w:history="1">
        <w:r w:rsidRPr="00E00329">
          <w:rPr>
            <w:rFonts w:cs="Times New Roman"/>
            <w:color w:val="000000"/>
            <w:szCs w:val="24"/>
          </w:rPr>
          <w:t>eksperta slēdziens</w:t>
        </w:r>
      </w:hyperlink>
      <w:r w:rsidRPr="00E00329">
        <w:rPr>
          <w:rFonts w:cs="Times New Roman"/>
          <w:szCs w:val="24"/>
        </w:rPr>
        <w:t xml:space="preserve">. </w:t>
      </w:r>
    </w:p>
    <w:p w:rsidR="00B239DD" w:rsidRDefault="00B239DD" w:rsidP="00B239DD">
      <w:pPr>
        <w:spacing w:before="120"/>
        <w:ind w:firstLine="720"/>
        <w:jc w:val="both"/>
        <w:rPr>
          <w:rFonts w:cs="Times New Roman"/>
          <w:szCs w:val="24"/>
        </w:rPr>
      </w:pPr>
      <w:r w:rsidRPr="00E00329">
        <w:rPr>
          <w:rFonts w:cs="Times New Roman"/>
          <w:szCs w:val="24"/>
        </w:rPr>
        <w:t xml:space="preserve">Lai </w:t>
      </w:r>
      <w:r>
        <w:rPr>
          <w:rFonts w:cs="Times New Roman"/>
          <w:szCs w:val="24"/>
        </w:rPr>
        <w:t xml:space="preserve">apzinātu, cik un kādas ekspertīzes veic Latvijas valsts iestādes, cik nodarbināto ir iesaistīti ekspertīžu veikšanas procesā un cik liels valsts budžeta finansējums tiek paredzēts ekspertīžu veikšanai, FM pēc vienotas formas aicināja visas ministrijas un atsevišķas centrālās valsts iestādes iesniegt informāciju par ministrijas/iestādes darbības ietvaros veicamajām ekspertīzēm – </w:t>
      </w:r>
      <w:r w:rsidRPr="00E861C9">
        <w:rPr>
          <w:rFonts w:cs="Times New Roman"/>
        </w:rPr>
        <w:t>objektu vai materiālu zinātniska</w:t>
      </w:r>
      <w:r>
        <w:rPr>
          <w:rFonts w:cs="Times New Roman"/>
        </w:rPr>
        <w:t>s un praktiskas izpētes veikšanu</w:t>
      </w:r>
      <w:r>
        <w:rPr>
          <w:rFonts w:cs="Times New Roman"/>
          <w:szCs w:val="24"/>
        </w:rPr>
        <w:t xml:space="preserve">, norādot to veidu, sniedzot īsu tās aprakstu, norādot 2016.gadā faktiski veikto ekspertīžu skaitu un izlietoto finansējumu, kā arī 2017. un 2018.gadam plānoto finansējumu, sniedzot informāciju, vai ekspertīzi veic ministrija pati, kāda tās padotības iestāde, vai arī tā tiek pirkta kā ārpakalpojums </w:t>
      </w:r>
      <w:r w:rsidRPr="0017185A">
        <w:rPr>
          <w:rFonts w:cs="Times New Roman"/>
          <w:szCs w:val="24"/>
        </w:rPr>
        <w:t xml:space="preserve">vai </w:t>
      </w:r>
      <w:r>
        <w:rPr>
          <w:rFonts w:cs="Times New Roman"/>
          <w:szCs w:val="24"/>
        </w:rPr>
        <w:t xml:space="preserve">tās veikšana </w:t>
      </w:r>
      <w:r w:rsidRPr="0017185A">
        <w:rPr>
          <w:rFonts w:cs="Times New Roman"/>
          <w:szCs w:val="24"/>
        </w:rPr>
        <w:t>ir deleģē</w:t>
      </w:r>
      <w:r>
        <w:rPr>
          <w:rFonts w:cs="Times New Roman"/>
          <w:szCs w:val="24"/>
        </w:rPr>
        <w:t xml:space="preserve">ta </w:t>
      </w:r>
      <w:r w:rsidRPr="0017185A">
        <w:rPr>
          <w:rFonts w:cs="Times New Roman"/>
          <w:szCs w:val="24"/>
        </w:rPr>
        <w:t>citai pilnvarotai personai</w:t>
      </w:r>
      <w:r>
        <w:rPr>
          <w:rFonts w:cs="Times New Roman"/>
          <w:szCs w:val="24"/>
        </w:rPr>
        <w:t xml:space="preserve">, kā arī norādot normatīvo aktu, kas pamato ekspertīzes veikšanu. </w:t>
      </w:r>
    </w:p>
    <w:p w:rsidR="00B239DD" w:rsidRDefault="0015127E" w:rsidP="00B239DD">
      <w:pPr>
        <w:spacing w:before="120"/>
        <w:ind w:firstLine="720"/>
        <w:jc w:val="both"/>
        <w:rPr>
          <w:rFonts w:cs="Times New Roman"/>
          <w:szCs w:val="24"/>
        </w:rPr>
      </w:pPr>
      <w:r>
        <w:rPr>
          <w:rFonts w:cs="Times New Roman"/>
          <w:szCs w:val="24"/>
        </w:rPr>
        <w:t>Saskaņā ar M</w:t>
      </w:r>
      <w:r w:rsidR="00B239DD">
        <w:rPr>
          <w:rFonts w:cs="Times New Roman"/>
          <w:szCs w:val="24"/>
        </w:rPr>
        <w:t>inistriju sniegto informāciju, dažādas ekspertīzes veic vai pērk kā ārpakalpojumu 10 no 13 Latvijas ministrijām, kā arī Prokuratūra. Kopumā tika norādītas 161 veida ekspertīzes (atsevišķos gadījumos – pamatā tiesu ekspertīzēs ekspertīžu veidi pārklājas, ir ar vienādu vai līdzīgu nosaukumu), no kurām 94 tiek pasūtītas kā ārpakalpojums vai deleģēti izpildei citai pilnvar</w:t>
      </w:r>
      <w:r>
        <w:rPr>
          <w:rFonts w:cs="Times New Roman"/>
          <w:szCs w:val="24"/>
        </w:rPr>
        <w:t>otai personai (skat. 3.27</w:t>
      </w:r>
      <w:r w:rsidR="00B239DD">
        <w:rPr>
          <w:rFonts w:cs="Times New Roman"/>
          <w:szCs w:val="24"/>
        </w:rPr>
        <w:t xml:space="preserve">.attēlu). 2016.gadā kopumā ekspertīžu veikšanā bija </w:t>
      </w:r>
      <w:r w:rsidR="00B239DD">
        <w:rPr>
          <w:rFonts w:cs="Times New Roman"/>
          <w:szCs w:val="24"/>
        </w:rPr>
        <w:lastRenderedPageBreak/>
        <w:t xml:space="preserve">iesaistīti 392 nodarbinātie un to īstenošanai tika izlietots valsts budžeta finansējums 12,7 milj. </w:t>
      </w:r>
      <w:r w:rsidR="00B239DD" w:rsidRPr="002F2D7C">
        <w:rPr>
          <w:rFonts w:cs="Times New Roman"/>
          <w:i/>
          <w:szCs w:val="24"/>
        </w:rPr>
        <w:t>euro</w:t>
      </w:r>
      <w:r w:rsidR="00B239DD">
        <w:rPr>
          <w:rFonts w:cs="Times New Roman"/>
          <w:szCs w:val="24"/>
        </w:rPr>
        <w:t xml:space="preserve"> apmērā. </w:t>
      </w:r>
    </w:p>
    <w:p w:rsidR="00B239DD" w:rsidRDefault="00B239DD" w:rsidP="00B239DD">
      <w:pPr>
        <w:ind w:firstLine="720"/>
        <w:jc w:val="both"/>
        <w:rPr>
          <w:rFonts w:cs="Times New Roman"/>
          <w:szCs w:val="24"/>
        </w:rPr>
      </w:pPr>
    </w:p>
    <w:p w:rsidR="00B239DD" w:rsidRDefault="00B239DD" w:rsidP="00B239DD">
      <w:pPr>
        <w:jc w:val="both"/>
        <w:rPr>
          <w:rFonts w:cs="Times New Roman"/>
          <w:szCs w:val="24"/>
        </w:rPr>
      </w:pPr>
      <w:r w:rsidRPr="00675F29">
        <w:rPr>
          <w:rFonts w:cs="Times New Roman"/>
          <w:noProof/>
          <w:szCs w:val="24"/>
          <w:lang w:eastAsia="lv-LV"/>
        </w:rPr>
        <w:drawing>
          <wp:inline distT="0" distB="0" distL="0" distR="0" wp14:anchorId="5DD00A40" wp14:editId="11262AB2">
            <wp:extent cx="5939790" cy="3238500"/>
            <wp:effectExtent l="0" t="0" r="3810" b="0"/>
            <wp:docPr id="154" name="Chart 1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B239DD" w:rsidRPr="007A1F7C" w:rsidRDefault="0015127E" w:rsidP="00121FBE">
      <w:pPr>
        <w:spacing w:before="60" w:after="240"/>
        <w:jc w:val="center"/>
        <w:rPr>
          <w:rFonts w:eastAsiaTheme="majorEastAsia" w:cs="Times New Roman"/>
          <w:bCs/>
          <w:kern w:val="24"/>
          <w:sz w:val="22"/>
          <w14:shadow w14:blurRad="63500" w14:dist="50800" w14:dir="13500000" w14:sx="0" w14:sy="0" w14:kx="0" w14:ky="0" w14:algn="none">
            <w14:srgbClr w14:val="000000">
              <w14:alpha w14:val="50000"/>
            </w14:srgbClr>
          </w14:shadow>
        </w:rPr>
      </w:pPr>
      <w:r w:rsidRPr="007A1F7C">
        <w:rPr>
          <w:rFonts w:eastAsiaTheme="majorEastAsia" w:cs="Times New Roman"/>
          <w:bCs/>
          <w:i/>
          <w:kern w:val="24"/>
          <w:sz w:val="22"/>
          <w14:shadow w14:blurRad="63500" w14:dist="50800" w14:dir="13500000" w14:sx="0" w14:sy="0" w14:kx="0" w14:ky="0" w14:algn="none">
            <w14:srgbClr w14:val="000000">
              <w14:alpha w14:val="50000"/>
            </w14:srgbClr>
          </w14:shadow>
        </w:rPr>
        <w:t>3.27</w:t>
      </w:r>
      <w:r w:rsidR="00B239DD" w:rsidRPr="007A1F7C">
        <w:rPr>
          <w:rFonts w:eastAsiaTheme="majorEastAsia" w:cs="Times New Roman"/>
          <w:bCs/>
          <w:i/>
          <w:kern w:val="24"/>
          <w:sz w:val="22"/>
          <w14:shadow w14:blurRad="63500" w14:dist="50800" w14:dir="13500000" w14:sx="0" w14:sy="0" w14:kx="0" w14:ky="0" w14:algn="none">
            <w14:srgbClr w14:val="000000">
              <w14:alpha w14:val="50000"/>
            </w14:srgbClr>
          </w14:shadow>
        </w:rPr>
        <w:t>.att.</w:t>
      </w:r>
      <w:r w:rsidR="00B239DD" w:rsidRPr="007A1F7C">
        <w:rPr>
          <w:rFonts w:eastAsiaTheme="majorEastAsia" w:cs="Times New Roman"/>
          <w:bCs/>
          <w:kern w:val="24"/>
          <w:sz w:val="22"/>
          <w14:shadow w14:blurRad="63500" w14:dist="50800" w14:dir="13500000" w14:sx="0" w14:sy="0" w14:kx="0" w14:ky="0" w14:algn="none">
            <w14:srgbClr w14:val="000000">
              <w14:alpha w14:val="50000"/>
            </w14:srgbClr>
          </w14:shadow>
        </w:rPr>
        <w:t xml:space="preserve"> </w:t>
      </w:r>
      <w:r w:rsidR="00B239DD" w:rsidRPr="007A1F7C">
        <w:rPr>
          <w:rFonts w:eastAsiaTheme="majorEastAsia"/>
          <w:b/>
          <w:bCs/>
          <w:kern w:val="24"/>
          <w:sz w:val="22"/>
          <w14:shadow w14:blurRad="63500" w14:dist="50800" w14:dir="13500000" w14:sx="0" w14:sy="0" w14:kx="0" w14:ky="0" w14:algn="none">
            <w14:srgbClr w14:val="000000">
              <w14:alpha w14:val="50000"/>
            </w14:srgbClr>
          </w14:shadow>
        </w:rPr>
        <w:t>Ministriju veikto ekspertīžu veidi</w:t>
      </w:r>
    </w:p>
    <w:p w:rsidR="00B239DD" w:rsidRDefault="00B239DD" w:rsidP="00B239DD">
      <w:pPr>
        <w:ind w:firstLine="720"/>
        <w:jc w:val="both"/>
      </w:pPr>
      <w:r w:rsidRPr="00AD5574">
        <w:t xml:space="preserve">Tika </w:t>
      </w:r>
      <w:r>
        <w:t xml:space="preserve">vērtēti ministriju iesniegtie </w:t>
      </w:r>
      <w:r w:rsidRPr="00AD5574">
        <w:t xml:space="preserve">dati par </w:t>
      </w:r>
      <w:r>
        <w:t xml:space="preserve">ekspertīžu </w:t>
      </w:r>
      <w:r w:rsidRPr="00AD5574">
        <w:t>izmaksām</w:t>
      </w:r>
      <w:r>
        <w:t xml:space="preserve"> un veikta</w:t>
      </w:r>
      <w:r w:rsidRPr="00AD5574">
        <w:t xml:space="preserve"> anal</w:t>
      </w:r>
      <w:r>
        <w:t>ī</w:t>
      </w:r>
      <w:r w:rsidRPr="00AD5574">
        <w:t>z</w:t>
      </w:r>
      <w:r>
        <w:t>e par faktiskajiem izdevumiem</w:t>
      </w:r>
      <w:r w:rsidRPr="00AD5574">
        <w:t xml:space="preserve"> uz 1 ekspertīzi 2016.gadā</w:t>
      </w:r>
      <w:r>
        <w:t xml:space="preserve">. Izmaksas ir ļoti atšķirīgas, kas skaidrojams ar ekspertīžu dažādību, izpētes apjomu, veidu un pielietojamām </w:t>
      </w:r>
      <w:r w:rsidRPr="007A1F7C">
        <w:t xml:space="preserve">metodēm </w:t>
      </w:r>
      <w:r w:rsidRPr="007A1F7C">
        <w:rPr>
          <w:rFonts w:cs="Times New Roman"/>
          <w:szCs w:val="24"/>
        </w:rPr>
        <w:t>(</w:t>
      </w:r>
      <w:r w:rsidR="007A1F7C" w:rsidRPr="007A1F7C">
        <w:rPr>
          <w:rFonts w:cs="Times New Roman"/>
          <w:szCs w:val="24"/>
        </w:rPr>
        <w:t>skat. 3.28</w:t>
      </w:r>
      <w:r w:rsidRPr="007A1F7C">
        <w:rPr>
          <w:rFonts w:cs="Times New Roman"/>
          <w:szCs w:val="24"/>
        </w:rPr>
        <w:t>.attēlu)</w:t>
      </w:r>
      <w:r w:rsidRPr="007A1F7C">
        <w:t>.</w:t>
      </w:r>
    </w:p>
    <w:p w:rsidR="00844C7C" w:rsidRDefault="00B239DD" w:rsidP="00844C7C">
      <w:pPr>
        <w:jc w:val="both"/>
        <w:rPr>
          <w:rFonts w:cs="Times New Roman"/>
          <w:szCs w:val="24"/>
        </w:rPr>
      </w:pPr>
      <w:r w:rsidRPr="00AD5574">
        <w:t xml:space="preserve"> </w:t>
      </w:r>
      <w:r w:rsidRPr="00D839EB">
        <w:rPr>
          <w:noProof/>
          <w:highlight w:val="yellow"/>
          <w:lang w:eastAsia="lv-LV"/>
        </w:rPr>
        <w:drawing>
          <wp:inline distT="0" distB="0" distL="0" distR="0" wp14:anchorId="0040A24B" wp14:editId="4A9ED07E">
            <wp:extent cx="5954395" cy="2962275"/>
            <wp:effectExtent l="0" t="0" r="8255" b="9525"/>
            <wp:docPr id="155" name="Chart 1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B239DD" w:rsidRPr="007A1F7C" w:rsidRDefault="007A1F7C" w:rsidP="0078482A">
      <w:pPr>
        <w:spacing w:before="120" w:after="120"/>
        <w:jc w:val="center"/>
        <w:rPr>
          <w:rFonts w:eastAsiaTheme="majorEastAsia" w:cs="Times New Roman"/>
          <w:bCs/>
          <w:i/>
          <w:color w:val="D39001"/>
          <w:kern w:val="24"/>
          <w:sz w:val="22"/>
          <w14:shadow w14:blurRad="63500" w14:dist="50800" w14:dir="13500000" w14:sx="0" w14:sy="0" w14:kx="0" w14:ky="0" w14:algn="none">
            <w14:srgbClr w14:val="000000">
              <w14:alpha w14:val="50000"/>
            </w14:srgbClr>
          </w14:shadow>
        </w:rPr>
      </w:pPr>
      <w:r w:rsidRPr="007A1F7C">
        <w:rPr>
          <w:rFonts w:eastAsiaTheme="majorEastAsia" w:cs="Times New Roman"/>
          <w:bCs/>
          <w:i/>
          <w:kern w:val="24"/>
          <w:sz w:val="22"/>
          <w14:shadow w14:blurRad="63500" w14:dist="50800" w14:dir="13500000" w14:sx="0" w14:sy="0" w14:kx="0" w14:ky="0" w14:algn="none">
            <w14:srgbClr w14:val="000000">
              <w14:alpha w14:val="50000"/>
            </w14:srgbClr>
          </w14:shadow>
        </w:rPr>
        <w:t>3.28</w:t>
      </w:r>
      <w:r w:rsidR="00B239DD" w:rsidRPr="007A1F7C">
        <w:rPr>
          <w:rFonts w:eastAsiaTheme="majorEastAsia" w:cs="Times New Roman"/>
          <w:bCs/>
          <w:i/>
          <w:kern w:val="24"/>
          <w:sz w:val="22"/>
          <w14:shadow w14:blurRad="63500" w14:dist="50800" w14:dir="13500000" w14:sx="0" w14:sy="0" w14:kx="0" w14:ky="0" w14:algn="none">
            <w14:srgbClr w14:val="000000">
              <w14:alpha w14:val="50000"/>
            </w14:srgbClr>
          </w14:shadow>
        </w:rPr>
        <w:t>.att.</w:t>
      </w:r>
      <w:r w:rsidR="00B239DD" w:rsidRPr="007A1F7C">
        <w:rPr>
          <w:b/>
          <w:sz w:val="22"/>
        </w:rPr>
        <w:t xml:space="preserve"> Faktiskie vidējie izdevumi uz 1 ekspertīzi 2016.gadā, </w:t>
      </w:r>
      <w:r w:rsidR="00B239DD" w:rsidRPr="007A1F7C">
        <w:rPr>
          <w:b/>
          <w:i/>
          <w:sz w:val="22"/>
        </w:rPr>
        <w:t>euro</w:t>
      </w:r>
      <w:r w:rsidR="00B239DD" w:rsidRPr="007A1F7C">
        <w:rPr>
          <w:rStyle w:val="FootnoteReference"/>
          <w:b/>
          <w:sz w:val="22"/>
        </w:rPr>
        <w:footnoteReference w:id="63"/>
      </w:r>
    </w:p>
    <w:p w:rsidR="00B239DD" w:rsidRDefault="00B239DD" w:rsidP="00B239DD">
      <w:pPr>
        <w:ind w:firstLine="720"/>
        <w:jc w:val="both"/>
        <w:rPr>
          <w:rFonts w:cs="Times New Roman"/>
          <w:szCs w:val="24"/>
        </w:rPr>
      </w:pPr>
      <w:r>
        <w:rPr>
          <w:rFonts w:cs="Times New Roman"/>
          <w:szCs w:val="24"/>
        </w:rPr>
        <w:t xml:space="preserve">Pēc ministriju sniegtās informācijas secināms, ka katrai konkrētai nozarei ir specifiskas ekspertīzes: EM veic dažādu preču un pakalpojumu drošuma pārbaudes, IZM sniedz atzinumus </w:t>
      </w:r>
      <w:r>
        <w:rPr>
          <w:rFonts w:cs="Times New Roman"/>
          <w:szCs w:val="24"/>
        </w:rPr>
        <w:lastRenderedPageBreak/>
        <w:t xml:space="preserve">par atbilstošas izglītības programmas īstenošanu, KM veic kultūras pieminekļu izpēti, LM veic ekspertīzes saistībā ar invaliditāti un prognozējamo invaliditāti, VARAM veic sugu </w:t>
      </w:r>
      <w:r w:rsidRPr="007E237A">
        <w:rPr>
          <w:rFonts w:cs="Times New Roman"/>
          <w:szCs w:val="24"/>
        </w:rPr>
        <w:t>taksonomiskā</w:t>
      </w:r>
      <w:r>
        <w:rPr>
          <w:rFonts w:cs="Times New Roman"/>
          <w:szCs w:val="24"/>
        </w:rPr>
        <w:t>s</w:t>
      </w:r>
      <w:r w:rsidRPr="007E237A">
        <w:rPr>
          <w:rFonts w:cs="Times New Roman"/>
          <w:szCs w:val="24"/>
        </w:rPr>
        <w:t xml:space="preserve"> noteikšana</w:t>
      </w:r>
      <w:r>
        <w:rPr>
          <w:rFonts w:cs="Times New Roman"/>
          <w:szCs w:val="24"/>
        </w:rPr>
        <w:t>s</w:t>
      </w:r>
      <w:r w:rsidRPr="007E237A">
        <w:rPr>
          <w:rFonts w:cs="Times New Roman"/>
          <w:szCs w:val="24"/>
        </w:rPr>
        <w:t xml:space="preserve"> </w:t>
      </w:r>
      <w:r>
        <w:rPr>
          <w:rFonts w:cs="Times New Roman"/>
          <w:szCs w:val="24"/>
        </w:rPr>
        <w:t>ekspertīzes</w:t>
      </w:r>
      <w:r w:rsidRPr="007E237A">
        <w:rPr>
          <w:rFonts w:cs="Times New Roman"/>
          <w:szCs w:val="24"/>
        </w:rPr>
        <w:t xml:space="preserve"> pēc </w:t>
      </w:r>
      <w:r>
        <w:rPr>
          <w:rFonts w:cs="Times New Roman"/>
          <w:szCs w:val="24"/>
        </w:rPr>
        <w:t>noteikt</w:t>
      </w:r>
      <w:r w:rsidRPr="007E237A">
        <w:rPr>
          <w:rFonts w:cs="Times New Roman"/>
          <w:szCs w:val="24"/>
        </w:rPr>
        <w:t>ām pazīmēm</w:t>
      </w:r>
      <w:r>
        <w:rPr>
          <w:rFonts w:cs="Times New Roman"/>
          <w:szCs w:val="24"/>
        </w:rPr>
        <w:t xml:space="preserve">, savukārt ZM veic ekspertīzes saistībā ar pārtikas produktiem un pesticīdu atliekām tajos. </w:t>
      </w:r>
    </w:p>
    <w:p w:rsidR="00B239DD" w:rsidRPr="00071C8C" w:rsidRDefault="00B239DD" w:rsidP="00B239DD">
      <w:pPr>
        <w:ind w:firstLine="720"/>
        <w:jc w:val="both"/>
        <w:rPr>
          <w:rFonts w:cs="Times New Roman"/>
          <w:szCs w:val="24"/>
        </w:rPr>
      </w:pPr>
      <w:r>
        <w:rPr>
          <w:rFonts w:cs="Times New Roman"/>
          <w:szCs w:val="24"/>
        </w:rPr>
        <w:t>Tā kā lielākā ekspertīžu grupa, ko veic vairākas ministrijas, ir t</w:t>
      </w:r>
      <w:r w:rsidRPr="00071C8C">
        <w:rPr>
          <w:rFonts w:cs="Times New Roman"/>
          <w:szCs w:val="24"/>
        </w:rPr>
        <w:t>iesu ekspertīzes</w:t>
      </w:r>
      <w:r>
        <w:rPr>
          <w:rFonts w:cs="Times New Roman"/>
          <w:szCs w:val="24"/>
        </w:rPr>
        <w:t>, tad detalizētāk tika apskatītas tieši šīs ekspertīzes.</w:t>
      </w:r>
    </w:p>
    <w:p w:rsidR="00B239DD" w:rsidRPr="00071C8C" w:rsidRDefault="00B239DD" w:rsidP="00B239DD">
      <w:pPr>
        <w:ind w:firstLine="720"/>
        <w:jc w:val="both"/>
        <w:rPr>
          <w:rFonts w:cs="Times New Roman"/>
          <w:szCs w:val="24"/>
        </w:rPr>
      </w:pPr>
      <w:r w:rsidRPr="00071C8C">
        <w:rPr>
          <w:rFonts w:cs="Times New Roman"/>
          <w:szCs w:val="24"/>
        </w:rPr>
        <w:t xml:space="preserve">Saskaņā ar </w:t>
      </w:r>
      <w:r w:rsidRPr="00071C8C">
        <w:rPr>
          <w:rFonts w:cs="Times New Roman"/>
          <w:bCs/>
          <w:szCs w:val="24"/>
        </w:rPr>
        <w:t>Tiesu eks</w:t>
      </w:r>
      <w:r>
        <w:rPr>
          <w:rFonts w:cs="Times New Roman"/>
          <w:bCs/>
          <w:szCs w:val="24"/>
        </w:rPr>
        <w:t xml:space="preserve">pertu likuma 1.panta pirmo </w:t>
      </w:r>
      <w:r w:rsidRPr="00071C8C">
        <w:rPr>
          <w:rFonts w:cs="Times New Roman"/>
          <w:bCs/>
          <w:szCs w:val="24"/>
        </w:rPr>
        <w:t>punktu tiesu ekspertīze</w:t>
      </w:r>
      <w:r w:rsidRPr="00071C8C">
        <w:rPr>
          <w:rFonts w:cs="Times New Roman"/>
          <w:szCs w:val="24"/>
        </w:rPr>
        <w:t xml:space="preserve"> ir objektu vai materiālu zinātniska un praktiska izpēte, ko veic tiesu eksperts, izmantojot likumā noteiktajā kārtībā reģistrētu metodi, lai atbildētu uz ekspertīzes noteicēja uzdotajiem jautājumiem, sniedzot pamatotus secinājumus.</w:t>
      </w:r>
    </w:p>
    <w:p w:rsidR="00B239DD" w:rsidRPr="00071C8C" w:rsidRDefault="00B239DD" w:rsidP="00B239DD">
      <w:pPr>
        <w:ind w:firstLine="720"/>
        <w:jc w:val="both"/>
        <w:rPr>
          <w:rFonts w:cs="Times New Roman"/>
          <w:szCs w:val="24"/>
        </w:rPr>
      </w:pPr>
      <w:r w:rsidRPr="00071C8C">
        <w:rPr>
          <w:rFonts w:cs="Times New Roman"/>
          <w:szCs w:val="24"/>
        </w:rPr>
        <w:t>Saskaņā ar M</w:t>
      </w:r>
      <w:r>
        <w:rPr>
          <w:rFonts w:cs="Times New Roman"/>
          <w:szCs w:val="24"/>
        </w:rPr>
        <w:t xml:space="preserve">K </w:t>
      </w:r>
      <w:r>
        <w:rPr>
          <w:rFonts w:eastAsia="Times New Roman" w:cs="Times New Roman"/>
          <w:szCs w:val="24"/>
          <w:lang w:eastAsia="lv-LV"/>
        </w:rPr>
        <w:t>2016.gada 20.</w:t>
      </w:r>
      <w:r w:rsidRPr="00071C8C">
        <w:rPr>
          <w:rFonts w:eastAsia="Times New Roman" w:cs="Times New Roman"/>
          <w:szCs w:val="24"/>
          <w:lang w:eastAsia="lv-LV"/>
        </w:rPr>
        <w:t xml:space="preserve">decembra </w:t>
      </w:r>
      <w:r w:rsidRPr="00071C8C">
        <w:rPr>
          <w:rFonts w:eastAsia="Times New Roman" w:cs="Times New Roman"/>
          <w:bCs/>
          <w:szCs w:val="24"/>
          <w:lang w:eastAsia="lv-LV"/>
        </w:rPr>
        <w:t>noteikumiem Nr.835</w:t>
      </w:r>
      <w:r>
        <w:rPr>
          <w:rFonts w:eastAsia="Times New Roman" w:cs="Times New Roman"/>
          <w:szCs w:val="24"/>
          <w:lang w:eastAsia="lv-LV"/>
        </w:rPr>
        <w:t xml:space="preserve"> </w:t>
      </w:r>
      <w:r w:rsidRPr="00071C8C">
        <w:rPr>
          <w:rFonts w:eastAsia="Times New Roman" w:cs="Times New Roman"/>
          <w:szCs w:val="24"/>
          <w:lang w:eastAsia="lv-LV"/>
        </w:rPr>
        <w:t>“</w:t>
      </w:r>
      <w:r w:rsidRPr="00071C8C">
        <w:rPr>
          <w:rFonts w:eastAsia="Times New Roman" w:cs="Times New Roman"/>
          <w:bCs/>
          <w:szCs w:val="24"/>
          <w:lang w:eastAsia="lv-LV"/>
        </w:rPr>
        <w:t>Noteikumi par tiesu ekspertīžu iestāžu sarakstu un tiesu ekspertu specialitāšu klasifikatoru”</w:t>
      </w:r>
      <w:r w:rsidRPr="00071C8C">
        <w:rPr>
          <w:rFonts w:cs="Times New Roman"/>
          <w:szCs w:val="24"/>
        </w:rPr>
        <w:t xml:space="preserve"> t</w:t>
      </w:r>
      <w:r w:rsidRPr="00071C8C">
        <w:rPr>
          <w:rFonts w:eastAsia="Times New Roman" w:cs="Times New Roman"/>
          <w:szCs w:val="24"/>
          <w:lang w:eastAsia="lv-LV"/>
        </w:rPr>
        <w:t xml:space="preserve">iesu ekspertīzes </w:t>
      </w:r>
      <w:r>
        <w:rPr>
          <w:rFonts w:eastAsia="Times New Roman" w:cs="Times New Roman"/>
          <w:szCs w:val="24"/>
          <w:lang w:eastAsia="lv-LV"/>
        </w:rPr>
        <w:t xml:space="preserve">Latvijā </w:t>
      </w:r>
      <w:r w:rsidRPr="00071C8C">
        <w:rPr>
          <w:rFonts w:eastAsia="Times New Roman" w:cs="Times New Roman"/>
          <w:szCs w:val="24"/>
          <w:lang w:eastAsia="lv-LV"/>
        </w:rPr>
        <w:t xml:space="preserve">veic </w:t>
      </w:r>
      <w:r>
        <w:rPr>
          <w:rFonts w:eastAsia="Times New Roman" w:cs="Times New Roman"/>
          <w:szCs w:val="24"/>
          <w:lang w:eastAsia="lv-LV"/>
        </w:rPr>
        <w:t>četr</w:t>
      </w:r>
      <w:r w:rsidRPr="00071C8C">
        <w:rPr>
          <w:rFonts w:eastAsia="Times New Roman" w:cs="Times New Roman"/>
          <w:szCs w:val="24"/>
          <w:lang w:eastAsia="lv-LV"/>
        </w:rPr>
        <w:t>as no valsts budžeta finansētas iestādes:</w:t>
      </w:r>
    </w:p>
    <w:p w:rsidR="00B239DD" w:rsidRPr="004142D0" w:rsidRDefault="00B239DD" w:rsidP="008C25BB">
      <w:pPr>
        <w:pStyle w:val="ListParagraph"/>
        <w:numPr>
          <w:ilvl w:val="0"/>
          <w:numId w:val="84"/>
        </w:numPr>
        <w:jc w:val="both"/>
        <w:rPr>
          <w:rFonts w:eastAsia="Times New Roman" w:cs="Times New Roman"/>
          <w:szCs w:val="24"/>
          <w:lang w:eastAsia="lv-LV"/>
        </w:rPr>
      </w:pPr>
      <w:r>
        <w:rPr>
          <w:rFonts w:eastAsia="Times New Roman" w:cs="Times New Roman"/>
          <w:szCs w:val="24"/>
          <w:lang w:eastAsia="lv-LV"/>
        </w:rPr>
        <w:t xml:space="preserve">IeM </w:t>
      </w:r>
      <w:r w:rsidRPr="004142D0">
        <w:rPr>
          <w:rFonts w:eastAsia="Times New Roman" w:cs="Times New Roman"/>
          <w:szCs w:val="24"/>
          <w:lang w:eastAsia="lv-LV"/>
        </w:rPr>
        <w:t>Valsts policijas Kriminālistikas pārvalde (</w:t>
      </w:r>
      <w:r>
        <w:rPr>
          <w:rFonts w:eastAsia="Times New Roman" w:cs="Times New Roman"/>
          <w:szCs w:val="24"/>
          <w:lang w:eastAsia="lv-LV"/>
        </w:rPr>
        <w:t xml:space="preserve">turpmāk – </w:t>
      </w:r>
      <w:r w:rsidRPr="004142D0">
        <w:rPr>
          <w:rFonts w:eastAsia="Times New Roman" w:cs="Times New Roman"/>
          <w:szCs w:val="24"/>
          <w:lang w:eastAsia="lv-LV"/>
        </w:rPr>
        <w:t>VPKP</w:t>
      </w:r>
      <w:r>
        <w:rPr>
          <w:rFonts w:eastAsia="Times New Roman" w:cs="Times New Roman"/>
          <w:szCs w:val="24"/>
          <w:lang w:eastAsia="lv-LV"/>
        </w:rPr>
        <w:t>)</w:t>
      </w:r>
      <w:r w:rsidRPr="004142D0">
        <w:rPr>
          <w:rFonts w:eastAsia="Times New Roman" w:cs="Times New Roman"/>
          <w:szCs w:val="24"/>
          <w:lang w:eastAsia="lv-LV"/>
        </w:rPr>
        <w:t>;</w:t>
      </w:r>
    </w:p>
    <w:p w:rsidR="00B239DD" w:rsidRPr="004142D0" w:rsidRDefault="00B239DD" w:rsidP="008C25BB">
      <w:pPr>
        <w:pStyle w:val="ListParagraph"/>
        <w:numPr>
          <w:ilvl w:val="0"/>
          <w:numId w:val="84"/>
        </w:numPr>
        <w:jc w:val="both"/>
        <w:rPr>
          <w:rFonts w:eastAsia="Times New Roman" w:cs="Times New Roman"/>
          <w:szCs w:val="24"/>
          <w:lang w:eastAsia="lv-LV"/>
        </w:rPr>
      </w:pPr>
      <w:r>
        <w:rPr>
          <w:rFonts w:eastAsia="Times New Roman" w:cs="Times New Roman"/>
          <w:szCs w:val="24"/>
          <w:lang w:eastAsia="lv-LV"/>
        </w:rPr>
        <w:t xml:space="preserve">IeM </w:t>
      </w:r>
      <w:r w:rsidRPr="004142D0">
        <w:rPr>
          <w:rFonts w:eastAsia="Times New Roman" w:cs="Times New Roman"/>
          <w:szCs w:val="24"/>
          <w:lang w:eastAsia="lv-LV"/>
        </w:rPr>
        <w:t>Valsts robežsardzes Galvenās pārvaldes Ekspertīžu dienests (</w:t>
      </w:r>
      <w:r>
        <w:rPr>
          <w:rFonts w:eastAsia="Times New Roman" w:cs="Times New Roman"/>
          <w:szCs w:val="24"/>
          <w:lang w:eastAsia="lv-LV"/>
        </w:rPr>
        <w:t xml:space="preserve">turpmāk – </w:t>
      </w:r>
      <w:r w:rsidRPr="004142D0">
        <w:rPr>
          <w:rFonts w:eastAsia="Times New Roman" w:cs="Times New Roman"/>
          <w:szCs w:val="24"/>
          <w:lang w:eastAsia="lv-LV"/>
        </w:rPr>
        <w:t>VRGP</w:t>
      </w:r>
      <w:r>
        <w:rPr>
          <w:rFonts w:eastAsia="Times New Roman" w:cs="Times New Roman"/>
          <w:szCs w:val="24"/>
          <w:lang w:eastAsia="lv-LV"/>
        </w:rPr>
        <w:t>ED</w:t>
      </w:r>
      <w:r w:rsidRPr="004142D0">
        <w:rPr>
          <w:rFonts w:eastAsia="Times New Roman" w:cs="Times New Roman"/>
          <w:szCs w:val="24"/>
          <w:lang w:eastAsia="lv-LV"/>
        </w:rPr>
        <w:t>);</w:t>
      </w:r>
    </w:p>
    <w:p w:rsidR="00B239DD" w:rsidRPr="004142D0" w:rsidRDefault="00B239DD" w:rsidP="008C25BB">
      <w:pPr>
        <w:pStyle w:val="ListParagraph"/>
        <w:numPr>
          <w:ilvl w:val="0"/>
          <w:numId w:val="84"/>
        </w:numPr>
        <w:jc w:val="both"/>
        <w:rPr>
          <w:rFonts w:eastAsia="Times New Roman" w:cs="Times New Roman"/>
          <w:szCs w:val="24"/>
          <w:lang w:eastAsia="lv-LV"/>
        </w:rPr>
      </w:pPr>
      <w:r>
        <w:rPr>
          <w:rFonts w:eastAsia="Times New Roman" w:cs="Times New Roman"/>
          <w:szCs w:val="24"/>
          <w:lang w:eastAsia="lv-LV"/>
        </w:rPr>
        <w:t xml:space="preserve">TM </w:t>
      </w:r>
      <w:r w:rsidRPr="004142D0">
        <w:rPr>
          <w:rFonts w:eastAsia="Times New Roman" w:cs="Times New Roman"/>
          <w:szCs w:val="24"/>
          <w:lang w:eastAsia="lv-LV"/>
        </w:rPr>
        <w:t>Valsts tiesu ekspertīžu birojs (</w:t>
      </w:r>
      <w:r>
        <w:rPr>
          <w:rFonts w:eastAsia="Times New Roman" w:cs="Times New Roman"/>
          <w:szCs w:val="24"/>
          <w:lang w:eastAsia="lv-LV"/>
        </w:rPr>
        <w:t xml:space="preserve">turpmāk – </w:t>
      </w:r>
      <w:r w:rsidRPr="004142D0">
        <w:rPr>
          <w:rFonts w:eastAsia="Times New Roman" w:cs="Times New Roman"/>
          <w:szCs w:val="24"/>
          <w:lang w:eastAsia="lv-LV"/>
        </w:rPr>
        <w:t>VTEB);</w:t>
      </w:r>
    </w:p>
    <w:p w:rsidR="00B239DD" w:rsidRPr="004142D0" w:rsidRDefault="00B239DD" w:rsidP="008C25BB">
      <w:pPr>
        <w:pStyle w:val="ListParagraph"/>
        <w:numPr>
          <w:ilvl w:val="0"/>
          <w:numId w:val="84"/>
        </w:numPr>
        <w:jc w:val="both"/>
        <w:rPr>
          <w:rFonts w:eastAsia="Times New Roman" w:cs="Times New Roman"/>
          <w:szCs w:val="24"/>
          <w:lang w:eastAsia="lv-LV"/>
        </w:rPr>
      </w:pPr>
      <w:r>
        <w:rPr>
          <w:rFonts w:eastAsia="Times New Roman" w:cs="Times New Roman"/>
          <w:szCs w:val="24"/>
          <w:lang w:eastAsia="lv-LV"/>
        </w:rPr>
        <w:t xml:space="preserve">VM </w:t>
      </w:r>
      <w:r w:rsidRPr="004142D0">
        <w:rPr>
          <w:rFonts w:eastAsia="Times New Roman" w:cs="Times New Roman"/>
          <w:szCs w:val="24"/>
          <w:lang w:eastAsia="lv-LV"/>
        </w:rPr>
        <w:t>Valsts tiesu medicīnas ekspertīzes centrs (</w:t>
      </w:r>
      <w:r>
        <w:rPr>
          <w:rFonts w:eastAsia="Times New Roman" w:cs="Times New Roman"/>
          <w:szCs w:val="24"/>
          <w:lang w:eastAsia="lv-LV"/>
        </w:rPr>
        <w:t xml:space="preserve">turpmāk – </w:t>
      </w:r>
      <w:r w:rsidRPr="004142D0">
        <w:rPr>
          <w:rFonts w:eastAsia="Times New Roman" w:cs="Times New Roman"/>
          <w:szCs w:val="24"/>
          <w:lang w:eastAsia="lv-LV"/>
        </w:rPr>
        <w:t>VTMEC).</w:t>
      </w:r>
    </w:p>
    <w:p w:rsidR="00B239DD" w:rsidRDefault="00B239DD" w:rsidP="00B239DD">
      <w:pPr>
        <w:ind w:firstLine="720"/>
        <w:jc w:val="both"/>
        <w:rPr>
          <w:rFonts w:cs="Times New Roman"/>
          <w:szCs w:val="24"/>
        </w:rPr>
      </w:pPr>
      <w:r>
        <w:rPr>
          <w:rFonts w:cs="Times New Roman"/>
          <w:szCs w:val="24"/>
        </w:rPr>
        <w:t>Papildus VID (FM)</w:t>
      </w:r>
      <w:r w:rsidRPr="00970170">
        <w:rPr>
          <w:rFonts w:cs="Times New Roman"/>
          <w:szCs w:val="24"/>
        </w:rPr>
        <w:t xml:space="preserve"> veic ķīmiskās tiesu ekspertīzes saskaņā ar likuma </w:t>
      </w:r>
      <w:r>
        <w:rPr>
          <w:rFonts w:cs="Times New Roman"/>
          <w:szCs w:val="24"/>
        </w:rPr>
        <w:t>“Par Valsts ieņēmumu dienestu”</w:t>
      </w:r>
      <w:r w:rsidRPr="00970170">
        <w:rPr>
          <w:rFonts w:cs="Times New Roman"/>
          <w:szCs w:val="24"/>
        </w:rPr>
        <w:t xml:space="preserve"> 11.panta 2.punkta 11.apakšpunktu</w:t>
      </w:r>
      <w:r>
        <w:rPr>
          <w:rFonts w:cs="Times New Roman"/>
          <w:szCs w:val="24"/>
        </w:rPr>
        <w:t>.</w:t>
      </w:r>
    </w:p>
    <w:p w:rsidR="00B239DD" w:rsidRDefault="00B239DD" w:rsidP="0078482A">
      <w:pPr>
        <w:spacing w:after="240"/>
        <w:ind w:firstLine="720"/>
        <w:jc w:val="both"/>
        <w:rPr>
          <w:rFonts w:eastAsia="Times New Roman" w:cs="Times New Roman"/>
          <w:szCs w:val="24"/>
          <w:lang w:eastAsia="lv-LV"/>
        </w:rPr>
      </w:pPr>
      <w:r>
        <w:rPr>
          <w:rFonts w:eastAsia="Times New Roman" w:cs="Times New Roman"/>
          <w:szCs w:val="24"/>
          <w:lang w:eastAsia="lv-LV"/>
        </w:rPr>
        <w:t xml:space="preserve">Atbilstoši ministriju pēc FM pieprasījuma iesniegtajai informācijai, kopumā TM, IeM, VM un arī VID veic 59 tiesu ekspertīžu </w:t>
      </w:r>
      <w:r w:rsidRPr="007A1F7C">
        <w:rPr>
          <w:rFonts w:eastAsia="Times New Roman" w:cs="Times New Roman"/>
          <w:szCs w:val="24"/>
          <w:lang w:eastAsia="lv-LV"/>
        </w:rPr>
        <w:t xml:space="preserve">veidus </w:t>
      </w:r>
      <w:r w:rsidRPr="007A1F7C">
        <w:rPr>
          <w:rFonts w:cs="Times New Roman"/>
          <w:szCs w:val="24"/>
        </w:rPr>
        <w:t>(</w:t>
      </w:r>
      <w:r w:rsidR="007A1F7C" w:rsidRPr="007A1F7C">
        <w:rPr>
          <w:rFonts w:cs="Times New Roman"/>
          <w:szCs w:val="24"/>
        </w:rPr>
        <w:t>skat. 3.29</w:t>
      </w:r>
      <w:r w:rsidRPr="007A1F7C">
        <w:rPr>
          <w:rFonts w:cs="Times New Roman"/>
          <w:szCs w:val="24"/>
        </w:rPr>
        <w:t>.attēlu)</w:t>
      </w:r>
      <w:r w:rsidRPr="007A1F7C">
        <w:rPr>
          <w:rFonts w:eastAsia="Times New Roman" w:cs="Times New Roman"/>
          <w:szCs w:val="24"/>
          <w:lang w:eastAsia="lv-LV"/>
        </w:rPr>
        <w:t>,</w:t>
      </w:r>
      <w:r>
        <w:rPr>
          <w:rFonts w:eastAsia="Times New Roman" w:cs="Times New Roman"/>
          <w:szCs w:val="24"/>
          <w:lang w:eastAsia="lv-LV"/>
        </w:rPr>
        <w:t xml:space="preserve"> no kuriem</w:t>
      </w:r>
      <w:r w:rsidRPr="00AB5D67">
        <w:rPr>
          <w:rFonts w:eastAsia="Times New Roman" w:cs="Times New Roman"/>
          <w:szCs w:val="24"/>
          <w:lang w:eastAsia="lv-LV"/>
        </w:rPr>
        <w:t xml:space="preserve"> 12 ir ar</w:t>
      </w:r>
      <w:r>
        <w:rPr>
          <w:rFonts w:eastAsia="Times New Roman" w:cs="Times New Roman"/>
          <w:szCs w:val="24"/>
          <w:lang w:eastAsia="lv-LV"/>
        </w:rPr>
        <w:t xml:space="preserve"> vienādu vai līdzīgu nosaukumu, tātad ekspertīžu veikšana pārklājas vairākās tiesu ekspertīžu iestādēs. Visvairāk ekspertīžu veidi pārklājas VTEB ar VPKP, proti, 9 ekspertīzes.</w:t>
      </w:r>
    </w:p>
    <w:p w:rsidR="00B239DD" w:rsidRDefault="00B239DD" w:rsidP="00B239DD">
      <w:pPr>
        <w:jc w:val="center"/>
        <w:rPr>
          <w:rFonts w:eastAsia="Times New Roman" w:cs="Times New Roman"/>
          <w:szCs w:val="24"/>
          <w:lang w:eastAsia="lv-LV"/>
        </w:rPr>
      </w:pPr>
      <w:r>
        <w:rPr>
          <w:noProof/>
          <w:lang w:eastAsia="lv-LV"/>
        </w:rPr>
        <w:drawing>
          <wp:inline distT="0" distB="0" distL="0" distR="0" wp14:anchorId="49B142EC" wp14:editId="30613519">
            <wp:extent cx="5954400" cy="2858461"/>
            <wp:effectExtent l="0" t="0" r="8255" b="18415"/>
            <wp:docPr id="156" name="Chart 1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B239DD" w:rsidRPr="0078482A" w:rsidRDefault="007A1F7C" w:rsidP="0078482A">
      <w:pPr>
        <w:spacing w:before="120" w:after="240"/>
        <w:jc w:val="center"/>
        <w:rPr>
          <w:rFonts w:eastAsiaTheme="majorEastAsia" w:cs="Times New Roman"/>
          <w:bCs/>
          <w:color w:val="D39001"/>
          <w:kern w:val="24"/>
          <w:sz w:val="22"/>
          <w14:shadow w14:blurRad="63500" w14:dist="50800" w14:dir="13500000" w14:sx="0" w14:sy="0" w14:kx="0" w14:ky="0" w14:algn="none">
            <w14:srgbClr w14:val="000000">
              <w14:alpha w14:val="50000"/>
            </w14:srgbClr>
          </w14:shadow>
        </w:rPr>
      </w:pPr>
      <w:r w:rsidRPr="007A1F7C">
        <w:rPr>
          <w:rFonts w:eastAsiaTheme="majorEastAsia" w:cs="Times New Roman"/>
          <w:bCs/>
          <w:i/>
          <w:kern w:val="24"/>
          <w:sz w:val="22"/>
          <w14:shadow w14:blurRad="63500" w14:dist="50800" w14:dir="13500000" w14:sx="0" w14:sy="0" w14:kx="0" w14:ky="0" w14:algn="none">
            <w14:srgbClr w14:val="000000">
              <w14:alpha w14:val="50000"/>
            </w14:srgbClr>
          </w14:shadow>
        </w:rPr>
        <w:t>3.29.</w:t>
      </w:r>
      <w:r w:rsidR="00B239DD" w:rsidRPr="007A1F7C">
        <w:rPr>
          <w:rFonts w:eastAsiaTheme="majorEastAsia" w:cs="Times New Roman"/>
          <w:bCs/>
          <w:i/>
          <w:kern w:val="24"/>
          <w:sz w:val="22"/>
          <w14:shadow w14:blurRad="63500" w14:dist="50800" w14:dir="13500000" w14:sx="0" w14:sy="0" w14:kx="0" w14:ky="0" w14:algn="none">
            <w14:srgbClr w14:val="000000">
              <w14:alpha w14:val="50000"/>
            </w14:srgbClr>
          </w14:shadow>
        </w:rPr>
        <w:t>att.</w:t>
      </w:r>
      <w:r w:rsidR="00B239DD" w:rsidRPr="007A1F7C">
        <w:rPr>
          <w:rFonts w:eastAsia="Times New Roman" w:cs="Times New Roman"/>
          <w:b/>
          <w:sz w:val="22"/>
          <w:lang w:eastAsia="lv-LV"/>
        </w:rPr>
        <w:t xml:space="preserve"> Tiesu ekspertīžu iestāžu veikto ekspertīžu veidi (skaits)</w:t>
      </w:r>
    </w:p>
    <w:p w:rsidR="00B239DD" w:rsidRDefault="00B239DD" w:rsidP="0078482A">
      <w:pPr>
        <w:ind w:firstLine="720"/>
        <w:jc w:val="both"/>
        <w:rPr>
          <w:rFonts w:eastAsia="Times New Roman" w:cs="Times New Roman"/>
          <w:szCs w:val="24"/>
          <w:lang w:eastAsia="lv-LV"/>
        </w:rPr>
      </w:pPr>
      <w:r>
        <w:rPr>
          <w:rFonts w:eastAsia="Times New Roman" w:cs="Times New Roman"/>
          <w:szCs w:val="24"/>
          <w:lang w:eastAsia="lv-LV"/>
        </w:rPr>
        <w:t xml:space="preserve">Minēto ekspertīžu veikšanai kopumā 2016.gadā ir izlietots finansējums 7,2 milj. </w:t>
      </w:r>
      <w:r w:rsidRPr="00071C8C">
        <w:rPr>
          <w:rFonts w:eastAsia="Times New Roman" w:cs="Times New Roman"/>
          <w:i/>
          <w:szCs w:val="24"/>
          <w:lang w:eastAsia="lv-LV"/>
        </w:rPr>
        <w:t>euro</w:t>
      </w:r>
      <w:r>
        <w:rPr>
          <w:rFonts w:eastAsia="Times New Roman" w:cs="Times New Roman"/>
          <w:szCs w:val="24"/>
          <w:lang w:eastAsia="lv-LV"/>
        </w:rPr>
        <w:t xml:space="preserve"> apmērā, turklāt 2017. un 2018.gadā tiek plānots ekspertīžu veikšanai izlietot finansējumu lielākā apmērā, proti, 8,8 milj. </w:t>
      </w:r>
      <w:r w:rsidRPr="007A1F7C">
        <w:rPr>
          <w:rFonts w:eastAsia="Times New Roman" w:cs="Times New Roman"/>
          <w:i/>
          <w:szCs w:val="24"/>
          <w:lang w:eastAsia="lv-LV"/>
        </w:rPr>
        <w:t>euro</w:t>
      </w:r>
      <w:r w:rsidRPr="007A1F7C">
        <w:rPr>
          <w:rFonts w:eastAsia="Times New Roman" w:cs="Times New Roman"/>
          <w:szCs w:val="24"/>
          <w:lang w:eastAsia="lv-LV"/>
        </w:rPr>
        <w:t xml:space="preserve"> </w:t>
      </w:r>
      <w:r w:rsidRPr="007A1F7C">
        <w:rPr>
          <w:rFonts w:cs="Times New Roman"/>
          <w:szCs w:val="24"/>
        </w:rPr>
        <w:t>(</w:t>
      </w:r>
      <w:r w:rsidR="007A1F7C" w:rsidRPr="007A1F7C">
        <w:rPr>
          <w:rFonts w:cs="Times New Roman"/>
          <w:szCs w:val="24"/>
        </w:rPr>
        <w:t>skat.</w:t>
      </w:r>
      <w:r w:rsidRPr="007A1F7C">
        <w:rPr>
          <w:rFonts w:cs="Times New Roman"/>
          <w:szCs w:val="24"/>
        </w:rPr>
        <w:t xml:space="preserve"> </w:t>
      </w:r>
      <w:r w:rsidR="007A1F7C" w:rsidRPr="007A1F7C">
        <w:rPr>
          <w:rFonts w:cs="Times New Roman"/>
          <w:szCs w:val="24"/>
        </w:rPr>
        <w:t>3.30</w:t>
      </w:r>
      <w:r w:rsidRPr="007A1F7C">
        <w:rPr>
          <w:rFonts w:cs="Times New Roman"/>
          <w:szCs w:val="24"/>
        </w:rPr>
        <w:t>.attēlu)</w:t>
      </w:r>
      <w:r w:rsidRPr="007A1F7C">
        <w:rPr>
          <w:rFonts w:eastAsia="Times New Roman" w:cs="Times New Roman"/>
          <w:szCs w:val="24"/>
          <w:lang w:eastAsia="lv-LV"/>
        </w:rPr>
        <w:t>.</w:t>
      </w:r>
    </w:p>
    <w:p w:rsidR="004D2C89" w:rsidRDefault="004D2C89" w:rsidP="0078482A">
      <w:pPr>
        <w:spacing w:after="120"/>
        <w:ind w:firstLine="720"/>
        <w:jc w:val="both"/>
        <w:rPr>
          <w:rFonts w:eastAsia="Times New Roman" w:cs="Times New Roman"/>
          <w:szCs w:val="24"/>
          <w:lang w:eastAsia="lv-LV"/>
        </w:rPr>
      </w:pPr>
      <w:r>
        <w:rPr>
          <w:rFonts w:eastAsia="Times New Roman" w:cs="Times New Roman"/>
          <w:szCs w:val="24"/>
          <w:lang w:eastAsia="lv-LV"/>
        </w:rPr>
        <w:t xml:space="preserve">Turklāt jāatzīmē, ka lielu daļu no tiesu ekspertīzēm minētās iestādes veic viena otras vajadzībām pēc citas iestādes pasūtījuma. Piemēram, VTEB paternitātes noteikšanas ekspertīzi un rokraksta ekspertīzi pasūta VPKP, savukārt VTMEC veic 14 dažādas ekspertīzes kriminālprocesa ietvaros, no kā izriet, ka tās pamatā notiek </w:t>
      </w:r>
      <w:r w:rsidRPr="00C6751C">
        <w:rPr>
          <w:rFonts w:eastAsia="Times New Roman" w:cs="Times New Roman"/>
          <w:szCs w:val="24"/>
          <w:lang w:eastAsia="lv-LV"/>
        </w:rPr>
        <w:t>pēc Valsts policijas</w:t>
      </w:r>
      <w:r>
        <w:rPr>
          <w:rFonts w:eastAsia="Times New Roman" w:cs="Times New Roman"/>
          <w:szCs w:val="24"/>
          <w:lang w:eastAsia="lv-LV"/>
        </w:rPr>
        <w:t xml:space="preserve"> (kā kriminālprocesa virzītāja) pasūtījuma.</w:t>
      </w:r>
    </w:p>
    <w:p w:rsidR="00B239DD" w:rsidRDefault="00B239DD" w:rsidP="00B239DD">
      <w:pPr>
        <w:jc w:val="center"/>
        <w:rPr>
          <w:rFonts w:eastAsia="Times New Roman" w:cs="Times New Roman"/>
          <w:szCs w:val="24"/>
          <w:lang w:eastAsia="lv-LV"/>
        </w:rPr>
      </w:pPr>
      <w:r>
        <w:rPr>
          <w:noProof/>
          <w:lang w:eastAsia="lv-LV"/>
        </w:rPr>
        <w:lastRenderedPageBreak/>
        <w:drawing>
          <wp:inline distT="0" distB="0" distL="0" distR="0" wp14:anchorId="1C3EC000" wp14:editId="2E587128">
            <wp:extent cx="5876014" cy="2639833"/>
            <wp:effectExtent l="0" t="0" r="10795" b="8255"/>
            <wp:docPr id="157" name="Chart 157"/>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B239DD" w:rsidRPr="007A1F7C" w:rsidRDefault="007A1F7C" w:rsidP="00B239DD">
      <w:pPr>
        <w:spacing w:before="120" w:after="120"/>
        <w:jc w:val="center"/>
        <w:rPr>
          <w:rFonts w:eastAsiaTheme="majorEastAsia" w:cs="Times New Roman"/>
          <w:b/>
          <w:bCs/>
          <w:kern w:val="24"/>
          <w:sz w:val="22"/>
          <w14:shadow w14:blurRad="63500" w14:dist="50800" w14:dir="13500000" w14:sx="0" w14:sy="0" w14:kx="0" w14:ky="0" w14:algn="none">
            <w14:srgbClr w14:val="000000">
              <w14:alpha w14:val="50000"/>
            </w14:srgbClr>
          </w14:shadow>
        </w:rPr>
      </w:pPr>
      <w:r w:rsidRPr="007A1F7C">
        <w:rPr>
          <w:rFonts w:eastAsiaTheme="majorEastAsia" w:cs="Times New Roman"/>
          <w:bCs/>
          <w:i/>
          <w:kern w:val="24"/>
          <w:sz w:val="22"/>
          <w14:shadow w14:blurRad="63500" w14:dist="50800" w14:dir="13500000" w14:sx="0" w14:sy="0" w14:kx="0" w14:ky="0" w14:algn="none">
            <w14:srgbClr w14:val="000000">
              <w14:alpha w14:val="50000"/>
            </w14:srgbClr>
          </w14:shadow>
        </w:rPr>
        <w:t>3.30</w:t>
      </w:r>
      <w:r w:rsidR="00B239DD" w:rsidRPr="007A1F7C">
        <w:rPr>
          <w:rFonts w:eastAsiaTheme="majorEastAsia" w:cs="Times New Roman"/>
          <w:bCs/>
          <w:i/>
          <w:kern w:val="24"/>
          <w:sz w:val="22"/>
          <w14:shadow w14:blurRad="63500" w14:dist="50800" w14:dir="13500000" w14:sx="0" w14:sy="0" w14:kx="0" w14:ky="0" w14:algn="none">
            <w14:srgbClr w14:val="000000">
              <w14:alpha w14:val="50000"/>
            </w14:srgbClr>
          </w14:shadow>
        </w:rPr>
        <w:t>.att.</w:t>
      </w:r>
      <w:r w:rsidR="00B239DD" w:rsidRPr="007A1F7C">
        <w:rPr>
          <w:rFonts w:eastAsiaTheme="majorEastAsia" w:cs="Times New Roman"/>
          <w:bCs/>
          <w:kern w:val="24"/>
          <w:sz w:val="22"/>
          <w14:shadow w14:blurRad="63500" w14:dist="50800" w14:dir="13500000" w14:sx="0" w14:sy="0" w14:kx="0" w14:ky="0" w14:algn="none">
            <w14:srgbClr w14:val="000000">
              <w14:alpha w14:val="50000"/>
            </w14:srgbClr>
          </w14:shadow>
        </w:rPr>
        <w:t xml:space="preserve"> </w:t>
      </w:r>
      <w:r w:rsidR="00B239DD" w:rsidRPr="007A1F7C">
        <w:rPr>
          <w:b/>
          <w:sz w:val="22"/>
        </w:rPr>
        <w:t xml:space="preserve">Tiesu ekspertīžu iestāžu faktiskie un plānotie izdevumi ekspertīžu veikšanai, </w:t>
      </w:r>
      <w:r w:rsidR="00B239DD" w:rsidRPr="007A1F7C">
        <w:rPr>
          <w:b/>
          <w:i/>
          <w:sz w:val="22"/>
        </w:rPr>
        <w:t>euro</w:t>
      </w:r>
      <w:r w:rsidR="00B239DD" w:rsidRPr="007A1F7C">
        <w:rPr>
          <w:rStyle w:val="FootnoteReference"/>
          <w:rFonts w:eastAsiaTheme="majorEastAsia" w:cs="Times New Roman"/>
          <w:b/>
          <w:bCs/>
          <w:kern w:val="24"/>
          <w:sz w:val="22"/>
          <w14:shadow w14:blurRad="63500" w14:dist="50800" w14:dir="13500000" w14:sx="0" w14:sy="0" w14:kx="0" w14:ky="0" w14:algn="none">
            <w14:srgbClr w14:val="000000">
              <w14:alpha w14:val="50000"/>
            </w14:srgbClr>
          </w14:shadow>
        </w:rPr>
        <w:footnoteReference w:id="64"/>
      </w:r>
    </w:p>
    <w:p w:rsidR="00B239DD" w:rsidRDefault="00B239DD" w:rsidP="007A1F7C">
      <w:pPr>
        <w:spacing w:before="120"/>
        <w:ind w:firstLine="720"/>
        <w:jc w:val="both"/>
        <w:rPr>
          <w:rFonts w:eastAsia="Times New Roman" w:cs="Times New Roman"/>
          <w:szCs w:val="24"/>
          <w:lang w:eastAsia="lv-LV"/>
        </w:rPr>
      </w:pPr>
      <w:r>
        <w:rPr>
          <w:rFonts w:eastAsia="Times New Roman" w:cs="Times New Roman"/>
          <w:szCs w:val="24"/>
          <w:lang w:eastAsia="lv-LV"/>
        </w:rPr>
        <w:t>Analizējot ministriju sniegto informāciju par atsevišķu tiesu ekspertīžu veidiem, secināms, ka ir vairākas</w:t>
      </w:r>
      <w:r w:rsidRPr="00B22A99">
        <w:rPr>
          <w:rFonts w:eastAsia="Times New Roman" w:cs="Times New Roman"/>
          <w:szCs w:val="24"/>
          <w:lang w:eastAsia="lv-LV"/>
        </w:rPr>
        <w:t xml:space="preserve"> iestādes, kuras veic </w:t>
      </w:r>
      <w:r>
        <w:rPr>
          <w:rFonts w:eastAsia="Times New Roman" w:cs="Times New Roman"/>
          <w:szCs w:val="24"/>
          <w:lang w:eastAsia="lv-LV"/>
        </w:rPr>
        <w:t>vienādas/</w:t>
      </w:r>
      <w:r w:rsidRPr="00B22A99">
        <w:rPr>
          <w:rFonts w:eastAsia="Times New Roman" w:cs="Times New Roman"/>
          <w:szCs w:val="24"/>
          <w:lang w:eastAsia="lv-LV"/>
        </w:rPr>
        <w:t xml:space="preserve">līdzīgas tiesu ekspertīzes (daktiloskopiskā ekspertīze/identifikācija </w:t>
      </w:r>
      <w:r>
        <w:rPr>
          <w:rFonts w:eastAsia="Times New Roman" w:cs="Times New Roman"/>
          <w:szCs w:val="24"/>
          <w:lang w:eastAsia="lv-LV"/>
        </w:rPr>
        <w:t>un</w:t>
      </w:r>
      <w:r w:rsidRPr="00B22A99">
        <w:rPr>
          <w:rFonts w:eastAsia="Times New Roman" w:cs="Times New Roman"/>
          <w:szCs w:val="24"/>
          <w:lang w:eastAsia="lv-LV"/>
        </w:rPr>
        <w:t xml:space="preserve"> rokrakstu ekspertīze), bet ar atšķirīgu </w:t>
      </w:r>
      <w:r>
        <w:rPr>
          <w:rFonts w:eastAsia="Times New Roman" w:cs="Times New Roman"/>
          <w:szCs w:val="24"/>
          <w:lang w:eastAsia="lv-LV"/>
        </w:rPr>
        <w:t>ekspertīžu</w:t>
      </w:r>
      <w:r w:rsidRPr="00B22A99">
        <w:rPr>
          <w:rFonts w:eastAsia="Times New Roman" w:cs="Times New Roman"/>
          <w:szCs w:val="24"/>
          <w:lang w:eastAsia="lv-LV"/>
        </w:rPr>
        <w:t xml:space="preserve"> skaitu uz vienu </w:t>
      </w:r>
      <w:r>
        <w:rPr>
          <w:rFonts w:eastAsia="Times New Roman" w:cs="Times New Roman"/>
          <w:szCs w:val="24"/>
          <w:lang w:eastAsia="lv-LV"/>
        </w:rPr>
        <w:t xml:space="preserve">nodarbināto </w:t>
      </w:r>
      <w:r w:rsidRPr="007A1F7C">
        <w:rPr>
          <w:rFonts w:cs="Times New Roman"/>
          <w:szCs w:val="24"/>
        </w:rPr>
        <w:t>(</w:t>
      </w:r>
      <w:r w:rsidR="007A1F7C" w:rsidRPr="007A1F7C">
        <w:rPr>
          <w:rFonts w:cs="Times New Roman"/>
          <w:szCs w:val="24"/>
        </w:rPr>
        <w:t>skat. 3.31.</w:t>
      </w:r>
      <w:r w:rsidRPr="007A1F7C">
        <w:rPr>
          <w:rFonts w:cs="Times New Roman"/>
          <w:szCs w:val="24"/>
        </w:rPr>
        <w:t>attēlu)</w:t>
      </w:r>
      <w:r w:rsidRPr="007A1F7C">
        <w:rPr>
          <w:rFonts w:eastAsia="Times New Roman" w:cs="Times New Roman"/>
          <w:szCs w:val="24"/>
          <w:lang w:eastAsia="lv-LV"/>
        </w:rPr>
        <w:t>.</w:t>
      </w:r>
    </w:p>
    <w:p w:rsidR="00B239DD" w:rsidRDefault="00A41216" w:rsidP="00B239DD">
      <w:pPr>
        <w:jc w:val="both"/>
        <w:rPr>
          <w:rFonts w:asciiTheme="minorHAnsi" w:hAnsi="Calibri"/>
          <w:color w:val="000000" w:themeColor="text1"/>
          <w:kern w:val="24"/>
          <w:sz w:val="16"/>
          <w:szCs w:val="16"/>
        </w:rPr>
      </w:pPr>
      <w:r>
        <w:rPr>
          <w:rFonts w:asciiTheme="minorHAnsi" w:hAnsi="Calibri"/>
          <w:noProof/>
          <w:color w:val="000000" w:themeColor="text1"/>
          <w:kern w:val="24"/>
          <w:sz w:val="16"/>
          <w:szCs w:val="16"/>
          <w:lang w:eastAsia="lv-LV"/>
        </w:rPr>
        <mc:AlternateContent>
          <mc:Choice Requires="wpg">
            <w:drawing>
              <wp:anchor distT="0" distB="0" distL="114300" distR="114300" simplePos="0" relativeHeight="251687936" behindDoc="0" locked="0" layoutInCell="1" allowOverlap="1">
                <wp:simplePos x="0" y="0"/>
                <wp:positionH relativeFrom="column">
                  <wp:posOffset>580390</wp:posOffset>
                </wp:positionH>
                <wp:positionV relativeFrom="paragraph">
                  <wp:posOffset>140970</wp:posOffset>
                </wp:positionV>
                <wp:extent cx="4735195" cy="3693795"/>
                <wp:effectExtent l="0" t="0" r="27305" b="20955"/>
                <wp:wrapTopAndBottom/>
                <wp:docPr id="72" name="Group 72"/>
                <wp:cNvGraphicFramePr/>
                <a:graphic xmlns:a="http://schemas.openxmlformats.org/drawingml/2006/main">
                  <a:graphicData uri="http://schemas.microsoft.com/office/word/2010/wordprocessingGroup">
                    <wpg:wgp>
                      <wpg:cNvGrpSpPr/>
                      <wpg:grpSpPr>
                        <a:xfrm>
                          <a:off x="0" y="0"/>
                          <a:ext cx="4735195" cy="3693795"/>
                          <a:chOff x="0" y="0"/>
                          <a:chExt cx="4735195" cy="3487924"/>
                        </a:xfrm>
                      </wpg:grpSpPr>
                      <wpg:grpSp>
                        <wpg:cNvPr id="132" name="Group 5"/>
                        <wpg:cNvGrpSpPr/>
                        <wpg:grpSpPr>
                          <a:xfrm>
                            <a:off x="0" y="0"/>
                            <a:ext cx="4735195" cy="2238375"/>
                            <a:chOff x="192216" y="0"/>
                            <a:chExt cx="7117331" cy="4703530"/>
                          </a:xfrm>
                        </wpg:grpSpPr>
                        <wps:wsp>
                          <wps:cNvPr id="133" name="Rectangle 133"/>
                          <wps:cNvSpPr/>
                          <wps:spPr>
                            <a:xfrm>
                              <a:off x="1466392" y="7001"/>
                              <a:ext cx="4717504" cy="369332"/>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lIns="0" tIns="0" rIns="0" bIns="0" rtlCol="0" anchor="ctr"/>
                        </wps:wsp>
                        <wps:wsp>
                          <wps:cNvPr id="134" name="Rectangle 134"/>
                          <wps:cNvSpPr/>
                          <wps:spPr>
                            <a:xfrm>
                              <a:off x="1559180" y="0"/>
                              <a:ext cx="4572000" cy="369332"/>
                            </a:xfrm>
                            <a:prstGeom prst="rect">
                              <a:avLst/>
                            </a:prstGeom>
                          </wps:spPr>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Daktiloskopiskā ekspertīze/ identifikācija</w:t>
                                </w:r>
                              </w:p>
                            </w:txbxContent>
                          </wps:txbx>
                          <wps:bodyPr wrap="square" lIns="0" tIns="0" rIns="0" bIns="0" anchor="ctr" anchorCtr="0">
                            <a:noAutofit/>
                          </wps:bodyPr>
                        </wps:wsp>
                        <wps:wsp>
                          <wps:cNvPr id="135" name="Down Arrow 135"/>
                          <wps:cNvSpPr/>
                          <wps:spPr>
                            <a:xfrm>
                              <a:off x="538397" y="454395"/>
                              <a:ext cx="1440160" cy="79208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VTEB</w:t>
                                </w:r>
                              </w:p>
                            </w:txbxContent>
                          </wps:txbx>
                          <wps:bodyPr lIns="0" tIns="0" rIns="0" bIns="0" rtlCol="0" anchor="ctr"/>
                        </wps:wsp>
                        <wps:wsp>
                          <wps:cNvPr id="136" name="Down Arrow 136"/>
                          <wps:cNvSpPr/>
                          <wps:spPr>
                            <a:xfrm>
                              <a:off x="2883283" y="454396"/>
                              <a:ext cx="1593851" cy="770697"/>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VRGP</w:t>
                                </w:r>
                                <w:r>
                                  <w:rPr>
                                    <w:color w:val="000000" w:themeColor="text1"/>
                                    <w:kern w:val="24"/>
                                    <w:sz w:val="20"/>
                                    <w:szCs w:val="20"/>
                                  </w:rPr>
                                  <w:t>ED</w:t>
                                </w:r>
                              </w:p>
                            </w:txbxContent>
                          </wps:txbx>
                          <wps:bodyPr lIns="0" tIns="0" rIns="0" bIns="0" rtlCol="0" anchor="ctr"/>
                        </wps:wsp>
                        <wps:wsp>
                          <wps:cNvPr id="137" name="Down Arrow 137"/>
                          <wps:cNvSpPr/>
                          <wps:spPr>
                            <a:xfrm>
                              <a:off x="5652810" y="454395"/>
                              <a:ext cx="1351924" cy="79208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VP</w:t>
                                </w:r>
                              </w:p>
                            </w:txbxContent>
                          </wps:txbx>
                          <wps:bodyPr lIns="0" tIns="0" rIns="0" bIns="0" rtlCol="0" anchor="ctr"/>
                        </wps:wsp>
                        <wps:wsp>
                          <wps:cNvPr id="138" name="Rounded Rectangle 138"/>
                          <wps:cNvSpPr/>
                          <wps:spPr>
                            <a:xfrm>
                              <a:off x="192216" y="1532129"/>
                              <a:ext cx="2044652" cy="776049"/>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13.6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wps:txbx>
                          <wps:bodyPr lIns="0" tIns="0" rIns="0" bIns="0" rtlCol="0" anchor="ctr"/>
                        </wps:wsp>
                        <wps:wsp>
                          <wps:cNvPr id="139" name="Rounded Rectangle 139"/>
                          <wps:cNvSpPr/>
                          <wps:spPr>
                            <a:xfrm>
                              <a:off x="2682359" y="1549254"/>
                              <a:ext cx="2041803" cy="821105"/>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8.5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wps:txbx>
                          <wps:bodyPr lIns="0" tIns="0" rIns="0" bIns="0" rtlCol="0" anchor="ctr"/>
                        </wps:wsp>
                        <wps:wsp>
                          <wps:cNvPr id="140" name="Rounded Rectangle 140"/>
                          <wps:cNvSpPr/>
                          <wps:spPr>
                            <a:xfrm>
                              <a:off x="5275220" y="1549254"/>
                              <a:ext cx="2034327" cy="788909"/>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32.8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wps:txbx>
                          <wps:bodyPr lIns="0" tIns="0" rIns="0" bIns="0" rtlCol="0" anchor="ctr"/>
                        </wps:wsp>
                        <wps:wsp>
                          <wps:cNvPr id="141" name="Rectangle 141"/>
                          <wps:cNvSpPr/>
                          <wps:spPr>
                            <a:xfrm>
                              <a:off x="1949685" y="2549695"/>
                              <a:ext cx="3703125" cy="404441"/>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Rokrakstu ekspertīze</w:t>
                                </w:r>
                              </w:p>
                            </w:txbxContent>
                          </wps:txbx>
                          <wps:bodyPr lIns="0" tIns="0" rIns="0" bIns="0" rtlCol="0" anchor="ctr"/>
                        </wps:wsp>
                        <wps:wsp>
                          <wps:cNvPr id="142" name="Down Arrow 142"/>
                          <wps:cNvSpPr/>
                          <wps:spPr>
                            <a:xfrm>
                              <a:off x="1949685" y="3133304"/>
                              <a:ext cx="1388933" cy="51560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VTEB</w:t>
                                </w:r>
                              </w:p>
                            </w:txbxContent>
                          </wps:txbx>
                          <wps:bodyPr lIns="0" tIns="0" rIns="0" bIns="0" rtlCol="0" anchor="ctr"/>
                        </wps:wsp>
                        <wps:wsp>
                          <wps:cNvPr id="143" name="Down Arrow 143"/>
                          <wps:cNvSpPr/>
                          <wps:spPr>
                            <a:xfrm>
                              <a:off x="4067099" y="3133304"/>
                              <a:ext cx="1388933" cy="51560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VPKP</w:t>
                                </w:r>
                              </w:p>
                            </w:txbxContent>
                          </wps:txbx>
                          <wps:bodyPr lIns="0" tIns="0" rIns="0" bIns="0" rtlCol="0" anchor="ctr"/>
                        </wps:wsp>
                        <wps:wsp>
                          <wps:cNvPr id="144" name="Rounded Rectangle 144"/>
                          <wps:cNvSpPr/>
                          <wps:spPr>
                            <a:xfrm>
                              <a:off x="1618861" y="3811158"/>
                              <a:ext cx="1961350" cy="892372"/>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63.3</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wps:txbx>
                          <wps:bodyPr lIns="0" tIns="0" rIns="0" bIns="0" rtlCol="0" anchor="ctr"/>
                        </wps:wsp>
                        <wps:wsp>
                          <wps:cNvPr id="145" name="Rounded Rectangle 145"/>
                          <wps:cNvSpPr/>
                          <wps:spPr>
                            <a:xfrm>
                              <a:off x="3875021" y="3810726"/>
                              <a:ext cx="1961350" cy="892803"/>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126.3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wps:txbx>
                          <wps:bodyPr lIns="0" tIns="0" rIns="0" bIns="0" rtlCol="0" anchor="ctr"/>
                        </wps:wsp>
                      </wpg:grpSp>
                      <wpg:grpSp>
                        <wpg:cNvPr id="146" name="Group 13"/>
                        <wpg:cNvGrpSpPr/>
                        <wpg:grpSpPr>
                          <a:xfrm>
                            <a:off x="542925" y="2447925"/>
                            <a:ext cx="3949178" cy="1039999"/>
                            <a:chOff x="382053" y="1"/>
                            <a:chExt cx="4153932" cy="2087568"/>
                          </a:xfrm>
                        </wpg:grpSpPr>
                        <wps:wsp>
                          <wps:cNvPr id="147" name="Rectangle 147"/>
                          <wps:cNvSpPr/>
                          <wps:spPr>
                            <a:xfrm>
                              <a:off x="1061962" y="1"/>
                              <a:ext cx="2737798" cy="42595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4142D0" w:rsidRDefault="00F16784" w:rsidP="00B239DD">
                                <w:pPr>
                                  <w:jc w:val="center"/>
                                  <w:rPr>
                                    <w:rFonts w:cs="Times New Roman"/>
                                    <w:color w:val="000000" w:themeColor="text1"/>
                                    <w:sz w:val="20"/>
                                    <w:szCs w:val="20"/>
                                    <w14:textOutline w14:w="0" w14:cap="flat" w14:cmpd="sng" w14:algn="ctr">
                                      <w14:noFill/>
                                      <w14:prstDash w14:val="solid"/>
                                      <w14:round/>
                                    </w14:textOutline>
                                  </w:rPr>
                                </w:pPr>
                                <w:r w:rsidRPr="004142D0">
                                  <w:rPr>
                                    <w:rFonts w:cs="Times New Roman"/>
                                    <w:color w:val="000000" w:themeColor="text1"/>
                                    <w:sz w:val="20"/>
                                    <w:szCs w:val="20"/>
                                    <w14:textOutline w14:w="0" w14:cap="flat" w14:cmpd="sng" w14:algn="ctr">
                                      <w14:noFill/>
                                      <w14:prstDash w14:val="solid"/>
                                      <w14:round/>
                                    </w14:textOutline>
                                  </w:rPr>
                                  <w:t>Narkotisko, psihotropo vielu ekspertīze</w:t>
                                </w:r>
                              </w:p>
                            </w:txbxContent>
                          </wps:txbx>
                          <wps:bodyPr lIns="0" tIns="0" rIns="0" bIns="0" rtlCol="0" anchor="ctr"/>
                        </wps:wsp>
                        <wps:wsp>
                          <wps:cNvPr id="148" name="Down Arrow 148"/>
                          <wps:cNvSpPr/>
                          <wps:spPr>
                            <a:xfrm>
                              <a:off x="545695" y="636129"/>
                              <a:ext cx="1029680" cy="49711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VID</w:t>
                                </w:r>
                              </w:p>
                            </w:txbxContent>
                          </wps:txbx>
                          <wps:bodyPr lIns="0" tIns="0" rIns="0" bIns="0" rtlCol="0" anchor="ctr"/>
                        </wps:wsp>
                        <wps:wsp>
                          <wps:cNvPr id="149" name="Down Arrow 149"/>
                          <wps:cNvSpPr/>
                          <wps:spPr>
                            <a:xfrm>
                              <a:off x="3225817" y="636091"/>
                              <a:ext cx="1015851" cy="4850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VP</w:t>
                                </w:r>
                              </w:p>
                            </w:txbxContent>
                          </wps:txbx>
                          <wps:bodyPr lIns="0" tIns="0" rIns="0" bIns="0" rtlCol="0" anchor="ctr"/>
                        </wps:wsp>
                        <wps:wsp>
                          <wps:cNvPr id="150" name="Rounded Rectangle 150"/>
                          <wps:cNvSpPr/>
                          <wps:spPr>
                            <a:xfrm>
                              <a:off x="382053" y="1380958"/>
                              <a:ext cx="1445647" cy="706611"/>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B375F5" w:rsidRDefault="00F16784" w:rsidP="00B239DD">
                                <w:pPr>
                                  <w:pStyle w:val="NormalWeb"/>
                                  <w:spacing w:before="0" w:beforeAutospacing="0" w:after="0" w:afterAutospacing="0"/>
                                  <w:jc w:val="center"/>
                                  <w:rPr>
                                    <w:color w:val="000000" w:themeColor="text1"/>
                                    <w:sz w:val="20"/>
                                    <w:szCs w:val="20"/>
                                  </w:rPr>
                                </w:pPr>
                                <w:r w:rsidRPr="00B375F5">
                                  <w:rPr>
                                    <w:b/>
                                    <w:bCs/>
                                    <w:color w:val="000000" w:themeColor="text1"/>
                                    <w:kern w:val="24"/>
                                    <w:sz w:val="20"/>
                                    <w:szCs w:val="20"/>
                                  </w:rPr>
                                  <w:t>232.5</w:t>
                                </w:r>
                              </w:p>
                              <w:p w:rsidR="00F16784" w:rsidRPr="00B375F5" w:rsidRDefault="00F16784" w:rsidP="00B239DD">
                                <w:pPr>
                                  <w:pStyle w:val="NormalWeb"/>
                                  <w:spacing w:before="0" w:beforeAutospacing="0" w:after="0" w:afterAutospacing="0"/>
                                  <w:jc w:val="center"/>
                                  <w:rPr>
                                    <w:color w:val="000000" w:themeColor="text1"/>
                                    <w:sz w:val="20"/>
                                    <w:szCs w:val="20"/>
                                  </w:rPr>
                                </w:pPr>
                                <w:r w:rsidRPr="00B375F5">
                                  <w:rPr>
                                    <w:b/>
                                    <w:bCs/>
                                    <w:color w:val="000000" w:themeColor="text1"/>
                                    <w:kern w:val="24"/>
                                    <w:sz w:val="20"/>
                                    <w:szCs w:val="20"/>
                                  </w:rPr>
                                  <w:t>ekspertīzes uz 1 amata vietu</w:t>
                                </w:r>
                              </w:p>
                            </w:txbxContent>
                          </wps:txbx>
                          <wps:bodyPr lIns="0" tIns="0" rIns="0" bIns="0" rtlCol="0" anchor="ctr"/>
                        </wps:wsp>
                        <wps:wsp>
                          <wps:cNvPr id="151" name="Rounded Rectangle 151"/>
                          <wps:cNvSpPr/>
                          <wps:spPr>
                            <a:xfrm>
                              <a:off x="3047942" y="1435179"/>
                              <a:ext cx="1488043" cy="652290"/>
                            </a:xfrm>
                            <a:prstGeom prst="roundRect">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b/>
                                    <w:bCs/>
                                    <w:color w:val="000000" w:themeColor="text1"/>
                                    <w:kern w:val="24"/>
                                    <w:sz w:val="20"/>
                                    <w:szCs w:val="20"/>
                                  </w:rPr>
                                  <w:t xml:space="preserve">335 </w:t>
                                </w:r>
                              </w:p>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b/>
                                    <w:bCs/>
                                    <w:color w:val="000000" w:themeColor="text1"/>
                                    <w:kern w:val="24"/>
                                    <w:sz w:val="20"/>
                                    <w:szCs w:val="20"/>
                                  </w:rPr>
                                  <w:t>ekspertīzes uz 1 amata vietu</w:t>
                                </w:r>
                              </w:p>
                            </w:txbxContent>
                          </wps:txbx>
                          <wps:bodyPr lIns="0" tIns="0" rIns="0" bIns="0" rtlCol="0" anchor="ctr"/>
                        </wps:wsp>
                      </wpg:grpSp>
                    </wpg:wgp>
                  </a:graphicData>
                </a:graphic>
                <wp14:sizeRelV relativeFrom="margin">
                  <wp14:pctHeight>0</wp14:pctHeight>
                </wp14:sizeRelV>
              </wp:anchor>
            </w:drawing>
          </mc:Choice>
          <mc:Fallback>
            <w:pict>
              <v:group id="Group 72" o:spid="_x0000_s1042" style="position:absolute;left:0;text-align:left;margin-left:45.7pt;margin-top:11.1pt;width:372.85pt;height:290.85pt;z-index:251687936;mso-position-horizontal-relative:text;mso-position-vertical-relative:text;mso-height-relative:margin" coordsize="47351,34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">
                <v:group id="Group 5" o:spid="_x0000_s1043" style="position:absolute;width:47351;height:22383" coordorigin="1922" coordsize="71173,47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rect id="Rectangle 133" o:spid="_x0000_s1044" style="position:absolute;left:14663;top:70;width:47175;height:3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" fillcolor="#d9e2f3 [664]" strokecolor="#1f4d78 [1604]" strokeweight="1pt">
                    <v:textbox inset="0,0,0,0"/>
                  </v:rect>
                  <v:rect id="Rectangle 134" o:spid="_x0000_s1045" style="position:absolute;left:15591;width:45720;height:3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" filled="f" stroked="f">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Daktiloskopiskā ekspertīze/ identifikācija</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5" o:spid="_x0000_s1046" type="#_x0000_t67" style="position:absolute;left:5383;top:4543;width:14402;height: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" adj="10800" fillcolor="#5b9bd5 [320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VTEB</w:t>
                          </w:r>
                        </w:p>
                      </w:txbxContent>
                    </v:textbox>
                  </v:shape>
                  <v:shape id="Down Arrow 136" o:spid="_x0000_s1047" type="#_x0000_t67" style="position:absolute;left:28832;top:4543;width:15939;height:77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" adj="10800" fillcolor="#5b9bd5 [320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VRGP</w:t>
                          </w:r>
                          <w:r>
                            <w:rPr>
                              <w:color w:val="000000" w:themeColor="text1"/>
                              <w:kern w:val="24"/>
                              <w:sz w:val="20"/>
                              <w:szCs w:val="20"/>
                            </w:rPr>
                            <w:t>ED</w:t>
                          </w:r>
                        </w:p>
                      </w:txbxContent>
                    </v:textbox>
                  </v:shape>
                  <v:shape id="Down Arrow 137" o:spid="_x0000_s1048" type="#_x0000_t67" style="position:absolute;left:56528;top:4543;width:13519;height:7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" adj="10800" fillcolor="#5b9bd5 [320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VP</w:t>
                          </w:r>
                        </w:p>
                      </w:txbxContent>
                    </v:textbox>
                  </v:shape>
                  <v:roundrect id="Rounded Rectangle 138" o:spid="_x0000_s1049" style="position:absolute;left:1922;top:15321;width:20446;height:77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" fillcolor="#ededed [662]" strokecolor="#1f4d78 [1604]" strokeweight="1pt">
                    <v:stroke joinstyle="miter"/>
                    <v:textbox inset="0,0,0,0">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13.6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v:textbox>
                  </v:roundrect>
                  <v:roundrect id="Rounded Rectangle 139" o:spid="_x0000_s1050" style="position:absolute;left:26823;top:15492;width:20418;height:82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" fillcolor="#ededed [662]" strokecolor="#1f4d78 [1604]" strokeweight="1pt">
                    <v:stroke joinstyle="miter"/>
                    <v:textbox inset="0,0,0,0">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8.5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v:textbox>
                  </v:roundrect>
                  <v:roundrect id="Rounded Rectangle 140" o:spid="_x0000_s1051" style="position:absolute;left:52752;top:15492;width:20343;height:78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" fillcolor="#ededed [662]" strokecolor="#1f4d78 [1604]" strokeweight="1pt">
                    <v:stroke joinstyle="miter"/>
                    <v:textbox inset="0,0,0,0">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32.8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v:textbox>
                  </v:roundrect>
                  <v:rect id="Rectangle 141" o:spid="_x0000_s1052" style="position:absolute;left:19496;top:25496;width:37032;height:40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" fillcolor="#d9e2f3 [66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Rokrakstu ekspertīze</w:t>
                          </w:r>
                        </w:p>
                      </w:txbxContent>
                    </v:textbox>
                  </v:rect>
                  <v:shape id="Down Arrow 142" o:spid="_x0000_s1053" type="#_x0000_t67" style="position:absolute;left:19496;top:31333;width:13890;height:5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" adj="10800" fillcolor="#5b9bd5 [320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VTEB</w:t>
                          </w:r>
                        </w:p>
                      </w:txbxContent>
                    </v:textbox>
                  </v:shape>
                  <v:shape id="Down Arrow 143" o:spid="_x0000_s1054" type="#_x0000_t67" style="position:absolute;left:40670;top:31333;width:13890;height:5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" adj="10800" fillcolor="#5b9bd5 [320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VPKP</w:t>
                          </w:r>
                        </w:p>
                      </w:txbxContent>
                    </v:textbox>
                  </v:shape>
                  <v:roundrect id="Rounded Rectangle 144" o:spid="_x0000_s1055" style="position:absolute;left:16188;top:38111;width:19614;height:89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" fillcolor="#ededed [662]" strokecolor="#1f4d78 [1604]" strokeweight="1pt">
                    <v:stroke joinstyle="miter"/>
                    <v:textbox inset="0,0,0,0">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63.3</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v:textbox>
                  </v:roundrect>
                  <v:roundrect id="Rounded Rectangle 145" o:spid="_x0000_s1056" style="position:absolute;left:38750;top:38107;width:19613;height:89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" fillcolor="#ededed [662]" strokecolor="#1f4d78 [1604]" strokeweight="1pt">
                    <v:stroke joinstyle="miter"/>
                    <v:textbox inset="0,0,0,0">
                      <w:txbxContent>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 xml:space="preserve">126.3 </w:t>
                          </w:r>
                        </w:p>
                        <w:p w:rsidR="00F16784" w:rsidRPr="00EB4D3B" w:rsidRDefault="00F16784" w:rsidP="00B239DD">
                          <w:pPr>
                            <w:pStyle w:val="NormalWeb"/>
                            <w:spacing w:before="0" w:beforeAutospacing="0" w:after="0" w:afterAutospacing="0"/>
                            <w:jc w:val="center"/>
                            <w:rPr>
                              <w:color w:val="000000" w:themeColor="text1"/>
                              <w:sz w:val="16"/>
                              <w:szCs w:val="16"/>
                            </w:rPr>
                          </w:pPr>
                          <w:r w:rsidRPr="00EB4D3B">
                            <w:rPr>
                              <w:b/>
                              <w:bCs/>
                              <w:color w:val="000000" w:themeColor="text1"/>
                              <w:kern w:val="24"/>
                              <w:sz w:val="16"/>
                              <w:szCs w:val="16"/>
                            </w:rPr>
                            <w:t>ekspertīzes uz 1 amata vietu</w:t>
                          </w:r>
                        </w:p>
                      </w:txbxContent>
                    </v:textbox>
                  </v:roundrect>
                </v:group>
                <v:group id="_x0000_s1057" style="position:absolute;left:5429;top:24479;width:39492;height:10400" coordorigin="3820" coordsize="41539,2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rect id="Rectangle 147" o:spid="_x0000_s1058" style="position:absolute;left:10619;width:27378;height:4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" fillcolor="#d9e2f3 [664]" strokecolor="#1f4d78 [1604]" strokeweight="1pt">
                    <v:textbox inset="0,0,0,0">
                      <w:txbxContent>
                        <w:p w:rsidR="00F16784" w:rsidRPr="004142D0" w:rsidRDefault="00F16784" w:rsidP="00B239DD">
                          <w:pPr>
                            <w:jc w:val="center"/>
                            <w:rPr>
                              <w:rFonts w:cs="Times New Roman"/>
                              <w:color w:val="000000" w:themeColor="text1"/>
                              <w:sz w:val="20"/>
                              <w:szCs w:val="20"/>
                              <w14:textOutline w14:w="0" w14:cap="flat" w14:cmpd="sng" w14:algn="ctr">
                                <w14:noFill/>
                                <w14:prstDash w14:val="solid"/>
                                <w14:round/>
                              </w14:textOutline>
                            </w:rPr>
                          </w:pPr>
                          <w:r w:rsidRPr="004142D0">
                            <w:rPr>
                              <w:rFonts w:cs="Times New Roman"/>
                              <w:color w:val="000000" w:themeColor="text1"/>
                              <w:sz w:val="20"/>
                              <w:szCs w:val="20"/>
                              <w14:textOutline w14:w="0" w14:cap="flat" w14:cmpd="sng" w14:algn="ctr">
                                <w14:noFill/>
                                <w14:prstDash w14:val="solid"/>
                                <w14:round/>
                              </w14:textOutline>
                            </w:rPr>
                            <w:t>Narkotisko, psihotropo vielu ekspertīze</w:t>
                          </w:r>
                        </w:p>
                      </w:txbxContent>
                    </v:textbox>
                  </v:rect>
                  <v:shape id="Down Arrow 148" o:spid="_x0000_s1059" type="#_x0000_t67" style="position:absolute;left:5456;top:6361;width:10297;height:49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" adj="10800" fillcolor="#5b9bd5 [320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VID</w:t>
                          </w:r>
                        </w:p>
                      </w:txbxContent>
                    </v:textbox>
                  </v:shape>
                  <v:shape id="Down Arrow 149" o:spid="_x0000_s1060" type="#_x0000_t67" style="position:absolute;left:32258;top:6360;width:10158;height:4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" adj="10800" fillcolor="#5b9bd5 [3204]" strokecolor="#1f4d78 [1604]" strokeweight="1pt">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color w:val="000000" w:themeColor="text1"/>
                              <w:kern w:val="24"/>
                              <w:sz w:val="20"/>
                              <w:szCs w:val="20"/>
                            </w:rPr>
                            <w:t>VP</w:t>
                          </w:r>
                        </w:p>
                      </w:txbxContent>
                    </v:textbox>
                  </v:shape>
                  <v:roundrect id="Rounded Rectangle 150" o:spid="_x0000_s1061" style="position:absolute;left:3820;top:13809;width:14457;height:7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" fillcolor="#ededed [662]" strokecolor="#1f4d78 [1604]" strokeweight="1pt">
                    <v:stroke joinstyle="miter"/>
                    <v:textbox inset="0,0,0,0">
                      <w:txbxContent>
                        <w:p w:rsidR="00F16784" w:rsidRPr="00B375F5" w:rsidRDefault="00F16784" w:rsidP="00B239DD">
                          <w:pPr>
                            <w:pStyle w:val="NormalWeb"/>
                            <w:spacing w:before="0" w:beforeAutospacing="0" w:after="0" w:afterAutospacing="0"/>
                            <w:jc w:val="center"/>
                            <w:rPr>
                              <w:color w:val="000000" w:themeColor="text1"/>
                              <w:sz w:val="20"/>
                              <w:szCs w:val="20"/>
                            </w:rPr>
                          </w:pPr>
                          <w:r w:rsidRPr="00B375F5">
                            <w:rPr>
                              <w:b/>
                              <w:bCs/>
                              <w:color w:val="000000" w:themeColor="text1"/>
                              <w:kern w:val="24"/>
                              <w:sz w:val="20"/>
                              <w:szCs w:val="20"/>
                            </w:rPr>
                            <w:t>232.5</w:t>
                          </w:r>
                        </w:p>
                        <w:p w:rsidR="00F16784" w:rsidRPr="00B375F5" w:rsidRDefault="00F16784" w:rsidP="00B239DD">
                          <w:pPr>
                            <w:pStyle w:val="NormalWeb"/>
                            <w:spacing w:before="0" w:beforeAutospacing="0" w:after="0" w:afterAutospacing="0"/>
                            <w:jc w:val="center"/>
                            <w:rPr>
                              <w:color w:val="000000" w:themeColor="text1"/>
                              <w:sz w:val="20"/>
                              <w:szCs w:val="20"/>
                            </w:rPr>
                          </w:pPr>
                          <w:r w:rsidRPr="00B375F5">
                            <w:rPr>
                              <w:b/>
                              <w:bCs/>
                              <w:color w:val="000000" w:themeColor="text1"/>
                              <w:kern w:val="24"/>
                              <w:sz w:val="20"/>
                              <w:szCs w:val="20"/>
                            </w:rPr>
                            <w:t>ekspertīzes uz 1 amata vietu</w:t>
                          </w:r>
                        </w:p>
                      </w:txbxContent>
                    </v:textbox>
                  </v:roundrect>
                  <v:roundrect id="Rounded Rectangle 151" o:spid="_x0000_s1062" style="position:absolute;left:30479;top:14351;width:14880;height:6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" fillcolor="#ededed [662]" strokecolor="#1f4d78 [1604]" strokeweight="1pt">
                    <v:stroke joinstyle="miter"/>
                    <v:textbox inset="0,0,0,0">
                      <w:txbxContent>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b/>
                              <w:bCs/>
                              <w:color w:val="000000" w:themeColor="text1"/>
                              <w:kern w:val="24"/>
                              <w:sz w:val="20"/>
                              <w:szCs w:val="20"/>
                            </w:rPr>
                            <w:t xml:space="preserve">335 </w:t>
                          </w:r>
                        </w:p>
                        <w:p w:rsidR="00F16784" w:rsidRPr="005322AF" w:rsidRDefault="00F16784" w:rsidP="00B239DD">
                          <w:pPr>
                            <w:pStyle w:val="NormalWeb"/>
                            <w:spacing w:before="0" w:beforeAutospacing="0" w:after="0" w:afterAutospacing="0"/>
                            <w:jc w:val="center"/>
                            <w:rPr>
                              <w:color w:val="000000" w:themeColor="text1"/>
                              <w:sz w:val="20"/>
                              <w:szCs w:val="20"/>
                            </w:rPr>
                          </w:pPr>
                          <w:r w:rsidRPr="005322AF">
                            <w:rPr>
                              <w:b/>
                              <w:bCs/>
                              <w:color w:val="000000" w:themeColor="text1"/>
                              <w:kern w:val="24"/>
                              <w:sz w:val="20"/>
                              <w:szCs w:val="20"/>
                            </w:rPr>
                            <w:t>ekspertīzes uz 1 amata vietu</w:t>
                          </w:r>
                        </w:p>
                      </w:txbxContent>
                    </v:textbox>
                  </v:roundrect>
                </v:group>
                <w10:wrap type="topAndBottom"/>
              </v:group>
            </w:pict>
          </mc:Fallback>
        </mc:AlternateContent>
      </w:r>
    </w:p>
    <w:p w:rsidR="00B239DD" w:rsidRPr="007A1F7C" w:rsidRDefault="007A1F7C" w:rsidP="00121FBE">
      <w:pPr>
        <w:pStyle w:val="NormalWeb"/>
        <w:spacing w:before="120" w:beforeAutospacing="0" w:after="0" w:afterAutospacing="0"/>
        <w:jc w:val="center"/>
        <w:rPr>
          <w:rFonts w:eastAsiaTheme="majorEastAsia"/>
          <w:bCs/>
          <w:kern w:val="24"/>
          <w:sz w:val="22"/>
          <w:szCs w:val="22"/>
          <w14:shadow w14:blurRad="63500" w14:dist="50800" w14:dir="13500000" w14:sx="0" w14:sy="0" w14:kx="0" w14:ky="0" w14:algn="none">
            <w14:srgbClr w14:val="000000">
              <w14:alpha w14:val="50000"/>
            </w14:srgbClr>
          </w14:shadow>
        </w:rPr>
      </w:pPr>
      <w:r w:rsidRPr="007A1F7C">
        <w:rPr>
          <w:rFonts w:eastAsiaTheme="majorEastAsia"/>
          <w:bCs/>
          <w:i/>
          <w:kern w:val="24"/>
          <w:sz w:val="22"/>
          <w:szCs w:val="22"/>
          <w14:shadow w14:blurRad="63500" w14:dist="50800" w14:dir="13500000" w14:sx="0" w14:sy="0" w14:kx="0" w14:ky="0" w14:algn="none">
            <w14:srgbClr w14:val="000000">
              <w14:alpha w14:val="50000"/>
            </w14:srgbClr>
          </w14:shadow>
        </w:rPr>
        <w:t>3.31</w:t>
      </w:r>
      <w:r w:rsidR="00B239DD" w:rsidRPr="007A1F7C">
        <w:rPr>
          <w:rFonts w:eastAsiaTheme="majorEastAsia"/>
          <w:bCs/>
          <w:i/>
          <w:kern w:val="24"/>
          <w:sz w:val="22"/>
          <w:szCs w:val="22"/>
          <w14:shadow w14:blurRad="63500" w14:dist="50800" w14:dir="13500000" w14:sx="0" w14:sy="0" w14:kx="0" w14:ky="0" w14:algn="none">
            <w14:srgbClr w14:val="000000">
              <w14:alpha w14:val="50000"/>
            </w14:srgbClr>
          </w14:shadow>
        </w:rPr>
        <w:t>.att.</w:t>
      </w:r>
      <w:r w:rsidR="00B239DD" w:rsidRPr="007A1F7C">
        <w:rPr>
          <w:rFonts w:eastAsiaTheme="majorEastAsia"/>
          <w:b/>
          <w:bCs/>
          <w:kern w:val="24"/>
          <w:sz w:val="22"/>
          <w:szCs w:val="22"/>
          <w14:shadow w14:blurRad="63500" w14:dist="50800" w14:dir="13500000" w14:sx="0" w14:sy="0" w14:kx="0" w14:ky="0" w14:algn="none">
            <w14:srgbClr w14:val="000000">
              <w14:alpha w14:val="50000"/>
            </w14:srgbClr>
          </w14:shadow>
        </w:rPr>
        <w:t xml:space="preserve"> </w:t>
      </w:r>
      <w:r w:rsidR="00B239DD" w:rsidRPr="007A1F7C">
        <w:rPr>
          <w:b/>
          <w:sz w:val="22"/>
          <w:szCs w:val="22"/>
        </w:rPr>
        <w:t>Līdzīgās tiesu ekspertīzes (2016.gada dati)</w:t>
      </w:r>
      <w:r w:rsidR="00B239DD" w:rsidRPr="007A1F7C">
        <w:rPr>
          <w:rStyle w:val="FootnoteReference"/>
          <w:b/>
          <w:sz w:val="22"/>
          <w:szCs w:val="22"/>
        </w:rPr>
        <w:footnoteReference w:id="65"/>
      </w:r>
    </w:p>
    <w:p w:rsidR="00B239DD" w:rsidRDefault="00B239DD" w:rsidP="00B239DD">
      <w:pPr>
        <w:jc w:val="center"/>
        <w:rPr>
          <w:rFonts w:eastAsiaTheme="majorEastAsia" w:cs="Times New Roman"/>
          <w:b/>
          <w:bCs/>
          <w:kern w:val="24"/>
          <w:szCs w:val="24"/>
          <w14:shadow w14:blurRad="63500" w14:dist="50800" w14:dir="13500000" w14:sx="0" w14:sy="0" w14:kx="0" w14:ky="0" w14:algn="none">
            <w14:srgbClr w14:val="000000">
              <w14:alpha w14:val="50000"/>
            </w14:srgbClr>
          </w14:shadow>
        </w:rPr>
      </w:pPr>
    </w:p>
    <w:p w:rsidR="00B239DD" w:rsidRDefault="00B239DD" w:rsidP="00B239DD">
      <w:pPr>
        <w:ind w:firstLine="720"/>
        <w:jc w:val="both"/>
        <w:rPr>
          <w:rFonts w:cs="Times New Roman"/>
          <w:szCs w:val="24"/>
        </w:rPr>
      </w:pPr>
      <w:r>
        <w:rPr>
          <w:rFonts w:cs="Times New Roman"/>
          <w:szCs w:val="24"/>
        </w:rPr>
        <w:t>Ņemot vērā, ka pamatā visas tiesu ekspertīzes tiek veiktas kriminālprocesa ietvaros un tām ir vienots mērķis, kā arī tiesu ekspertīžu iestāžu</w:t>
      </w:r>
      <w:r w:rsidRPr="000B3116">
        <w:rPr>
          <w:rFonts w:cs="Times New Roman"/>
          <w:szCs w:val="24"/>
        </w:rPr>
        <w:t xml:space="preserve"> veiktās ekspertīzes lielā mērā pārklājas</w:t>
      </w:r>
      <w:r>
        <w:rPr>
          <w:rFonts w:cs="Times New Roman"/>
          <w:szCs w:val="24"/>
        </w:rPr>
        <w:t>,</w:t>
      </w:r>
      <w:r w:rsidRPr="00050666">
        <w:rPr>
          <w:rFonts w:cs="Times New Roman"/>
          <w:szCs w:val="24"/>
        </w:rPr>
        <w:t xml:space="preserve"> </w:t>
      </w:r>
      <w:r w:rsidRPr="00050666">
        <w:rPr>
          <w:rFonts w:cs="Times New Roman"/>
          <w:szCs w:val="24"/>
        </w:rPr>
        <w:lastRenderedPageBreak/>
        <w:t xml:space="preserve">efektīvas tiesas spriešanas nodrošināšanai optimālāks būtu vienots tiesu ekspertīžu </w:t>
      </w:r>
      <w:r>
        <w:rPr>
          <w:rFonts w:cs="Times New Roman"/>
          <w:szCs w:val="24"/>
        </w:rPr>
        <w:t>centrs</w:t>
      </w:r>
      <w:r w:rsidRPr="00050666">
        <w:rPr>
          <w:rFonts w:cs="Times New Roman"/>
          <w:szCs w:val="24"/>
        </w:rPr>
        <w:t xml:space="preserve"> ar vienotu padotību</w:t>
      </w:r>
      <w:r>
        <w:rPr>
          <w:rFonts w:cs="Times New Roman"/>
          <w:szCs w:val="24"/>
        </w:rPr>
        <w:t xml:space="preserve">. </w:t>
      </w:r>
    </w:p>
    <w:p w:rsidR="00B239DD" w:rsidRDefault="00B239DD" w:rsidP="00B239DD">
      <w:pPr>
        <w:ind w:firstLine="720"/>
        <w:jc w:val="both"/>
        <w:rPr>
          <w:rFonts w:eastAsia="Times New Roman" w:cs="Times New Roman"/>
          <w:szCs w:val="24"/>
          <w:lang w:eastAsia="lv-LV"/>
        </w:rPr>
      </w:pPr>
      <w:r>
        <w:rPr>
          <w:rFonts w:cs="Times New Roman"/>
          <w:szCs w:val="24"/>
        </w:rPr>
        <w:t>Saskaņā ar</w:t>
      </w:r>
      <w:r w:rsidRPr="006445F1">
        <w:rPr>
          <w:rFonts w:cs="Times New Roman"/>
          <w:szCs w:val="24"/>
        </w:rPr>
        <w:t xml:space="preserve"> M</w:t>
      </w:r>
      <w:r>
        <w:rPr>
          <w:rFonts w:cs="Times New Roman"/>
          <w:szCs w:val="24"/>
        </w:rPr>
        <w:t>K 2003.gada 29.aprīļa noteikumu Nr.</w:t>
      </w:r>
      <w:r w:rsidR="004D2C89">
        <w:rPr>
          <w:rFonts w:cs="Times New Roman"/>
          <w:szCs w:val="24"/>
        </w:rPr>
        <w:t>243 “</w:t>
      </w:r>
      <w:r w:rsidRPr="006445F1">
        <w:rPr>
          <w:rFonts w:cs="Times New Roman"/>
          <w:szCs w:val="24"/>
        </w:rPr>
        <w:t>T</w:t>
      </w:r>
      <w:r>
        <w:rPr>
          <w:rFonts w:cs="Times New Roman"/>
          <w:szCs w:val="24"/>
        </w:rPr>
        <w:t xml:space="preserve">ieslietu ministrijas nolikums” </w:t>
      </w:r>
      <w:r w:rsidRPr="006445F1">
        <w:rPr>
          <w:rFonts w:cs="Times New Roman"/>
          <w:szCs w:val="24"/>
        </w:rPr>
        <w:t>4.1.10. un 5.12. apakšpunktu T</w:t>
      </w:r>
      <w:r>
        <w:rPr>
          <w:rFonts w:cs="Times New Roman"/>
          <w:szCs w:val="24"/>
        </w:rPr>
        <w:t>M</w:t>
      </w:r>
      <w:r w:rsidRPr="006445F1">
        <w:rPr>
          <w:rFonts w:cs="Times New Roman"/>
          <w:szCs w:val="24"/>
        </w:rPr>
        <w:t xml:space="preserve"> izstrādā un īsteno valsts politiku </w:t>
      </w:r>
      <w:r>
        <w:rPr>
          <w:rFonts w:cs="Times New Roman"/>
          <w:szCs w:val="24"/>
        </w:rPr>
        <w:t xml:space="preserve">tiesu ekspertīzes sistēmas jomā, un TM kā atsevišķa iestāde ir izveidots </w:t>
      </w:r>
      <w:r>
        <w:rPr>
          <w:rFonts w:eastAsia="Times New Roman" w:cs="Times New Roman"/>
          <w:szCs w:val="24"/>
          <w:lang w:eastAsia="lv-LV"/>
        </w:rPr>
        <w:t xml:space="preserve">VTEB. </w:t>
      </w:r>
    </w:p>
    <w:p w:rsidR="00B239DD" w:rsidRPr="00C85F94" w:rsidRDefault="00B239DD" w:rsidP="00B239DD">
      <w:pPr>
        <w:ind w:firstLine="720"/>
        <w:jc w:val="both"/>
        <w:rPr>
          <w:rFonts w:eastAsia="Times New Roman" w:cs="Times New Roman"/>
          <w:szCs w:val="24"/>
          <w:lang w:eastAsia="lv-LV"/>
        </w:rPr>
      </w:pPr>
      <w:r>
        <w:rPr>
          <w:rFonts w:eastAsia="Times New Roman" w:cs="Times New Roman"/>
          <w:szCs w:val="24"/>
          <w:lang w:eastAsia="lv-LV"/>
        </w:rPr>
        <w:t xml:space="preserve">TM ir sniegusi informāciju, ka </w:t>
      </w:r>
      <w:r>
        <w:rPr>
          <w:rFonts w:cs="Times New Roman"/>
          <w:bCs/>
          <w:szCs w:val="24"/>
        </w:rPr>
        <w:t>v</w:t>
      </w:r>
      <w:r w:rsidRPr="0068657E">
        <w:rPr>
          <w:rFonts w:cs="Times New Roman"/>
          <w:bCs/>
          <w:szCs w:val="24"/>
        </w:rPr>
        <w:t>ar tikt izvērtēta iespēja izveidot vienotu tiesu ekspertīžu centru (institūtu) ar institucionālo piederību tieslietu nozarei, apvienojot esošās no valsts budžeta finansētās tiesu ekspertīžu iestādes, par pamatu ņemot esošu tiesu ekspertīžu iestādi un nošķirot tiesu ekspertīzes funkciju no kriminālistikas speciālistu funkcijām un paredzot papildu pienākumu nodrošināt tiesu ekspertu dalību tajās procesuālajās darbībās, kur kriminālistikas speciālista kompetence nav pietiekama.</w:t>
      </w:r>
    </w:p>
    <w:p w:rsidR="00B239DD" w:rsidRPr="00970170" w:rsidRDefault="00B239DD" w:rsidP="00B239DD">
      <w:pPr>
        <w:ind w:firstLine="720"/>
        <w:jc w:val="both"/>
        <w:rPr>
          <w:rFonts w:cs="Times New Roman"/>
          <w:szCs w:val="24"/>
        </w:rPr>
      </w:pPr>
      <w:r>
        <w:rPr>
          <w:rFonts w:cs="Times New Roman"/>
          <w:szCs w:val="24"/>
        </w:rPr>
        <w:t>Līdz ar to ierosinām TM sadarbībā ar IeM, VM un FM (VID) līdz 2018.gada 1.jūlijam</w:t>
      </w:r>
      <w:r w:rsidRPr="00E861C9">
        <w:rPr>
          <w:rFonts w:cs="Times New Roman"/>
          <w:szCs w:val="24"/>
        </w:rPr>
        <w:t xml:space="preserve"> </w:t>
      </w:r>
      <w:r>
        <w:rPr>
          <w:rFonts w:cs="Times New Roman"/>
          <w:szCs w:val="24"/>
        </w:rPr>
        <w:t>izvērtēt vienota valsts tiesu ekspertīžu centra izveides iespējas un iesniegt MK priekšlikumus par turpmāko rīcību.</w:t>
      </w:r>
    </w:p>
    <w:p w:rsidR="004B465A" w:rsidRPr="00D035A2" w:rsidRDefault="00441307" w:rsidP="007A1F7C">
      <w:pPr>
        <w:pStyle w:val="Heading3"/>
        <w:spacing w:before="360" w:after="240"/>
        <w:jc w:val="center"/>
        <w:rPr>
          <w:rFonts w:ascii="Times New Roman" w:hAnsi="Times New Roman" w:cs="Times New Roman"/>
          <w:color w:val="auto"/>
          <w:sz w:val="28"/>
          <w:szCs w:val="28"/>
        </w:rPr>
      </w:pPr>
      <w:bookmarkStart w:id="20" w:name="_Toc487036804"/>
      <w:r w:rsidRPr="00C90316">
        <w:rPr>
          <w:rFonts w:ascii="Times New Roman" w:hAnsi="Times New Roman" w:cs="Times New Roman"/>
          <w:color w:val="auto"/>
          <w:sz w:val="28"/>
          <w:szCs w:val="28"/>
        </w:rPr>
        <w:t>3.3.6. Ministriju priekšlikumi par funkciju īstenošanu</w:t>
      </w:r>
      <w:bookmarkEnd w:id="20"/>
    </w:p>
    <w:p w:rsidR="00562652" w:rsidRDefault="00562652" w:rsidP="00472F10">
      <w:pPr>
        <w:ind w:firstLine="720"/>
        <w:jc w:val="both"/>
        <w:rPr>
          <w:szCs w:val="24"/>
        </w:rPr>
      </w:pPr>
      <w:r>
        <w:rPr>
          <w:szCs w:val="24"/>
        </w:rPr>
        <w:t>MK 2016.gada 31.maija sēdes protokola (prot. Nr.26, 39.</w:t>
      </w:r>
      <w:r>
        <w:rPr>
          <w:rFonts w:cs="Times New Roman"/>
          <w:szCs w:val="24"/>
        </w:rPr>
        <w:t>§</w:t>
      </w:r>
      <w:r>
        <w:rPr>
          <w:szCs w:val="24"/>
        </w:rPr>
        <w:t xml:space="preserve">) 16.punktā ministrijām tika dots uzdevums </w:t>
      </w:r>
      <w:r w:rsidRPr="00804C8B">
        <w:rPr>
          <w:szCs w:val="24"/>
        </w:rPr>
        <w:t xml:space="preserve">izvērtēt un līdz 2017.gada 1.martam iesniegt </w:t>
      </w:r>
      <w:r>
        <w:rPr>
          <w:szCs w:val="24"/>
        </w:rPr>
        <w:t>MK</w:t>
      </w:r>
      <w:r w:rsidRPr="00804C8B">
        <w:rPr>
          <w:szCs w:val="24"/>
        </w:rPr>
        <w:t xml:space="preserve"> informāciju par normatīvajos aktos paredzētām attiecīgās ministrijas un starpministriju funkcijām (darbībām, pasākumiem, procesiem), apzinot tās funkcijas (darbības, pasākumus, procesus), kas no valsts prioritāšu viedokļa ir daļēji vai pilnībā zaudējušas aktualitāti (tajā skaitā, ilgstoši nav sasniegušas definētos politiku mērķus un rezultātus), ir iespējams mainīt izdevumu finansēšanas avotu, ir līdzīgas vai vienveidīgas vairāk kā vienai ministrijai (tās iestādei) un/vai citai centrālajai valsts iestādei, būtu īstenojamas efektīvāk un ekonomiskāk. </w:t>
      </w:r>
      <w:r>
        <w:rPr>
          <w:szCs w:val="24"/>
        </w:rPr>
        <w:t>FM</w:t>
      </w:r>
      <w:r w:rsidRPr="00804C8B">
        <w:rPr>
          <w:szCs w:val="24"/>
        </w:rPr>
        <w:t>, atbilstoši izdevumu pārskatīšanas tvērumam 2017.gadā, izmantot šajā punktā minēto informāciju izdevumu pārskatīšanas procesā</w:t>
      </w:r>
      <w:r>
        <w:rPr>
          <w:szCs w:val="24"/>
        </w:rPr>
        <w:t>.</w:t>
      </w:r>
    </w:p>
    <w:p w:rsidR="00562652" w:rsidRDefault="00562652" w:rsidP="00472F10">
      <w:pPr>
        <w:ind w:firstLine="720"/>
        <w:jc w:val="both"/>
        <w:rPr>
          <w:szCs w:val="24"/>
        </w:rPr>
      </w:pPr>
      <w:r>
        <w:rPr>
          <w:szCs w:val="24"/>
        </w:rPr>
        <w:t xml:space="preserve">Atsaucoties uz minēto MK protokolu, 12 ministrijas un 3 centrālās valsts iestādes iesniegušas atbildes vēstules. Ministrijas – AiM, ĀM, EM, FM, IeM, IZM, ZM, SM, LM, TM, VARAM, KM. Centrālās valsts iestādes – MK, KNAB, PKC. Atbildes vēstuli nav iesniegusi VM, VPK, Saeima, TB, SIF, SPRK, VKo, AT, ST, Prokuratūra, CVK, CZK, Radio un TV. </w:t>
      </w:r>
    </w:p>
    <w:p w:rsidR="00562652" w:rsidRDefault="00562652" w:rsidP="00472F10">
      <w:pPr>
        <w:ind w:firstLine="720"/>
        <w:jc w:val="both"/>
        <w:rPr>
          <w:szCs w:val="24"/>
        </w:rPr>
      </w:pPr>
      <w:r>
        <w:rPr>
          <w:szCs w:val="24"/>
        </w:rPr>
        <w:t>Iesniegtajās atbildes vēstulēs ĀM un KNAB norādījuši, ka visas funkcijas tiek veiktas pilnā apjomā un, ka nav tādu funkciju, kas būtu zaudējušas aktualitāti un kas nav sasniegušas definētos mērķus un rezultātus.</w:t>
      </w:r>
    </w:p>
    <w:p w:rsidR="00562652" w:rsidRDefault="00562652" w:rsidP="00472F10">
      <w:pPr>
        <w:ind w:firstLine="720"/>
        <w:jc w:val="both"/>
        <w:rPr>
          <w:szCs w:val="24"/>
        </w:rPr>
      </w:pPr>
      <w:r>
        <w:rPr>
          <w:szCs w:val="24"/>
        </w:rPr>
        <w:t>VK savā atbildes vēstulē norādījusi, ka VK funkcijas un uzdevumi tika pārskatīti un aktualizēti 2016.gada sākumā, veicot arī attiecīgus grozījumus VK nolikumā. Kā arī vērš uzmanību, ka 2016.gadā VK iesaistījusies valsts iestāžu grāmatvedības uzskaites centralizācijas pilotprojekta īstenošanā – VK, Valsts administrācijas skolas un PKC grāmatvedības uzskaites centralizācijas nodrošināšanai, tādējādi efektivizējot procesus un centralizācijas rezultātā radušos līdzekļu ekonomiju un atbrīvojušās amata vietas novirzot citu deleģētu uzdevumu vai funkciju īstenošanai, neatliekamo pasākumu īstenošanai.</w:t>
      </w:r>
    </w:p>
    <w:p w:rsidR="0078482A" w:rsidRPr="00472F10" w:rsidRDefault="00562652" w:rsidP="00472F10">
      <w:pPr>
        <w:ind w:firstLine="720"/>
        <w:jc w:val="both"/>
        <w:rPr>
          <w:szCs w:val="24"/>
        </w:rPr>
      </w:pPr>
      <w:r>
        <w:rPr>
          <w:szCs w:val="24"/>
        </w:rPr>
        <w:t xml:space="preserve">Vairākas ministrijas norādījušas, ka īstenojamo funkciju pārskatīšanu veic pastāvīgi, tādējādi nodrošinot efektīvāku funkciju </w:t>
      </w:r>
      <w:r w:rsidRPr="00E534ED">
        <w:rPr>
          <w:szCs w:val="24"/>
        </w:rPr>
        <w:t>īstenošanu un izdevumu mazināšanu. Ministriju iesniegtie jau īstenotie pasākumi apkopoti tabulā Nr.</w:t>
      </w:r>
      <w:r w:rsidR="00E534ED" w:rsidRPr="00E534ED">
        <w:rPr>
          <w:szCs w:val="24"/>
        </w:rPr>
        <w:t>3.23</w:t>
      </w:r>
      <w:r w:rsidR="00472F10">
        <w:rPr>
          <w:szCs w:val="24"/>
        </w:rPr>
        <w:t>.</w:t>
      </w:r>
    </w:p>
    <w:p w:rsidR="00562652" w:rsidRPr="00E534ED" w:rsidRDefault="00562652" w:rsidP="00562652">
      <w:pPr>
        <w:jc w:val="right"/>
      </w:pPr>
      <w:r w:rsidRPr="00E534ED">
        <w:t>Tabula Nr.</w:t>
      </w:r>
      <w:r w:rsidR="00E534ED" w:rsidRPr="00E534ED">
        <w:t>3.23.</w:t>
      </w:r>
    </w:p>
    <w:p w:rsidR="00562652" w:rsidRDefault="00562652" w:rsidP="00562652">
      <w:pPr>
        <w:spacing w:before="120" w:after="120"/>
        <w:jc w:val="center"/>
        <w:rPr>
          <w:b/>
        </w:rPr>
      </w:pPr>
      <w:r w:rsidRPr="00E534ED">
        <w:rPr>
          <w:b/>
        </w:rPr>
        <w:t>Ministriju iesniegtā informācija par īstenotajiem pasākumiem</w:t>
      </w:r>
    </w:p>
    <w:tbl>
      <w:tblPr>
        <w:tblStyle w:val="TableGrid"/>
        <w:tblW w:w="5000" w:type="pct"/>
        <w:tblLook w:val="04A0" w:firstRow="1" w:lastRow="0" w:firstColumn="1" w:lastColumn="0" w:noHBand="0" w:noVBand="1"/>
      </w:tblPr>
      <w:tblGrid>
        <w:gridCol w:w="941"/>
        <w:gridCol w:w="1395"/>
        <w:gridCol w:w="6725"/>
      </w:tblGrid>
      <w:tr w:rsidR="00562652" w:rsidRPr="00E534ED" w:rsidTr="00E534ED">
        <w:trPr>
          <w:tblHeader/>
        </w:trPr>
        <w:tc>
          <w:tcPr>
            <w:tcW w:w="519" w:type="pct"/>
            <w:shd w:val="clear" w:color="auto" w:fill="C5E0B3" w:themeFill="accent6" w:themeFillTint="66"/>
            <w:vAlign w:val="center"/>
          </w:tcPr>
          <w:p w:rsidR="00562652" w:rsidRPr="00E534ED" w:rsidRDefault="00562652" w:rsidP="00647367">
            <w:pPr>
              <w:jc w:val="center"/>
              <w:rPr>
                <w:b/>
                <w:sz w:val="22"/>
              </w:rPr>
            </w:pPr>
            <w:r w:rsidRPr="00E534ED">
              <w:rPr>
                <w:b/>
                <w:sz w:val="22"/>
              </w:rPr>
              <w:t>Nr.p.k.</w:t>
            </w:r>
          </w:p>
        </w:tc>
        <w:tc>
          <w:tcPr>
            <w:tcW w:w="770" w:type="pct"/>
            <w:shd w:val="clear" w:color="auto" w:fill="C5E0B3" w:themeFill="accent6" w:themeFillTint="66"/>
            <w:vAlign w:val="center"/>
          </w:tcPr>
          <w:p w:rsidR="00562652" w:rsidRPr="00E534ED" w:rsidRDefault="00562652" w:rsidP="00647367">
            <w:pPr>
              <w:jc w:val="center"/>
              <w:rPr>
                <w:b/>
                <w:sz w:val="22"/>
              </w:rPr>
            </w:pPr>
            <w:r w:rsidRPr="00E534ED">
              <w:rPr>
                <w:b/>
                <w:sz w:val="22"/>
              </w:rPr>
              <w:t>Ministrija</w:t>
            </w:r>
          </w:p>
        </w:tc>
        <w:tc>
          <w:tcPr>
            <w:tcW w:w="3711" w:type="pct"/>
            <w:shd w:val="clear" w:color="auto" w:fill="C5E0B3" w:themeFill="accent6" w:themeFillTint="66"/>
            <w:vAlign w:val="center"/>
          </w:tcPr>
          <w:p w:rsidR="00562652" w:rsidRPr="00E534ED" w:rsidRDefault="00562652" w:rsidP="00647367">
            <w:pPr>
              <w:jc w:val="center"/>
              <w:rPr>
                <w:b/>
                <w:sz w:val="22"/>
              </w:rPr>
            </w:pPr>
            <w:r w:rsidRPr="00E534ED">
              <w:rPr>
                <w:b/>
                <w:sz w:val="22"/>
              </w:rPr>
              <w:t>Īstenotais pasākums</w:t>
            </w:r>
          </w:p>
        </w:tc>
      </w:tr>
      <w:tr w:rsidR="00562652" w:rsidRPr="00E534ED" w:rsidTr="00E534ED">
        <w:tc>
          <w:tcPr>
            <w:tcW w:w="519" w:type="pct"/>
          </w:tcPr>
          <w:p w:rsidR="00562652" w:rsidRPr="00E534ED" w:rsidRDefault="00562652" w:rsidP="00647367">
            <w:pPr>
              <w:rPr>
                <w:sz w:val="22"/>
              </w:rPr>
            </w:pPr>
            <w:r w:rsidRPr="00E534ED">
              <w:rPr>
                <w:sz w:val="22"/>
              </w:rPr>
              <w:t>1.</w:t>
            </w:r>
          </w:p>
        </w:tc>
        <w:tc>
          <w:tcPr>
            <w:tcW w:w="770" w:type="pct"/>
          </w:tcPr>
          <w:p w:rsidR="00562652" w:rsidRPr="00E534ED" w:rsidRDefault="00562652" w:rsidP="00647367">
            <w:pPr>
              <w:rPr>
                <w:sz w:val="22"/>
              </w:rPr>
            </w:pPr>
            <w:r w:rsidRPr="00E534ED">
              <w:rPr>
                <w:sz w:val="22"/>
              </w:rPr>
              <w:t>EM</w:t>
            </w:r>
          </w:p>
        </w:tc>
        <w:tc>
          <w:tcPr>
            <w:tcW w:w="3711" w:type="pct"/>
          </w:tcPr>
          <w:p w:rsidR="00562652" w:rsidRPr="00E534ED" w:rsidRDefault="00562652" w:rsidP="008C25BB">
            <w:pPr>
              <w:pStyle w:val="ListParagraph"/>
              <w:numPr>
                <w:ilvl w:val="0"/>
                <w:numId w:val="68"/>
              </w:numPr>
              <w:ind w:left="369" w:hanging="283"/>
              <w:jc w:val="both"/>
              <w:rPr>
                <w:sz w:val="22"/>
              </w:rPr>
            </w:pPr>
            <w:r w:rsidRPr="00E534ED">
              <w:rPr>
                <w:sz w:val="22"/>
              </w:rPr>
              <w:t>2016.gadā īstenota Būvniecības informācijas sistēmas pārziņa un turētāja funkciju nodošana Būvniecības valsts kontroles birojam;</w:t>
            </w:r>
          </w:p>
          <w:p w:rsidR="00562652" w:rsidRPr="00E534ED" w:rsidRDefault="00562652" w:rsidP="008C25BB">
            <w:pPr>
              <w:pStyle w:val="ListParagraph"/>
              <w:numPr>
                <w:ilvl w:val="0"/>
                <w:numId w:val="68"/>
              </w:numPr>
              <w:ind w:left="369" w:hanging="283"/>
              <w:jc w:val="both"/>
              <w:rPr>
                <w:sz w:val="22"/>
              </w:rPr>
            </w:pPr>
            <w:r w:rsidRPr="00E534ED">
              <w:rPr>
                <w:sz w:val="22"/>
              </w:rPr>
              <w:lastRenderedPageBreak/>
              <w:t>Ar 2016.gadu nacionālajai metroloģijas institūcijai (SIA “Standartizācijas, akreditācijas un metroloģijas centrs”) noteiktie valsts pārvaldes uzdevumi metroloģijas jomā deleģēti SIA “Latvijas nacionālais metroloģijas centrs”.</w:t>
            </w:r>
          </w:p>
        </w:tc>
      </w:tr>
      <w:tr w:rsidR="00562652" w:rsidRPr="00E534ED" w:rsidTr="00E534ED">
        <w:tc>
          <w:tcPr>
            <w:tcW w:w="519" w:type="pct"/>
          </w:tcPr>
          <w:p w:rsidR="00562652" w:rsidRPr="00E534ED" w:rsidRDefault="00562652" w:rsidP="00647367">
            <w:pPr>
              <w:rPr>
                <w:sz w:val="22"/>
              </w:rPr>
            </w:pPr>
            <w:r w:rsidRPr="00E534ED">
              <w:rPr>
                <w:sz w:val="22"/>
              </w:rPr>
              <w:lastRenderedPageBreak/>
              <w:t>2.</w:t>
            </w:r>
          </w:p>
        </w:tc>
        <w:tc>
          <w:tcPr>
            <w:tcW w:w="770" w:type="pct"/>
          </w:tcPr>
          <w:p w:rsidR="00562652" w:rsidRPr="00E534ED" w:rsidRDefault="00562652" w:rsidP="00647367">
            <w:pPr>
              <w:rPr>
                <w:sz w:val="22"/>
              </w:rPr>
            </w:pPr>
            <w:r w:rsidRPr="00E534ED">
              <w:rPr>
                <w:sz w:val="22"/>
              </w:rPr>
              <w:t>FM</w:t>
            </w:r>
          </w:p>
        </w:tc>
        <w:tc>
          <w:tcPr>
            <w:tcW w:w="3711" w:type="pct"/>
          </w:tcPr>
          <w:p w:rsidR="00562652" w:rsidRPr="00E534ED" w:rsidRDefault="00562652" w:rsidP="008C25BB">
            <w:pPr>
              <w:pStyle w:val="ListParagraph"/>
              <w:numPr>
                <w:ilvl w:val="0"/>
                <w:numId w:val="69"/>
              </w:numPr>
              <w:ind w:left="369" w:hanging="283"/>
              <w:jc w:val="both"/>
              <w:rPr>
                <w:sz w:val="22"/>
              </w:rPr>
            </w:pPr>
            <w:r w:rsidRPr="00E534ED">
              <w:rPr>
                <w:sz w:val="22"/>
              </w:rPr>
              <w:t>2014.-2020.gada ES fondu plānošanas periodā izveidota viena centralizēta e-vidē bāzēta sistēma, kuras lietotāji ir visas ES fondu ieviešanā iesaistītās iestādes un finansējuma saņēmēji;</w:t>
            </w:r>
          </w:p>
          <w:p w:rsidR="00562652" w:rsidRPr="00E534ED" w:rsidRDefault="00562652" w:rsidP="008C25BB">
            <w:pPr>
              <w:pStyle w:val="ListParagraph"/>
              <w:numPr>
                <w:ilvl w:val="0"/>
                <w:numId w:val="69"/>
              </w:numPr>
              <w:ind w:left="369" w:hanging="283"/>
              <w:jc w:val="both"/>
              <w:rPr>
                <w:sz w:val="22"/>
              </w:rPr>
            </w:pPr>
            <w:r w:rsidRPr="00E534ED">
              <w:rPr>
                <w:sz w:val="22"/>
              </w:rPr>
              <w:t>Īstenojot VID darbības stratēģijā 2014.-2016.gadam izvirzīto stratēģisko mērķi nodrošināta VID klientu apkalpošanas centru efektivitātes paaugstināšana;</w:t>
            </w:r>
          </w:p>
          <w:p w:rsidR="009C71F9" w:rsidRDefault="00562652" w:rsidP="008C25BB">
            <w:pPr>
              <w:pStyle w:val="ListParagraph"/>
              <w:numPr>
                <w:ilvl w:val="0"/>
                <w:numId w:val="69"/>
              </w:numPr>
              <w:ind w:left="369" w:hanging="283"/>
              <w:jc w:val="both"/>
              <w:rPr>
                <w:sz w:val="22"/>
              </w:rPr>
            </w:pPr>
            <w:r w:rsidRPr="00E534ED">
              <w:rPr>
                <w:sz w:val="22"/>
              </w:rPr>
              <w:t>Kopš 2011.gada Valsts kase ir ieviesusi un uztur centralizēto resursu vadības sistēmu HORIZON, nodrošinot FM un tās padotības iestāžu (FM resora) finanšu vadības, grāmatvedības un personāla uzskaiti vienotā sistēmā</w:t>
            </w:r>
            <w:r w:rsidR="009C71F9">
              <w:rPr>
                <w:sz w:val="22"/>
              </w:rPr>
              <w:t>;</w:t>
            </w:r>
          </w:p>
          <w:p w:rsidR="00562652" w:rsidRPr="00E534ED" w:rsidRDefault="00622897" w:rsidP="004D7DC0">
            <w:pPr>
              <w:pStyle w:val="ListParagraph"/>
              <w:numPr>
                <w:ilvl w:val="0"/>
                <w:numId w:val="69"/>
              </w:numPr>
              <w:ind w:left="381"/>
              <w:jc w:val="both"/>
              <w:rPr>
                <w:sz w:val="22"/>
              </w:rPr>
            </w:pPr>
            <w:r w:rsidRPr="00622897">
              <w:rPr>
                <w:sz w:val="22"/>
              </w:rPr>
              <w:t>Saeimā 2017.gadā 22.jūnijā tika pieņemti grozījumi likumā “Par Valsts ieņēmumu dienestu”, kas paredz nodokļu un muitas policijas</w:t>
            </w:r>
            <w:r>
              <w:rPr>
                <w:sz w:val="22"/>
              </w:rPr>
              <w:t xml:space="preserve"> izveidošanu </w:t>
            </w:r>
            <w:r w:rsidRPr="00622897">
              <w:rPr>
                <w:sz w:val="22"/>
              </w:rPr>
              <w:t>līdz 2018.gada 1.janvārim</w:t>
            </w:r>
            <w:r w:rsidR="00562652" w:rsidRPr="00E534ED">
              <w:rPr>
                <w:sz w:val="22"/>
              </w:rPr>
              <w:t xml:space="preserve">. </w:t>
            </w:r>
          </w:p>
        </w:tc>
      </w:tr>
      <w:tr w:rsidR="00562652" w:rsidRPr="00E534ED" w:rsidTr="00E534ED">
        <w:tc>
          <w:tcPr>
            <w:tcW w:w="519" w:type="pct"/>
          </w:tcPr>
          <w:p w:rsidR="00562652" w:rsidRPr="00E534ED" w:rsidRDefault="00562652" w:rsidP="00647367">
            <w:pPr>
              <w:rPr>
                <w:sz w:val="22"/>
              </w:rPr>
            </w:pPr>
            <w:r w:rsidRPr="00E534ED">
              <w:rPr>
                <w:sz w:val="22"/>
              </w:rPr>
              <w:t>3.</w:t>
            </w:r>
          </w:p>
        </w:tc>
        <w:tc>
          <w:tcPr>
            <w:tcW w:w="770" w:type="pct"/>
          </w:tcPr>
          <w:p w:rsidR="00562652" w:rsidRPr="00E534ED" w:rsidRDefault="00562652" w:rsidP="00647367">
            <w:pPr>
              <w:rPr>
                <w:sz w:val="22"/>
              </w:rPr>
            </w:pPr>
            <w:r w:rsidRPr="00E534ED">
              <w:rPr>
                <w:sz w:val="22"/>
              </w:rPr>
              <w:t>IeM</w:t>
            </w:r>
          </w:p>
        </w:tc>
        <w:tc>
          <w:tcPr>
            <w:tcW w:w="3711" w:type="pct"/>
          </w:tcPr>
          <w:p w:rsidR="00562652" w:rsidRPr="00E534ED" w:rsidRDefault="00562652" w:rsidP="008C25BB">
            <w:pPr>
              <w:pStyle w:val="ListParagraph"/>
              <w:numPr>
                <w:ilvl w:val="0"/>
                <w:numId w:val="70"/>
              </w:numPr>
              <w:ind w:left="369" w:hanging="283"/>
              <w:jc w:val="both"/>
              <w:rPr>
                <w:sz w:val="22"/>
              </w:rPr>
            </w:pPr>
            <w:r w:rsidRPr="00E534ED">
              <w:rPr>
                <w:sz w:val="22"/>
              </w:rPr>
              <w:t xml:space="preserve">2009.-2013.gads – tika veikta IeM Informācija centra un citu IeM sistēmas iestāžu īstenoto līdzīgo funkciju analīze un </w:t>
            </w:r>
            <w:r w:rsidR="007D24F7">
              <w:rPr>
                <w:sz w:val="22"/>
              </w:rPr>
              <w:t>IKT</w:t>
            </w:r>
            <w:r w:rsidRPr="00E534ED">
              <w:rPr>
                <w:sz w:val="22"/>
              </w:rPr>
              <w:t xml:space="preserve"> resursu centralizācija;</w:t>
            </w:r>
          </w:p>
          <w:p w:rsidR="00562652" w:rsidRPr="00E534ED" w:rsidRDefault="00562652" w:rsidP="008C25BB">
            <w:pPr>
              <w:pStyle w:val="ListParagraph"/>
              <w:numPr>
                <w:ilvl w:val="0"/>
                <w:numId w:val="70"/>
              </w:numPr>
              <w:ind w:left="369" w:hanging="283"/>
              <w:jc w:val="both"/>
              <w:rPr>
                <w:sz w:val="22"/>
              </w:rPr>
            </w:pPr>
            <w:r w:rsidRPr="00E534ED">
              <w:rPr>
                <w:sz w:val="22"/>
              </w:rPr>
              <w:t>2013.gadā likvidēta ministrijas Aģentūru darba uzraudzības nodaļa, nododot tās funkcijas materiālo rezervju uzturēšanas un atjaunošanas politikas izstrādes jomā un funkcijas pasākumu īstenošanas īpašuma, būvniecības, valsts iepirkuma, izņemtās mantas un lietisko pierādījumu jautājumos iekšlietu nozares jomā IeM Nozares politikas departamentam;</w:t>
            </w:r>
          </w:p>
          <w:p w:rsidR="00562652" w:rsidRPr="00E534ED" w:rsidRDefault="00562652" w:rsidP="008C25BB">
            <w:pPr>
              <w:pStyle w:val="ListParagraph"/>
              <w:numPr>
                <w:ilvl w:val="0"/>
                <w:numId w:val="70"/>
              </w:numPr>
              <w:ind w:left="369" w:hanging="283"/>
              <w:jc w:val="both"/>
              <w:rPr>
                <w:sz w:val="22"/>
              </w:rPr>
            </w:pPr>
            <w:r w:rsidRPr="00E534ED">
              <w:rPr>
                <w:sz w:val="22"/>
              </w:rPr>
              <w:t>2013.gadā  turpināta amata vietu, kuras paredzētas amatpersonām ar speciālajām dienesta pakāpēm, bet kuru pienākumos ir atbalsta funkciju veikšana, pakāpeniska pārveidošana par amatiem, kurus ieņem darbinieki, ar kuriem noslēgts darba līgums;</w:t>
            </w:r>
          </w:p>
          <w:p w:rsidR="00562652" w:rsidRPr="00E534ED" w:rsidRDefault="00562652" w:rsidP="008C25BB">
            <w:pPr>
              <w:pStyle w:val="ListParagraph"/>
              <w:numPr>
                <w:ilvl w:val="0"/>
                <w:numId w:val="70"/>
              </w:numPr>
              <w:ind w:left="369" w:hanging="283"/>
              <w:jc w:val="both"/>
              <w:rPr>
                <w:sz w:val="22"/>
              </w:rPr>
            </w:pPr>
            <w:r w:rsidRPr="00E534ED">
              <w:rPr>
                <w:sz w:val="22"/>
              </w:rPr>
              <w:t xml:space="preserve">2013.gadā </w:t>
            </w:r>
            <w:r w:rsidRPr="00E534ED">
              <w:rPr>
                <w:sz w:val="22"/>
                <w:u w:val="single"/>
              </w:rPr>
              <w:t>turpināta</w:t>
            </w:r>
            <w:r w:rsidRPr="00E534ED">
              <w:rPr>
                <w:sz w:val="22"/>
              </w:rPr>
              <w:t xml:space="preserve"> nekustamo īpašumu pārvaldīšanas centralizācija, nododot tos pārvaldījumā Nodrošinājuma valsts aģentūrai;</w:t>
            </w:r>
          </w:p>
          <w:p w:rsidR="00562652" w:rsidRPr="00E534ED" w:rsidRDefault="00562652" w:rsidP="008C25BB">
            <w:pPr>
              <w:pStyle w:val="ListParagraph"/>
              <w:numPr>
                <w:ilvl w:val="0"/>
                <w:numId w:val="70"/>
              </w:numPr>
              <w:ind w:left="369" w:hanging="283"/>
              <w:jc w:val="both"/>
              <w:rPr>
                <w:sz w:val="22"/>
              </w:rPr>
            </w:pPr>
            <w:r w:rsidRPr="00E534ED">
              <w:rPr>
                <w:sz w:val="22"/>
              </w:rPr>
              <w:t>2013.gadā pabeigta grāmatvedības uzskaites un personāla uzskaites funkciju centralizācija un optimizācija u.c.;</w:t>
            </w:r>
          </w:p>
          <w:p w:rsidR="00562652" w:rsidRPr="00E534ED" w:rsidRDefault="00562652" w:rsidP="008C25BB">
            <w:pPr>
              <w:pStyle w:val="ListParagraph"/>
              <w:numPr>
                <w:ilvl w:val="0"/>
                <w:numId w:val="70"/>
              </w:numPr>
              <w:ind w:left="369" w:hanging="283"/>
              <w:jc w:val="both"/>
              <w:rPr>
                <w:sz w:val="22"/>
              </w:rPr>
            </w:pPr>
            <w:r w:rsidRPr="00E534ED">
              <w:rPr>
                <w:sz w:val="22"/>
              </w:rPr>
              <w:t xml:space="preserve">2014.gadā </w:t>
            </w:r>
            <w:r w:rsidRPr="00E534ED">
              <w:rPr>
                <w:sz w:val="22"/>
                <w:u w:val="single"/>
              </w:rPr>
              <w:t>turpināta</w:t>
            </w:r>
            <w:r w:rsidRPr="00E534ED">
              <w:rPr>
                <w:sz w:val="22"/>
              </w:rPr>
              <w:t xml:space="preserve"> amata vietu, kuras paredzētas amatpersonām ar speciālajām dienesta pakāpēm, bet kuru pienākumos ir atbalsta funkciju veikšana, pakāpeniska pārveidošana par amatiem, kurus ieņem darbinieki, ar kuriem noslēgts darba līgums;</w:t>
            </w:r>
          </w:p>
          <w:p w:rsidR="00562652" w:rsidRPr="00E534ED" w:rsidRDefault="00562652" w:rsidP="008C25BB">
            <w:pPr>
              <w:pStyle w:val="ListParagraph"/>
              <w:numPr>
                <w:ilvl w:val="0"/>
                <w:numId w:val="70"/>
              </w:numPr>
              <w:ind w:left="369" w:hanging="283"/>
              <w:jc w:val="both"/>
              <w:rPr>
                <w:sz w:val="22"/>
              </w:rPr>
            </w:pPr>
            <w:r w:rsidRPr="00E534ED">
              <w:rPr>
                <w:sz w:val="22"/>
              </w:rPr>
              <w:t xml:space="preserve">2014.gadā </w:t>
            </w:r>
            <w:r w:rsidRPr="00E534ED">
              <w:rPr>
                <w:sz w:val="22"/>
                <w:u w:val="single"/>
              </w:rPr>
              <w:t>pabeigta</w:t>
            </w:r>
            <w:r w:rsidRPr="00E534ED">
              <w:rPr>
                <w:sz w:val="22"/>
              </w:rPr>
              <w:t xml:space="preserve"> nekustamo īpašumu pārvaldīšanas centralizācija;</w:t>
            </w:r>
          </w:p>
          <w:p w:rsidR="00562652" w:rsidRPr="00E534ED" w:rsidRDefault="00562652" w:rsidP="008C25BB">
            <w:pPr>
              <w:pStyle w:val="ListParagraph"/>
              <w:numPr>
                <w:ilvl w:val="0"/>
                <w:numId w:val="70"/>
              </w:numPr>
              <w:ind w:left="369" w:hanging="283"/>
              <w:jc w:val="both"/>
              <w:rPr>
                <w:sz w:val="22"/>
              </w:rPr>
            </w:pPr>
            <w:r w:rsidRPr="00E534ED">
              <w:rPr>
                <w:sz w:val="22"/>
              </w:rPr>
              <w:t xml:space="preserve">2014.gadā </w:t>
            </w:r>
            <w:r w:rsidRPr="00E534ED">
              <w:rPr>
                <w:sz w:val="22"/>
                <w:u w:val="single"/>
              </w:rPr>
              <w:t>pabeigta</w:t>
            </w:r>
            <w:r w:rsidRPr="00E534ED">
              <w:rPr>
                <w:sz w:val="22"/>
              </w:rPr>
              <w:t xml:space="preserve"> IeM un padotības iestāžu informācijas un komunikācijas resursu centralizācija un optimizācija u.c.;</w:t>
            </w:r>
          </w:p>
          <w:p w:rsidR="00562652" w:rsidRPr="00E534ED" w:rsidRDefault="00562652" w:rsidP="008C25BB">
            <w:pPr>
              <w:pStyle w:val="ListParagraph"/>
              <w:numPr>
                <w:ilvl w:val="0"/>
                <w:numId w:val="70"/>
              </w:numPr>
              <w:ind w:left="369" w:hanging="283"/>
              <w:jc w:val="both"/>
              <w:rPr>
                <w:sz w:val="22"/>
              </w:rPr>
            </w:pPr>
            <w:r w:rsidRPr="00E534ED">
              <w:rPr>
                <w:sz w:val="22"/>
              </w:rPr>
              <w:t xml:space="preserve">2015.gadā </w:t>
            </w:r>
            <w:r w:rsidRPr="00E534ED">
              <w:rPr>
                <w:sz w:val="22"/>
                <w:u w:val="single"/>
              </w:rPr>
              <w:t>turpināta</w:t>
            </w:r>
            <w:r w:rsidRPr="00E534ED">
              <w:rPr>
                <w:sz w:val="22"/>
              </w:rPr>
              <w:t xml:space="preserve"> amata vietu, kuras paredzētas amatpersonām ar speciālajām dienesta pakāpēm, bet kuru pienākumos ir atbalsta funkciju veikšana, pakāpeniska pārveidošana par amatiem, kurus ieņem darbinieki, ar kuriem noslēgts darba līgums;</w:t>
            </w:r>
          </w:p>
          <w:p w:rsidR="00562652" w:rsidRPr="00E534ED" w:rsidRDefault="00562652" w:rsidP="008C25BB">
            <w:pPr>
              <w:pStyle w:val="ListParagraph"/>
              <w:numPr>
                <w:ilvl w:val="0"/>
                <w:numId w:val="70"/>
              </w:numPr>
              <w:ind w:left="369" w:hanging="283"/>
              <w:jc w:val="both"/>
              <w:rPr>
                <w:sz w:val="22"/>
              </w:rPr>
            </w:pPr>
            <w:r w:rsidRPr="00E534ED">
              <w:rPr>
                <w:sz w:val="22"/>
              </w:rPr>
              <w:t>2015.gadā tika veikta IeM Informācijas centra struktūras reorganizācija, optimizējot un padarot efektīvāku IeM Informācijas centra funkciju īstenošanu;</w:t>
            </w:r>
          </w:p>
          <w:p w:rsidR="00562652" w:rsidRPr="00E534ED" w:rsidRDefault="00562652" w:rsidP="008C25BB">
            <w:pPr>
              <w:pStyle w:val="ListParagraph"/>
              <w:numPr>
                <w:ilvl w:val="0"/>
                <w:numId w:val="70"/>
              </w:numPr>
              <w:ind w:left="369" w:hanging="283"/>
              <w:jc w:val="both"/>
              <w:rPr>
                <w:sz w:val="22"/>
              </w:rPr>
            </w:pPr>
            <w:r w:rsidRPr="00E534ED">
              <w:rPr>
                <w:sz w:val="22"/>
              </w:rPr>
              <w:t>2015.gadā r</w:t>
            </w:r>
            <w:r w:rsidR="00D65C16" w:rsidRPr="00E534ED">
              <w:rPr>
                <w:sz w:val="22"/>
              </w:rPr>
              <w:t>esursu vadības sistēmas “HORIZON</w:t>
            </w:r>
            <w:r w:rsidRPr="00E534ED">
              <w:rPr>
                <w:sz w:val="22"/>
              </w:rPr>
              <w:t>” uzturēšanas pakalpojuma saņemšanu finansiāli nodrošinās IeM;</w:t>
            </w:r>
          </w:p>
          <w:p w:rsidR="00562652" w:rsidRPr="00E534ED" w:rsidRDefault="00562652" w:rsidP="008C25BB">
            <w:pPr>
              <w:pStyle w:val="ListParagraph"/>
              <w:numPr>
                <w:ilvl w:val="0"/>
                <w:numId w:val="70"/>
              </w:numPr>
              <w:ind w:left="369" w:hanging="283"/>
              <w:jc w:val="both"/>
              <w:rPr>
                <w:sz w:val="22"/>
              </w:rPr>
            </w:pPr>
            <w:r w:rsidRPr="00E534ED">
              <w:rPr>
                <w:sz w:val="22"/>
              </w:rPr>
              <w:t>2015.gadā pieņemts lēmums par administratīvās kapacitātes stiprināšanu pilsonības un migrācijas jomā;</w:t>
            </w:r>
          </w:p>
          <w:p w:rsidR="00562652" w:rsidRPr="00E534ED" w:rsidRDefault="00562652" w:rsidP="008C25BB">
            <w:pPr>
              <w:pStyle w:val="ListParagraph"/>
              <w:numPr>
                <w:ilvl w:val="0"/>
                <w:numId w:val="70"/>
              </w:numPr>
              <w:ind w:left="369" w:hanging="283"/>
              <w:jc w:val="both"/>
              <w:rPr>
                <w:sz w:val="22"/>
              </w:rPr>
            </w:pPr>
            <w:r w:rsidRPr="00E534ED">
              <w:rPr>
                <w:sz w:val="22"/>
              </w:rPr>
              <w:t>2015.gadā trauksmes sistēmu tehniskās administrēšanas funkcija no VUGD nodota IeM Informācijas centram;</w:t>
            </w:r>
          </w:p>
          <w:p w:rsidR="00562652" w:rsidRPr="00E534ED" w:rsidRDefault="00562652" w:rsidP="008C25BB">
            <w:pPr>
              <w:pStyle w:val="ListParagraph"/>
              <w:numPr>
                <w:ilvl w:val="0"/>
                <w:numId w:val="70"/>
              </w:numPr>
              <w:ind w:left="369" w:hanging="283"/>
              <w:jc w:val="both"/>
              <w:rPr>
                <w:sz w:val="22"/>
              </w:rPr>
            </w:pPr>
            <w:r w:rsidRPr="00E534ED">
              <w:rPr>
                <w:sz w:val="22"/>
              </w:rPr>
              <w:lastRenderedPageBreak/>
              <w:t>2015.gadā pilnveidots Eiropas Migrāciju tīkla Latvijas kontaktpunkta darbības finansēšanas modelis;</w:t>
            </w:r>
          </w:p>
          <w:p w:rsidR="00562652" w:rsidRPr="00E534ED" w:rsidRDefault="00562652" w:rsidP="008C25BB">
            <w:pPr>
              <w:pStyle w:val="ListParagraph"/>
              <w:numPr>
                <w:ilvl w:val="0"/>
                <w:numId w:val="70"/>
              </w:numPr>
              <w:ind w:left="369" w:hanging="283"/>
              <w:jc w:val="both"/>
              <w:rPr>
                <w:sz w:val="22"/>
              </w:rPr>
            </w:pPr>
            <w:r w:rsidRPr="00E534ED">
              <w:rPr>
                <w:sz w:val="22"/>
              </w:rPr>
              <w:t>Apcietināto un notiesāto personu apsargāšanas, konvojēšanas un uzturēšanas nodošana TM Ieslodzījumu vietu pārvaldei;</w:t>
            </w:r>
          </w:p>
          <w:p w:rsidR="00562652" w:rsidRPr="00E534ED" w:rsidRDefault="00562652" w:rsidP="008C25BB">
            <w:pPr>
              <w:pStyle w:val="ListParagraph"/>
              <w:numPr>
                <w:ilvl w:val="0"/>
                <w:numId w:val="70"/>
              </w:numPr>
              <w:ind w:left="369" w:hanging="283"/>
              <w:jc w:val="both"/>
              <w:rPr>
                <w:sz w:val="22"/>
              </w:rPr>
            </w:pPr>
            <w:r w:rsidRPr="00E534ED">
              <w:rPr>
                <w:sz w:val="22"/>
              </w:rPr>
              <w:t>Tiesu kārtībnieku darbību nodrošinās Tiesu administrācija vai tiesas, izveidojot tiesu iekšējās drošības dienestus vai slēdzot pakalpojuma līgumus ar apsardzes komersantiem;</w:t>
            </w:r>
          </w:p>
          <w:p w:rsidR="00562652" w:rsidRPr="00E534ED" w:rsidRDefault="00562652" w:rsidP="008C25BB">
            <w:pPr>
              <w:pStyle w:val="ListParagraph"/>
              <w:numPr>
                <w:ilvl w:val="0"/>
                <w:numId w:val="70"/>
              </w:numPr>
              <w:ind w:left="369" w:hanging="283"/>
              <w:jc w:val="both"/>
              <w:rPr>
                <w:sz w:val="22"/>
              </w:rPr>
            </w:pPr>
            <w:r w:rsidRPr="00E534ED">
              <w:rPr>
                <w:sz w:val="22"/>
              </w:rPr>
              <w:t>Valsts materiālās rezerves (3 risinājuma varianti);</w:t>
            </w:r>
          </w:p>
          <w:p w:rsidR="00562652" w:rsidRPr="00E534ED" w:rsidRDefault="00562652" w:rsidP="008C25BB">
            <w:pPr>
              <w:pStyle w:val="ListParagraph"/>
              <w:numPr>
                <w:ilvl w:val="0"/>
                <w:numId w:val="70"/>
              </w:numPr>
              <w:ind w:left="369" w:hanging="283"/>
              <w:jc w:val="both"/>
              <w:rPr>
                <w:sz w:val="22"/>
              </w:rPr>
            </w:pPr>
            <w:r w:rsidRPr="00E534ED">
              <w:rPr>
                <w:sz w:val="22"/>
              </w:rPr>
              <w:t>Pabalstu izmaksa bēgļiem un personām ar alternatīvo statusu, starptautisko aizsardzību saņēmušajām personām vienreizējo finansiālo atbalstu izmaksā IeM, bet pabalstu uzturēšanās izmaksu segšanai – LM;</w:t>
            </w:r>
          </w:p>
          <w:p w:rsidR="00562652" w:rsidRPr="00E534ED" w:rsidRDefault="00562652" w:rsidP="008C25BB">
            <w:pPr>
              <w:pStyle w:val="ListParagraph"/>
              <w:numPr>
                <w:ilvl w:val="0"/>
                <w:numId w:val="70"/>
              </w:numPr>
              <w:ind w:left="369" w:hanging="283"/>
              <w:jc w:val="both"/>
              <w:rPr>
                <w:sz w:val="22"/>
              </w:rPr>
            </w:pPr>
            <w:r w:rsidRPr="00E534ED">
              <w:rPr>
                <w:sz w:val="22"/>
              </w:rPr>
              <w:t>Plānotās izmaiņas Pilsonības un migrācijas lietu pārvaldes (turpmāk – PMLP) funkcijās – Otrā pasaules kara dalībnieka statusa piešķiršana, Jaunie personas kodi, eID karte kā obligāts personu apliecinošs dokuments, diskusijas par barikāžu dalībnieka statusa piešķiršanas jautājumiem;</w:t>
            </w:r>
          </w:p>
          <w:p w:rsidR="00562652" w:rsidRPr="00E534ED" w:rsidRDefault="00562652" w:rsidP="008C25BB">
            <w:pPr>
              <w:pStyle w:val="ListParagraph"/>
              <w:numPr>
                <w:ilvl w:val="0"/>
                <w:numId w:val="70"/>
              </w:numPr>
              <w:ind w:left="369" w:hanging="283"/>
              <w:jc w:val="both"/>
              <w:rPr>
                <w:sz w:val="22"/>
              </w:rPr>
            </w:pPr>
            <w:r w:rsidRPr="00E534ED">
              <w:rPr>
                <w:sz w:val="22"/>
              </w:rPr>
              <w:t>2016.gadā veikta Nodrošinājuma valsts aģentūrā veikta reorganizācija, izveidoti trīs departamenti – Īpašumu, bruņojuma un materiālo rezervju departaments, Izņemto lietu, piedziņas un materiālās apgādes departaments un Administratīvi-juridiskā un iepirkumu nodrošinājuma departaments, Finanšu un grāmatvedības pārvalde;</w:t>
            </w:r>
          </w:p>
          <w:p w:rsidR="00562652" w:rsidRPr="00E534ED" w:rsidRDefault="00562652" w:rsidP="008C25BB">
            <w:pPr>
              <w:pStyle w:val="ListParagraph"/>
              <w:numPr>
                <w:ilvl w:val="0"/>
                <w:numId w:val="70"/>
              </w:numPr>
              <w:ind w:left="369" w:hanging="283"/>
              <w:jc w:val="both"/>
              <w:rPr>
                <w:sz w:val="22"/>
              </w:rPr>
            </w:pPr>
            <w:r w:rsidRPr="00E534ED">
              <w:rPr>
                <w:sz w:val="22"/>
              </w:rPr>
              <w:t>2017.gadā papildus reorganizētas Nodrošinājuma valsts aģentūras Īpašumu, bruņojuma un materiālo rezervju departamenta Bruņojuma un materiālo rezervju nodaļa nolūkā organizēt efektīvu funkcijas izpildi bruņojuma un materiālo rezervju jomā.</w:t>
            </w:r>
          </w:p>
        </w:tc>
      </w:tr>
      <w:tr w:rsidR="00562652" w:rsidRPr="00E534ED" w:rsidTr="00E534ED">
        <w:tc>
          <w:tcPr>
            <w:tcW w:w="519" w:type="pct"/>
          </w:tcPr>
          <w:p w:rsidR="00562652" w:rsidRPr="00E534ED" w:rsidRDefault="00562652" w:rsidP="00647367">
            <w:pPr>
              <w:rPr>
                <w:sz w:val="22"/>
              </w:rPr>
            </w:pPr>
            <w:r w:rsidRPr="00E534ED">
              <w:rPr>
                <w:sz w:val="22"/>
              </w:rPr>
              <w:lastRenderedPageBreak/>
              <w:t xml:space="preserve">4. </w:t>
            </w:r>
          </w:p>
        </w:tc>
        <w:tc>
          <w:tcPr>
            <w:tcW w:w="770" w:type="pct"/>
          </w:tcPr>
          <w:p w:rsidR="00562652" w:rsidRPr="00E534ED" w:rsidRDefault="00562652" w:rsidP="00647367">
            <w:pPr>
              <w:rPr>
                <w:sz w:val="22"/>
              </w:rPr>
            </w:pPr>
            <w:r w:rsidRPr="00E534ED">
              <w:rPr>
                <w:sz w:val="22"/>
              </w:rPr>
              <w:t>LM</w:t>
            </w:r>
          </w:p>
        </w:tc>
        <w:tc>
          <w:tcPr>
            <w:tcW w:w="3711" w:type="pct"/>
          </w:tcPr>
          <w:p w:rsidR="00562652" w:rsidRPr="00E534ED" w:rsidRDefault="00562652" w:rsidP="008C25BB">
            <w:pPr>
              <w:pStyle w:val="ListParagraph"/>
              <w:numPr>
                <w:ilvl w:val="0"/>
                <w:numId w:val="70"/>
              </w:numPr>
              <w:ind w:left="369" w:hanging="283"/>
              <w:jc w:val="both"/>
              <w:rPr>
                <w:sz w:val="22"/>
              </w:rPr>
            </w:pPr>
            <w:r w:rsidRPr="00E534ED">
              <w:rPr>
                <w:sz w:val="22"/>
              </w:rPr>
              <w:t>2009.gadā likvidēta Sociālo pakalpojumu pārvalde, Tehnisko palīglīdzekļu centrs, no 33 valsts sociālās aprūpes centriem izveidoti 5 centri, kā arī LM no Bērnu, ģimenes un sabiedrības integrācijas lietu ministrijas pārņēma funkcijas bērnu un ģimenes politikas veidošanā;</w:t>
            </w:r>
          </w:p>
          <w:p w:rsidR="00562652" w:rsidRPr="00E534ED" w:rsidRDefault="00562652" w:rsidP="008C25BB">
            <w:pPr>
              <w:pStyle w:val="ListParagraph"/>
              <w:numPr>
                <w:ilvl w:val="0"/>
                <w:numId w:val="70"/>
              </w:numPr>
              <w:ind w:left="369" w:hanging="283"/>
              <w:jc w:val="both"/>
              <w:rPr>
                <w:sz w:val="22"/>
              </w:rPr>
            </w:pPr>
            <w:r w:rsidRPr="00E534ED">
              <w:rPr>
                <w:sz w:val="22"/>
              </w:rPr>
              <w:t>Notikusi vairāku atbalsta funkciju centralizēšana – grāmatvedība, personāla vadība, informācijas tehnoloģiju administrēšana, iekšējais audits. No 2009.gada centralizēti tiek nodrošināta vairāku nozares iestāžu personālvadības un grāmatvedības funkcija;</w:t>
            </w:r>
          </w:p>
          <w:p w:rsidR="00562652" w:rsidRPr="00E534ED" w:rsidRDefault="00562652" w:rsidP="008C25BB">
            <w:pPr>
              <w:pStyle w:val="ListParagraph"/>
              <w:numPr>
                <w:ilvl w:val="0"/>
                <w:numId w:val="70"/>
              </w:numPr>
              <w:ind w:left="369" w:hanging="283"/>
              <w:jc w:val="both"/>
              <w:rPr>
                <w:sz w:val="22"/>
              </w:rPr>
            </w:pPr>
            <w:r w:rsidRPr="00E534ED">
              <w:rPr>
                <w:sz w:val="22"/>
              </w:rPr>
              <w:t xml:space="preserve"> Kopš 2011.gada Valsts sociālās apdrošināšanas aģentūra centralizēti nodrošina ministrijas un atsevišķu nozares iestāžu informācijas tehnoloģiju administrēšanu;</w:t>
            </w:r>
          </w:p>
          <w:p w:rsidR="00562652" w:rsidRPr="00E534ED" w:rsidRDefault="00562652" w:rsidP="008C25BB">
            <w:pPr>
              <w:pStyle w:val="ListParagraph"/>
              <w:numPr>
                <w:ilvl w:val="0"/>
                <w:numId w:val="70"/>
              </w:numPr>
              <w:ind w:left="369" w:hanging="283"/>
              <w:jc w:val="both"/>
              <w:rPr>
                <w:sz w:val="22"/>
              </w:rPr>
            </w:pPr>
            <w:r w:rsidRPr="00E534ED">
              <w:rPr>
                <w:sz w:val="22"/>
              </w:rPr>
              <w:t>Kopš 2014.gada uzsākta atsevišķu iepirkumu centralizēšana, piemēram, elektroenerģijas iegāde, degvielas iegāde, telekomunikāciju pakalpojumi, telpu remontdarbi, ūdens un kanalizācijas tīklu remonts un apkope, ventilācijas sistēmu un kondicionieru iegāde, remonts un apkope, telpu uzkopšana, nekustamā īpašuma apdrošināšana un citi;</w:t>
            </w:r>
          </w:p>
          <w:p w:rsidR="00562652" w:rsidRPr="00E534ED" w:rsidRDefault="00562652" w:rsidP="008C25BB">
            <w:pPr>
              <w:pStyle w:val="ListParagraph"/>
              <w:numPr>
                <w:ilvl w:val="0"/>
                <w:numId w:val="70"/>
              </w:numPr>
              <w:ind w:left="369" w:hanging="283"/>
              <w:jc w:val="both"/>
              <w:rPr>
                <w:sz w:val="22"/>
              </w:rPr>
            </w:pPr>
            <w:r w:rsidRPr="00E534ED">
              <w:rPr>
                <w:sz w:val="22"/>
              </w:rPr>
              <w:t>LM un tās padotības iestādēs tiek nodrošināta e-pakalpojumu attīstība (kopumā nozarē izveidoti 76 e-pakalpojumi), optimizē iestāžu filiāļu un klientu apkalpošanas centru darbību, kā arī ERAF informācijas sistēmu un datu bāžu saslēgšanas, lai nodrošinātu elektronisku dokumentu un informācijas apriti un apstrādi, mazinātu papīra veida dokumentu plūsmu un optimizētu administratīvos resursus to apstrādei.</w:t>
            </w:r>
          </w:p>
        </w:tc>
      </w:tr>
      <w:tr w:rsidR="00562652" w:rsidRPr="00E534ED" w:rsidTr="00E534ED">
        <w:tc>
          <w:tcPr>
            <w:tcW w:w="519" w:type="pct"/>
          </w:tcPr>
          <w:p w:rsidR="00562652" w:rsidRPr="00E534ED" w:rsidRDefault="00562652" w:rsidP="00647367">
            <w:pPr>
              <w:rPr>
                <w:sz w:val="22"/>
              </w:rPr>
            </w:pPr>
            <w:r w:rsidRPr="00E534ED">
              <w:rPr>
                <w:sz w:val="22"/>
              </w:rPr>
              <w:t>5.</w:t>
            </w:r>
          </w:p>
        </w:tc>
        <w:tc>
          <w:tcPr>
            <w:tcW w:w="770" w:type="pct"/>
          </w:tcPr>
          <w:p w:rsidR="00562652" w:rsidRPr="00E534ED" w:rsidRDefault="00562652" w:rsidP="00647367">
            <w:pPr>
              <w:rPr>
                <w:sz w:val="22"/>
              </w:rPr>
            </w:pPr>
            <w:r w:rsidRPr="00E534ED">
              <w:rPr>
                <w:sz w:val="22"/>
              </w:rPr>
              <w:t>TM</w:t>
            </w:r>
          </w:p>
        </w:tc>
        <w:tc>
          <w:tcPr>
            <w:tcW w:w="3711" w:type="pct"/>
          </w:tcPr>
          <w:p w:rsidR="00562652" w:rsidRPr="00E534ED" w:rsidRDefault="00562652" w:rsidP="008C25BB">
            <w:pPr>
              <w:pStyle w:val="ListParagraph"/>
              <w:numPr>
                <w:ilvl w:val="0"/>
                <w:numId w:val="70"/>
              </w:numPr>
              <w:ind w:left="369" w:hanging="283"/>
              <w:jc w:val="both"/>
              <w:rPr>
                <w:sz w:val="22"/>
              </w:rPr>
            </w:pPr>
            <w:r w:rsidRPr="00E534ED">
              <w:rPr>
                <w:sz w:val="22"/>
              </w:rPr>
              <w:t xml:space="preserve">No 2017.gada mainīts maksātnespējas administratoru uzraudzības modelis un paplašinātas Maksātnespējas administrācijai (turpmāk – MAN) funkcijas, nosakot MAN maksātnespējas administratoru </w:t>
            </w:r>
            <w:r w:rsidRPr="00E534ED">
              <w:rPr>
                <w:sz w:val="22"/>
              </w:rPr>
              <w:lastRenderedPageBreak/>
              <w:t>sertificēšanas funkcijas, paredzot iestādes vadītājam tiesības iecelt un atcelt no amata maksātnespējas administratorus, kā arī maksātnespējas administratoriem ieviešot disciplināratbildību, MAN nosakot nodrošināt un organizēt jaunizveidojamās disciplinārlietu komisijas darbu;</w:t>
            </w:r>
          </w:p>
          <w:p w:rsidR="00562652" w:rsidRPr="00E534ED" w:rsidRDefault="00562652" w:rsidP="007D24F7">
            <w:pPr>
              <w:pStyle w:val="ListParagraph"/>
              <w:numPr>
                <w:ilvl w:val="0"/>
                <w:numId w:val="70"/>
              </w:numPr>
              <w:ind w:left="369" w:hanging="283"/>
              <w:jc w:val="both"/>
              <w:rPr>
                <w:sz w:val="22"/>
              </w:rPr>
            </w:pPr>
            <w:r w:rsidRPr="00E534ED">
              <w:rPr>
                <w:sz w:val="22"/>
              </w:rPr>
              <w:t xml:space="preserve">Sagatavoti </w:t>
            </w:r>
            <w:r w:rsidR="007D24F7">
              <w:rPr>
                <w:sz w:val="22"/>
              </w:rPr>
              <w:t>IKT</w:t>
            </w:r>
            <w:r w:rsidRPr="00E534ED">
              <w:rPr>
                <w:sz w:val="22"/>
              </w:rPr>
              <w:t xml:space="preserve"> projekti datu pakalpojumu attīstībai, kuru īstenošanas rezultātā paredzama ietekme uz iestāžu funkciju īstenošanai nepieciešamā finansējuma efektivizēšanu. Paredzams, ka manuāli apstrādājamo datu apjoms samazināsies, līdz ar to samazināsies arī faktiskās izmaksas iestāžu attiecīgo funkciju nodrošināšanai gan valsts un pašvaldību institūcijās, gan privātpersonām.</w:t>
            </w:r>
          </w:p>
        </w:tc>
      </w:tr>
      <w:tr w:rsidR="00562652" w:rsidRPr="00E534ED" w:rsidTr="00E534ED">
        <w:tc>
          <w:tcPr>
            <w:tcW w:w="519" w:type="pct"/>
          </w:tcPr>
          <w:p w:rsidR="00562652" w:rsidRPr="00E534ED" w:rsidRDefault="00562652" w:rsidP="00647367">
            <w:pPr>
              <w:rPr>
                <w:sz w:val="22"/>
              </w:rPr>
            </w:pPr>
            <w:r w:rsidRPr="00E534ED">
              <w:rPr>
                <w:sz w:val="22"/>
              </w:rPr>
              <w:lastRenderedPageBreak/>
              <w:t>6.</w:t>
            </w:r>
          </w:p>
        </w:tc>
        <w:tc>
          <w:tcPr>
            <w:tcW w:w="770" w:type="pct"/>
          </w:tcPr>
          <w:p w:rsidR="00562652" w:rsidRPr="00E534ED" w:rsidRDefault="00562652" w:rsidP="00647367">
            <w:pPr>
              <w:rPr>
                <w:sz w:val="22"/>
              </w:rPr>
            </w:pPr>
            <w:r w:rsidRPr="00E534ED">
              <w:rPr>
                <w:sz w:val="22"/>
              </w:rPr>
              <w:t>VARAM</w:t>
            </w:r>
          </w:p>
        </w:tc>
        <w:tc>
          <w:tcPr>
            <w:tcW w:w="3711" w:type="pct"/>
          </w:tcPr>
          <w:p w:rsidR="00562652" w:rsidRPr="00E534ED" w:rsidRDefault="00562652" w:rsidP="008C25BB">
            <w:pPr>
              <w:pStyle w:val="ListParagraph"/>
              <w:numPr>
                <w:ilvl w:val="0"/>
                <w:numId w:val="70"/>
              </w:numPr>
              <w:ind w:left="369" w:hanging="283"/>
              <w:jc w:val="both"/>
              <w:rPr>
                <w:sz w:val="22"/>
              </w:rPr>
            </w:pPr>
            <w:r w:rsidRPr="00E534ED">
              <w:rPr>
                <w:sz w:val="22"/>
              </w:rPr>
              <w:t>2016.gadā no Latvijas Vides aizsardzības fonda administrācijas uz Valsts vides dienestu veikta līdzekļu pārdale sakarā ar grozījumiem Dabas resursu nodokļa likumā un Iepakojuma likumā, jo lēmuma pieņemšanas administratīvo procesu par atbrīvojumu no dabas resursu nodokļa samaksas no 2017.gada nodrošinās Valsts vides dienests;</w:t>
            </w:r>
          </w:p>
          <w:p w:rsidR="00562652" w:rsidRPr="00E534ED" w:rsidRDefault="00562652" w:rsidP="00F16ECE">
            <w:pPr>
              <w:pStyle w:val="ListParagraph"/>
              <w:numPr>
                <w:ilvl w:val="0"/>
                <w:numId w:val="70"/>
              </w:numPr>
              <w:ind w:left="369" w:hanging="283"/>
              <w:jc w:val="both"/>
              <w:rPr>
                <w:sz w:val="22"/>
              </w:rPr>
            </w:pPr>
            <w:r w:rsidRPr="00E534ED">
              <w:rPr>
                <w:sz w:val="22"/>
              </w:rPr>
              <w:t>Lai sākotnējās ietekmes uz vidi novērtējuma procedūra no divpakāpju sistēmas tiktu nodrošināta vienpakāpju sistēmā, no 2017.gada sākotnējās ietekmes uz vidi novērtējuma procedūru koordinē un pārrauga viena institūcija – Valsts vides dienests.</w:t>
            </w:r>
          </w:p>
        </w:tc>
      </w:tr>
      <w:tr w:rsidR="00562652" w:rsidRPr="00E534ED" w:rsidTr="00E534ED">
        <w:tc>
          <w:tcPr>
            <w:tcW w:w="519" w:type="pct"/>
          </w:tcPr>
          <w:p w:rsidR="00562652" w:rsidRPr="00E534ED" w:rsidRDefault="00562652" w:rsidP="00647367">
            <w:pPr>
              <w:rPr>
                <w:sz w:val="22"/>
              </w:rPr>
            </w:pPr>
            <w:r w:rsidRPr="00E534ED">
              <w:rPr>
                <w:sz w:val="22"/>
              </w:rPr>
              <w:t>7.</w:t>
            </w:r>
          </w:p>
        </w:tc>
        <w:tc>
          <w:tcPr>
            <w:tcW w:w="770" w:type="pct"/>
          </w:tcPr>
          <w:p w:rsidR="00562652" w:rsidRPr="00E534ED" w:rsidRDefault="00562652" w:rsidP="00647367">
            <w:pPr>
              <w:rPr>
                <w:sz w:val="22"/>
              </w:rPr>
            </w:pPr>
            <w:r w:rsidRPr="00E534ED">
              <w:rPr>
                <w:sz w:val="22"/>
              </w:rPr>
              <w:t>KM</w:t>
            </w:r>
          </w:p>
        </w:tc>
        <w:tc>
          <w:tcPr>
            <w:tcW w:w="3711" w:type="pct"/>
          </w:tcPr>
          <w:p w:rsidR="00562652" w:rsidRPr="00E534ED" w:rsidRDefault="00562652" w:rsidP="008C25BB">
            <w:pPr>
              <w:pStyle w:val="ListParagraph"/>
              <w:numPr>
                <w:ilvl w:val="0"/>
                <w:numId w:val="70"/>
              </w:numPr>
              <w:ind w:left="369" w:hanging="283"/>
              <w:jc w:val="both"/>
              <w:rPr>
                <w:sz w:val="22"/>
              </w:rPr>
            </w:pPr>
            <w:r w:rsidRPr="00E534ED">
              <w:rPr>
                <w:sz w:val="22"/>
              </w:rPr>
              <w:t>No 2014.-2016.gadam KM uzturējusi MK noteiktās funkcijas – mediju politikas plānošana un ieviešana, Latvijas valsts simtgades programmas sagatavošana;</w:t>
            </w:r>
          </w:p>
          <w:p w:rsidR="00562652" w:rsidRPr="00E534ED" w:rsidRDefault="00562652" w:rsidP="008C25BB">
            <w:pPr>
              <w:pStyle w:val="ListParagraph"/>
              <w:numPr>
                <w:ilvl w:val="0"/>
                <w:numId w:val="70"/>
              </w:numPr>
              <w:ind w:left="369" w:hanging="283"/>
              <w:jc w:val="both"/>
              <w:rPr>
                <w:sz w:val="22"/>
              </w:rPr>
            </w:pPr>
            <w:r w:rsidRPr="00E534ED">
              <w:rPr>
                <w:sz w:val="22"/>
              </w:rPr>
              <w:t>Kultūras akadēmijai nodota KM neraksturīgā funkcija – muzeja speciālistu tālākizglītības programma;</w:t>
            </w:r>
          </w:p>
          <w:p w:rsidR="00562652" w:rsidRPr="00E534ED" w:rsidRDefault="00562652" w:rsidP="008C25BB">
            <w:pPr>
              <w:pStyle w:val="ListParagraph"/>
              <w:numPr>
                <w:ilvl w:val="0"/>
                <w:numId w:val="70"/>
              </w:numPr>
              <w:ind w:left="369" w:hanging="283"/>
              <w:jc w:val="both"/>
              <w:rPr>
                <w:sz w:val="22"/>
              </w:rPr>
            </w:pPr>
            <w:r w:rsidRPr="00E534ED">
              <w:rPr>
                <w:sz w:val="22"/>
              </w:rPr>
              <w:t>Īstenots KM un Valsts Kultūrkapitāla fonda funkciju un finansēšanas mērķu nošķīrums.</w:t>
            </w:r>
          </w:p>
        </w:tc>
      </w:tr>
    </w:tbl>
    <w:p w:rsidR="00562652" w:rsidRPr="00B47A59" w:rsidRDefault="00562652" w:rsidP="00B47A59">
      <w:pPr>
        <w:spacing w:before="240" w:after="240"/>
        <w:jc w:val="both"/>
        <w:rPr>
          <w:i/>
          <w:szCs w:val="24"/>
        </w:rPr>
      </w:pPr>
      <w:r w:rsidRPr="00B47A59">
        <w:rPr>
          <w:i/>
          <w:szCs w:val="24"/>
        </w:rPr>
        <w:t>Ministriju iesniegto priekšlikumu apkopojums.</w:t>
      </w:r>
    </w:p>
    <w:p w:rsidR="00562652" w:rsidRPr="00704639" w:rsidRDefault="00562652" w:rsidP="00562652">
      <w:pPr>
        <w:spacing w:before="120" w:after="120"/>
        <w:jc w:val="both"/>
        <w:rPr>
          <w:szCs w:val="24"/>
          <w:u w:val="single"/>
        </w:rPr>
      </w:pPr>
      <w:r w:rsidRPr="00704639">
        <w:rPr>
          <w:szCs w:val="24"/>
          <w:u w:val="single"/>
        </w:rPr>
        <w:t>AiM iesniegtie priekšlikumi:</w:t>
      </w:r>
    </w:p>
    <w:p w:rsidR="00562652" w:rsidRPr="00F737A3" w:rsidRDefault="00562652" w:rsidP="008C25BB">
      <w:pPr>
        <w:pStyle w:val="ListParagraph"/>
        <w:numPr>
          <w:ilvl w:val="0"/>
          <w:numId w:val="58"/>
        </w:numPr>
        <w:jc w:val="both"/>
        <w:rPr>
          <w:i/>
        </w:rPr>
      </w:pPr>
      <w:r w:rsidRPr="00F737A3">
        <w:rPr>
          <w:i/>
        </w:rPr>
        <w:t>AiM sadarbībā ar SM izvērtē Starptautiskās kravu loģistikas un ostu informācijas sistēmas (SKLOIS) projekta nodošanu SM.</w:t>
      </w:r>
    </w:p>
    <w:p w:rsidR="00562652" w:rsidRPr="00F737A3" w:rsidRDefault="00562652" w:rsidP="00E534ED">
      <w:pPr>
        <w:spacing w:before="120" w:after="120"/>
        <w:ind w:firstLine="720"/>
        <w:jc w:val="both"/>
      </w:pPr>
      <w:r>
        <w:t>SKLOIS projekta attīstības ietvaros paredzēts uzlabot un paplašināt funkcijas un uzdevumus, kas paredzētu ne tikai jūras kravu loģistikas datu apstrādi, bet arī visu pārējo kravu un transporta loģistikas veidu apvienošanu, kas pārsniegtu Nacionālo bruņoto spēku Jūras spēku flotiles Krasta apsardzes dienesta pilnvaras un kompetenci, norit darbs pie normatīvo aktu caurskatīšanas un starpinstitūciju vienošanās sagatavošanas.</w:t>
      </w:r>
    </w:p>
    <w:p w:rsidR="00562652" w:rsidRDefault="00562652" w:rsidP="008C25BB">
      <w:pPr>
        <w:pStyle w:val="ListParagraph"/>
        <w:numPr>
          <w:ilvl w:val="0"/>
          <w:numId w:val="58"/>
        </w:numPr>
        <w:jc w:val="both"/>
        <w:rPr>
          <w:i/>
        </w:rPr>
      </w:pPr>
      <w:r>
        <w:rPr>
          <w:i/>
        </w:rPr>
        <w:t xml:space="preserve">Nepieciešami risinājumi, kā optimizēt </w:t>
      </w:r>
      <w:r w:rsidRPr="005D7785">
        <w:rPr>
          <w:i/>
        </w:rPr>
        <w:t>privātā sektora elektroniskās identifikācijas pakalpojumu sniedzēju sertifikācijas uzraudzības funkcijas īstenošanu.</w:t>
      </w:r>
    </w:p>
    <w:p w:rsidR="00562652" w:rsidRPr="005D7785" w:rsidRDefault="00562652" w:rsidP="00E534ED">
      <w:pPr>
        <w:spacing w:before="120" w:after="120"/>
        <w:ind w:firstLine="720"/>
        <w:jc w:val="both"/>
      </w:pPr>
      <w:r>
        <w:t xml:space="preserve">Izvērsta informācijas tehnoloģiju lietošana, saņemot pakalpojumus, rada elektroniskās vides apdraudējumu personas datu drošībai, banku kontiem un citiem sensitīviem datiem, nepieciešams izstrādāt un uzturēt centralizētu uzraudzības mehānismu arī Latvijas publiskajā pārvaldē.  </w:t>
      </w:r>
    </w:p>
    <w:p w:rsidR="00562652" w:rsidRPr="004A7F30" w:rsidRDefault="00562652" w:rsidP="008C25BB">
      <w:pPr>
        <w:pStyle w:val="ListParagraph"/>
        <w:numPr>
          <w:ilvl w:val="0"/>
          <w:numId w:val="58"/>
        </w:numPr>
        <w:spacing w:before="120"/>
        <w:ind w:left="714" w:hanging="357"/>
        <w:jc w:val="both"/>
        <w:rPr>
          <w:i/>
        </w:rPr>
      </w:pPr>
      <w:r w:rsidRPr="004A7F30">
        <w:rPr>
          <w:i/>
        </w:rPr>
        <w:t>Nepieciešams samazināt iekšējos resursus tādās atbalsta funkciju jomās kā personālvadība, IKT pārvaldība, iepirkumi, grāmatvedība un autoparku uzturēšana.</w:t>
      </w:r>
    </w:p>
    <w:p w:rsidR="00562652" w:rsidRDefault="00562652" w:rsidP="00562652">
      <w:pPr>
        <w:spacing w:before="240" w:after="120"/>
        <w:jc w:val="both"/>
        <w:rPr>
          <w:szCs w:val="24"/>
          <w:u w:val="single"/>
        </w:rPr>
      </w:pPr>
      <w:r w:rsidRPr="00B5004F">
        <w:rPr>
          <w:szCs w:val="24"/>
          <w:u w:val="single"/>
        </w:rPr>
        <w:t xml:space="preserve">FM iesniegtie priekšlikumi:   </w:t>
      </w:r>
    </w:p>
    <w:p w:rsidR="00562652" w:rsidRPr="00A41216" w:rsidRDefault="00562652" w:rsidP="00A41216">
      <w:pPr>
        <w:pStyle w:val="ListParagraph"/>
        <w:numPr>
          <w:ilvl w:val="0"/>
          <w:numId w:val="145"/>
        </w:numPr>
        <w:spacing w:before="120" w:after="120"/>
        <w:jc w:val="both"/>
        <w:rPr>
          <w:i/>
          <w:szCs w:val="24"/>
        </w:rPr>
      </w:pPr>
      <w:r w:rsidRPr="00A41216">
        <w:rPr>
          <w:i/>
          <w:szCs w:val="24"/>
        </w:rPr>
        <w:t xml:space="preserve">Paplašināt preču un pakalpojumu loku, ko iespējams iegādāties centralizēti Elektronisko iepirkumu sistēmā. </w:t>
      </w:r>
    </w:p>
    <w:p w:rsidR="00562652" w:rsidRDefault="00562652" w:rsidP="00E534ED">
      <w:pPr>
        <w:spacing w:before="120" w:after="120"/>
        <w:ind w:firstLine="720"/>
        <w:jc w:val="both"/>
        <w:rPr>
          <w:szCs w:val="24"/>
        </w:rPr>
      </w:pPr>
      <w:r>
        <w:rPr>
          <w:szCs w:val="24"/>
        </w:rPr>
        <w:lastRenderedPageBreak/>
        <w:t>Lai paaugstinātu publisko iepirkumu efektivitāti un pārklājumu, tostarp piemērojot standartizētu metodoloģiju un vadlīnijas, centralizējot valsts un pašvaldību iepirkumus un izmantojot Elektronisko iepirkumu sistēmas e-katalogus centrālās valdības un pašvaldību iestādēs, FM ierosina paplašināt preču un pakalpojumu loku, ko iespējams iegādāties centralizēti:</w:t>
      </w:r>
    </w:p>
    <w:p w:rsidR="00562652" w:rsidRDefault="00562652" w:rsidP="008C25BB">
      <w:pPr>
        <w:pStyle w:val="ListParagraph"/>
        <w:numPr>
          <w:ilvl w:val="0"/>
          <w:numId w:val="61"/>
        </w:numPr>
        <w:spacing w:before="120" w:after="120"/>
        <w:jc w:val="both"/>
        <w:rPr>
          <w:szCs w:val="24"/>
        </w:rPr>
      </w:pPr>
      <w:r>
        <w:rPr>
          <w:szCs w:val="24"/>
        </w:rPr>
        <w:t>Autotransports, autotransporta serviss.</w:t>
      </w:r>
    </w:p>
    <w:p w:rsidR="00562652" w:rsidRDefault="00562652" w:rsidP="008C25BB">
      <w:pPr>
        <w:pStyle w:val="ListParagraph"/>
        <w:numPr>
          <w:ilvl w:val="0"/>
          <w:numId w:val="61"/>
        </w:numPr>
        <w:spacing w:before="120" w:after="120"/>
        <w:jc w:val="both"/>
        <w:rPr>
          <w:szCs w:val="24"/>
        </w:rPr>
      </w:pPr>
      <w:r>
        <w:rPr>
          <w:szCs w:val="24"/>
        </w:rPr>
        <w:t>Degviela un kurināmais, elektroenerģija.</w:t>
      </w:r>
    </w:p>
    <w:p w:rsidR="00562652" w:rsidRDefault="00562652" w:rsidP="008C25BB">
      <w:pPr>
        <w:pStyle w:val="ListParagraph"/>
        <w:numPr>
          <w:ilvl w:val="0"/>
          <w:numId w:val="61"/>
        </w:numPr>
        <w:spacing w:before="120" w:after="120"/>
        <w:jc w:val="both"/>
        <w:rPr>
          <w:szCs w:val="24"/>
        </w:rPr>
      </w:pPr>
      <w:r>
        <w:rPr>
          <w:szCs w:val="24"/>
        </w:rPr>
        <w:t>Darba aizsardzības.</w:t>
      </w:r>
    </w:p>
    <w:p w:rsidR="00562652" w:rsidRDefault="00562652" w:rsidP="008C25BB">
      <w:pPr>
        <w:pStyle w:val="ListParagraph"/>
        <w:numPr>
          <w:ilvl w:val="0"/>
          <w:numId w:val="61"/>
        </w:numPr>
        <w:spacing w:before="120" w:after="120"/>
        <w:jc w:val="both"/>
        <w:rPr>
          <w:szCs w:val="24"/>
        </w:rPr>
      </w:pPr>
      <w:r>
        <w:rPr>
          <w:szCs w:val="24"/>
        </w:rPr>
        <w:t>Apsardze.</w:t>
      </w:r>
    </w:p>
    <w:p w:rsidR="00562652" w:rsidRDefault="00562652" w:rsidP="008C25BB">
      <w:pPr>
        <w:pStyle w:val="ListParagraph"/>
        <w:numPr>
          <w:ilvl w:val="0"/>
          <w:numId w:val="61"/>
        </w:numPr>
        <w:spacing w:before="120" w:after="120"/>
        <w:jc w:val="both"/>
        <w:rPr>
          <w:szCs w:val="24"/>
        </w:rPr>
      </w:pPr>
      <w:r>
        <w:rPr>
          <w:szCs w:val="24"/>
        </w:rPr>
        <w:t>Nekustamā īpašuma remonts.</w:t>
      </w:r>
    </w:p>
    <w:p w:rsidR="00562652" w:rsidRDefault="00562652" w:rsidP="008C25BB">
      <w:pPr>
        <w:pStyle w:val="ListParagraph"/>
        <w:numPr>
          <w:ilvl w:val="0"/>
          <w:numId w:val="61"/>
        </w:numPr>
        <w:spacing w:before="120" w:after="120"/>
        <w:jc w:val="both"/>
        <w:rPr>
          <w:szCs w:val="24"/>
        </w:rPr>
      </w:pPr>
      <w:r>
        <w:rPr>
          <w:szCs w:val="24"/>
        </w:rPr>
        <w:t>Telpu uzkopšana.</w:t>
      </w:r>
    </w:p>
    <w:p w:rsidR="00562652" w:rsidRDefault="00562652" w:rsidP="008C25BB">
      <w:pPr>
        <w:pStyle w:val="ListParagraph"/>
        <w:numPr>
          <w:ilvl w:val="0"/>
          <w:numId w:val="61"/>
        </w:numPr>
        <w:spacing w:before="120" w:after="120"/>
        <w:jc w:val="both"/>
        <w:rPr>
          <w:szCs w:val="24"/>
        </w:rPr>
      </w:pPr>
      <w:r>
        <w:rPr>
          <w:szCs w:val="24"/>
        </w:rPr>
        <w:t>Sakaru pakalpojumi un interneta pieslēguma pakalpojumi.</w:t>
      </w:r>
    </w:p>
    <w:p w:rsidR="00562652" w:rsidRDefault="00562652" w:rsidP="00E534ED">
      <w:pPr>
        <w:spacing w:before="120" w:after="120"/>
        <w:ind w:firstLine="720"/>
        <w:jc w:val="both"/>
        <w:rPr>
          <w:szCs w:val="24"/>
        </w:rPr>
      </w:pPr>
      <w:r w:rsidRPr="00BC368F">
        <w:rPr>
          <w:szCs w:val="24"/>
        </w:rPr>
        <w:t>Elektronisko iepirkumu sistēmas</w:t>
      </w:r>
      <w:r>
        <w:rPr>
          <w:szCs w:val="24"/>
        </w:rPr>
        <w:t xml:space="preserve"> piedāvāto pakalpojumu groza paplašināšana radītu cilvēkresursu ietaupījumu ne tikai FM, bet arī citās valsts pārvaldes iestādēs (mazāks iepirkuma procedūru skaits katrā iestādē, līdz ar to administratīvo resursu ietaupījums, kā arī iespējamas apjoma atlaides).</w:t>
      </w:r>
    </w:p>
    <w:p w:rsidR="00B61398" w:rsidRPr="00A41216" w:rsidRDefault="00B61398" w:rsidP="00A41216">
      <w:pPr>
        <w:pStyle w:val="ListParagraph"/>
        <w:numPr>
          <w:ilvl w:val="0"/>
          <w:numId w:val="145"/>
        </w:numPr>
        <w:spacing w:before="120" w:after="120"/>
        <w:jc w:val="both"/>
        <w:rPr>
          <w:i/>
          <w:szCs w:val="24"/>
        </w:rPr>
      </w:pPr>
      <w:r w:rsidRPr="00A41216">
        <w:rPr>
          <w:i/>
          <w:szCs w:val="24"/>
        </w:rPr>
        <w:t>Izložu un azartspēļu uzraudzības inspekcijas reorganizācija</w:t>
      </w:r>
    </w:p>
    <w:p w:rsidR="00B61398" w:rsidRDefault="00B61398" w:rsidP="00E534ED">
      <w:pPr>
        <w:spacing w:before="120" w:after="120"/>
        <w:ind w:firstLine="720"/>
        <w:jc w:val="both"/>
        <w:rPr>
          <w:szCs w:val="24"/>
        </w:rPr>
      </w:pPr>
      <w:r w:rsidRPr="000C0735">
        <w:rPr>
          <w:szCs w:val="24"/>
        </w:rPr>
        <w:t xml:space="preserve">Valdība kā vienu no būtiskiem darbības virzieniem definējusi valsts pārvaldes struktūras vienkāršošanu un funkciju standartizēšanu. Valsts pārvalde ir veikusi virkni reformu, lai mazinātu institūciju un valsts pārvaldē nodarbināto skaitu, organizētu savu darbu pēc iespējas efektīvi. Arī </w:t>
      </w:r>
      <w:r w:rsidR="00E534ED">
        <w:rPr>
          <w:szCs w:val="24"/>
        </w:rPr>
        <w:t>FM</w:t>
      </w:r>
      <w:r w:rsidRPr="000C0735">
        <w:rPr>
          <w:szCs w:val="24"/>
        </w:rPr>
        <w:t xml:space="preserve"> izvērtē mazo padotības iestāžu funkcijas un darbības efektivitātes uzlab</w:t>
      </w:r>
      <w:r>
        <w:rPr>
          <w:szCs w:val="24"/>
        </w:rPr>
        <w:t>o</w:t>
      </w:r>
      <w:r w:rsidRPr="000C0735">
        <w:rPr>
          <w:szCs w:val="24"/>
        </w:rPr>
        <w:t xml:space="preserve">šanai izskata iespējas to reorganizācijai. Šobrīd tiek vērtēta iespējamā Izložu un azartspēļu uzraudzības inspekcijas pievienošana </w:t>
      </w:r>
      <w:r w:rsidR="00E534ED">
        <w:rPr>
          <w:szCs w:val="24"/>
        </w:rPr>
        <w:t>VID</w:t>
      </w:r>
      <w:r w:rsidRPr="000C0735">
        <w:rPr>
          <w:szCs w:val="24"/>
        </w:rPr>
        <w:t>.</w:t>
      </w:r>
    </w:p>
    <w:p w:rsidR="00B61398" w:rsidRPr="00A41216" w:rsidRDefault="00B61398" w:rsidP="00A41216">
      <w:pPr>
        <w:pStyle w:val="ListParagraph"/>
        <w:numPr>
          <w:ilvl w:val="0"/>
          <w:numId w:val="145"/>
        </w:numPr>
        <w:spacing w:before="120" w:after="120"/>
        <w:jc w:val="both"/>
        <w:rPr>
          <w:i/>
          <w:szCs w:val="24"/>
        </w:rPr>
      </w:pPr>
      <w:r w:rsidRPr="00A41216">
        <w:rPr>
          <w:i/>
          <w:szCs w:val="24"/>
        </w:rPr>
        <w:t>Izdevumu pārstrukturizācija</w:t>
      </w:r>
    </w:p>
    <w:p w:rsidR="00B61398" w:rsidRPr="000C0735" w:rsidRDefault="00B61398" w:rsidP="00E534ED">
      <w:pPr>
        <w:spacing w:before="120" w:after="120"/>
        <w:ind w:firstLine="720"/>
        <w:jc w:val="both"/>
        <w:rPr>
          <w:szCs w:val="24"/>
        </w:rPr>
      </w:pPr>
      <w:r w:rsidRPr="000C0735">
        <w:rPr>
          <w:szCs w:val="24"/>
        </w:rPr>
        <w:t xml:space="preserve">Kā viena no valsts pārvaldes iestāžu izvirzītajām personālvadības vērtībām un prioritātēm ir darbinieku attīstība un profesionālās izaugsmes veicināšana. Apstākļos, kad piesaistīt un noturēt augsti kvalificētus darbiniekus valsts pārvaldē ir salīdzinoši grūti privātā sektora konkurences dēļ, iestādes meklē iespējas piedāvāt apmācības un attīstīt darbinieku profesionālās zināšanas. Darbinieku apmācības un profesionālo iemaņu pilnveide ir uzskatāma par vienu no populārākajām darbinieku motivēšanas metodēm, jo tā piepilda darbinieku vēlmi apgūt ko jaunu un noderīgu, veicina darbinieku ieinteresētību turpināt darbu iestādē, kā arī ļauj kvalitatīvāk un efektīvāk sasniegt iestādes mērķus. Piemēram, </w:t>
      </w:r>
      <w:r w:rsidR="00E534ED">
        <w:rPr>
          <w:szCs w:val="24"/>
        </w:rPr>
        <w:t>FM</w:t>
      </w:r>
      <w:r w:rsidRPr="000C0735">
        <w:rPr>
          <w:szCs w:val="24"/>
        </w:rPr>
        <w:t xml:space="preserve"> darbinieku kvalifikācijas celšanā papildus ikgadējām mācībām</w:t>
      </w:r>
      <w:r w:rsidRPr="000C0735">
        <w:rPr>
          <w:szCs w:val="24"/>
        </w:rPr>
        <w:tab/>
        <w:t xml:space="preserve"> izmanto </w:t>
      </w:r>
      <w:r w:rsidR="00E534ED">
        <w:rPr>
          <w:szCs w:val="24"/>
        </w:rPr>
        <w:t>ES</w:t>
      </w:r>
      <w:r w:rsidRPr="000C0735">
        <w:rPr>
          <w:szCs w:val="24"/>
        </w:rPr>
        <w:t xml:space="preserve"> institūciju sniegto piedāvājumu nosūtīt darbiniekus tajās stažēties. Darbiniekam pilnveidojoties profesionāli kādā no </w:t>
      </w:r>
      <w:r w:rsidR="00E534ED">
        <w:rPr>
          <w:szCs w:val="24"/>
        </w:rPr>
        <w:t>ES</w:t>
      </w:r>
      <w:r w:rsidRPr="000C0735">
        <w:rPr>
          <w:szCs w:val="24"/>
        </w:rPr>
        <w:t xml:space="preserve"> institūcijām, iestāde iegūst profesionālāku un motivētāku darbinieku, kurš veicina iestādes uzdevumu izpildi.</w:t>
      </w:r>
    </w:p>
    <w:p w:rsidR="00B61398" w:rsidRPr="000C0735" w:rsidRDefault="00B61398" w:rsidP="00E534ED">
      <w:pPr>
        <w:spacing w:before="120" w:after="120"/>
        <w:ind w:firstLine="720"/>
        <w:jc w:val="both"/>
        <w:rPr>
          <w:szCs w:val="24"/>
        </w:rPr>
      </w:pPr>
      <w:r w:rsidRPr="000C0735">
        <w:rPr>
          <w:szCs w:val="24"/>
        </w:rPr>
        <w:t>Iestādei, vadot personālu, ļoti svarīgs ir arī atalgojumam atvēlētā finansējuma apjoms un tā paaugstināšanas iespēja nākotnē. Ja darba atalgojums nav pārāk liels un nav paredzēts to palielināt, iestādes darbinieki sāk apšaubīt darba rezultātu, bet citkārt pat izvairās no tā sasniegšanas, nesajūtot ieguldītā darba novērtējumu. Tādejādi darbinieku atalgojuma ekonomija bieži nesasniedz tās sākotnējo mērķi – pat ja tā nerada tiešus darba izpildes traucējumus, tad darba efektivitāti arī tā noteikti nepaaugstina.</w:t>
      </w:r>
    </w:p>
    <w:p w:rsidR="00B61398" w:rsidRPr="000C0735" w:rsidRDefault="00B61398" w:rsidP="00E534ED">
      <w:pPr>
        <w:spacing w:before="120" w:after="120"/>
        <w:ind w:firstLine="720"/>
        <w:jc w:val="both"/>
        <w:rPr>
          <w:szCs w:val="24"/>
        </w:rPr>
      </w:pPr>
      <w:r w:rsidRPr="000C0735">
        <w:rPr>
          <w:szCs w:val="24"/>
        </w:rPr>
        <w:t>Valsts pārvaldē darbinieku motivācijas sistēma tiek veidota, balstoties uz Valsts un pašvaldību institūciju amatpersonu un darbinieku likumā noteiktajām normām. Ierobežoto finanšu resursu apstākļos ir būtiski saglabāt visas iespējas, lai darbinieku motivācijai finansējums tiktu izmantots maksimāli mērķtiecīgi, veicinot iestādes stratēģisko mērķu sasniegšanu. Pozitīvi vērtējama iestāžu vēlme arī ierobežoto finanšu līdzekļu situācijā rast iespējas darbinieku attīstības programmu izveidei un īstenošanai.</w:t>
      </w:r>
    </w:p>
    <w:p w:rsidR="00B61398" w:rsidRPr="00A15AF6" w:rsidRDefault="00B61398" w:rsidP="00E534ED">
      <w:pPr>
        <w:spacing w:before="120" w:after="120"/>
        <w:ind w:firstLine="720"/>
        <w:jc w:val="both"/>
        <w:rPr>
          <w:szCs w:val="24"/>
        </w:rPr>
      </w:pPr>
      <w:r w:rsidRPr="000C0735">
        <w:rPr>
          <w:szCs w:val="24"/>
        </w:rPr>
        <w:lastRenderedPageBreak/>
        <w:t>Tādejādi būtu atbalstāmi ministriju un citu centrālo iestāžu sniegtie priekšlikumi par atlīdzības un mācību izdevumiem novirzāmā finansējuma palielināšanu, ja tas tiek pārstrukturēts resora ietvaros un neprasa papildus valsts budžeta līdzekļus.</w:t>
      </w:r>
    </w:p>
    <w:p w:rsidR="00562652" w:rsidRDefault="00562652" w:rsidP="00562652">
      <w:pPr>
        <w:spacing w:before="240" w:after="120"/>
        <w:jc w:val="both"/>
        <w:rPr>
          <w:szCs w:val="24"/>
          <w:u w:val="single"/>
        </w:rPr>
      </w:pPr>
      <w:r>
        <w:rPr>
          <w:szCs w:val="24"/>
          <w:u w:val="single"/>
        </w:rPr>
        <w:t>IeM iesniegtie priekšlikumi:</w:t>
      </w:r>
    </w:p>
    <w:p w:rsidR="00562652" w:rsidRPr="00954922" w:rsidRDefault="00562652" w:rsidP="008C25BB">
      <w:pPr>
        <w:pStyle w:val="ListParagraph"/>
        <w:numPr>
          <w:ilvl w:val="0"/>
          <w:numId w:val="67"/>
        </w:numPr>
        <w:spacing w:before="120" w:after="120"/>
        <w:jc w:val="both"/>
        <w:rPr>
          <w:i/>
          <w:szCs w:val="24"/>
          <w:u w:val="single"/>
        </w:rPr>
      </w:pPr>
      <w:r w:rsidRPr="00954922">
        <w:rPr>
          <w:i/>
          <w:szCs w:val="24"/>
        </w:rPr>
        <w:t>Personas apliecības e-iespēju plašāka izmantošana.</w:t>
      </w:r>
    </w:p>
    <w:p w:rsidR="00562652" w:rsidRDefault="00562652" w:rsidP="00E534ED">
      <w:pPr>
        <w:spacing w:before="120" w:after="120"/>
        <w:ind w:firstLine="720"/>
        <w:jc w:val="both"/>
        <w:rPr>
          <w:szCs w:val="24"/>
        </w:rPr>
      </w:pPr>
      <w:r>
        <w:rPr>
          <w:szCs w:val="24"/>
        </w:rPr>
        <w:t>IeM ieskatā jāveicina augstāks sabiedrības informētības līmenis par priekšrocībām, ko sniedz pakalpojumu saņemšana elektroniskā vidē, kā arī par drošības jautājumiem, kas saistās ar savas identitātes apliecināšanu un pārbaudi internetā (autentifikāciju), un eID karšu un citu specializēto viedkaršu risinājumi tiek uzskatīti par vienu no galvenajiem attīstības virzieniem. Vienlaikus IeM uzskata, lai veicinātu jaunu pakalpojumu pieejamību, kuros var izmantot eID kartes, jāpalielina informatīvais un metodiskais atbalsts pakalpojumu sniedzējiem un izstrādātājiem, tajā skaitā apkopojot un publicējot labās prakses piemērus eID</w:t>
      </w:r>
      <w:r w:rsidR="00E534ED">
        <w:rPr>
          <w:szCs w:val="24"/>
        </w:rPr>
        <w:t xml:space="preserve"> </w:t>
      </w:r>
      <w:r>
        <w:rPr>
          <w:szCs w:val="24"/>
        </w:rPr>
        <w:t>karšu e-iespēju izmantošanai pašmājās un ārvalstīs.</w:t>
      </w:r>
    </w:p>
    <w:p w:rsidR="00562652" w:rsidRPr="000238E7" w:rsidRDefault="00562652" w:rsidP="008C25BB">
      <w:pPr>
        <w:pStyle w:val="ListParagraph"/>
        <w:numPr>
          <w:ilvl w:val="0"/>
          <w:numId w:val="67"/>
        </w:numPr>
        <w:spacing w:before="120" w:after="120"/>
        <w:jc w:val="both"/>
        <w:rPr>
          <w:i/>
          <w:szCs w:val="24"/>
        </w:rPr>
      </w:pPr>
      <w:r w:rsidRPr="000238E7">
        <w:rPr>
          <w:i/>
          <w:szCs w:val="24"/>
        </w:rPr>
        <w:t xml:space="preserve">TM Dzimtsarakstu departamenta pievienošana PMLP. </w:t>
      </w:r>
    </w:p>
    <w:p w:rsidR="00562652" w:rsidRDefault="00562652" w:rsidP="00E534ED">
      <w:pPr>
        <w:spacing w:before="120" w:after="120"/>
        <w:ind w:firstLine="720"/>
        <w:jc w:val="both"/>
        <w:rPr>
          <w:szCs w:val="24"/>
        </w:rPr>
      </w:pPr>
      <w:r>
        <w:rPr>
          <w:szCs w:val="24"/>
        </w:rPr>
        <w:t xml:space="preserve">PMLP un TM Dzimtsarakstu departamenta funkcijas ir radniecīgas un līdzīgas – bērnu reģistrācija un tiesiskā statusa noteikšana, ziņu iekļaušana un uzkrāšana valsts pamatreģistros – </w:t>
      </w:r>
      <w:r w:rsidRPr="00E65C9E">
        <w:rPr>
          <w:szCs w:val="24"/>
        </w:rPr>
        <w:t xml:space="preserve">Vienotā </w:t>
      </w:r>
      <w:r>
        <w:rPr>
          <w:szCs w:val="24"/>
        </w:rPr>
        <w:t xml:space="preserve">migrācijas informācijas sistēma (turpmāk – VMIS) Iedzīvotāju reģistrā un Civilstāvokļa aktu reģistrā (CARIS), attiecīgo ziņu izmaiņu fiksēšana u.tml. Tāpat arī abas iestādes nodarbojas ar personvārdu ierakstīšanu dokumentos atbilstoši latviešu valodas prasībām, un abas iestādes noteiktos gadījumos aktualizē reģistros ziņas par personas personvārda un tautības maiņu. CARIS sistēma ir PMLP pārziņā ar visām no tā izrietošajām sekām – datu kvalitātes nodrošināšana, drošības pasākumi, metodiskās vadības nodrošināšana u.tml. PMLP jau arī šobrīd apmāca dzimtsarakstu nodaļu darbiniekus par ziņu iekļaušanu un aktualizēšanu CARIS. Līdzīgas apmācības šiem pašiem dzimtsarakstu darbiniekiem PMLP nodrošina par ziņu iekļaušanu Iedzīvotāju reģistrā. Ievērojot funkciju līdzību un lai nodrošinātu efektīvu un vienveidīgu praksi par personvārdu rakstību dokumentos, par ziņu iekļaušanu minētajos reģistros, personu tiesiskā statusa noteikšanu u.tml., nepieciešams TM Dzimtsarakstu departamentu pievienot PMLP. </w:t>
      </w:r>
    </w:p>
    <w:p w:rsidR="00562652" w:rsidRPr="003E0F05" w:rsidRDefault="00562652" w:rsidP="008C25BB">
      <w:pPr>
        <w:pStyle w:val="ListParagraph"/>
        <w:numPr>
          <w:ilvl w:val="0"/>
          <w:numId w:val="67"/>
        </w:numPr>
        <w:spacing w:before="120" w:after="120"/>
        <w:jc w:val="both"/>
        <w:rPr>
          <w:i/>
          <w:szCs w:val="24"/>
        </w:rPr>
      </w:pPr>
      <w:r w:rsidRPr="003E0F05">
        <w:rPr>
          <w:i/>
          <w:szCs w:val="24"/>
        </w:rPr>
        <w:t xml:space="preserve">Dzimšanas/miršanas fakta reģistrēšana PMLP. </w:t>
      </w:r>
    </w:p>
    <w:p w:rsidR="00562652" w:rsidRPr="003E0F05" w:rsidRDefault="00562652" w:rsidP="00E534ED">
      <w:pPr>
        <w:spacing w:before="120" w:after="120"/>
        <w:ind w:firstLine="720"/>
        <w:jc w:val="both"/>
        <w:rPr>
          <w:szCs w:val="24"/>
        </w:rPr>
      </w:pPr>
      <w:r>
        <w:rPr>
          <w:szCs w:val="24"/>
        </w:rPr>
        <w:t>Paralēli pašvaldības dzimtsarakstu nodaļu kompetencei, arī PMLP lietu pārvaldes teritoriālās nodaļu kompetencei, arī PMLP teritoriālās nodaļas varētu reģistrēt bērnu dzimšanas faktu, tas būtu pozitīvi, lai bērna likumiskajiem pārstāvjiem nebūtu jāvēršas vairākās iestādēs. Tāpat PMLP lietu pārvaldē būtu iespējams reģistrēt arī miršanas faktu un izsniegt miršanas faktu apliecinošu dokumentu. Jau šobrīd PMLP reģistrē ārvalstīs notikušos šāda veida notikumus (dzimšana, miršana, laulības u.tml.)</w:t>
      </w:r>
      <w:r w:rsidR="00E534ED">
        <w:rPr>
          <w:szCs w:val="24"/>
        </w:rPr>
        <w:t>.</w:t>
      </w:r>
    </w:p>
    <w:p w:rsidR="00562652" w:rsidRDefault="00562652" w:rsidP="00562652">
      <w:pPr>
        <w:spacing w:before="240" w:after="120"/>
        <w:jc w:val="both"/>
        <w:rPr>
          <w:szCs w:val="24"/>
          <w:u w:val="single"/>
        </w:rPr>
      </w:pPr>
      <w:r w:rsidRPr="000C65F1">
        <w:rPr>
          <w:szCs w:val="24"/>
          <w:u w:val="single"/>
        </w:rPr>
        <w:t>IZM iesniegtie priekšlikumi:</w:t>
      </w:r>
    </w:p>
    <w:p w:rsidR="00562652" w:rsidRPr="00725EC6" w:rsidRDefault="00562652" w:rsidP="00E534ED">
      <w:pPr>
        <w:spacing w:before="120" w:after="120"/>
        <w:ind w:firstLine="720"/>
        <w:jc w:val="both"/>
        <w:rPr>
          <w:szCs w:val="24"/>
        </w:rPr>
      </w:pPr>
      <w:r>
        <w:rPr>
          <w:szCs w:val="24"/>
        </w:rPr>
        <w:t>IZM ieskatā, būtu izvērtējama šādu ministrijai neraksturīgo funkciju turpmākas nodrošināšanas iespējas (nodošana pašvaldībām, citai ministrijai):</w:t>
      </w:r>
    </w:p>
    <w:p w:rsidR="00562652" w:rsidRDefault="00562652" w:rsidP="008C25BB">
      <w:pPr>
        <w:pStyle w:val="ListParagraph"/>
        <w:numPr>
          <w:ilvl w:val="0"/>
          <w:numId w:val="62"/>
        </w:numPr>
        <w:spacing w:before="120" w:after="120"/>
        <w:jc w:val="both"/>
        <w:rPr>
          <w:i/>
          <w:szCs w:val="24"/>
        </w:rPr>
      </w:pPr>
      <w:r w:rsidRPr="00725EC6">
        <w:rPr>
          <w:i/>
          <w:szCs w:val="24"/>
        </w:rPr>
        <w:t>Asistenta pakalpojumu piešķiršanas un finansēšanas nodrošināšana personai ar invaliditāti pārvietošanās atbalstam un pašaprūpes veikšanai.</w:t>
      </w:r>
    </w:p>
    <w:p w:rsidR="00790E6D" w:rsidRPr="00790E6D" w:rsidRDefault="00562652" w:rsidP="008C25BB">
      <w:pPr>
        <w:pStyle w:val="ListParagraph"/>
        <w:numPr>
          <w:ilvl w:val="0"/>
          <w:numId w:val="62"/>
        </w:numPr>
        <w:spacing w:before="120" w:after="120"/>
        <w:jc w:val="both"/>
        <w:rPr>
          <w:i/>
          <w:szCs w:val="24"/>
        </w:rPr>
      </w:pPr>
      <w:r>
        <w:rPr>
          <w:i/>
          <w:szCs w:val="24"/>
        </w:rPr>
        <w:t>Valsts budžetā paredzēto līdzekļu pašvaldībām aprēķināšanas un piešķiršanas nodrošināšana to vispārējās izglītības iestāžu skolēnu ēdināšanai, kuras īsteno pamatizglītības programmas.</w:t>
      </w:r>
    </w:p>
    <w:p w:rsidR="00790E6D" w:rsidRPr="00790E6D" w:rsidRDefault="00790E6D" w:rsidP="00790E6D">
      <w:pPr>
        <w:spacing w:before="120" w:after="120"/>
        <w:jc w:val="both"/>
        <w:rPr>
          <w:szCs w:val="24"/>
          <w:u w:val="single"/>
        </w:rPr>
      </w:pPr>
      <w:r w:rsidRPr="00790E6D">
        <w:rPr>
          <w:szCs w:val="24"/>
          <w:u w:val="single"/>
        </w:rPr>
        <w:t>Par VKo ieteikumu IZM:</w:t>
      </w:r>
    </w:p>
    <w:p w:rsidR="00790E6D" w:rsidRPr="00790E6D" w:rsidRDefault="00790E6D" w:rsidP="00790E6D">
      <w:pPr>
        <w:spacing w:before="120" w:after="120"/>
        <w:jc w:val="both"/>
        <w:rPr>
          <w:i/>
          <w:szCs w:val="24"/>
        </w:rPr>
      </w:pPr>
      <w:r w:rsidRPr="00790E6D">
        <w:rPr>
          <w:i/>
          <w:szCs w:val="24"/>
        </w:rPr>
        <w:lastRenderedPageBreak/>
        <w:t>“IZM kā atbildīgajai par gadskārtējā valsts budžeta likumā noteiktās apropriācijas izpildes kontroles sistēmas izveidi un par Valsts kases norēķinu kontos ieskaitīto valsts budžeta līdzekļu izlietojuma kontroli paredzētajam mērķim – pedagogu darba samaksai pašvaldībās, veikt pasākumus, lai nodrošinātu, ka pašvaldību rīcībā nepaliek neizlietoti valsts budžeta līdzekļi kārtējam gadam.”</w:t>
      </w:r>
    </w:p>
    <w:p w:rsidR="00790E6D" w:rsidRPr="00790E6D" w:rsidRDefault="00790E6D" w:rsidP="00790E6D">
      <w:pPr>
        <w:spacing w:before="120" w:after="120"/>
        <w:ind w:firstLine="720"/>
        <w:jc w:val="both"/>
        <w:rPr>
          <w:szCs w:val="24"/>
        </w:rPr>
      </w:pPr>
      <w:r w:rsidRPr="00790E6D">
        <w:rPr>
          <w:szCs w:val="24"/>
        </w:rPr>
        <w:t>IZM strādājot pie normatīvo aktu grozījumiem, lai pašvaldībām rosinātu piešķirto mērķdotāciju izmantot mērķim – pedagogu darba samaksai un neveidot atlikumus, plāno:</w:t>
      </w:r>
    </w:p>
    <w:p w:rsidR="00790E6D" w:rsidRPr="00790E6D" w:rsidRDefault="00790E6D" w:rsidP="00790E6D">
      <w:pPr>
        <w:spacing w:before="120" w:after="120"/>
        <w:ind w:left="360"/>
        <w:jc w:val="both"/>
        <w:rPr>
          <w:szCs w:val="24"/>
        </w:rPr>
      </w:pPr>
      <w:r w:rsidRPr="00790E6D">
        <w:rPr>
          <w:szCs w:val="24"/>
        </w:rPr>
        <w:t xml:space="preserve">1) noteikt pieļaujamo atlikuma apmēru procentos – nosakot, ka novadu un republikas pilsētu pašvaldību izglītības iestāžu kopējais pedagogu tarifikācijās neatspoguļotais finansējums nepārsniedz </w:t>
      </w:r>
      <w:r w:rsidR="008E509D">
        <w:rPr>
          <w:szCs w:val="24"/>
        </w:rPr>
        <w:t>2%</w:t>
      </w:r>
      <w:r w:rsidRPr="00790E6D">
        <w:rPr>
          <w:szCs w:val="24"/>
        </w:rPr>
        <w:t xml:space="preserve"> no pašvaldībai piešķirtās mērķdotācijas; </w:t>
      </w:r>
    </w:p>
    <w:p w:rsidR="00790E6D" w:rsidRPr="00790E6D" w:rsidRDefault="00790E6D" w:rsidP="00790E6D">
      <w:pPr>
        <w:spacing w:before="120" w:after="120"/>
        <w:ind w:left="360"/>
        <w:jc w:val="both"/>
        <w:rPr>
          <w:szCs w:val="24"/>
        </w:rPr>
      </w:pPr>
      <w:r w:rsidRPr="00790E6D">
        <w:rPr>
          <w:szCs w:val="24"/>
        </w:rPr>
        <w:t>2) noteikt, ka pašvaldības nedrīkstēs veikt pārskaitījumus no Valsts kasē atvērtajiem norēķinu kontiem (kurā ieskaitīta mērķdotācija) uz pašvaldību kredītiestādēs atvērtajiem norēķinu kontiem;</w:t>
      </w:r>
    </w:p>
    <w:p w:rsidR="00790E6D" w:rsidRPr="00790E6D" w:rsidRDefault="00790E6D" w:rsidP="00790E6D">
      <w:pPr>
        <w:spacing w:before="120" w:after="120"/>
        <w:ind w:left="360"/>
        <w:jc w:val="both"/>
        <w:rPr>
          <w:szCs w:val="24"/>
        </w:rPr>
      </w:pPr>
      <w:r w:rsidRPr="00790E6D">
        <w:rPr>
          <w:szCs w:val="24"/>
        </w:rPr>
        <w:t>3) noteikt, ka pašvaldībām jāsagatavo pārskati par mērķdotāciju izlietojumu divas reizes gadā, atbilstoši mērķdotācijas aprēķināšanas principam par periodiem – līdz 15.janvārim par periodu no iepriekšējā budžeta gada 1.septembra līdz 31.decembrim un līdz 15.septembrim par periodu no kārtējā budžeta gada 1.janvāra līdz 31.augustam;</w:t>
      </w:r>
    </w:p>
    <w:p w:rsidR="00790E6D" w:rsidRPr="00790E6D" w:rsidRDefault="00790E6D" w:rsidP="00790E6D">
      <w:pPr>
        <w:spacing w:before="120" w:after="120"/>
        <w:ind w:left="360"/>
        <w:jc w:val="both"/>
        <w:rPr>
          <w:szCs w:val="24"/>
        </w:rPr>
      </w:pPr>
      <w:r w:rsidRPr="00790E6D">
        <w:rPr>
          <w:szCs w:val="24"/>
        </w:rPr>
        <w:t xml:space="preserve">4) noteikt, ka, ja novadu un republikas pilsētu pašvaldību pārskatos uzrādītais atlikums uz kārtējā budžeta gada sākumu pārsniedz viena procenta apmēru no pašvaldībai piešķirtās mērķdotācijas iepriekšējā budžeta gadā, ministrija samazina mērķdotāciju pārsniegtās summas apmērā laika periodam no kārtējā budžeta gada </w:t>
      </w:r>
      <w:r w:rsidR="008E509D">
        <w:rPr>
          <w:szCs w:val="24"/>
        </w:rPr>
        <w:t>1.septembra līdz 31.decembrim.</w:t>
      </w:r>
    </w:p>
    <w:p w:rsidR="00562652" w:rsidRPr="000505D3" w:rsidRDefault="00562652" w:rsidP="00562652">
      <w:pPr>
        <w:spacing w:before="240" w:after="120"/>
        <w:jc w:val="both"/>
        <w:rPr>
          <w:szCs w:val="24"/>
          <w:u w:val="single"/>
        </w:rPr>
      </w:pPr>
      <w:r w:rsidRPr="000505D3">
        <w:rPr>
          <w:szCs w:val="24"/>
          <w:u w:val="single"/>
        </w:rPr>
        <w:t>ZM iesniegtie priekšlikumi:</w:t>
      </w:r>
    </w:p>
    <w:p w:rsidR="00562652" w:rsidRDefault="00562652" w:rsidP="00562652">
      <w:pPr>
        <w:spacing w:before="120" w:after="120"/>
        <w:ind w:firstLine="720"/>
        <w:jc w:val="both"/>
        <w:rPr>
          <w:szCs w:val="24"/>
        </w:rPr>
      </w:pPr>
      <w:r>
        <w:rPr>
          <w:szCs w:val="24"/>
        </w:rPr>
        <w:t>ZM (PVD) patlaban veic zemāk minētās funkcijas, kuras ir līdzīgas vai vienveidīgas vairāk kā vienai ministrijai (tās iestādei) un/vai centrālajai valsts iestādei, bet tās pēc būtības nav saistāmas ar PVD kompetencē esošajiem jautājumiem.</w:t>
      </w:r>
    </w:p>
    <w:p w:rsidR="00562652" w:rsidRDefault="00562652" w:rsidP="008C25BB">
      <w:pPr>
        <w:pStyle w:val="ListParagraph"/>
        <w:numPr>
          <w:ilvl w:val="0"/>
          <w:numId w:val="63"/>
        </w:numPr>
        <w:spacing w:before="120" w:after="120"/>
        <w:jc w:val="both"/>
        <w:rPr>
          <w:i/>
          <w:szCs w:val="24"/>
        </w:rPr>
      </w:pPr>
      <w:r w:rsidRPr="00BB2B88">
        <w:rPr>
          <w:i/>
          <w:szCs w:val="24"/>
        </w:rPr>
        <w:t xml:space="preserve">Cilvēku zāļu kontrole robežkontroles punktos. </w:t>
      </w:r>
    </w:p>
    <w:p w:rsidR="00562652" w:rsidRDefault="00562652" w:rsidP="00E534ED">
      <w:pPr>
        <w:spacing w:before="120" w:after="120"/>
        <w:ind w:firstLine="720"/>
        <w:jc w:val="both"/>
        <w:rPr>
          <w:rFonts w:eastAsia="Times New Roman"/>
          <w:noProof/>
          <w:szCs w:val="24"/>
          <w:lang w:eastAsia="lv-LV"/>
        </w:rPr>
      </w:pPr>
      <w:r w:rsidRPr="00E534ED">
        <w:rPr>
          <w:szCs w:val="24"/>
        </w:rPr>
        <w:t>Atbilstoši</w:t>
      </w:r>
      <w:r w:rsidRPr="00C724E4">
        <w:rPr>
          <w:rFonts w:eastAsia="Times New Roman"/>
          <w:noProof/>
          <w:szCs w:val="24"/>
          <w:lang w:eastAsia="lv-LV"/>
        </w:rPr>
        <w:t xml:space="preserve"> </w:t>
      </w:r>
      <w:r>
        <w:rPr>
          <w:rFonts w:eastAsia="Times New Roman"/>
          <w:noProof/>
          <w:szCs w:val="24"/>
          <w:lang w:eastAsia="lv-LV"/>
        </w:rPr>
        <w:t>MK</w:t>
      </w:r>
      <w:r w:rsidRPr="00C724E4">
        <w:rPr>
          <w:rFonts w:eastAsia="Times New Roman"/>
          <w:noProof/>
          <w:szCs w:val="24"/>
          <w:lang w:eastAsia="lv-LV"/>
        </w:rPr>
        <w:t xml:space="preserve"> 2007.gada 26.jūnija noteikumu Nr.416 “Zāļu izplatīšanas un kvalitātes kontroles kārtība” (turpmāk – noteikumi) spēkā esošajai redakcijai</w:t>
      </w:r>
      <w:r>
        <w:rPr>
          <w:rFonts w:eastAsia="Times New Roman"/>
          <w:noProof/>
          <w:szCs w:val="24"/>
          <w:lang w:eastAsia="lv-LV"/>
        </w:rPr>
        <w:t xml:space="preserve">, </w:t>
      </w:r>
      <w:r w:rsidRPr="00C724E4">
        <w:rPr>
          <w:rFonts w:eastAsia="Times New Roman"/>
          <w:noProof/>
          <w:szCs w:val="24"/>
          <w:lang w:eastAsia="lv-LV"/>
        </w:rPr>
        <w:t>PVD kompetence šo noteikumu izpratnē aprobežojas attiecībā uz cilvēkiem paredzētajām zālēm, kuras paredzēts lietot dzīvniekiem</w:t>
      </w:r>
      <w:r>
        <w:rPr>
          <w:rFonts w:eastAsia="Times New Roman"/>
          <w:noProof/>
          <w:szCs w:val="24"/>
          <w:lang w:eastAsia="lv-LV"/>
        </w:rPr>
        <w:t xml:space="preserve">. </w:t>
      </w:r>
      <w:r w:rsidRPr="00825568">
        <w:rPr>
          <w:rFonts w:eastAsia="Times New Roman"/>
          <w:noProof/>
          <w:szCs w:val="24"/>
          <w:lang w:eastAsia="lv-LV"/>
        </w:rPr>
        <w:t xml:space="preserve">To apliecina arī </w:t>
      </w:r>
      <w:r>
        <w:rPr>
          <w:rFonts w:eastAsia="Times New Roman"/>
          <w:noProof/>
          <w:szCs w:val="24"/>
          <w:lang w:eastAsia="lv-LV"/>
        </w:rPr>
        <w:t>VM</w:t>
      </w:r>
      <w:r w:rsidRPr="00825568">
        <w:rPr>
          <w:rFonts w:eastAsia="Times New Roman"/>
          <w:noProof/>
          <w:szCs w:val="24"/>
          <w:lang w:eastAsia="lv-LV"/>
        </w:rPr>
        <w:t>, atbildot uz PVD vēstuli, kurā tika lūgts skaidrot, vai ir tiesiski korekti PVD veikt pasta sūtījumu, kas satur zāles, kontroli, ņemot vērā, ka noteikumos tādas tiesības nav noteiktas. Turpinot vēsturisko praksi, PVD veic zāļu kontroli uz robežas, taču kontroli veic arī muitas dienests.</w:t>
      </w:r>
      <w:r>
        <w:rPr>
          <w:rFonts w:eastAsia="Times New Roman"/>
          <w:noProof/>
          <w:szCs w:val="24"/>
          <w:lang w:eastAsia="lv-LV"/>
        </w:rPr>
        <w:t xml:space="preserve"> </w:t>
      </w:r>
      <w:r w:rsidRPr="00C724E4">
        <w:rPr>
          <w:rFonts w:eastAsia="Times New Roman"/>
          <w:noProof/>
          <w:szCs w:val="24"/>
          <w:lang w:eastAsia="lv-LV"/>
        </w:rPr>
        <w:t xml:space="preserve">PVD </w:t>
      </w:r>
      <w:r>
        <w:rPr>
          <w:rFonts w:eastAsia="Times New Roman"/>
          <w:noProof/>
          <w:szCs w:val="24"/>
          <w:lang w:eastAsia="lv-LV"/>
        </w:rPr>
        <w:t>VM</w:t>
      </w:r>
      <w:r w:rsidRPr="00C724E4">
        <w:rPr>
          <w:rFonts w:eastAsia="Times New Roman"/>
          <w:noProof/>
          <w:szCs w:val="24"/>
          <w:lang w:eastAsia="lv-LV"/>
        </w:rPr>
        <w:t xml:space="preserve"> adresētajā vēstulē norādīja, ka visas zāļu kravas pasta sūtījumos šobrīd PVD kontrolei novirza muitas dienests, savukārt ieceļojošo privātpersonu bagāžas kontroli robežkontroles punktos veic muitas dienests sadarbībā ar Valsts robežsardzi. Saskaņā ar Komisijas 2015.gada 28.jūlija Deleģētās regulas (ES) 2015/2446, ar ko papildina Eiropas Parlamenta un Padomes Regulu (ES) Nr.952/2013 attiecībā uz sīki izstrādātiem noteikumiem, kuri attiecas uz dažiem Savienības Muitas kodeksa noteikumiem, 142. un 144.pantu precēm, uz kurām attiecas ierobežojums vai aizliegums, jāformē muitas deklarācija. Uz zālēm, ko privātpersonas saņem pasta sūtījumos no trešajām valstīm, attiecas ierobežojums, proti, receptes esamība. Lai noformētu muitas deklarāciju, recepte ir jāuzr</w:t>
      </w:r>
      <w:r>
        <w:rPr>
          <w:rFonts w:eastAsia="Times New Roman"/>
          <w:noProof/>
          <w:szCs w:val="24"/>
          <w:lang w:eastAsia="lv-LV"/>
        </w:rPr>
        <w:t>ā</w:t>
      </w:r>
      <w:r w:rsidRPr="00C724E4">
        <w:rPr>
          <w:rFonts w:eastAsia="Times New Roman"/>
          <w:noProof/>
          <w:szCs w:val="24"/>
          <w:lang w:eastAsia="lv-LV"/>
        </w:rPr>
        <w:t xml:space="preserve">da muitas iestādei. </w:t>
      </w:r>
      <w:r w:rsidRPr="00AD34B3">
        <w:rPr>
          <w:rFonts w:eastAsia="Times New Roman"/>
          <w:noProof/>
          <w:szCs w:val="24"/>
          <w:u w:val="single"/>
          <w:lang w:eastAsia="lv-LV"/>
        </w:rPr>
        <w:t>No minētā secināms, ka vienas un tās pašas receptes kontrole tiek veikta divkārtēji.</w:t>
      </w:r>
      <w:r w:rsidRPr="00C724E4">
        <w:rPr>
          <w:rFonts w:eastAsia="Times New Roman"/>
          <w:noProof/>
          <w:szCs w:val="24"/>
          <w:lang w:eastAsia="lv-LV"/>
        </w:rPr>
        <w:t xml:space="preserve"> </w:t>
      </w:r>
    </w:p>
    <w:p w:rsidR="00562652" w:rsidRDefault="00562652" w:rsidP="008C25BB">
      <w:pPr>
        <w:pStyle w:val="ListParagraph"/>
        <w:numPr>
          <w:ilvl w:val="0"/>
          <w:numId w:val="63"/>
        </w:numPr>
        <w:spacing w:before="120" w:after="120"/>
        <w:jc w:val="both"/>
        <w:rPr>
          <w:i/>
          <w:szCs w:val="24"/>
        </w:rPr>
      </w:pPr>
      <w:r w:rsidRPr="0061295D">
        <w:rPr>
          <w:i/>
          <w:szCs w:val="24"/>
        </w:rPr>
        <w:t>Miruša cilvēka ķermeņa kontrole, to ievedot valstī.</w:t>
      </w:r>
    </w:p>
    <w:p w:rsidR="00562652" w:rsidRDefault="00562652" w:rsidP="00E534ED">
      <w:pPr>
        <w:spacing w:before="120" w:after="120"/>
        <w:ind w:firstLine="720"/>
        <w:jc w:val="both"/>
        <w:rPr>
          <w:rFonts w:eastAsia="Times New Roman"/>
          <w:noProof/>
          <w:szCs w:val="24"/>
          <w:lang w:eastAsia="lv-LV"/>
        </w:rPr>
      </w:pPr>
      <w:r w:rsidRPr="0061295D">
        <w:rPr>
          <w:rFonts w:eastAsia="Times New Roman"/>
          <w:noProof/>
          <w:szCs w:val="24"/>
          <w:lang w:eastAsia="lv-LV"/>
        </w:rPr>
        <w:t xml:space="preserve">Atbilstoši </w:t>
      </w:r>
      <w:r>
        <w:rPr>
          <w:rFonts w:eastAsia="Times New Roman"/>
          <w:noProof/>
          <w:szCs w:val="24"/>
          <w:lang w:eastAsia="lv-LV"/>
        </w:rPr>
        <w:t>MK</w:t>
      </w:r>
      <w:r w:rsidRPr="0061295D">
        <w:rPr>
          <w:rFonts w:eastAsia="Times New Roman"/>
          <w:noProof/>
          <w:szCs w:val="24"/>
          <w:lang w:eastAsia="lv-LV"/>
        </w:rPr>
        <w:t xml:space="preserve"> 2005.gada 19.jūlija noteikumu Nr.523 “Kārtība, kādā ieved valstī vai izved no tās miruša cilvēka ķermeni, pārvadā, glabā, apbedī vai kremē no infekcijas slimības </w:t>
      </w:r>
      <w:r w:rsidRPr="0061295D">
        <w:rPr>
          <w:rFonts w:eastAsia="Times New Roman"/>
          <w:noProof/>
          <w:szCs w:val="24"/>
          <w:lang w:eastAsia="lv-LV"/>
        </w:rPr>
        <w:lastRenderedPageBreak/>
        <w:t>miruša cilvēka ķermeni un veic obligāto patologanatomisko izmeklēšanu diagnozes precizēšanai pēc slimnieka nāves”</w:t>
      </w:r>
      <w:r>
        <w:rPr>
          <w:rFonts w:eastAsia="Times New Roman"/>
          <w:noProof/>
          <w:szCs w:val="24"/>
          <w:lang w:eastAsia="lv-LV"/>
        </w:rPr>
        <w:t xml:space="preserve"> (turpmāk – MK noteikumi Nr.523)</w:t>
      </w:r>
      <w:r w:rsidRPr="0061295D">
        <w:rPr>
          <w:rFonts w:eastAsia="Times New Roman"/>
          <w:noProof/>
          <w:szCs w:val="24"/>
          <w:lang w:eastAsia="lv-LV"/>
        </w:rPr>
        <w:t xml:space="preserve"> 2.punktam pēc miruša cilvēka ķermeņa pārvadāšanas atļaujas vai izziņas par nāves cēloni izskatīšanas PVD amatpersona ar parakstu un zīmogu kravas pavadzīmē apliecina mirušā cilvēka ķermeņa ievešanu valstī. Minētie noteikumi izdoti saskaņā ar Epidemioloģiskās drošības likuma 29.pantu. Epidemioloģiskās drošības jomas funkcijas valstī veic </w:t>
      </w:r>
      <w:r>
        <w:rPr>
          <w:rFonts w:eastAsia="Times New Roman"/>
          <w:noProof/>
          <w:szCs w:val="24"/>
          <w:lang w:eastAsia="lv-LV"/>
        </w:rPr>
        <w:t>VM</w:t>
      </w:r>
      <w:r w:rsidRPr="0061295D">
        <w:rPr>
          <w:rFonts w:eastAsia="Times New Roman"/>
          <w:noProof/>
          <w:szCs w:val="24"/>
          <w:lang w:eastAsia="lv-LV"/>
        </w:rPr>
        <w:t xml:space="preserve"> padotībā esošā tiešās pārvaldes iestāde – Slimību kontroles un profilakses centrs, bet miruša cilvēka ķermeņa pārvadāšanas atļaujas izsniegšanu veic </w:t>
      </w:r>
      <w:r>
        <w:rPr>
          <w:rFonts w:eastAsia="Times New Roman"/>
          <w:noProof/>
          <w:szCs w:val="24"/>
          <w:lang w:eastAsia="lv-LV"/>
        </w:rPr>
        <w:t>VM</w:t>
      </w:r>
      <w:r w:rsidRPr="0061295D">
        <w:rPr>
          <w:rFonts w:eastAsia="Times New Roman"/>
          <w:noProof/>
          <w:szCs w:val="24"/>
          <w:lang w:eastAsia="lv-LV"/>
        </w:rPr>
        <w:t xml:space="preserve"> padotībā esošā tiešās pārvaldes iestāde – Veselības inspekcija. Uz robežas informācija par šāda veida sūtījumu ir pieejama gan muitas, gan robežsardzes amatpersonām. </w:t>
      </w:r>
    </w:p>
    <w:p w:rsidR="00562652" w:rsidRDefault="00562652" w:rsidP="00E534ED">
      <w:pPr>
        <w:spacing w:before="120" w:after="120"/>
        <w:ind w:firstLine="720"/>
        <w:jc w:val="both"/>
        <w:rPr>
          <w:szCs w:val="24"/>
        </w:rPr>
      </w:pPr>
      <w:r w:rsidRPr="0061295D">
        <w:rPr>
          <w:szCs w:val="24"/>
        </w:rPr>
        <w:t xml:space="preserve">Ņemot vērā minēto, kā arī to, ka kopš 2004.gada 1.maija PVD robežkontroles inspektori uz </w:t>
      </w:r>
      <w:r>
        <w:rPr>
          <w:szCs w:val="24"/>
        </w:rPr>
        <w:t>ES</w:t>
      </w:r>
      <w:r w:rsidRPr="0061295D">
        <w:rPr>
          <w:szCs w:val="24"/>
        </w:rPr>
        <w:t xml:space="preserve"> iekšējās robežas kontroles neveic, un to, ka saskaņā ar </w:t>
      </w:r>
      <w:r>
        <w:rPr>
          <w:szCs w:val="24"/>
        </w:rPr>
        <w:t>MK</w:t>
      </w:r>
      <w:r w:rsidRPr="0061295D">
        <w:rPr>
          <w:szCs w:val="24"/>
        </w:rPr>
        <w:t xml:space="preserve"> noteikumiem Nr.704 “Noteikumi par robežšķērsošanas vietām un tajos veicamajām pārbaudēm” PVD robežkontroles veic atsevišķās robežšķērsošanas vietās, ZM jau ir lūgusi veikt grozījumus </w:t>
      </w:r>
      <w:r>
        <w:rPr>
          <w:szCs w:val="24"/>
        </w:rPr>
        <w:t>MK</w:t>
      </w:r>
      <w:r w:rsidRPr="0061295D">
        <w:rPr>
          <w:szCs w:val="24"/>
        </w:rPr>
        <w:t xml:space="preserve"> noteikumu Nr.523 2.punktā (</w:t>
      </w:r>
      <w:r>
        <w:rPr>
          <w:szCs w:val="24"/>
        </w:rPr>
        <w:t>VM</w:t>
      </w:r>
      <w:r w:rsidRPr="0061295D">
        <w:rPr>
          <w:szCs w:val="24"/>
        </w:rPr>
        <w:t xml:space="preserve"> adresēta 2012.gada vēstule Nr.5-3/2735/2012). </w:t>
      </w:r>
    </w:p>
    <w:p w:rsidR="00562652" w:rsidRPr="005C3D30" w:rsidRDefault="00562652" w:rsidP="00562652">
      <w:pPr>
        <w:spacing w:before="240" w:after="120"/>
        <w:jc w:val="both"/>
        <w:rPr>
          <w:rFonts w:eastAsia="Times New Roman"/>
          <w:noProof/>
          <w:szCs w:val="24"/>
          <w:u w:val="single"/>
          <w:lang w:eastAsia="lv-LV"/>
        </w:rPr>
      </w:pPr>
      <w:r w:rsidRPr="005C3D30">
        <w:rPr>
          <w:szCs w:val="24"/>
          <w:u w:val="single"/>
        </w:rPr>
        <w:t>SM iesniegtie priekšlikumi:</w:t>
      </w:r>
    </w:p>
    <w:p w:rsidR="00562652" w:rsidRDefault="00562652" w:rsidP="008C25BB">
      <w:pPr>
        <w:pStyle w:val="ListParagraph"/>
        <w:numPr>
          <w:ilvl w:val="0"/>
          <w:numId w:val="64"/>
        </w:numPr>
        <w:spacing w:after="120"/>
        <w:ind w:left="714" w:hanging="357"/>
        <w:rPr>
          <w:i/>
        </w:rPr>
      </w:pPr>
      <w:r w:rsidRPr="009A039A">
        <w:rPr>
          <w:i/>
        </w:rPr>
        <w:t xml:space="preserve">SM funkcijas “autoostu reģistrācija” nodošana VSIA “Autotransporta direkcija”. </w:t>
      </w:r>
    </w:p>
    <w:p w:rsidR="00121FBE" w:rsidRPr="00472F10" w:rsidRDefault="00562652" w:rsidP="00472F10">
      <w:pPr>
        <w:spacing w:before="120" w:after="120"/>
        <w:ind w:firstLine="720"/>
        <w:jc w:val="both"/>
      </w:pPr>
      <w:r>
        <w:t xml:space="preserve">SM ir </w:t>
      </w:r>
      <w:r w:rsidRPr="00E534ED">
        <w:rPr>
          <w:szCs w:val="24"/>
        </w:rPr>
        <w:t>identificējusi</w:t>
      </w:r>
      <w:r>
        <w:t xml:space="preserve"> savā kompetencē esošu funkciju “autoostu reģistrācija”, kuru, lai optimizētu finanšu līdzekļu lietderīgu izlietojumu, ir plānots nodot VSIA “Autotransporta direkcija”. Minēto funkciju plānots nodot, izdarot grozījumus Autopārvadājumu likumā, t.i., Autopārvadājumu likuma 5.</w:t>
      </w:r>
      <w:r w:rsidRPr="009A039A">
        <w:rPr>
          <w:vertAlign w:val="superscript"/>
        </w:rPr>
        <w:t>1</w:t>
      </w:r>
      <w:r>
        <w:t xml:space="preserve"> panta pirmā daļu papildinot ar normu, ka VSIA “Autotransporta direkcija” nodrošina autoostu reģistrāciju, pārreģistrāciju un autoostu darbības uzraudzību, savukārt, likuma 33.panta sestajā daļā paredzēts noteikt, ka Autotransporta direkcija reģistrē, aptur vai anulē autoostas reģistrāciju. Autoostu reģistrācija dod tiesības sniegt autoostas pakalpojumus, ievērojot normatīvajos aktos noteikto kārtību. Ņemot vērā veiktās izmaiņas, SM Autosatiksmes departamentā ar 2017.gada 7.martu, likvidēta vecākā referenta amata vieta, kura pienākumos ietilpa autoostu reģistrācija un valsts politikas regulējuma i</w:t>
      </w:r>
      <w:r w:rsidR="00472F10">
        <w:t>zstrāde autoostu darbības jomā.</w:t>
      </w:r>
    </w:p>
    <w:p w:rsidR="00562652" w:rsidRDefault="00562652" w:rsidP="00562652">
      <w:pPr>
        <w:spacing w:before="240"/>
        <w:jc w:val="both"/>
        <w:rPr>
          <w:u w:val="single"/>
        </w:rPr>
      </w:pPr>
      <w:r w:rsidRPr="00605CBE">
        <w:rPr>
          <w:u w:val="single"/>
        </w:rPr>
        <w:t>TM iesniegtie priekšlikumi:</w:t>
      </w:r>
    </w:p>
    <w:p w:rsidR="00562652" w:rsidRDefault="00562652" w:rsidP="008C25BB">
      <w:pPr>
        <w:pStyle w:val="ListParagraph"/>
        <w:numPr>
          <w:ilvl w:val="0"/>
          <w:numId w:val="65"/>
        </w:numPr>
        <w:spacing w:before="120" w:after="120"/>
        <w:ind w:left="714" w:hanging="357"/>
        <w:jc w:val="both"/>
        <w:rPr>
          <w:i/>
          <w:u w:val="single"/>
        </w:rPr>
      </w:pPr>
      <w:r w:rsidRPr="002B7679">
        <w:rPr>
          <w:i/>
        </w:rPr>
        <w:t>Juridiskās palīdzības administrācija ierosina LM nodot funkciju, kas izriet no Eiropas Parlamenta un Padomes 2012.gada 25.oktobra Direktīvas 2012/29/ES, ar ko nosaka noziegumos cietušo tiesību, atbalsta un aizsardzības minimālos standartus un aizstāj Padomes Pamatlēmumu 2001/220/TI (turpmāk – Direktīva) 8. un 9.panta, un kuras ietvaros no 2016.gada 1.janvāra tika ieviests bezmaksas informatīvais tālrunis 116006 “palīdzības dienests noziegumu upuriem”, deleģējot valsts pārvaldes uzdevuma izpildi biedrībai “Skalbes”.</w:t>
      </w:r>
    </w:p>
    <w:p w:rsidR="00562652" w:rsidRDefault="00562652" w:rsidP="00E534ED">
      <w:pPr>
        <w:spacing w:before="120" w:after="120"/>
        <w:ind w:firstLine="720"/>
        <w:jc w:val="both"/>
      </w:pPr>
      <w:r>
        <w:t xml:space="preserve">Saskaņā ar Direktīvas 8. un 9.pantu dalībvalstīm ir jānodrošina, lai cietušajiem saskaņā ar viņu vajadzībām pirms kriminālprocesa, tā laikā un atbilstīgu laikposmu pēc tā būtu bez maksas pieejami konfidenciāli cietušo atbalsta dienesti, kas rīkojas viņu interesēs. Ņemot vērā TM kompetenci minētās Direktīvas ieviešanā, no 2016.gada 1.janvāra tika ieviests bezmaksas informatīvais tālrunis 116006 “Palīdzības dienests noziegumu upuriem”, deleģējot valsts pārvaldes uzdevuma izpildi biedrībai “Skalbes”. Ievērojot minēto, kā arī to, ka biedrībai “Skalbes” deleģētā funkcija par informatīvā atbalsta sniegšanu pārklājas ar sociālās rehabilitācijas pakalpojumu ietvaros veicamiem pasākumiem, izvērtējama cietušo atbalsta tālruņa līnijas darbības nodrošināšana un informatīvā atbalsta sniegšanas funkcijas nodošana LM. </w:t>
      </w:r>
    </w:p>
    <w:p w:rsidR="00562652" w:rsidRDefault="00562652" w:rsidP="008C25BB">
      <w:pPr>
        <w:pStyle w:val="ListParagraph"/>
        <w:numPr>
          <w:ilvl w:val="0"/>
          <w:numId w:val="65"/>
        </w:numPr>
        <w:spacing w:before="120"/>
        <w:jc w:val="both"/>
        <w:rPr>
          <w:i/>
        </w:rPr>
      </w:pPr>
      <w:r w:rsidRPr="00533278">
        <w:rPr>
          <w:i/>
        </w:rPr>
        <w:lastRenderedPageBreak/>
        <w:t xml:space="preserve">Lai pārskatītu Uzņēmumu reģistra (turpmāk – UR) informācijas izsniegšanas pakalpojumu kvalitāti un atbilstību personas datu aizsardzības prasībām TM plāno izvērtēt publiski pieejamās informācijas (ierakstu un dokumentu) apjomu, kā arī valsts pārvaldes un pašvaldības iestādēm izsniedzamo informāciju, tai skaitā iespējas veicināt UR reģistros veikto ierakstu izmantošanu.  </w:t>
      </w:r>
    </w:p>
    <w:p w:rsidR="00562652" w:rsidRDefault="00562652" w:rsidP="00E534ED">
      <w:pPr>
        <w:spacing w:before="120" w:after="120"/>
        <w:ind w:firstLine="720"/>
        <w:jc w:val="both"/>
      </w:pPr>
      <w:r>
        <w:t>TM plāno veikt izvērtējumu, cik liels informācijas apjoms no UR vestajiem reģistriem ir izsniedzams valsts iestādēm bez maksas. Pašlaik UR mājaslapā ir pieejama pamatinformācija par tiesību subjektiem. Pārējā informācija bezmaksas pēc pieprasījuma ir pieejama tikai valsts pārvaldes iestādēm un publiskām personām. Privātpersonām informācija par reģistrētajiem subjektiem, kas nav publiskota tīmekļa vietnē, ir pieejama par maksu. TM ir apkopojusi, ka UR valsts pārvaldes iestādēm (bez maksas) kopā izsniedz 3,4 reizes vairāk informācijas vienību nekā klientiem privātpersonām, nepieskaitot savstarpējā datu apmaiņā regulāri nododamo informāciju. UR veicot aptauju, ir noskaidrojis, ka iestādes cita starpā interesē arī tādi dokumenti, uz kuru pamata UR valsts notāri pieņem lēmumus un veic ierakstus UR reģistros (piemēram, nekustamā īpašuma īpašnieka piekrišana vai citi apliecinājuma tipa dokumenti), šādu dokumentu izsniegšana iestādēm nav nepieciešama, jo dokumentā minēto informāciju UR valsts notāri pārbauda un uz tā pamata veic ierakstu reģistrā. Līdz ar to iestāde var paļauties uz ierakstā minēto informāciju un papildus nav nepieciešams prasīt dokumentu, uz kura pamata tapa lēmums un ieraksts.</w:t>
      </w:r>
    </w:p>
    <w:p w:rsidR="00562652" w:rsidRDefault="00562652" w:rsidP="00562652">
      <w:pPr>
        <w:spacing w:before="240"/>
        <w:jc w:val="both"/>
        <w:rPr>
          <w:u w:val="single"/>
        </w:rPr>
      </w:pPr>
      <w:r>
        <w:rPr>
          <w:u w:val="single"/>
        </w:rPr>
        <w:t>PKC</w:t>
      </w:r>
      <w:r w:rsidRPr="00802BCD">
        <w:rPr>
          <w:u w:val="single"/>
        </w:rPr>
        <w:t xml:space="preserve"> iesniegtie priekšlikumi:   </w:t>
      </w:r>
    </w:p>
    <w:p w:rsidR="00562652" w:rsidRDefault="00562652" w:rsidP="008C25BB">
      <w:pPr>
        <w:pStyle w:val="ListParagraph"/>
        <w:numPr>
          <w:ilvl w:val="0"/>
          <w:numId w:val="66"/>
        </w:numPr>
        <w:spacing w:before="120"/>
        <w:jc w:val="both"/>
        <w:rPr>
          <w:i/>
        </w:rPr>
      </w:pPr>
      <w:r w:rsidRPr="00C048AC">
        <w:rPr>
          <w:i/>
        </w:rPr>
        <w:t>Ierosina pārskatīt JPI “Latvijas konkurētspējas novērtējums un tā uzraudzības (monitoringa) sistēma” sasniedzamos rezultātus, un pārvērtēt piešķirtā finansējuma daļu, lai identificētu tos ar valsts konkurētspējas uzlabošanu saistītos pasākumus, kas ir aktuāli, netiks skarti NAP2020 vidēja termiņa izvērtējumā apvienojumā ar konkurētspējas novērtējumu un sniegs iespējami lielāku atdevi.</w:t>
      </w:r>
    </w:p>
    <w:p w:rsidR="008E509D" w:rsidRPr="00472F10" w:rsidRDefault="00562652" w:rsidP="00472F10">
      <w:pPr>
        <w:spacing w:before="120" w:after="120"/>
        <w:ind w:firstLine="720"/>
        <w:jc w:val="both"/>
      </w:pPr>
      <w:r>
        <w:t xml:space="preserve">Apstiprinot valsts budžetu 2015.gadam, tika apstiprināta JPI, kuras ietvaros VK tika piešķirts </w:t>
      </w:r>
      <w:r w:rsidRPr="00E534ED">
        <w:rPr>
          <w:szCs w:val="24"/>
        </w:rPr>
        <w:t>finansējums</w:t>
      </w:r>
      <w:r>
        <w:t xml:space="preserve"> aktivitātei “Latvijas konkurētspējas novērtējums un tā uzraudzības (monitoringa) sistēma”. Aktivitāšu ietvaros tika plānots veikt divus padziļinātus pētījumus ik gadu, reizi 3-5 gados veicot pilnu Latvijas konkurētspējas novērtējumu. MK 2015.gadā noteica, ka par JPI </w:t>
      </w:r>
      <w:r w:rsidRPr="00F36CC7">
        <w:t>“Latvijas konkurētspējas novērtējums un tā uzraudzības (monitoringa) sistēma”</w:t>
      </w:r>
      <w:r>
        <w:t xml:space="preserve"> turpmāk ir atbildīgs PKC. Izvērtējot lietderības un izdevumu efektivitātes apsvērumus, PKC ieskatā nebūtu lietderīgi 2017.gadā sagatavot atsevišķu ziņojumu par konkurētspējas novērtējumu, tādējādi daļēji dublējot ministriju darbu un NAP2020 vidusposma novērtējuma ziņojumu, bet konkurētspējas novērtējumu iekļaut gatavotajā NAP2020 vidusposma novērtējumā to papildinot ar analīzi par konkurētspējas stiprajām un vājajām pusēm un rekomendācijām valsts konkurētspējas stiprināšanai.</w:t>
      </w:r>
      <w:r w:rsidR="008E509D">
        <w:t xml:space="preserve"> </w:t>
      </w:r>
    </w:p>
    <w:p w:rsidR="0055760A" w:rsidRPr="0060137F" w:rsidRDefault="004B465A" w:rsidP="00472F10">
      <w:pPr>
        <w:pStyle w:val="Heading2"/>
        <w:spacing w:before="240"/>
        <w:jc w:val="center"/>
        <w:rPr>
          <w:rFonts w:ascii="Times New Roman" w:hAnsi="Times New Roman" w:cs="Times New Roman"/>
          <w:color w:val="auto"/>
          <w:sz w:val="28"/>
          <w:szCs w:val="28"/>
        </w:rPr>
      </w:pPr>
      <w:bookmarkStart w:id="21" w:name="_Toc487036805"/>
      <w:r w:rsidRPr="0060137F">
        <w:rPr>
          <w:rFonts w:ascii="Times New Roman" w:hAnsi="Times New Roman" w:cs="Times New Roman"/>
          <w:color w:val="auto"/>
          <w:sz w:val="28"/>
          <w:szCs w:val="28"/>
        </w:rPr>
        <w:t>3.4. </w:t>
      </w:r>
      <w:r w:rsidR="00560C86" w:rsidRPr="0060137F">
        <w:rPr>
          <w:rFonts w:ascii="Times New Roman" w:hAnsi="Times New Roman" w:cs="Times New Roman"/>
          <w:color w:val="auto"/>
          <w:sz w:val="28"/>
          <w:szCs w:val="28"/>
        </w:rPr>
        <w:t>Horizontālie risinājumi valsts budžeta resursu novirzīšanai aktuālajām prioritātēm</w:t>
      </w:r>
      <w:bookmarkEnd w:id="21"/>
    </w:p>
    <w:p w:rsidR="00F23C3C" w:rsidRPr="000B3856" w:rsidRDefault="009A5DC2" w:rsidP="00F30CB1">
      <w:pPr>
        <w:pStyle w:val="Heading3"/>
        <w:spacing w:before="120" w:after="240"/>
        <w:jc w:val="center"/>
        <w:rPr>
          <w:rFonts w:ascii="Times New Roman" w:hAnsi="Times New Roman" w:cs="Times New Roman"/>
          <w:color w:val="auto"/>
          <w:sz w:val="28"/>
          <w:szCs w:val="28"/>
        </w:rPr>
      </w:pPr>
      <w:bookmarkStart w:id="22" w:name="_Toc487036806"/>
      <w:r w:rsidRPr="00C90316">
        <w:rPr>
          <w:rFonts w:ascii="Times New Roman" w:hAnsi="Times New Roman" w:cs="Times New Roman"/>
          <w:color w:val="auto"/>
          <w:sz w:val="28"/>
          <w:szCs w:val="28"/>
        </w:rPr>
        <w:t>3.4.1. Resu</w:t>
      </w:r>
      <w:r w:rsidR="008838F5" w:rsidRPr="00C90316">
        <w:rPr>
          <w:rFonts w:ascii="Times New Roman" w:hAnsi="Times New Roman" w:cs="Times New Roman"/>
          <w:color w:val="auto"/>
          <w:sz w:val="28"/>
          <w:szCs w:val="28"/>
        </w:rPr>
        <w:t>rsu veidošana no pašu ieņēmumu atlikumiem</w:t>
      </w:r>
      <w:bookmarkEnd w:id="22"/>
    </w:p>
    <w:p w:rsidR="00F23C3C" w:rsidRDefault="00F23C3C" w:rsidP="00F23C3C">
      <w:pPr>
        <w:spacing w:after="120"/>
        <w:ind w:firstLine="709"/>
        <w:jc w:val="both"/>
      </w:pPr>
      <w:r>
        <w:t xml:space="preserve">Ieņēmumu no maksas pakalpojumiem un citu pašu ieņēmumu (turpmāk – pašu ieņēmumi) atlikumu analīze veikta, lai nodrošinātu: </w:t>
      </w:r>
    </w:p>
    <w:p w:rsidR="00F23C3C" w:rsidRDefault="00F23C3C" w:rsidP="008C25BB">
      <w:pPr>
        <w:pStyle w:val="ListParagraph"/>
        <w:numPr>
          <w:ilvl w:val="0"/>
          <w:numId w:val="52"/>
        </w:numPr>
        <w:jc w:val="both"/>
      </w:pPr>
      <w:r>
        <w:t>ekonomiski racionālu uzkrāto naudas līdz</w:t>
      </w:r>
      <w:r w:rsidR="00791EFE">
        <w:t>ekļu atlikuma izlietošanu, tai skaitā</w:t>
      </w:r>
      <w:r>
        <w:t xml:space="preserve"> nozaru prioritāšu finansēšanai;</w:t>
      </w:r>
    </w:p>
    <w:p w:rsidR="00F23C3C" w:rsidRDefault="00F23C3C" w:rsidP="00472F10">
      <w:pPr>
        <w:pStyle w:val="ListParagraph"/>
        <w:numPr>
          <w:ilvl w:val="0"/>
          <w:numId w:val="52"/>
        </w:numPr>
        <w:spacing w:after="120"/>
        <w:ind w:left="714" w:hanging="357"/>
        <w:jc w:val="both"/>
      </w:pPr>
      <w:r>
        <w:t>pašu ieņēmumu administrēšanas un plānošanas prakse</w:t>
      </w:r>
      <w:r w:rsidR="00791EFE">
        <w:t>s pilnveidošanu, tai skaitā</w:t>
      </w:r>
      <w:r>
        <w:t xml:space="preserve"> nodrošinot LBFV </w:t>
      </w:r>
      <w:r w:rsidRPr="006B6ACB">
        <w:rPr>
          <w:szCs w:val="24"/>
        </w:rPr>
        <w:t>5.panta 12.</w:t>
      </w:r>
      <w:r w:rsidRPr="006B6ACB">
        <w:rPr>
          <w:szCs w:val="24"/>
          <w:vertAlign w:val="superscript"/>
        </w:rPr>
        <w:t xml:space="preserve">1 </w:t>
      </w:r>
      <w:r w:rsidRPr="006B6ACB">
        <w:rPr>
          <w:szCs w:val="24"/>
        </w:rPr>
        <w:t>daļā paredzēto, ka maksas pakalpojumu izcenojum</w:t>
      </w:r>
      <w:r>
        <w:rPr>
          <w:szCs w:val="24"/>
        </w:rPr>
        <w:t>i</w:t>
      </w:r>
      <w:r w:rsidRPr="006B6ACB">
        <w:rPr>
          <w:szCs w:val="24"/>
        </w:rPr>
        <w:t xml:space="preserve"> </w:t>
      </w:r>
      <w:r>
        <w:rPr>
          <w:szCs w:val="24"/>
        </w:rPr>
        <w:t>ir tieši saistīti ar pakalpojumu sniegšanas izmaksām</w:t>
      </w:r>
      <w:r w:rsidRPr="006B6ACB">
        <w:rPr>
          <w:szCs w:val="24"/>
        </w:rPr>
        <w:t xml:space="preserve">. </w:t>
      </w:r>
    </w:p>
    <w:p w:rsidR="00F23C3C" w:rsidRDefault="00F23C3C" w:rsidP="00F23C3C">
      <w:pPr>
        <w:jc w:val="center"/>
      </w:pPr>
      <w:r>
        <w:rPr>
          <w:noProof/>
          <w:lang w:eastAsia="lv-LV"/>
        </w:rPr>
        <w:lastRenderedPageBreak/>
        <w:drawing>
          <wp:inline distT="0" distB="0" distL="0" distR="0" wp14:anchorId="122855F4" wp14:editId="30762EDC">
            <wp:extent cx="5748793" cy="2464904"/>
            <wp:effectExtent l="0" t="0" r="4445" b="12065"/>
            <wp:docPr id="92" name="Chart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F23C3C" w:rsidRPr="00791EFE" w:rsidRDefault="001F0BCF" w:rsidP="00791EFE">
      <w:pPr>
        <w:spacing w:before="120" w:after="240"/>
        <w:jc w:val="center"/>
        <w:rPr>
          <w:b/>
          <w:sz w:val="22"/>
        </w:rPr>
      </w:pPr>
      <w:r w:rsidRPr="001F0BCF">
        <w:rPr>
          <w:i/>
          <w:color w:val="000000" w:themeColor="text1"/>
          <w:sz w:val="22"/>
        </w:rPr>
        <w:t>3.32</w:t>
      </w:r>
      <w:r w:rsidR="00791EFE" w:rsidRPr="001F0BCF">
        <w:rPr>
          <w:i/>
          <w:color w:val="000000" w:themeColor="text1"/>
          <w:sz w:val="22"/>
        </w:rPr>
        <w:t>.</w:t>
      </w:r>
      <w:r w:rsidR="00F23C3C" w:rsidRPr="001F0BCF">
        <w:rPr>
          <w:i/>
          <w:color w:val="000000" w:themeColor="text1"/>
          <w:sz w:val="22"/>
        </w:rPr>
        <w:t>att</w:t>
      </w:r>
      <w:r w:rsidR="00F23C3C" w:rsidRPr="001F0BCF">
        <w:rPr>
          <w:color w:val="000000" w:themeColor="text1"/>
          <w:sz w:val="22"/>
        </w:rPr>
        <w:t xml:space="preserve">. </w:t>
      </w:r>
      <w:r w:rsidR="00F23C3C" w:rsidRPr="001F0BCF">
        <w:rPr>
          <w:b/>
          <w:sz w:val="22"/>
        </w:rPr>
        <w:t>Pašu</w:t>
      </w:r>
      <w:r w:rsidR="00F23C3C" w:rsidRPr="00381898">
        <w:rPr>
          <w:b/>
          <w:sz w:val="22"/>
        </w:rPr>
        <w:t xml:space="preserve"> ieņēmumu atlikum</w:t>
      </w:r>
      <w:r w:rsidR="00F23C3C">
        <w:rPr>
          <w:b/>
          <w:sz w:val="22"/>
        </w:rPr>
        <w:t xml:space="preserve">i dinamikā pa gadiem, milj. </w:t>
      </w:r>
      <w:r w:rsidR="00F23C3C" w:rsidRPr="00B717A1">
        <w:rPr>
          <w:b/>
          <w:i/>
          <w:sz w:val="22"/>
        </w:rPr>
        <w:t>euro</w:t>
      </w:r>
    </w:p>
    <w:p w:rsidR="00F23C3C" w:rsidRDefault="00F23C3C" w:rsidP="00472F10">
      <w:pPr>
        <w:ind w:firstLine="720"/>
        <w:jc w:val="both"/>
      </w:pPr>
      <w:r>
        <w:t>Veicot pašu ieņēmumu atlikumu pārskatīšanu, tika izvērtēti ministriju un BNI, pašu ieņēmumu atlikumi.</w:t>
      </w:r>
    </w:p>
    <w:p w:rsidR="00F23C3C" w:rsidRDefault="00F23C3C" w:rsidP="00472F10">
      <w:pPr>
        <w:ind w:firstLine="720"/>
        <w:jc w:val="both"/>
      </w:pPr>
      <w:r>
        <w:t xml:space="preserve">Kā redzams </w:t>
      </w:r>
      <w:r w:rsidR="001F0BCF">
        <w:t>3.32.</w:t>
      </w:r>
      <w:r>
        <w:t xml:space="preserve">attēlā gan ministriju, gan BNI kontos ir uzkrāti ievērojami pašu ieņēmumu atlikumi, t.i., uzkrātais atlikums pēdējos četros gados ministrijām ir pieaudzis par 6,1 milj. </w:t>
      </w:r>
      <w:r w:rsidRPr="00DA5711">
        <w:rPr>
          <w:i/>
        </w:rPr>
        <w:t>euro</w:t>
      </w:r>
      <w:r>
        <w:t xml:space="preserve"> un BNI uzkrātais atlikums pieaudzis par 2,5 milj. </w:t>
      </w:r>
      <w:r w:rsidRPr="00DA5711">
        <w:rPr>
          <w:i/>
        </w:rPr>
        <w:t>euro</w:t>
      </w:r>
      <w:r>
        <w:t>.</w:t>
      </w:r>
    </w:p>
    <w:p w:rsidR="00121FBE" w:rsidRPr="00472F10" w:rsidRDefault="00F23C3C" w:rsidP="00472F10">
      <w:pPr>
        <w:spacing w:after="120"/>
        <w:ind w:firstLine="720"/>
        <w:jc w:val="both"/>
      </w:pPr>
      <w:r w:rsidRPr="007339C1">
        <w:t xml:space="preserve">Ministriju un </w:t>
      </w:r>
      <w:r>
        <w:t>BNI</w:t>
      </w:r>
      <w:r w:rsidRPr="007339C1">
        <w:t xml:space="preserve"> uzrātos pašu ieņēmumu atlikumus</w:t>
      </w:r>
      <w:r>
        <w:t xml:space="preserve"> </w:t>
      </w:r>
      <w:r w:rsidRPr="007339C1">
        <w:t xml:space="preserve">būtu iespējams novirzīt valsts budžeta resursiem izdevumu segšanai, lai daļēji finansētu nozaru </w:t>
      </w:r>
      <w:r>
        <w:t>prioritāros</w:t>
      </w:r>
      <w:r w:rsidR="00472F10">
        <w:t xml:space="preserve"> pasākumus.</w:t>
      </w:r>
    </w:p>
    <w:p w:rsidR="00F23C3C" w:rsidRPr="000B3856" w:rsidRDefault="00F23C3C" w:rsidP="00791EFE">
      <w:pPr>
        <w:spacing w:before="120" w:after="120"/>
        <w:ind w:firstLine="720"/>
        <w:jc w:val="right"/>
        <w:rPr>
          <w:color w:val="000000" w:themeColor="text1"/>
        </w:rPr>
      </w:pPr>
      <w:r w:rsidRPr="001F0BCF">
        <w:rPr>
          <w:color w:val="000000" w:themeColor="text1"/>
        </w:rPr>
        <w:t>Tabula Nr.</w:t>
      </w:r>
      <w:r w:rsidR="001F0BCF" w:rsidRPr="001F0BCF">
        <w:rPr>
          <w:color w:val="000000" w:themeColor="text1"/>
        </w:rPr>
        <w:t>3.24</w:t>
      </w:r>
    </w:p>
    <w:p w:rsidR="00F23C3C" w:rsidRDefault="00F23C3C" w:rsidP="00121FBE">
      <w:pPr>
        <w:spacing w:after="60"/>
        <w:jc w:val="center"/>
        <w:rPr>
          <w:b/>
          <w:i/>
        </w:rPr>
      </w:pPr>
      <w:r>
        <w:rPr>
          <w:b/>
        </w:rPr>
        <w:t xml:space="preserve">Ministriju pašu ieņēmumu atlikumi uz attiecīgā gada 1.janvāri, </w:t>
      </w:r>
      <w:r w:rsidRPr="004E7B66">
        <w:rPr>
          <w:b/>
          <w:i/>
        </w:rPr>
        <w:t>euro</w:t>
      </w:r>
    </w:p>
    <w:tbl>
      <w:tblPr>
        <w:tblW w:w="9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1380"/>
        <w:gridCol w:w="1380"/>
        <w:gridCol w:w="1380"/>
        <w:gridCol w:w="1380"/>
        <w:gridCol w:w="1360"/>
        <w:gridCol w:w="1080"/>
      </w:tblGrid>
      <w:tr w:rsidR="00F23C3C" w:rsidRPr="00DD7E45" w:rsidTr="00F30CB1">
        <w:trPr>
          <w:trHeight w:val="20"/>
          <w:tblHeader/>
        </w:trPr>
        <w:tc>
          <w:tcPr>
            <w:tcW w:w="1380" w:type="dxa"/>
            <w:vMerge w:val="restart"/>
            <w:shd w:val="clear" w:color="auto" w:fill="C5E0B3" w:themeFill="accent6" w:themeFillTint="66"/>
            <w:vAlign w:val="center"/>
            <w:hideMark/>
          </w:tcPr>
          <w:p w:rsidR="00F23C3C" w:rsidRPr="00DD7E45" w:rsidRDefault="00F23C3C" w:rsidP="00963A50">
            <w:pPr>
              <w:jc w:val="center"/>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Ministrija</w:t>
            </w:r>
          </w:p>
        </w:tc>
        <w:tc>
          <w:tcPr>
            <w:tcW w:w="1380" w:type="dxa"/>
            <w:vMerge w:val="restart"/>
            <w:shd w:val="clear" w:color="auto" w:fill="C5E0B3" w:themeFill="accent6" w:themeFillTint="66"/>
            <w:noWrap/>
            <w:vAlign w:val="center"/>
            <w:hideMark/>
          </w:tcPr>
          <w:p w:rsidR="00F23C3C" w:rsidRPr="00DD7E45" w:rsidRDefault="00F23C3C" w:rsidP="00963A50">
            <w:pPr>
              <w:jc w:val="center"/>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2014</w:t>
            </w:r>
          </w:p>
        </w:tc>
        <w:tc>
          <w:tcPr>
            <w:tcW w:w="1380" w:type="dxa"/>
            <w:vMerge w:val="restart"/>
            <w:shd w:val="clear" w:color="auto" w:fill="C5E0B3" w:themeFill="accent6" w:themeFillTint="66"/>
            <w:noWrap/>
            <w:vAlign w:val="center"/>
            <w:hideMark/>
          </w:tcPr>
          <w:p w:rsidR="00F23C3C" w:rsidRPr="00DD7E45" w:rsidRDefault="00F23C3C" w:rsidP="00963A50">
            <w:pPr>
              <w:jc w:val="center"/>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2015</w:t>
            </w:r>
          </w:p>
        </w:tc>
        <w:tc>
          <w:tcPr>
            <w:tcW w:w="1380" w:type="dxa"/>
            <w:vMerge w:val="restart"/>
            <w:shd w:val="clear" w:color="auto" w:fill="C5E0B3" w:themeFill="accent6" w:themeFillTint="66"/>
            <w:noWrap/>
            <w:vAlign w:val="center"/>
            <w:hideMark/>
          </w:tcPr>
          <w:p w:rsidR="00F23C3C" w:rsidRPr="00DD7E45" w:rsidRDefault="00F23C3C" w:rsidP="00963A50">
            <w:pPr>
              <w:jc w:val="center"/>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2016</w:t>
            </w:r>
          </w:p>
        </w:tc>
        <w:tc>
          <w:tcPr>
            <w:tcW w:w="1380" w:type="dxa"/>
            <w:vMerge w:val="restart"/>
            <w:shd w:val="clear" w:color="auto" w:fill="C5E0B3" w:themeFill="accent6" w:themeFillTint="66"/>
            <w:noWrap/>
            <w:vAlign w:val="center"/>
            <w:hideMark/>
          </w:tcPr>
          <w:p w:rsidR="00F23C3C" w:rsidRPr="00DD7E45" w:rsidRDefault="00F23C3C" w:rsidP="00963A50">
            <w:pPr>
              <w:jc w:val="center"/>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2017</w:t>
            </w:r>
          </w:p>
        </w:tc>
        <w:tc>
          <w:tcPr>
            <w:tcW w:w="2440" w:type="dxa"/>
            <w:gridSpan w:val="2"/>
            <w:shd w:val="clear" w:color="auto" w:fill="C5E0B3" w:themeFill="accent6" w:themeFillTint="66"/>
            <w:vAlign w:val="center"/>
            <w:hideMark/>
          </w:tcPr>
          <w:p w:rsidR="00F23C3C" w:rsidRPr="00DD7E45" w:rsidRDefault="00F23C3C" w:rsidP="00963A50">
            <w:pPr>
              <w:jc w:val="center"/>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Izmaiņas 2017 pret 2014</w:t>
            </w:r>
          </w:p>
        </w:tc>
      </w:tr>
      <w:tr w:rsidR="00F23C3C" w:rsidRPr="00DD7E45" w:rsidTr="00F30CB1">
        <w:trPr>
          <w:trHeight w:val="20"/>
          <w:tblHeader/>
        </w:trPr>
        <w:tc>
          <w:tcPr>
            <w:tcW w:w="1380" w:type="dxa"/>
            <w:vMerge/>
            <w:shd w:val="clear" w:color="auto" w:fill="C5E0B3" w:themeFill="accent6" w:themeFillTint="66"/>
            <w:vAlign w:val="center"/>
          </w:tcPr>
          <w:p w:rsidR="00F23C3C" w:rsidRPr="00DD7E45" w:rsidRDefault="00F23C3C" w:rsidP="00963A50">
            <w:pPr>
              <w:jc w:val="center"/>
              <w:rPr>
                <w:rFonts w:eastAsia="Times New Roman" w:cs="Times New Roman"/>
                <w:b/>
                <w:bCs/>
                <w:color w:val="000000"/>
                <w:sz w:val="21"/>
                <w:szCs w:val="21"/>
                <w:lang w:eastAsia="lv-LV"/>
              </w:rPr>
            </w:pPr>
          </w:p>
        </w:tc>
        <w:tc>
          <w:tcPr>
            <w:tcW w:w="1380" w:type="dxa"/>
            <w:vMerge/>
            <w:shd w:val="clear" w:color="auto" w:fill="C5E0B3" w:themeFill="accent6" w:themeFillTint="66"/>
            <w:noWrap/>
            <w:vAlign w:val="center"/>
          </w:tcPr>
          <w:p w:rsidR="00F23C3C" w:rsidRPr="00DD7E45" w:rsidRDefault="00F23C3C" w:rsidP="00963A50">
            <w:pPr>
              <w:jc w:val="center"/>
              <w:rPr>
                <w:rFonts w:eastAsia="Times New Roman" w:cs="Times New Roman"/>
                <w:b/>
                <w:bCs/>
                <w:color w:val="000000"/>
                <w:sz w:val="21"/>
                <w:szCs w:val="21"/>
                <w:lang w:eastAsia="lv-LV"/>
              </w:rPr>
            </w:pPr>
          </w:p>
        </w:tc>
        <w:tc>
          <w:tcPr>
            <w:tcW w:w="1380" w:type="dxa"/>
            <w:vMerge/>
            <w:shd w:val="clear" w:color="auto" w:fill="C5E0B3" w:themeFill="accent6" w:themeFillTint="66"/>
            <w:noWrap/>
            <w:vAlign w:val="center"/>
          </w:tcPr>
          <w:p w:rsidR="00F23C3C" w:rsidRPr="00DD7E45" w:rsidRDefault="00F23C3C" w:rsidP="00963A50">
            <w:pPr>
              <w:jc w:val="center"/>
              <w:rPr>
                <w:rFonts w:eastAsia="Times New Roman" w:cs="Times New Roman"/>
                <w:b/>
                <w:bCs/>
                <w:color w:val="000000"/>
                <w:sz w:val="21"/>
                <w:szCs w:val="21"/>
                <w:lang w:eastAsia="lv-LV"/>
              </w:rPr>
            </w:pPr>
          </w:p>
        </w:tc>
        <w:tc>
          <w:tcPr>
            <w:tcW w:w="1380" w:type="dxa"/>
            <w:vMerge/>
            <w:shd w:val="clear" w:color="auto" w:fill="C5E0B3" w:themeFill="accent6" w:themeFillTint="66"/>
            <w:noWrap/>
            <w:vAlign w:val="center"/>
          </w:tcPr>
          <w:p w:rsidR="00F23C3C" w:rsidRPr="00DD7E45" w:rsidRDefault="00F23C3C" w:rsidP="00963A50">
            <w:pPr>
              <w:jc w:val="center"/>
              <w:rPr>
                <w:rFonts w:eastAsia="Times New Roman" w:cs="Times New Roman"/>
                <w:b/>
                <w:bCs/>
                <w:color w:val="000000"/>
                <w:sz w:val="21"/>
                <w:szCs w:val="21"/>
                <w:lang w:eastAsia="lv-LV"/>
              </w:rPr>
            </w:pPr>
          </w:p>
        </w:tc>
        <w:tc>
          <w:tcPr>
            <w:tcW w:w="1380" w:type="dxa"/>
            <w:vMerge/>
            <w:shd w:val="clear" w:color="auto" w:fill="C5E0B3" w:themeFill="accent6" w:themeFillTint="66"/>
            <w:noWrap/>
            <w:vAlign w:val="center"/>
          </w:tcPr>
          <w:p w:rsidR="00F23C3C" w:rsidRPr="00DD7E45" w:rsidRDefault="00F23C3C" w:rsidP="00963A50">
            <w:pPr>
              <w:jc w:val="center"/>
              <w:rPr>
                <w:rFonts w:eastAsia="Times New Roman" w:cs="Times New Roman"/>
                <w:b/>
                <w:bCs/>
                <w:color w:val="000000"/>
                <w:sz w:val="21"/>
                <w:szCs w:val="21"/>
                <w:lang w:eastAsia="lv-LV"/>
              </w:rPr>
            </w:pPr>
          </w:p>
        </w:tc>
        <w:tc>
          <w:tcPr>
            <w:tcW w:w="1360" w:type="dxa"/>
            <w:shd w:val="clear" w:color="auto" w:fill="C5E0B3" w:themeFill="accent6" w:themeFillTint="66"/>
            <w:vAlign w:val="center"/>
          </w:tcPr>
          <w:p w:rsidR="00F23C3C" w:rsidRPr="00DD7E45" w:rsidRDefault="00F23C3C" w:rsidP="00963A50">
            <w:pPr>
              <w:jc w:val="center"/>
              <w:rPr>
                <w:rFonts w:eastAsia="Times New Roman" w:cs="Times New Roman"/>
                <w:b/>
                <w:bCs/>
                <w:i/>
                <w:color w:val="000000"/>
                <w:sz w:val="21"/>
                <w:szCs w:val="21"/>
                <w:lang w:eastAsia="lv-LV"/>
              </w:rPr>
            </w:pPr>
            <w:r w:rsidRPr="00DD7E45">
              <w:rPr>
                <w:rFonts w:eastAsia="Times New Roman" w:cs="Times New Roman"/>
                <w:b/>
                <w:bCs/>
                <w:i/>
                <w:color w:val="000000"/>
                <w:sz w:val="21"/>
                <w:szCs w:val="21"/>
                <w:lang w:eastAsia="lv-LV"/>
              </w:rPr>
              <w:t>euro</w:t>
            </w:r>
          </w:p>
        </w:tc>
        <w:tc>
          <w:tcPr>
            <w:tcW w:w="1080" w:type="dxa"/>
            <w:shd w:val="clear" w:color="auto" w:fill="C5E0B3" w:themeFill="accent6" w:themeFillTint="66"/>
            <w:vAlign w:val="center"/>
          </w:tcPr>
          <w:p w:rsidR="00F23C3C" w:rsidRPr="00DD7E45" w:rsidRDefault="00F23C3C" w:rsidP="00963A50">
            <w:pPr>
              <w:jc w:val="center"/>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TM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12 394 789</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14 403 287</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17 771 318</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19 179 286</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6 784 497</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55%</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FM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6 425 860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5 927 423</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5 508 886</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4 691 290</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-1 734 570</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-27%</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VM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2 117 445</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2 486 468</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3 183 230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3 597 121</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1 479 676</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70%</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EM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584 237</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1 602 825</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2 060 878</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2 003 230</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1 418 993</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243%</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ZM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1 028 274</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1 011 093</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1 713 120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1 673 216</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644 942</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63%</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ĀM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242 370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700 672</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1 307 622</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1 306 929</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1 064 559</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439%</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IZM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712 832</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869 211</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1 295 560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1 179 179</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466 347</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65%</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1 106 394</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992 320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715 192</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946 615</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-159 779</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-14%</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IeM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2 291 316</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1 772 152</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1 388 573</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893 629</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-1 397 687</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-61%</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KM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1 078 481</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1 214 971</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1 144 748</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592 386</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-486 095</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-45%</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AiM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623 141</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680 829</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612 384</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537 981</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-85 160</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-14%</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Saeima</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706 815</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970 686</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1 108 906</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337 477</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-369 338</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-52%</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VARAM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12 991</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296 216</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242 782</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244 745</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231 754</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1784%</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AT</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7 113</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9 603</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11 350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13 043</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5 930</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83%</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ST</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 </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38 184</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10 634</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10 634</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10 634</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0%</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Prokuratūra</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3 736</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7 630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7 630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7 629</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3 893</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104%</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RTV</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5 943</w:t>
            </w:r>
          </w:p>
        </w:tc>
        <w:tc>
          <w:tcPr>
            <w:tcW w:w="1380" w:type="dxa"/>
            <w:shd w:val="clear" w:color="auto" w:fill="auto"/>
            <w:noWrap/>
            <w:vAlign w:val="center"/>
            <w:hideMark/>
          </w:tcPr>
          <w:p w:rsidR="00F23C3C" w:rsidRPr="00DD7E45" w:rsidRDefault="00383DC7" w:rsidP="00963A50">
            <w:pPr>
              <w:jc w:val="right"/>
              <w:rPr>
                <w:rFonts w:eastAsia="Times New Roman" w:cs="Times New Roman"/>
                <w:color w:val="000000"/>
                <w:sz w:val="21"/>
                <w:szCs w:val="21"/>
                <w:lang w:eastAsia="lv-LV"/>
              </w:rPr>
            </w:pPr>
            <w:r>
              <w:rPr>
                <w:rFonts w:eastAsia="Times New Roman" w:cs="Times New Roman"/>
                <w:color w:val="000000"/>
                <w:sz w:val="21"/>
                <w:szCs w:val="21"/>
                <w:lang w:eastAsia="lv-LV"/>
              </w:rPr>
              <w:t>0</w:t>
            </w:r>
            <w:r w:rsidR="00F23C3C" w:rsidRPr="00DD7E45">
              <w:rPr>
                <w:rFonts w:eastAsia="Times New Roman" w:cs="Times New Roman"/>
                <w:color w:val="000000"/>
                <w:sz w:val="21"/>
                <w:szCs w:val="21"/>
                <w:lang w:eastAsia="lv-LV"/>
              </w:rPr>
              <w:t> </w:t>
            </w:r>
          </w:p>
        </w:tc>
        <w:tc>
          <w:tcPr>
            <w:tcW w:w="1380" w:type="dxa"/>
            <w:shd w:val="clear" w:color="auto" w:fill="auto"/>
            <w:noWrap/>
            <w:vAlign w:val="center"/>
            <w:hideMark/>
          </w:tcPr>
          <w:p w:rsidR="00F23C3C" w:rsidRPr="00DD7E45" w:rsidRDefault="00383DC7" w:rsidP="00963A50">
            <w:pPr>
              <w:jc w:val="right"/>
              <w:rPr>
                <w:rFonts w:eastAsia="Times New Roman" w:cs="Times New Roman"/>
                <w:color w:val="000000"/>
                <w:sz w:val="21"/>
                <w:szCs w:val="21"/>
                <w:lang w:eastAsia="lv-LV"/>
              </w:rPr>
            </w:pPr>
            <w:r>
              <w:rPr>
                <w:rFonts w:eastAsia="Times New Roman" w:cs="Times New Roman"/>
                <w:color w:val="000000"/>
                <w:sz w:val="21"/>
                <w:szCs w:val="21"/>
                <w:lang w:eastAsia="lv-LV"/>
              </w:rPr>
              <w:t>0</w:t>
            </w:r>
            <w:r w:rsidR="00F23C3C" w:rsidRPr="00DD7E45">
              <w:rPr>
                <w:rFonts w:eastAsia="Times New Roman" w:cs="Times New Roman"/>
                <w:color w:val="000000"/>
                <w:sz w:val="21"/>
                <w:szCs w:val="21"/>
                <w:lang w:eastAsia="lv-LV"/>
              </w:rPr>
              <w:t> </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2 849</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-3 094</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-52%</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LM</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7 984</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9 897</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33 538</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469</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w:t>
            </w:r>
            <w:r>
              <w:rPr>
                <w:rFonts w:eastAsia="Times New Roman" w:cs="Times New Roman"/>
                <w:color w:val="000000"/>
                <w:sz w:val="21"/>
                <w:szCs w:val="21"/>
                <w:lang w:eastAsia="lv-LV"/>
              </w:rPr>
              <w:t xml:space="preserve"> </w:t>
            </w:r>
            <w:r w:rsidRPr="00DD7E45">
              <w:rPr>
                <w:rFonts w:eastAsia="Times New Roman" w:cs="Times New Roman"/>
                <w:color w:val="000000"/>
                <w:sz w:val="21"/>
                <w:szCs w:val="21"/>
                <w:lang w:eastAsia="lv-LV"/>
              </w:rPr>
              <w:t>515</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-94%</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MK</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73 501</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77 539</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35 874</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0</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-73</w:t>
            </w:r>
            <w:r>
              <w:rPr>
                <w:rFonts w:eastAsia="Times New Roman" w:cs="Times New Roman"/>
                <w:color w:val="000000"/>
                <w:sz w:val="21"/>
                <w:szCs w:val="21"/>
                <w:lang w:eastAsia="lv-LV"/>
              </w:rPr>
              <w:t xml:space="preserve"> </w:t>
            </w:r>
            <w:r w:rsidRPr="00DD7E45">
              <w:rPr>
                <w:rFonts w:eastAsia="Times New Roman" w:cs="Times New Roman"/>
                <w:color w:val="000000"/>
                <w:sz w:val="21"/>
                <w:szCs w:val="21"/>
                <w:lang w:eastAsia="lv-LV"/>
              </w:rPr>
              <w:t>501</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-100%</w:t>
            </w:r>
          </w:p>
        </w:tc>
      </w:tr>
      <w:tr w:rsidR="00F23C3C" w:rsidRPr="00DD7E45" w:rsidTr="00791EFE">
        <w:trPr>
          <w:trHeight w:val="20"/>
        </w:trPr>
        <w:tc>
          <w:tcPr>
            <w:tcW w:w="1380" w:type="dxa"/>
            <w:shd w:val="clear" w:color="auto" w:fill="auto"/>
            <w:noWrap/>
            <w:vAlign w:val="center"/>
            <w:hideMark/>
          </w:tcPr>
          <w:p w:rsidR="00F23C3C" w:rsidRPr="00F30CB1" w:rsidRDefault="00F23C3C" w:rsidP="00963A50">
            <w:pPr>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SPRK</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1 673 690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669 286</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100</w:t>
            </w:r>
          </w:p>
        </w:tc>
        <w:tc>
          <w:tcPr>
            <w:tcW w:w="13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0</w:t>
            </w:r>
          </w:p>
        </w:tc>
        <w:tc>
          <w:tcPr>
            <w:tcW w:w="136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w:t>
            </w:r>
            <w:r>
              <w:rPr>
                <w:rFonts w:eastAsia="Times New Roman" w:cs="Times New Roman"/>
                <w:color w:val="000000"/>
                <w:sz w:val="21"/>
                <w:szCs w:val="21"/>
                <w:lang w:eastAsia="lv-LV"/>
              </w:rPr>
              <w:t xml:space="preserve"> </w:t>
            </w:r>
            <w:r w:rsidRPr="00DD7E45">
              <w:rPr>
                <w:rFonts w:eastAsia="Times New Roman" w:cs="Times New Roman"/>
                <w:color w:val="000000"/>
                <w:sz w:val="21"/>
                <w:szCs w:val="21"/>
                <w:lang w:eastAsia="lv-LV"/>
              </w:rPr>
              <w:t>673</w:t>
            </w:r>
            <w:r>
              <w:rPr>
                <w:rFonts w:eastAsia="Times New Roman" w:cs="Times New Roman"/>
                <w:color w:val="000000"/>
                <w:sz w:val="21"/>
                <w:szCs w:val="21"/>
                <w:lang w:eastAsia="lv-LV"/>
              </w:rPr>
              <w:t xml:space="preserve"> </w:t>
            </w:r>
            <w:r w:rsidRPr="00DD7E45">
              <w:rPr>
                <w:rFonts w:eastAsia="Times New Roman" w:cs="Times New Roman"/>
                <w:color w:val="000000"/>
                <w:sz w:val="21"/>
                <w:szCs w:val="21"/>
                <w:lang w:eastAsia="lv-LV"/>
              </w:rPr>
              <w:t>690</w:t>
            </w:r>
          </w:p>
        </w:tc>
        <w:tc>
          <w:tcPr>
            <w:tcW w:w="1080" w:type="dxa"/>
            <w:shd w:val="clear" w:color="auto" w:fill="auto"/>
            <w:noWrap/>
            <w:vAlign w:val="center"/>
            <w:hideMark/>
          </w:tcPr>
          <w:p w:rsidR="00F23C3C" w:rsidRPr="00DD7E45" w:rsidRDefault="00F23C3C" w:rsidP="00963A50">
            <w:pPr>
              <w:jc w:val="right"/>
              <w:rPr>
                <w:rFonts w:eastAsia="Times New Roman" w:cs="Times New Roman"/>
                <w:color w:val="000000"/>
                <w:sz w:val="21"/>
                <w:szCs w:val="21"/>
                <w:lang w:eastAsia="lv-LV"/>
              </w:rPr>
            </w:pPr>
            <w:r w:rsidRPr="00DD7E45">
              <w:rPr>
                <w:rFonts w:eastAsia="Times New Roman" w:cs="Times New Roman"/>
                <w:color w:val="000000"/>
                <w:sz w:val="21"/>
                <w:szCs w:val="21"/>
                <w:lang w:eastAsia="lv-LV"/>
              </w:rPr>
              <w:t>-100%</w:t>
            </w:r>
          </w:p>
        </w:tc>
      </w:tr>
      <w:tr w:rsidR="00F23C3C" w:rsidRPr="00DD7E45" w:rsidTr="00791EFE">
        <w:trPr>
          <w:trHeight w:val="20"/>
        </w:trPr>
        <w:tc>
          <w:tcPr>
            <w:tcW w:w="1380" w:type="dxa"/>
            <w:shd w:val="clear" w:color="auto" w:fill="auto"/>
            <w:noWrap/>
            <w:vAlign w:val="center"/>
            <w:hideMark/>
          </w:tcPr>
          <w:p w:rsidR="00F23C3C" w:rsidRPr="00DD7E45" w:rsidRDefault="00791EFE" w:rsidP="00963A50">
            <w:pPr>
              <w:jc w:val="right"/>
              <w:rPr>
                <w:rFonts w:eastAsia="Times New Roman" w:cs="Times New Roman"/>
                <w:b/>
                <w:bCs/>
                <w:color w:val="000000"/>
                <w:sz w:val="21"/>
                <w:szCs w:val="21"/>
                <w:lang w:eastAsia="lv-LV"/>
              </w:rPr>
            </w:pPr>
            <w:r>
              <w:rPr>
                <w:rFonts w:eastAsia="Times New Roman" w:cs="Times New Roman"/>
                <w:b/>
                <w:bCs/>
                <w:color w:val="000000"/>
                <w:sz w:val="21"/>
                <w:szCs w:val="21"/>
                <w:lang w:eastAsia="lv-LV"/>
              </w:rPr>
              <w:t>KOPĀ:</w:t>
            </w:r>
          </w:p>
        </w:tc>
        <w:tc>
          <w:tcPr>
            <w:tcW w:w="1380" w:type="dxa"/>
            <w:shd w:val="clear" w:color="auto" w:fill="auto"/>
            <w:noWrap/>
            <w:vAlign w:val="center"/>
            <w:hideMark/>
          </w:tcPr>
          <w:p w:rsidR="00F23C3C" w:rsidRPr="00DD7E45" w:rsidRDefault="00F23C3C" w:rsidP="00963A50">
            <w:pPr>
              <w:jc w:val="right"/>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31 096 912</w:t>
            </w:r>
          </w:p>
        </w:tc>
        <w:tc>
          <w:tcPr>
            <w:tcW w:w="1380" w:type="dxa"/>
            <w:shd w:val="clear" w:color="auto" w:fill="auto"/>
            <w:noWrap/>
            <w:vAlign w:val="center"/>
            <w:hideMark/>
          </w:tcPr>
          <w:p w:rsidR="00F23C3C" w:rsidRPr="00DD7E45" w:rsidRDefault="00F23C3C" w:rsidP="00963A50">
            <w:pPr>
              <w:jc w:val="right"/>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33 740 292</w:t>
            </w:r>
          </w:p>
        </w:tc>
        <w:tc>
          <w:tcPr>
            <w:tcW w:w="1380" w:type="dxa"/>
            <w:shd w:val="clear" w:color="auto" w:fill="auto"/>
            <w:noWrap/>
            <w:vAlign w:val="center"/>
            <w:hideMark/>
          </w:tcPr>
          <w:p w:rsidR="00F23C3C" w:rsidRPr="00DD7E45" w:rsidRDefault="00F23C3C" w:rsidP="00963A50">
            <w:pPr>
              <w:jc w:val="right"/>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38 152 325</w:t>
            </w:r>
          </w:p>
        </w:tc>
        <w:tc>
          <w:tcPr>
            <w:tcW w:w="1380" w:type="dxa"/>
            <w:shd w:val="clear" w:color="auto" w:fill="auto"/>
            <w:noWrap/>
            <w:vAlign w:val="center"/>
            <w:hideMark/>
          </w:tcPr>
          <w:p w:rsidR="00F23C3C" w:rsidRPr="00DD7E45" w:rsidRDefault="00F23C3C" w:rsidP="00963A50">
            <w:pPr>
              <w:jc w:val="right"/>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37 217 710</w:t>
            </w:r>
          </w:p>
        </w:tc>
        <w:tc>
          <w:tcPr>
            <w:tcW w:w="1360" w:type="dxa"/>
            <w:shd w:val="clear" w:color="auto" w:fill="auto"/>
            <w:noWrap/>
            <w:vAlign w:val="center"/>
            <w:hideMark/>
          </w:tcPr>
          <w:p w:rsidR="00F23C3C" w:rsidRPr="00DD7E45" w:rsidRDefault="00F23C3C" w:rsidP="00963A50">
            <w:pPr>
              <w:jc w:val="right"/>
              <w:rPr>
                <w:rFonts w:eastAsia="Times New Roman" w:cs="Times New Roman"/>
                <w:b/>
                <w:bCs/>
                <w:color w:val="000000"/>
                <w:sz w:val="21"/>
                <w:szCs w:val="21"/>
                <w:lang w:eastAsia="lv-LV"/>
              </w:rPr>
            </w:pPr>
            <w:r w:rsidRPr="00DD7E45">
              <w:rPr>
                <w:rFonts w:eastAsia="Times New Roman" w:cs="Times New Roman"/>
                <w:b/>
                <w:bCs/>
                <w:color w:val="000000"/>
                <w:sz w:val="21"/>
                <w:szCs w:val="21"/>
                <w:lang w:eastAsia="lv-LV"/>
              </w:rPr>
              <w:t>6 120 796</w:t>
            </w:r>
          </w:p>
        </w:tc>
        <w:tc>
          <w:tcPr>
            <w:tcW w:w="1080" w:type="dxa"/>
            <w:shd w:val="clear" w:color="auto" w:fill="auto"/>
            <w:noWrap/>
            <w:vAlign w:val="center"/>
            <w:hideMark/>
          </w:tcPr>
          <w:p w:rsidR="00F23C3C" w:rsidRPr="00DD7E45" w:rsidRDefault="00F23C3C" w:rsidP="00963A50">
            <w:pPr>
              <w:jc w:val="right"/>
              <w:rPr>
                <w:rFonts w:eastAsia="Times New Roman" w:cs="Times New Roman"/>
                <w:b/>
                <w:color w:val="000000"/>
                <w:sz w:val="21"/>
                <w:szCs w:val="21"/>
                <w:lang w:eastAsia="lv-LV"/>
              </w:rPr>
            </w:pPr>
            <w:r w:rsidRPr="00DD7E45">
              <w:rPr>
                <w:rFonts w:eastAsia="Times New Roman" w:cs="Times New Roman"/>
                <w:b/>
                <w:color w:val="000000"/>
                <w:sz w:val="21"/>
                <w:szCs w:val="21"/>
                <w:lang w:eastAsia="lv-LV"/>
              </w:rPr>
              <w:t>20%</w:t>
            </w:r>
          </w:p>
        </w:tc>
      </w:tr>
    </w:tbl>
    <w:p w:rsidR="00F23C3C" w:rsidRPr="00864C81" w:rsidRDefault="00F23C3C" w:rsidP="00472F10">
      <w:pPr>
        <w:spacing w:before="240"/>
        <w:ind w:firstLine="720"/>
        <w:jc w:val="both"/>
      </w:pPr>
      <w:r>
        <w:t xml:space="preserve">Kopumā uz 2017.gada 1.janvāri ministrijām pašu ieņēmumu atlikumi veidoja 37,2 milj. </w:t>
      </w:r>
      <w:r w:rsidRPr="0041013B">
        <w:rPr>
          <w:i/>
        </w:rPr>
        <w:t>euro</w:t>
      </w:r>
      <w:r>
        <w:t xml:space="preserve"> un laika posmā no 2014.gada līdz 2017.gadam ministriju uzkrātais pašu ieņēmumu atlikums ir pieaudzis par 20%</w:t>
      </w:r>
      <w:r w:rsidR="001F0BCF">
        <w:t xml:space="preserve"> (skat. tabulu Nr.3.24.)</w:t>
      </w:r>
      <w:r>
        <w:t xml:space="preserve">. </w:t>
      </w:r>
      <w:r w:rsidRPr="00864C81">
        <w:t>Lielākie pašu ieņēmumu atlikumi</w:t>
      </w:r>
      <w:r>
        <w:t xml:space="preserve"> </w:t>
      </w:r>
      <w:r w:rsidRPr="00864C81">
        <w:t>uzkrāti</w:t>
      </w:r>
      <w:r>
        <w:t xml:space="preserve"> </w:t>
      </w:r>
      <w:r w:rsidRPr="00864C81">
        <w:lastRenderedPageBreak/>
        <w:t>TM</w:t>
      </w:r>
      <w:r>
        <w:t xml:space="preserve"> </w:t>
      </w:r>
      <w:r w:rsidRPr="00864C81">
        <w:t xml:space="preserve">19,2 milj. </w:t>
      </w:r>
      <w:r w:rsidRPr="00864C81">
        <w:rPr>
          <w:i/>
        </w:rPr>
        <w:t>euro</w:t>
      </w:r>
      <w:r w:rsidRPr="00864C81">
        <w:t xml:space="preserve"> apmērā, kas ir par 55% vairāk nekā 2014.gadā,</w:t>
      </w:r>
      <w:r>
        <w:t xml:space="preserve"> </w:t>
      </w:r>
      <w:r w:rsidRPr="00864C81">
        <w:t xml:space="preserve">FM 4,7 milj. </w:t>
      </w:r>
      <w:r w:rsidRPr="00864C81">
        <w:rPr>
          <w:i/>
        </w:rPr>
        <w:t>euro</w:t>
      </w:r>
      <w:r w:rsidRPr="00864C81">
        <w:t xml:space="preserve"> apmērā, kas ir par 27% mazāk nekā 2014.gadā un</w:t>
      </w:r>
      <w:r>
        <w:t xml:space="preserve"> </w:t>
      </w:r>
      <w:r w:rsidRPr="00864C81">
        <w:t xml:space="preserve">VM 3,6 milj. </w:t>
      </w:r>
      <w:r w:rsidRPr="00864C81">
        <w:rPr>
          <w:i/>
        </w:rPr>
        <w:t>euro</w:t>
      </w:r>
      <w:r w:rsidRPr="00864C81">
        <w:t xml:space="preserve"> apmērā, k</w:t>
      </w:r>
      <w:r>
        <w:t>as salīdzinoši pret 2014.gadu veido 70% pieaugumu</w:t>
      </w:r>
      <w:r w:rsidRPr="00864C81">
        <w:t>.</w:t>
      </w:r>
    </w:p>
    <w:p w:rsidR="00F23C3C" w:rsidRDefault="00F23C3C" w:rsidP="001F0BCF">
      <w:pPr>
        <w:spacing w:after="120"/>
        <w:ind w:firstLine="720"/>
        <w:jc w:val="both"/>
      </w:pPr>
      <w:r w:rsidRPr="00864C81">
        <w:t xml:space="preserve">Izvērtējot pašu ieņēmumu atlikumu </w:t>
      </w:r>
      <w:r>
        <w:t>procentuālās izmaiņas</w:t>
      </w:r>
      <w:r w:rsidR="008030CD">
        <w:t xml:space="preserve"> </w:t>
      </w:r>
      <w:r w:rsidR="008030CD" w:rsidRPr="008030CD">
        <w:t>2017.gadā attiecībā pret 2014.gadu</w:t>
      </w:r>
      <w:r w:rsidRPr="00864C81">
        <w:t>, secināms, ka lielākais uzkrāto atlikumu pieaugums ir VARAM 1784%, ĀM 439% un EM 243%. Visu</w:t>
      </w:r>
      <w:r>
        <w:t>s</w:t>
      </w:r>
      <w:r w:rsidRPr="00864C81">
        <w:t xml:space="preserve"> pašu ieņēmumu atlikumus uz 2017.gada sākumu </w:t>
      </w:r>
      <w:r>
        <w:t>izdevumu segšanai ir</w:t>
      </w:r>
      <w:r w:rsidRPr="00864C81">
        <w:t xml:space="preserve"> </w:t>
      </w:r>
      <w:r>
        <w:t>plānojis</w:t>
      </w:r>
      <w:r w:rsidRPr="00864C81">
        <w:t xml:space="preserve"> </w:t>
      </w:r>
      <w:r>
        <w:t xml:space="preserve">novirzīt </w:t>
      </w:r>
      <w:r w:rsidR="00383DC7">
        <w:t>MK un SPRK.</w:t>
      </w:r>
    </w:p>
    <w:p w:rsidR="00F23C3C" w:rsidRDefault="00F23C3C" w:rsidP="00F23C3C">
      <w:pPr>
        <w:jc w:val="center"/>
      </w:pPr>
      <w:r w:rsidRPr="009D1AA9">
        <w:rPr>
          <w:noProof/>
          <w:lang w:eastAsia="lv-LV"/>
        </w:rPr>
        <w:drawing>
          <wp:inline distT="0" distB="0" distL="0" distR="0" wp14:anchorId="40F070C2" wp14:editId="63229D37">
            <wp:extent cx="5947410" cy="2604211"/>
            <wp:effectExtent l="0" t="0" r="15240" b="5715"/>
            <wp:docPr id="9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F23C3C" w:rsidRPr="003015F0" w:rsidRDefault="001F0BCF" w:rsidP="00383DC7">
      <w:pPr>
        <w:spacing w:before="120" w:after="240"/>
        <w:jc w:val="center"/>
        <w:rPr>
          <w:b/>
          <w:sz w:val="22"/>
        </w:rPr>
      </w:pPr>
      <w:r w:rsidRPr="003015F0">
        <w:rPr>
          <w:i/>
          <w:sz w:val="22"/>
        </w:rPr>
        <w:t>3.33.</w:t>
      </w:r>
      <w:r w:rsidR="00F23C3C" w:rsidRPr="003015F0">
        <w:rPr>
          <w:i/>
          <w:sz w:val="22"/>
        </w:rPr>
        <w:t>att</w:t>
      </w:r>
      <w:r w:rsidR="00F23C3C" w:rsidRPr="003015F0">
        <w:rPr>
          <w:sz w:val="22"/>
        </w:rPr>
        <w:t xml:space="preserve">. </w:t>
      </w:r>
      <w:r w:rsidR="00F23C3C" w:rsidRPr="003015F0">
        <w:rPr>
          <w:b/>
          <w:sz w:val="22"/>
        </w:rPr>
        <w:t>Ministriju</w:t>
      </w:r>
      <w:r w:rsidR="00F23C3C" w:rsidRPr="003015F0">
        <w:rPr>
          <w:sz w:val="22"/>
        </w:rPr>
        <w:t xml:space="preserve"> </w:t>
      </w:r>
      <w:r w:rsidR="00F23C3C" w:rsidRPr="003015F0">
        <w:rPr>
          <w:b/>
          <w:sz w:val="22"/>
        </w:rPr>
        <w:t xml:space="preserve">pašu ieņēmumu atlikuma dinamika pa gadiem, milj. </w:t>
      </w:r>
      <w:r w:rsidR="00F23C3C" w:rsidRPr="003015F0">
        <w:rPr>
          <w:b/>
          <w:i/>
          <w:sz w:val="22"/>
        </w:rPr>
        <w:t>euro</w:t>
      </w:r>
    </w:p>
    <w:p w:rsidR="00F23C3C" w:rsidRPr="00F67978" w:rsidRDefault="00F23C3C" w:rsidP="00472F10">
      <w:pPr>
        <w:spacing w:after="120"/>
        <w:ind w:firstLine="720"/>
        <w:jc w:val="both"/>
      </w:pPr>
      <w:r w:rsidRPr="003015F0">
        <w:t xml:space="preserve">Vērtējot naudas līdzekļu atlikumus kopsakarā ar </w:t>
      </w:r>
      <w:r w:rsidR="003015F0">
        <w:t>3.33.</w:t>
      </w:r>
      <w:r w:rsidRPr="003015F0">
        <w:t>attēlā redzamo informāciju</w:t>
      </w:r>
      <w:r w:rsidRPr="00F67978">
        <w:t xml:space="preserve"> par atlikumu plānoto izmantošanu, secināms, k</w:t>
      </w:r>
      <w:r>
        <w:t xml:space="preserve">a pieaug ne tikai atlikumi, bet </w:t>
      </w:r>
      <w:r w:rsidRPr="00F67978">
        <w:t>arī tā atlikumu daļa, kas netiek iestrādāta resursos izdevumu segšanai</w:t>
      </w:r>
      <w:r>
        <w:t xml:space="preserve"> (par 42% no 2014.gada līdz 2017.gadam)</w:t>
      </w:r>
      <w:r w:rsidRPr="00F67978">
        <w:t xml:space="preserve">. </w:t>
      </w:r>
      <w:r>
        <w:t>Tāpat</w:t>
      </w:r>
      <w:r w:rsidRPr="00F67978">
        <w:t xml:space="preserve"> secināms, ka</w:t>
      </w:r>
      <w:r>
        <w:t xml:space="preserve"> katru gadu kopš 2014.gada mi</w:t>
      </w:r>
      <w:r w:rsidR="00C0071D">
        <w:t>nistrijas plāno iztē</w:t>
      </w:r>
      <w:r>
        <w:t>rēt būtiski mazāku naudas līdzekļu atlikumu uz nākamā gada 1.janvāri nekā faktiski tas tiek pārmantots. P</w:t>
      </w:r>
      <w:r w:rsidRPr="00F67978">
        <w:t>iemēram, 2016.gada budžetā neiestrādātais atlikums</w:t>
      </w:r>
      <w:r>
        <w:t xml:space="preserve"> (plānotais atlikums uz 2017.gada 1.janvāri)</w:t>
      </w:r>
      <w:r w:rsidRPr="00F67978">
        <w:t xml:space="preserve"> bija par 66% mazāks nekā reālais atlikums uz 2017.gada 1.janvāri.</w:t>
      </w:r>
    </w:p>
    <w:p w:rsidR="00F23C3C" w:rsidRPr="00472F10" w:rsidRDefault="00F23C3C" w:rsidP="00472F10">
      <w:pPr>
        <w:jc w:val="center"/>
        <w:rPr>
          <w:color w:val="FF0000"/>
        </w:rPr>
      </w:pPr>
      <w:r>
        <w:rPr>
          <w:noProof/>
          <w:lang w:eastAsia="lv-LV"/>
        </w:rPr>
        <w:drawing>
          <wp:inline distT="0" distB="0" distL="0" distR="0" wp14:anchorId="41F61F8C" wp14:editId="1A250C29">
            <wp:extent cx="5943600" cy="2633472"/>
            <wp:effectExtent l="0" t="0" r="0" b="14605"/>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r w:rsidR="003015F0" w:rsidRPr="00503BFF">
        <w:rPr>
          <w:i/>
          <w:sz w:val="22"/>
        </w:rPr>
        <w:t>3.34.</w:t>
      </w:r>
      <w:r w:rsidRPr="00503BFF">
        <w:rPr>
          <w:i/>
          <w:sz w:val="22"/>
        </w:rPr>
        <w:t>att</w:t>
      </w:r>
      <w:r w:rsidRPr="00503BFF">
        <w:rPr>
          <w:sz w:val="22"/>
        </w:rPr>
        <w:t xml:space="preserve">. </w:t>
      </w:r>
      <w:r w:rsidRPr="00503BFF">
        <w:rPr>
          <w:b/>
          <w:sz w:val="22"/>
        </w:rPr>
        <w:t>Ministriju</w:t>
      </w:r>
      <w:r>
        <w:rPr>
          <w:sz w:val="22"/>
        </w:rPr>
        <w:t xml:space="preserve"> </w:t>
      </w:r>
      <w:r>
        <w:rPr>
          <w:b/>
          <w:sz w:val="22"/>
        </w:rPr>
        <w:t>pašu ieņēmumu atlikuma iestrādāšana valsts budžetā</w:t>
      </w:r>
      <w:r>
        <w:rPr>
          <w:rStyle w:val="FootnoteReference"/>
          <w:b/>
          <w:sz w:val="22"/>
        </w:rPr>
        <w:footnoteReference w:id="66"/>
      </w:r>
      <w:r>
        <w:rPr>
          <w:b/>
          <w:sz w:val="22"/>
        </w:rPr>
        <w:t xml:space="preserve">, milj. </w:t>
      </w:r>
      <w:r w:rsidRPr="004B3082">
        <w:rPr>
          <w:b/>
          <w:i/>
          <w:sz w:val="22"/>
        </w:rPr>
        <w:t>euro</w:t>
      </w:r>
    </w:p>
    <w:p w:rsidR="00F23C3C" w:rsidRDefault="00F23C3C" w:rsidP="00F23C3C">
      <w:pPr>
        <w:jc w:val="both"/>
      </w:pPr>
    </w:p>
    <w:p w:rsidR="00F23C3C" w:rsidRDefault="00F23C3C" w:rsidP="00503BFF">
      <w:pPr>
        <w:spacing w:after="120"/>
        <w:ind w:firstLine="720"/>
        <w:jc w:val="both"/>
      </w:pPr>
      <w:r>
        <w:t xml:space="preserve">Atbilstoši likumam “Par valsts budžetu 2017.gadam” un FM rīkojumiem uz 2017.gada </w:t>
      </w:r>
      <w:r w:rsidRPr="00184D68">
        <w:t>15.jūniju</w:t>
      </w:r>
      <w:r>
        <w:t xml:space="preserve"> pašu ieņēmumu atlikums uz 2018.gada sākumu tiek prognozēts 26,9 milj. </w:t>
      </w:r>
      <w:r w:rsidRPr="00BD79B0">
        <w:rPr>
          <w:i/>
        </w:rPr>
        <w:t>euro</w:t>
      </w:r>
      <w:r>
        <w:t xml:space="preserve"> apmērā, kas ir par 10,3 milj. </w:t>
      </w:r>
      <w:r w:rsidRPr="00570919">
        <w:rPr>
          <w:i/>
        </w:rPr>
        <w:t>euro</w:t>
      </w:r>
      <w:r>
        <w:t xml:space="preserve"> mazāk salīdzinājumā ar 2017.gadu</w:t>
      </w:r>
      <w:r w:rsidR="00503BFF">
        <w:t xml:space="preserve"> (skat. 3.34.attēlu)</w:t>
      </w:r>
      <w:r>
        <w:t>.</w:t>
      </w:r>
    </w:p>
    <w:p w:rsidR="00F23C3C" w:rsidRPr="00937120" w:rsidRDefault="00F23C3C" w:rsidP="00503BFF">
      <w:pPr>
        <w:ind w:firstLine="720"/>
        <w:jc w:val="both"/>
      </w:pPr>
      <w:r>
        <w:t>Savukārt atbilstoši likumam “Par vidēja termiņa budžeta ietvaru 2017., 2018. un 2019.gadam” un MK 2017.gada 23.martā apstiprinātajiem valsts pamatbudžeta un valsts speciālā budžeta bāzes izdevumiem 2018.-2020.gadam (</w:t>
      </w:r>
      <w:r w:rsidRPr="00586150">
        <w:t xml:space="preserve">turpmāk </w:t>
      </w:r>
      <w:r w:rsidR="00DC4ADD">
        <w:t>–</w:t>
      </w:r>
      <w:r w:rsidRPr="00586150">
        <w:t xml:space="preserve"> bāzes izdevumi</w:t>
      </w:r>
      <w:r>
        <w:t xml:space="preserve">) prognozējams pašu ieņēmumu atlikums 23,7 milj. </w:t>
      </w:r>
      <w:r w:rsidRPr="00162E9D">
        <w:rPr>
          <w:i/>
        </w:rPr>
        <w:t>euro</w:t>
      </w:r>
      <w:r>
        <w:t xml:space="preserve"> apmērā 2019.gadam, 21,6 milj. </w:t>
      </w:r>
      <w:r w:rsidRPr="00162E9D">
        <w:rPr>
          <w:i/>
        </w:rPr>
        <w:t>euro</w:t>
      </w:r>
      <w:r>
        <w:t xml:space="preserve"> apmērā 2020.gadam un 20,9 milj. </w:t>
      </w:r>
      <w:r w:rsidRPr="00162E9D">
        <w:rPr>
          <w:i/>
        </w:rPr>
        <w:t>euro</w:t>
      </w:r>
      <w:r>
        <w:t xml:space="preserve"> apmērā 2021.gadam. Tomēr, ņemot vērā vēsturisko pieredzi, kad atlikums uz gada sākumu ir lielāks par neiestrādātajiem finanšu līdzekļiem iepriekšējā gada beigās, šāds scenārijs ir maz tica</w:t>
      </w:r>
      <w:r w:rsidR="00937120">
        <w:t>ms.</w:t>
      </w:r>
    </w:p>
    <w:p w:rsidR="00F23C3C" w:rsidRPr="00937120" w:rsidRDefault="00F23C3C" w:rsidP="00937120">
      <w:pPr>
        <w:spacing w:after="240"/>
        <w:ind w:firstLine="720"/>
        <w:jc w:val="right"/>
      </w:pPr>
      <w:r w:rsidRPr="00503BFF">
        <w:t>Tabula Nr.</w:t>
      </w:r>
      <w:r w:rsidR="00503BFF" w:rsidRPr="00503BFF">
        <w:t>3.25</w:t>
      </w:r>
      <w:r w:rsidR="008B457B">
        <w:t>.</w:t>
      </w:r>
    </w:p>
    <w:p w:rsidR="00F23C3C" w:rsidRPr="005125D4" w:rsidRDefault="00F23C3C" w:rsidP="00F23C3C">
      <w:pPr>
        <w:spacing w:after="120"/>
        <w:jc w:val="center"/>
        <w:rPr>
          <w:b/>
          <w:i/>
        </w:rPr>
      </w:pPr>
      <w:r>
        <w:rPr>
          <w:b/>
        </w:rPr>
        <w:t xml:space="preserve">Ministriju pašu ieņēmumu atlikumu plānotā iestrādāšana valsts budžetā, </w:t>
      </w:r>
      <w:r w:rsidRPr="004E7B66">
        <w:rPr>
          <w:b/>
          <w:i/>
        </w:rPr>
        <w:t>euro</w:t>
      </w:r>
    </w:p>
    <w:tbl>
      <w:tblPr>
        <w:tblStyle w:val="TableGrid"/>
        <w:tblW w:w="0" w:type="auto"/>
        <w:tblInd w:w="-5" w:type="dxa"/>
        <w:tblLook w:val="04A0" w:firstRow="1" w:lastRow="0" w:firstColumn="1" w:lastColumn="0" w:noHBand="0" w:noVBand="1"/>
      </w:tblPr>
      <w:tblGrid>
        <w:gridCol w:w="1308"/>
        <w:gridCol w:w="1110"/>
        <w:gridCol w:w="1106"/>
        <w:gridCol w:w="1110"/>
        <w:gridCol w:w="1106"/>
        <w:gridCol w:w="1110"/>
        <w:gridCol w:w="1106"/>
        <w:gridCol w:w="1110"/>
      </w:tblGrid>
      <w:tr w:rsidR="00F23C3C" w:rsidRPr="005E5F05" w:rsidTr="00F30CB1">
        <w:trPr>
          <w:trHeight w:val="315"/>
          <w:tblHeader/>
        </w:trPr>
        <w:tc>
          <w:tcPr>
            <w:tcW w:w="1285" w:type="dxa"/>
            <w:vMerge w:val="restart"/>
            <w:shd w:val="clear" w:color="auto" w:fill="C5E0B3" w:themeFill="accent6" w:themeFillTint="66"/>
            <w:noWrap/>
            <w:vAlign w:val="center"/>
            <w:hideMark/>
          </w:tcPr>
          <w:p w:rsidR="00F23C3C" w:rsidRPr="005E5F05" w:rsidRDefault="00F23C3C" w:rsidP="00963A50">
            <w:pPr>
              <w:jc w:val="center"/>
              <w:rPr>
                <w:rFonts w:eastAsia="Times New Roman" w:cs="Times New Roman"/>
                <w:b/>
                <w:bCs/>
                <w:color w:val="000000"/>
                <w:sz w:val="21"/>
                <w:szCs w:val="21"/>
              </w:rPr>
            </w:pPr>
            <w:r w:rsidRPr="005E5F05">
              <w:rPr>
                <w:rFonts w:eastAsia="Times New Roman" w:cs="Times New Roman"/>
                <w:b/>
                <w:bCs/>
                <w:color w:val="000000"/>
                <w:sz w:val="21"/>
                <w:szCs w:val="21"/>
              </w:rPr>
              <w:t>Ministrija</w:t>
            </w:r>
          </w:p>
        </w:tc>
        <w:tc>
          <w:tcPr>
            <w:tcW w:w="2304" w:type="dxa"/>
            <w:gridSpan w:val="2"/>
            <w:shd w:val="clear" w:color="auto" w:fill="C5E0B3" w:themeFill="accent6" w:themeFillTint="66"/>
            <w:noWrap/>
            <w:vAlign w:val="center"/>
            <w:hideMark/>
          </w:tcPr>
          <w:p w:rsidR="00F23C3C" w:rsidRPr="005E5F05" w:rsidRDefault="00F23C3C" w:rsidP="00963A50">
            <w:pPr>
              <w:jc w:val="center"/>
              <w:rPr>
                <w:rFonts w:eastAsia="Times New Roman" w:cs="Times New Roman"/>
                <w:b/>
                <w:bCs/>
                <w:color w:val="000000"/>
                <w:sz w:val="21"/>
                <w:szCs w:val="21"/>
              </w:rPr>
            </w:pPr>
            <w:r w:rsidRPr="005E5F05">
              <w:rPr>
                <w:rFonts w:eastAsia="Times New Roman" w:cs="Times New Roman"/>
                <w:b/>
                <w:bCs/>
                <w:color w:val="000000"/>
                <w:sz w:val="21"/>
                <w:szCs w:val="21"/>
              </w:rPr>
              <w:t>2018</w:t>
            </w:r>
          </w:p>
        </w:tc>
        <w:tc>
          <w:tcPr>
            <w:tcW w:w="2304" w:type="dxa"/>
            <w:gridSpan w:val="2"/>
            <w:shd w:val="clear" w:color="auto" w:fill="C5E0B3" w:themeFill="accent6" w:themeFillTint="66"/>
            <w:noWrap/>
            <w:vAlign w:val="center"/>
            <w:hideMark/>
          </w:tcPr>
          <w:p w:rsidR="00F23C3C" w:rsidRPr="005E5F05" w:rsidRDefault="00F23C3C" w:rsidP="00963A50">
            <w:pPr>
              <w:jc w:val="center"/>
              <w:rPr>
                <w:rFonts w:eastAsia="Times New Roman" w:cs="Times New Roman"/>
                <w:b/>
                <w:bCs/>
                <w:color w:val="000000"/>
                <w:sz w:val="21"/>
                <w:szCs w:val="21"/>
              </w:rPr>
            </w:pPr>
            <w:r w:rsidRPr="005E5F05">
              <w:rPr>
                <w:rFonts w:eastAsia="Times New Roman" w:cs="Times New Roman"/>
                <w:b/>
                <w:bCs/>
                <w:color w:val="000000"/>
                <w:sz w:val="21"/>
                <w:szCs w:val="21"/>
              </w:rPr>
              <w:t>2019</w:t>
            </w:r>
          </w:p>
        </w:tc>
        <w:tc>
          <w:tcPr>
            <w:tcW w:w="2304" w:type="dxa"/>
            <w:gridSpan w:val="2"/>
            <w:shd w:val="clear" w:color="auto" w:fill="C5E0B3" w:themeFill="accent6" w:themeFillTint="66"/>
            <w:noWrap/>
            <w:vAlign w:val="center"/>
            <w:hideMark/>
          </w:tcPr>
          <w:p w:rsidR="00F23C3C" w:rsidRPr="005E5F05" w:rsidRDefault="00F23C3C" w:rsidP="00963A50">
            <w:pPr>
              <w:jc w:val="center"/>
              <w:rPr>
                <w:rFonts w:eastAsia="Times New Roman" w:cs="Times New Roman"/>
                <w:b/>
                <w:bCs/>
                <w:color w:val="000000"/>
                <w:sz w:val="21"/>
                <w:szCs w:val="21"/>
              </w:rPr>
            </w:pPr>
            <w:r w:rsidRPr="005E5F05">
              <w:rPr>
                <w:rFonts w:eastAsia="Times New Roman" w:cs="Times New Roman"/>
                <w:b/>
                <w:bCs/>
                <w:color w:val="000000"/>
                <w:sz w:val="21"/>
                <w:szCs w:val="21"/>
              </w:rPr>
              <w:t>2020</w:t>
            </w:r>
          </w:p>
        </w:tc>
        <w:tc>
          <w:tcPr>
            <w:tcW w:w="1154" w:type="dxa"/>
            <w:shd w:val="clear" w:color="auto" w:fill="C5E0B3" w:themeFill="accent6" w:themeFillTint="66"/>
            <w:noWrap/>
            <w:vAlign w:val="center"/>
            <w:hideMark/>
          </w:tcPr>
          <w:p w:rsidR="00F23C3C" w:rsidRPr="005E5F05" w:rsidRDefault="00F23C3C" w:rsidP="00963A50">
            <w:pPr>
              <w:jc w:val="center"/>
              <w:rPr>
                <w:rFonts w:eastAsia="Times New Roman" w:cs="Times New Roman"/>
                <w:b/>
                <w:bCs/>
                <w:color w:val="000000"/>
                <w:sz w:val="21"/>
                <w:szCs w:val="21"/>
              </w:rPr>
            </w:pPr>
            <w:r w:rsidRPr="005E5F05">
              <w:rPr>
                <w:rFonts w:eastAsia="Times New Roman" w:cs="Times New Roman"/>
                <w:b/>
                <w:bCs/>
                <w:color w:val="000000"/>
                <w:sz w:val="21"/>
                <w:szCs w:val="21"/>
              </w:rPr>
              <w:t>2021</w:t>
            </w:r>
          </w:p>
        </w:tc>
      </w:tr>
      <w:tr w:rsidR="00F23C3C" w:rsidRPr="005E5F05" w:rsidTr="00F30CB1">
        <w:trPr>
          <w:trHeight w:val="315"/>
          <w:tblHeader/>
        </w:trPr>
        <w:tc>
          <w:tcPr>
            <w:tcW w:w="1285" w:type="dxa"/>
            <w:vMerge/>
            <w:shd w:val="clear" w:color="auto" w:fill="C5E0B3" w:themeFill="accent6" w:themeFillTint="66"/>
            <w:vAlign w:val="center"/>
            <w:hideMark/>
          </w:tcPr>
          <w:p w:rsidR="00F23C3C" w:rsidRPr="005E5F05" w:rsidRDefault="00F23C3C" w:rsidP="00963A50">
            <w:pPr>
              <w:jc w:val="center"/>
              <w:rPr>
                <w:rFonts w:eastAsia="Times New Roman" w:cs="Times New Roman"/>
                <w:b/>
                <w:bCs/>
                <w:color w:val="000000"/>
                <w:sz w:val="21"/>
                <w:szCs w:val="21"/>
              </w:rPr>
            </w:pPr>
          </w:p>
        </w:tc>
        <w:tc>
          <w:tcPr>
            <w:tcW w:w="1154" w:type="dxa"/>
            <w:shd w:val="clear" w:color="auto" w:fill="C5E0B3" w:themeFill="accent6" w:themeFillTint="66"/>
            <w:noWrap/>
            <w:vAlign w:val="center"/>
            <w:hideMark/>
          </w:tcPr>
          <w:p w:rsidR="00F23C3C" w:rsidRPr="005E5F05" w:rsidRDefault="00F23C3C" w:rsidP="00963A50">
            <w:pPr>
              <w:ind w:left="-71" w:right="-5"/>
              <w:jc w:val="center"/>
              <w:rPr>
                <w:rFonts w:eastAsia="Times New Roman" w:cs="Times New Roman"/>
                <w:b/>
                <w:bCs/>
                <w:color w:val="000000"/>
                <w:sz w:val="21"/>
                <w:szCs w:val="21"/>
              </w:rPr>
            </w:pPr>
            <w:r w:rsidRPr="005E5F05">
              <w:rPr>
                <w:rFonts w:eastAsia="Times New Roman" w:cs="Times New Roman"/>
                <w:b/>
                <w:bCs/>
                <w:color w:val="000000"/>
                <w:sz w:val="21"/>
                <w:szCs w:val="21"/>
              </w:rPr>
              <w:t>Plānotais atlikums</w:t>
            </w:r>
          </w:p>
        </w:tc>
        <w:tc>
          <w:tcPr>
            <w:tcW w:w="1150" w:type="dxa"/>
            <w:shd w:val="clear" w:color="auto" w:fill="C5E0B3" w:themeFill="accent6" w:themeFillTint="66"/>
            <w:noWrap/>
            <w:vAlign w:val="center"/>
            <w:hideMark/>
          </w:tcPr>
          <w:p w:rsidR="00F23C3C" w:rsidRPr="005E5F05" w:rsidRDefault="00F23C3C" w:rsidP="00963A50">
            <w:pPr>
              <w:ind w:left="-71" w:right="-5"/>
              <w:jc w:val="center"/>
              <w:rPr>
                <w:rFonts w:eastAsia="Times New Roman" w:cs="Times New Roman"/>
                <w:b/>
                <w:bCs/>
                <w:color w:val="000000"/>
                <w:sz w:val="21"/>
                <w:szCs w:val="21"/>
              </w:rPr>
            </w:pPr>
            <w:r w:rsidRPr="005E5F05">
              <w:rPr>
                <w:rFonts w:eastAsia="Times New Roman" w:cs="Times New Roman"/>
                <w:b/>
                <w:bCs/>
                <w:color w:val="000000"/>
                <w:sz w:val="21"/>
                <w:szCs w:val="21"/>
              </w:rPr>
              <w:t xml:space="preserve">Bāze </w:t>
            </w:r>
          </w:p>
        </w:tc>
        <w:tc>
          <w:tcPr>
            <w:tcW w:w="1154" w:type="dxa"/>
            <w:shd w:val="clear" w:color="auto" w:fill="C5E0B3" w:themeFill="accent6" w:themeFillTint="66"/>
            <w:noWrap/>
            <w:vAlign w:val="center"/>
            <w:hideMark/>
          </w:tcPr>
          <w:p w:rsidR="00F23C3C" w:rsidRPr="005E5F05" w:rsidRDefault="00F23C3C" w:rsidP="00963A50">
            <w:pPr>
              <w:ind w:left="-71" w:right="-5"/>
              <w:jc w:val="center"/>
              <w:rPr>
                <w:rFonts w:eastAsia="Times New Roman" w:cs="Times New Roman"/>
                <w:b/>
                <w:bCs/>
                <w:color w:val="000000"/>
                <w:sz w:val="21"/>
                <w:szCs w:val="21"/>
              </w:rPr>
            </w:pPr>
            <w:r w:rsidRPr="005E5F05">
              <w:rPr>
                <w:rFonts w:eastAsia="Times New Roman" w:cs="Times New Roman"/>
                <w:b/>
                <w:bCs/>
                <w:color w:val="000000"/>
                <w:sz w:val="21"/>
                <w:szCs w:val="21"/>
              </w:rPr>
              <w:t>Plānotais atlikums</w:t>
            </w:r>
          </w:p>
        </w:tc>
        <w:tc>
          <w:tcPr>
            <w:tcW w:w="1150" w:type="dxa"/>
            <w:shd w:val="clear" w:color="auto" w:fill="C5E0B3" w:themeFill="accent6" w:themeFillTint="66"/>
            <w:noWrap/>
            <w:vAlign w:val="center"/>
            <w:hideMark/>
          </w:tcPr>
          <w:p w:rsidR="00F23C3C" w:rsidRPr="005E5F05" w:rsidRDefault="00F23C3C" w:rsidP="00963A50">
            <w:pPr>
              <w:ind w:left="-71" w:right="-5"/>
              <w:jc w:val="center"/>
              <w:rPr>
                <w:rFonts w:eastAsia="Times New Roman" w:cs="Times New Roman"/>
                <w:b/>
                <w:bCs/>
                <w:color w:val="000000"/>
                <w:sz w:val="21"/>
                <w:szCs w:val="21"/>
              </w:rPr>
            </w:pPr>
            <w:r w:rsidRPr="005E5F05">
              <w:rPr>
                <w:rFonts w:eastAsia="Times New Roman" w:cs="Times New Roman"/>
                <w:b/>
                <w:bCs/>
                <w:color w:val="000000"/>
                <w:sz w:val="21"/>
                <w:szCs w:val="21"/>
              </w:rPr>
              <w:t xml:space="preserve">Bāze </w:t>
            </w:r>
          </w:p>
        </w:tc>
        <w:tc>
          <w:tcPr>
            <w:tcW w:w="1154" w:type="dxa"/>
            <w:shd w:val="clear" w:color="auto" w:fill="C5E0B3" w:themeFill="accent6" w:themeFillTint="66"/>
            <w:noWrap/>
            <w:vAlign w:val="center"/>
            <w:hideMark/>
          </w:tcPr>
          <w:p w:rsidR="00F23C3C" w:rsidRPr="005E5F05" w:rsidRDefault="00F23C3C" w:rsidP="00963A50">
            <w:pPr>
              <w:ind w:left="-71" w:right="-5"/>
              <w:jc w:val="center"/>
              <w:rPr>
                <w:rFonts w:eastAsia="Times New Roman" w:cs="Times New Roman"/>
                <w:b/>
                <w:bCs/>
                <w:color w:val="000000"/>
                <w:sz w:val="21"/>
                <w:szCs w:val="21"/>
              </w:rPr>
            </w:pPr>
            <w:r w:rsidRPr="005E5F05">
              <w:rPr>
                <w:rFonts w:eastAsia="Times New Roman" w:cs="Times New Roman"/>
                <w:b/>
                <w:bCs/>
                <w:color w:val="000000"/>
                <w:sz w:val="21"/>
                <w:szCs w:val="21"/>
              </w:rPr>
              <w:t>Plānotais atlikums</w:t>
            </w:r>
          </w:p>
        </w:tc>
        <w:tc>
          <w:tcPr>
            <w:tcW w:w="1150" w:type="dxa"/>
            <w:shd w:val="clear" w:color="auto" w:fill="C5E0B3" w:themeFill="accent6" w:themeFillTint="66"/>
            <w:noWrap/>
            <w:vAlign w:val="center"/>
            <w:hideMark/>
          </w:tcPr>
          <w:p w:rsidR="00F23C3C" w:rsidRPr="005E5F05" w:rsidRDefault="00F23C3C" w:rsidP="00963A50">
            <w:pPr>
              <w:ind w:left="-71" w:right="-5"/>
              <w:jc w:val="center"/>
              <w:rPr>
                <w:rFonts w:eastAsia="Times New Roman" w:cs="Times New Roman"/>
                <w:b/>
                <w:bCs/>
                <w:color w:val="000000"/>
                <w:sz w:val="21"/>
                <w:szCs w:val="21"/>
              </w:rPr>
            </w:pPr>
            <w:r w:rsidRPr="005E5F05">
              <w:rPr>
                <w:rFonts w:eastAsia="Times New Roman" w:cs="Times New Roman"/>
                <w:b/>
                <w:bCs/>
                <w:color w:val="000000"/>
                <w:sz w:val="21"/>
                <w:szCs w:val="21"/>
              </w:rPr>
              <w:t xml:space="preserve">Bāze </w:t>
            </w:r>
          </w:p>
        </w:tc>
        <w:tc>
          <w:tcPr>
            <w:tcW w:w="1154" w:type="dxa"/>
            <w:shd w:val="clear" w:color="auto" w:fill="C5E0B3" w:themeFill="accent6" w:themeFillTint="66"/>
            <w:noWrap/>
            <w:vAlign w:val="center"/>
            <w:hideMark/>
          </w:tcPr>
          <w:p w:rsidR="00F23C3C" w:rsidRPr="005E5F05" w:rsidRDefault="00F23C3C" w:rsidP="00963A50">
            <w:pPr>
              <w:ind w:left="-71" w:right="-5"/>
              <w:jc w:val="center"/>
              <w:rPr>
                <w:rFonts w:eastAsia="Times New Roman" w:cs="Times New Roman"/>
                <w:b/>
                <w:bCs/>
                <w:color w:val="000000"/>
                <w:sz w:val="21"/>
                <w:szCs w:val="21"/>
              </w:rPr>
            </w:pPr>
            <w:r w:rsidRPr="005E5F05">
              <w:rPr>
                <w:rFonts w:eastAsia="Times New Roman" w:cs="Times New Roman"/>
                <w:b/>
                <w:bCs/>
                <w:color w:val="000000"/>
                <w:sz w:val="21"/>
                <w:szCs w:val="21"/>
              </w:rPr>
              <w:t>Plānotais atlikums</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TM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16 749 332</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966 812</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15 782 520</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700 379</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15 082 141</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-83 452</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15 165 593</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FM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3 222 614</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1 360 676</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1 861 938</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1 163 126</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698 812</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1 163 126</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125D4">
              <w:rPr>
                <w:rFonts w:eastAsia="Times New Roman" w:cs="Times New Roman"/>
                <w:color w:val="FF0000"/>
                <w:sz w:val="21"/>
                <w:szCs w:val="21"/>
                <w:lang w:eastAsia="lv-LV"/>
              </w:rPr>
              <w:t>-464 314</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VM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2 570 945</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2 570 945</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2 570 945</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2 570 945</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EM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1 768 638</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1 768 638</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1 768 638</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1 768 638</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IZM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298 937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298 937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298 937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298 937</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667 318</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279 297</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388 021</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279 297</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108 724</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54 544</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54 180</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ĀM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499 159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499 159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499 159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499 159</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IeM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473 417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368 000</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105 417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105 417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105 417</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Saeima</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337 477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337 477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337 477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337 477</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ZM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234 689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1 440 496</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125D4">
              <w:rPr>
                <w:rFonts w:eastAsia="Times New Roman" w:cs="Times New Roman"/>
                <w:color w:val="FF0000"/>
                <w:sz w:val="21"/>
                <w:szCs w:val="21"/>
                <w:lang w:eastAsia="lv-LV"/>
              </w:rPr>
              <w:t>-1 205 807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1 215 372</w:t>
            </w: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-2 421 179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1 215 372</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125D4">
              <w:rPr>
                <w:rFonts w:eastAsia="Times New Roman" w:cs="Times New Roman"/>
                <w:color w:val="FF0000"/>
                <w:sz w:val="21"/>
                <w:szCs w:val="21"/>
                <w:lang w:eastAsia="lv-LV"/>
              </w:rPr>
              <w:t>-3 636 551</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AiM</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91 027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91 027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91 027</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91 027</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AT</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13 043</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13 043</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13 043</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13 043</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ST</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10 634</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10 634</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10 634</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10 634</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Prokuratūra</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7 629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7 629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7 629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7 629</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RTV</w:t>
            </w: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2 849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2 849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2 849</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E5F05" w:rsidRDefault="00F23C3C" w:rsidP="00963A50">
            <w:pPr>
              <w:ind w:left="-71" w:right="-5"/>
              <w:jc w:val="right"/>
              <w:rPr>
                <w:rFonts w:eastAsia="Times New Roman" w:cs="Times New Roman"/>
                <w:color w:val="000000"/>
                <w:sz w:val="21"/>
                <w:szCs w:val="21"/>
                <w:lang w:eastAsia="lv-LV"/>
              </w:rPr>
            </w:pPr>
            <w:r w:rsidRPr="005E5F05">
              <w:rPr>
                <w:rFonts w:eastAsia="Times New Roman" w:cs="Times New Roman"/>
                <w:color w:val="000000"/>
                <w:sz w:val="21"/>
                <w:szCs w:val="21"/>
                <w:lang w:eastAsia="lv-LV"/>
              </w:rPr>
              <w:t>2 849</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LM</w:t>
            </w: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-331</w:t>
            </w:r>
          </w:p>
        </w:tc>
        <w:tc>
          <w:tcPr>
            <w:tcW w:w="1150" w:type="dxa"/>
            <w:noWrap/>
            <w:hideMark/>
          </w:tcPr>
          <w:p w:rsidR="00F23C3C" w:rsidRPr="005125D4" w:rsidRDefault="00F23C3C" w:rsidP="00963A50">
            <w:pPr>
              <w:ind w:left="-71" w:right="-5"/>
              <w:jc w:val="right"/>
              <w:rPr>
                <w:rFonts w:eastAsia="Times New Roman" w:cs="Times New Roman"/>
                <w:color w:val="FF0000"/>
                <w:sz w:val="21"/>
                <w:szCs w:val="21"/>
                <w:lang w:eastAsia="lv-LV"/>
              </w:rPr>
            </w:pP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-331</w:t>
            </w:r>
          </w:p>
        </w:tc>
        <w:tc>
          <w:tcPr>
            <w:tcW w:w="1150" w:type="dxa"/>
            <w:noWrap/>
            <w:hideMark/>
          </w:tcPr>
          <w:p w:rsidR="00F23C3C" w:rsidRPr="005125D4" w:rsidRDefault="00F23C3C" w:rsidP="00963A50">
            <w:pPr>
              <w:ind w:left="-71" w:right="-5"/>
              <w:jc w:val="right"/>
              <w:rPr>
                <w:rFonts w:eastAsia="Times New Roman" w:cs="Times New Roman"/>
                <w:color w:val="FF0000"/>
                <w:sz w:val="21"/>
                <w:szCs w:val="21"/>
                <w:lang w:eastAsia="lv-LV"/>
              </w:rPr>
            </w:pP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-331</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-331</w:t>
            </w:r>
          </w:p>
        </w:tc>
      </w:tr>
      <w:tr w:rsidR="00F23C3C" w:rsidRPr="005E5F05" w:rsidTr="00963A50">
        <w:trPr>
          <w:trHeight w:val="315"/>
        </w:trPr>
        <w:tc>
          <w:tcPr>
            <w:tcW w:w="1285" w:type="dxa"/>
            <w:noWrap/>
            <w:hideMark/>
          </w:tcPr>
          <w:p w:rsidR="00F23C3C" w:rsidRPr="00F30CB1" w:rsidRDefault="00F23C3C" w:rsidP="00963A50">
            <w:pPr>
              <w:ind w:right="-40"/>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VARAM</w:t>
            </w: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-382</w:t>
            </w:r>
          </w:p>
        </w:tc>
        <w:tc>
          <w:tcPr>
            <w:tcW w:w="1150" w:type="dxa"/>
            <w:noWrap/>
            <w:hideMark/>
          </w:tcPr>
          <w:p w:rsidR="00F23C3C" w:rsidRPr="005125D4" w:rsidRDefault="00F23C3C" w:rsidP="00963A50">
            <w:pPr>
              <w:ind w:left="-71" w:right="-5"/>
              <w:jc w:val="right"/>
              <w:rPr>
                <w:rFonts w:eastAsia="Times New Roman" w:cs="Times New Roman"/>
                <w:color w:val="FF0000"/>
                <w:sz w:val="21"/>
                <w:szCs w:val="21"/>
                <w:lang w:eastAsia="lv-LV"/>
              </w:rPr>
            </w:pP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-382</w:t>
            </w:r>
          </w:p>
        </w:tc>
        <w:tc>
          <w:tcPr>
            <w:tcW w:w="1150" w:type="dxa"/>
            <w:noWrap/>
            <w:hideMark/>
          </w:tcPr>
          <w:p w:rsidR="00F23C3C" w:rsidRPr="005125D4" w:rsidRDefault="00F23C3C" w:rsidP="00963A50">
            <w:pPr>
              <w:ind w:left="-71" w:right="-5"/>
              <w:jc w:val="right"/>
              <w:rPr>
                <w:rFonts w:eastAsia="Times New Roman" w:cs="Times New Roman"/>
                <w:color w:val="FF0000"/>
                <w:sz w:val="21"/>
                <w:szCs w:val="21"/>
                <w:lang w:eastAsia="lv-LV"/>
              </w:rPr>
            </w:pP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-382</w:t>
            </w:r>
          </w:p>
        </w:tc>
        <w:tc>
          <w:tcPr>
            <w:tcW w:w="1150" w:type="dxa"/>
            <w:noWrap/>
            <w:hideMark/>
          </w:tcPr>
          <w:p w:rsidR="00F23C3C" w:rsidRPr="005E5F05" w:rsidRDefault="00F23C3C" w:rsidP="00963A50">
            <w:pPr>
              <w:ind w:left="-71" w:right="-5"/>
              <w:jc w:val="right"/>
              <w:rPr>
                <w:rFonts w:eastAsia="Times New Roman" w:cs="Times New Roman"/>
                <w:color w:val="000000"/>
                <w:sz w:val="21"/>
                <w:szCs w:val="21"/>
                <w:lang w:eastAsia="lv-LV"/>
              </w:rPr>
            </w:pPr>
          </w:p>
        </w:tc>
        <w:tc>
          <w:tcPr>
            <w:tcW w:w="1154" w:type="dxa"/>
            <w:noWrap/>
            <w:hideMark/>
          </w:tcPr>
          <w:p w:rsidR="00F23C3C" w:rsidRPr="005125D4" w:rsidRDefault="00F23C3C" w:rsidP="00963A50">
            <w:pPr>
              <w:ind w:left="-71" w:right="-5"/>
              <w:jc w:val="right"/>
              <w:rPr>
                <w:rFonts w:eastAsia="Times New Roman" w:cs="Times New Roman"/>
                <w:color w:val="FF0000"/>
                <w:sz w:val="21"/>
                <w:szCs w:val="21"/>
                <w:lang w:eastAsia="lv-LV"/>
              </w:rPr>
            </w:pPr>
            <w:r w:rsidRPr="005125D4">
              <w:rPr>
                <w:rFonts w:eastAsia="Times New Roman" w:cs="Times New Roman"/>
                <w:color w:val="FF0000"/>
                <w:sz w:val="21"/>
                <w:szCs w:val="21"/>
                <w:lang w:eastAsia="lv-LV"/>
              </w:rPr>
              <w:t>-382</w:t>
            </w:r>
          </w:p>
        </w:tc>
      </w:tr>
      <w:tr w:rsidR="00F23C3C" w:rsidRPr="005E5F05" w:rsidTr="00963A50">
        <w:trPr>
          <w:trHeight w:val="315"/>
        </w:trPr>
        <w:tc>
          <w:tcPr>
            <w:tcW w:w="1285" w:type="dxa"/>
            <w:noWrap/>
            <w:hideMark/>
          </w:tcPr>
          <w:p w:rsidR="00F23C3C" w:rsidRPr="00DC4ADD" w:rsidRDefault="00F30CB1" w:rsidP="00DC4ADD">
            <w:pPr>
              <w:jc w:val="right"/>
              <w:rPr>
                <w:rFonts w:eastAsia="Times New Roman" w:cs="Times New Roman"/>
                <w:b/>
                <w:color w:val="000000"/>
                <w:sz w:val="21"/>
                <w:szCs w:val="21"/>
                <w:lang w:eastAsia="lv-LV"/>
              </w:rPr>
            </w:pPr>
            <w:r>
              <w:rPr>
                <w:rFonts w:eastAsia="Times New Roman" w:cs="Times New Roman"/>
                <w:b/>
                <w:color w:val="000000"/>
                <w:sz w:val="21"/>
                <w:szCs w:val="21"/>
                <w:lang w:eastAsia="lv-LV"/>
              </w:rPr>
              <w:t>KOPĀ</w:t>
            </w:r>
            <w:r w:rsidR="00DC4ADD">
              <w:rPr>
                <w:rFonts w:eastAsia="Times New Roman" w:cs="Times New Roman"/>
                <w:b/>
                <w:color w:val="000000"/>
                <w:sz w:val="21"/>
                <w:szCs w:val="21"/>
                <w:lang w:eastAsia="lv-LV"/>
              </w:rPr>
              <w:t>:</w:t>
            </w:r>
            <w:r w:rsidR="00F23C3C" w:rsidRPr="00DC4ADD">
              <w:rPr>
                <w:rStyle w:val="FootnoteReference"/>
                <w:rFonts w:eastAsia="Times New Roman" w:cs="Times New Roman"/>
                <w:b/>
                <w:color w:val="000000"/>
                <w:sz w:val="21"/>
                <w:szCs w:val="21"/>
                <w:lang w:eastAsia="lv-LV"/>
              </w:rPr>
              <w:footnoteReference w:id="67"/>
            </w:r>
          </w:p>
        </w:tc>
        <w:tc>
          <w:tcPr>
            <w:tcW w:w="1154" w:type="dxa"/>
            <w:noWrap/>
            <w:hideMark/>
          </w:tcPr>
          <w:p w:rsidR="00F23C3C" w:rsidRPr="00BE614B" w:rsidRDefault="00F23C3C" w:rsidP="00963A50">
            <w:pPr>
              <w:ind w:left="-71" w:right="-5"/>
              <w:jc w:val="right"/>
              <w:rPr>
                <w:rFonts w:eastAsia="Times New Roman" w:cs="Times New Roman"/>
                <w:b/>
                <w:color w:val="000000"/>
                <w:sz w:val="21"/>
                <w:szCs w:val="21"/>
                <w:lang w:eastAsia="lv-LV"/>
              </w:rPr>
            </w:pPr>
            <w:r w:rsidRPr="00BE614B">
              <w:rPr>
                <w:rFonts w:eastAsia="Times New Roman" w:cs="Times New Roman"/>
                <w:b/>
                <w:color w:val="000000"/>
                <w:sz w:val="21"/>
                <w:szCs w:val="21"/>
                <w:lang w:eastAsia="lv-LV"/>
              </w:rPr>
              <w:t>26 947 709</w:t>
            </w:r>
          </w:p>
        </w:tc>
        <w:tc>
          <w:tcPr>
            <w:tcW w:w="1150" w:type="dxa"/>
            <w:noWrap/>
            <w:hideMark/>
          </w:tcPr>
          <w:p w:rsidR="00F23C3C" w:rsidRPr="00BE614B" w:rsidRDefault="00F23C3C" w:rsidP="00963A50">
            <w:pPr>
              <w:ind w:left="-71" w:right="-5"/>
              <w:jc w:val="right"/>
              <w:rPr>
                <w:rFonts w:eastAsia="Times New Roman" w:cs="Times New Roman"/>
                <w:b/>
                <w:color w:val="000000"/>
                <w:sz w:val="21"/>
                <w:szCs w:val="21"/>
                <w:lang w:eastAsia="lv-LV"/>
              </w:rPr>
            </w:pPr>
            <w:r w:rsidRPr="00BE614B">
              <w:rPr>
                <w:rFonts w:eastAsia="Times New Roman" w:cs="Times New Roman"/>
                <w:b/>
                <w:color w:val="000000"/>
                <w:sz w:val="21"/>
                <w:szCs w:val="21"/>
                <w:lang w:eastAsia="lv-LV"/>
              </w:rPr>
              <w:t>4 415 281</w:t>
            </w:r>
          </w:p>
        </w:tc>
        <w:tc>
          <w:tcPr>
            <w:tcW w:w="1154" w:type="dxa"/>
            <w:noWrap/>
            <w:hideMark/>
          </w:tcPr>
          <w:p w:rsidR="00F23C3C" w:rsidRPr="00BE614B" w:rsidRDefault="00F23C3C" w:rsidP="00963A50">
            <w:pPr>
              <w:ind w:left="-71" w:right="-5"/>
              <w:jc w:val="right"/>
              <w:rPr>
                <w:rFonts w:eastAsia="Times New Roman" w:cs="Times New Roman"/>
                <w:b/>
                <w:color w:val="000000"/>
                <w:sz w:val="21"/>
                <w:szCs w:val="21"/>
                <w:lang w:eastAsia="lv-LV"/>
              </w:rPr>
            </w:pPr>
            <w:r w:rsidRPr="00BE614B">
              <w:rPr>
                <w:rFonts w:eastAsia="Times New Roman" w:cs="Times New Roman"/>
                <w:b/>
                <w:color w:val="000000"/>
                <w:sz w:val="21"/>
                <w:szCs w:val="21"/>
                <w:lang w:eastAsia="lv-LV"/>
              </w:rPr>
              <w:t>23 738 235</w:t>
            </w:r>
          </w:p>
        </w:tc>
        <w:tc>
          <w:tcPr>
            <w:tcW w:w="1150" w:type="dxa"/>
            <w:noWrap/>
            <w:hideMark/>
          </w:tcPr>
          <w:p w:rsidR="00F23C3C" w:rsidRPr="00BE614B" w:rsidRDefault="00F23C3C" w:rsidP="00963A50">
            <w:pPr>
              <w:ind w:left="-71" w:right="-5"/>
              <w:jc w:val="right"/>
              <w:rPr>
                <w:rFonts w:eastAsia="Times New Roman" w:cs="Times New Roman"/>
                <w:b/>
                <w:color w:val="000000"/>
                <w:sz w:val="21"/>
                <w:szCs w:val="21"/>
                <w:lang w:eastAsia="lv-LV"/>
              </w:rPr>
            </w:pPr>
            <w:r w:rsidRPr="00BE614B">
              <w:rPr>
                <w:rFonts w:eastAsia="Times New Roman" w:cs="Times New Roman"/>
                <w:b/>
                <w:color w:val="000000"/>
                <w:sz w:val="21"/>
                <w:szCs w:val="21"/>
                <w:lang w:eastAsia="lv-LV"/>
              </w:rPr>
              <w:t>3 358 174</w:t>
            </w:r>
          </w:p>
        </w:tc>
        <w:tc>
          <w:tcPr>
            <w:tcW w:w="1154" w:type="dxa"/>
            <w:noWrap/>
            <w:hideMark/>
          </w:tcPr>
          <w:p w:rsidR="00F23C3C" w:rsidRPr="00BE614B" w:rsidRDefault="00F23C3C" w:rsidP="00963A50">
            <w:pPr>
              <w:ind w:left="-71" w:right="-5"/>
              <w:jc w:val="right"/>
              <w:rPr>
                <w:rFonts w:eastAsia="Times New Roman" w:cs="Times New Roman"/>
                <w:b/>
                <w:color w:val="000000"/>
                <w:sz w:val="21"/>
                <w:szCs w:val="21"/>
                <w:lang w:eastAsia="lv-LV"/>
              </w:rPr>
            </w:pPr>
            <w:r w:rsidRPr="00BE614B">
              <w:rPr>
                <w:rFonts w:eastAsia="Times New Roman" w:cs="Times New Roman"/>
                <w:b/>
                <w:color w:val="000000"/>
                <w:sz w:val="21"/>
                <w:szCs w:val="21"/>
                <w:lang w:eastAsia="lv-LV"/>
              </w:rPr>
              <w:t>21 595 433</w:t>
            </w:r>
          </w:p>
        </w:tc>
        <w:tc>
          <w:tcPr>
            <w:tcW w:w="1150" w:type="dxa"/>
            <w:noWrap/>
            <w:hideMark/>
          </w:tcPr>
          <w:p w:rsidR="00F23C3C" w:rsidRPr="00BE614B" w:rsidRDefault="00365F3F" w:rsidP="00963A50">
            <w:pPr>
              <w:ind w:left="-71" w:right="-5"/>
              <w:jc w:val="right"/>
              <w:rPr>
                <w:rFonts w:eastAsia="Times New Roman" w:cs="Times New Roman"/>
                <w:b/>
                <w:color w:val="000000"/>
                <w:sz w:val="21"/>
                <w:szCs w:val="21"/>
                <w:lang w:eastAsia="lv-LV"/>
              </w:rPr>
            </w:pPr>
            <w:r>
              <w:rPr>
                <w:rFonts w:eastAsia="Times New Roman" w:cs="Times New Roman"/>
                <w:b/>
                <w:color w:val="000000"/>
                <w:sz w:val="21"/>
                <w:szCs w:val="21"/>
                <w:lang w:eastAsia="lv-LV"/>
              </w:rPr>
              <w:t>2 349 590</w:t>
            </w:r>
          </w:p>
        </w:tc>
        <w:tc>
          <w:tcPr>
            <w:tcW w:w="1154" w:type="dxa"/>
            <w:noWrap/>
            <w:hideMark/>
          </w:tcPr>
          <w:p w:rsidR="00F23C3C" w:rsidRPr="00BE614B" w:rsidRDefault="00F23C3C" w:rsidP="00963A50">
            <w:pPr>
              <w:ind w:left="-71" w:right="-5"/>
              <w:jc w:val="right"/>
              <w:rPr>
                <w:rFonts w:eastAsia="Times New Roman" w:cs="Times New Roman"/>
                <w:b/>
                <w:color w:val="000000"/>
                <w:sz w:val="21"/>
                <w:szCs w:val="21"/>
                <w:lang w:eastAsia="lv-LV"/>
              </w:rPr>
            </w:pPr>
            <w:r w:rsidRPr="00BE614B">
              <w:rPr>
                <w:rFonts w:eastAsia="Times New Roman" w:cs="Times New Roman"/>
                <w:b/>
                <w:color w:val="000000"/>
                <w:sz w:val="21"/>
                <w:szCs w:val="21"/>
                <w:lang w:eastAsia="lv-LV"/>
              </w:rPr>
              <w:t>20 925 529</w:t>
            </w:r>
          </w:p>
        </w:tc>
      </w:tr>
    </w:tbl>
    <w:p w:rsidR="00F23C3C" w:rsidRDefault="00F23C3C" w:rsidP="00F23C3C">
      <w:pPr>
        <w:jc w:val="both"/>
      </w:pPr>
    </w:p>
    <w:p w:rsidR="00F23C3C" w:rsidRPr="00AC393E" w:rsidRDefault="00F23C3C" w:rsidP="006A4CCE">
      <w:pPr>
        <w:spacing w:after="120"/>
        <w:ind w:firstLine="720"/>
        <w:jc w:val="both"/>
      </w:pPr>
      <w:r>
        <w:t>Bāzes izdevumos pašu ieņēmumu atlikumus</w:t>
      </w:r>
      <w:r w:rsidRPr="00B96481">
        <w:t xml:space="preserve"> </w:t>
      </w:r>
      <w:r>
        <w:t xml:space="preserve">ir iestrādājusi TM, FM, SM, IeM un ZM. </w:t>
      </w:r>
      <w:r w:rsidRPr="006A4CCE">
        <w:t xml:space="preserve">Kā redzams </w:t>
      </w:r>
      <w:r w:rsidR="006A4CCE" w:rsidRPr="006A4CCE">
        <w:t>t</w:t>
      </w:r>
      <w:r w:rsidR="00DC4ADD" w:rsidRPr="006A4CCE">
        <w:t>abulā Nr.</w:t>
      </w:r>
      <w:r w:rsidR="006A4CCE" w:rsidRPr="006A4CCE">
        <w:t>3.25</w:t>
      </w:r>
      <w:r w:rsidR="008B457B">
        <w:t>.</w:t>
      </w:r>
      <w:r w:rsidRPr="006A4CCE">
        <w:t>, uz 2021.gada sākumu ZM un FM pašu ieņēmumu atlikumus ir</w:t>
      </w:r>
      <w:r>
        <w:t xml:space="preserve"> iestrādājušas lielākus nekā tie būs faktiski pieejami. Savukārt TM 2020.gada bāzes izdevumos pašu ieņēmumu atlikuma apmēru palielina, kas liecina par to, ka plānotie pašu ieņēmumi ir lielāki par izdevumiem.</w:t>
      </w:r>
    </w:p>
    <w:p w:rsidR="00F23C3C" w:rsidRPr="00AC393E" w:rsidRDefault="00F23C3C" w:rsidP="006A4CCE">
      <w:pPr>
        <w:spacing w:after="120"/>
        <w:ind w:firstLine="720"/>
        <w:jc w:val="both"/>
      </w:pPr>
      <w:r w:rsidRPr="00AC393E">
        <w:t xml:space="preserve">Tālākai pašu ieņēmumu izvērtēšanai visas 2017.gada valsts budžeta programmas/apakšprogrammas (turpmāk – programmas) tika sadalītas pēc to resursu avotiem, </w:t>
      </w:r>
      <w:r w:rsidRPr="00AC393E">
        <w:lastRenderedPageBreak/>
        <w:t>t.i.</w:t>
      </w:r>
      <w:r>
        <w:t>,</w:t>
      </w:r>
      <w:r w:rsidRPr="00AC393E">
        <w:t xml:space="preserve"> iedalītas divās grupās – programmas, kuras 100% finansē pašu ieņēmumi</w:t>
      </w:r>
      <w:r>
        <w:t>,</w:t>
      </w:r>
      <w:r w:rsidRPr="00AC393E">
        <w:t xml:space="preserve"> un programmas, kuras 100% finansē dotācija no vispārējiem ieņēmumiem (</w:t>
      </w:r>
      <w:r w:rsidRPr="00584A39">
        <w:t xml:space="preserve">turpmāk </w:t>
      </w:r>
      <w:r w:rsidR="00DC4ADD">
        <w:t>–</w:t>
      </w:r>
      <w:r w:rsidRPr="00584A39">
        <w:t xml:space="preserve"> dotācija</w:t>
      </w:r>
      <w:r w:rsidRPr="00AC393E">
        <w:t>)</w:t>
      </w:r>
      <w:r>
        <w:t>,</w:t>
      </w:r>
      <w:r w:rsidRPr="00AC393E">
        <w:t xml:space="preserve"> vai kombinēti resursi, piemēram, dotācija, pašu ieņēmumi </w:t>
      </w:r>
      <w:r>
        <w:t>vai</w:t>
      </w:r>
      <w:r w:rsidRPr="00AC393E">
        <w:t xml:space="preserve"> transferti.</w:t>
      </w:r>
    </w:p>
    <w:p w:rsidR="00F23C3C" w:rsidRPr="004845A0" w:rsidRDefault="00F23C3C" w:rsidP="00F23C3C">
      <w:pPr>
        <w:jc w:val="both"/>
      </w:pPr>
      <w:r>
        <w:rPr>
          <w:noProof/>
          <w:lang w:eastAsia="lv-LV"/>
        </w:rPr>
        <w:drawing>
          <wp:inline distT="0" distB="0" distL="0" distR="0" wp14:anchorId="1A50539E" wp14:editId="16A49C42">
            <wp:extent cx="5934710" cy="3423514"/>
            <wp:effectExtent l="0" t="0" r="8890" b="5715"/>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F23C3C" w:rsidRDefault="006A4CCE" w:rsidP="006A4CCE">
      <w:pPr>
        <w:spacing w:before="120" w:after="240"/>
        <w:jc w:val="center"/>
      </w:pPr>
      <w:r w:rsidRPr="006A4CCE">
        <w:rPr>
          <w:i/>
          <w:sz w:val="22"/>
        </w:rPr>
        <w:t>3.35</w:t>
      </w:r>
      <w:r w:rsidR="00F23C3C" w:rsidRPr="006A4CCE">
        <w:rPr>
          <w:i/>
          <w:sz w:val="22"/>
        </w:rPr>
        <w:t>.att</w:t>
      </w:r>
      <w:r w:rsidR="00F23C3C" w:rsidRPr="006A4CCE">
        <w:rPr>
          <w:sz w:val="22"/>
        </w:rPr>
        <w:t xml:space="preserve">. </w:t>
      </w:r>
      <w:r w:rsidR="00F23C3C" w:rsidRPr="006A4CCE">
        <w:rPr>
          <w:b/>
          <w:sz w:val="22"/>
        </w:rPr>
        <w:t>2017.gada budžeta programmu skaits, kuru finansēšanas avots ir pašu ieņēmumi</w:t>
      </w:r>
    </w:p>
    <w:p w:rsidR="00F23C3C" w:rsidRDefault="00F23C3C" w:rsidP="006A4CCE">
      <w:pPr>
        <w:ind w:firstLine="720"/>
        <w:jc w:val="both"/>
      </w:pPr>
      <w:r>
        <w:t>2017.gada valsts budžetā ir 6 programmas (</w:t>
      </w:r>
      <w:r w:rsidRPr="006A4CCE">
        <w:t>sk</w:t>
      </w:r>
      <w:r w:rsidR="006A4CCE" w:rsidRPr="006A4CCE">
        <w:t>at</w:t>
      </w:r>
      <w:r w:rsidRPr="006A4CCE">
        <w:t xml:space="preserve">. </w:t>
      </w:r>
      <w:r w:rsidR="006A4CCE" w:rsidRPr="006A4CCE">
        <w:t>3.35.</w:t>
      </w:r>
      <w:r w:rsidR="003630B2" w:rsidRPr="006A4CCE">
        <w:rPr>
          <w:color w:val="000000" w:themeColor="text1"/>
        </w:rPr>
        <w:t>attēlu</w:t>
      </w:r>
      <w:r w:rsidRPr="006A4CCE">
        <w:t>),</w:t>
      </w:r>
      <w:r>
        <w:t xml:space="preserve"> kuru finansēšanas avots ir vienīgi pašu ieņēmumi, savukārt no šīm programmām tikai četrām programmām tiek prognozēti neiestrādātie pašu ieņēmumu atlikumi uz 2018.gadu. </w:t>
      </w:r>
    </w:p>
    <w:p w:rsidR="00F23C3C" w:rsidRDefault="00F23C3C" w:rsidP="00F23C3C">
      <w:pPr>
        <w:jc w:val="both"/>
      </w:pPr>
    </w:p>
    <w:p w:rsidR="00F23C3C" w:rsidRDefault="00F23C3C" w:rsidP="00F23C3C">
      <w:pPr>
        <w:jc w:val="center"/>
      </w:pPr>
      <w:r>
        <w:rPr>
          <w:noProof/>
          <w:lang w:eastAsia="lv-LV"/>
        </w:rPr>
        <w:drawing>
          <wp:inline distT="0" distB="0" distL="0" distR="0" wp14:anchorId="440B4ADF" wp14:editId="00441E03">
            <wp:extent cx="5857875" cy="2390775"/>
            <wp:effectExtent l="0" t="0" r="9525" b="9525"/>
            <wp:docPr id="96" name="Chart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F23C3C" w:rsidRDefault="006A4CCE" w:rsidP="00F23C3C">
      <w:pPr>
        <w:spacing w:before="120"/>
        <w:jc w:val="center"/>
      </w:pPr>
      <w:r w:rsidRPr="006A4CCE">
        <w:rPr>
          <w:i/>
          <w:sz w:val="22"/>
        </w:rPr>
        <w:t>3.36.</w:t>
      </w:r>
      <w:r w:rsidR="00F23C3C" w:rsidRPr="006A4CCE">
        <w:rPr>
          <w:i/>
          <w:sz w:val="22"/>
        </w:rPr>
        <w:t>att</w:t>
      </w:r>
      <w:r w:rsidR="00F23C3C" w:rsidRPr="006A4CCE">
        <w:rPr>
          <w:sz w:val="22"/>
        </w:rPr>
        <w:t xml:space="preserve">. </w:t>
      </w:r>
      <w:r w:rsidR="00F23C3C" w:rsidRPr="006A4CCE">
        <w:rPr>
          <w:b/>
          <w:sz w:val="22"/>
        </w:rPr>
        <w:t xml:space="preserve">Plānotie atlikumi programmās, kuras finansē tikai pašu ieņēmumi, milj. </w:t>
      </w:r>
      <w:r w:rsidR="00F23C3C" w:rsidRPr="006A4CCE">
        <w:rPr>
          <w:b/>
          <w:i/>
          <w:sz w:val="22"/>
        </w:rPr>
        <w:t>euro</w:t>
      </w:r>
    </w:p>
    <w:p w:rsidR="00F23C3C" w:rsidRDefault="00F23C3C" w:rsidP="00F23C3C">
      <w:pPr>
        <w:jc w:val="both"/>
      </w:pPr>
    </w:p>
    <w:p w:rsidR="00F23C3C" w:rsidRDefault="00F23C3C" w:rsidP="006A4CCE">
      <w:pPr>
        <w:ind w:firstLine="720"/>
        <w:jc w:val="both"/>
      </w:pPr>
      <w:r>
        <w:t xml:space="preserve">Kā redzams </w:t>
      </w:r>
      <w:r w:rsidR="006A4CCE">
        <w:t>3.36.</w:t>
      </w:r>
      <w:r>
        <w:t>attēlā, TM programmai 06.04.00 “</w:t>
      </w:r>
      <w:r w:rsidRPr="00D065AE">
        <w:t>Darbinieku prasījumu garantiju fonds</w:t>
      </w:r>
      <w:r>
        <w:t>” prognozējams lielākais budžetā neiestrādātais pašu ieņēmumu atlikums, kā arī uz 2021.gadu tiek prognozēts neiestrādātā atlikuma pieaugums 42% apmērā salīdzinājumā ar 2017.gadu.</w:t>
      </w:r>
    </w:p>
    <w:p w:rsidR="00F23C3C" w:rsidRDefault="00F23C3C" w:rsidP="006A4CCE">
      <w:pPr>
        <w:spacing w:before="120"/>
        <w:ind w:firstLine="720"/>
        <w:jc w:val="both"/>
      </w:pPr>
      <w:r>
        <w:t>Kopumā pašu ieņēmumu finansēto programmu prognozējamais pašu ieņēmumu atlikums ir:</w:t>
      </w:r>
    </w:p>
    <w:p w:rsidR="00F23C3C" w:rsidRDefault="00F23C3C" w:rsidP="006A4CCE">
      <w:pPr>
        <w:pStyle w:val="ListParagraph"/>
        <w:numPr>
          <w:ilvl w:val="0"/>
          <w:numId w:val="53"/>
        </w:numPr>
        <w:tabs>
          <w:tab w:val="left" w:pos="993"/>
        </w:tabs>
        <w:ind w:hanging="11"/>
        <w:contextualSpacing w:val="0"/>
        <w:jc w:val="both"/>
      </w:pPr>
      <w:r>
        <w:lastRenderedPageBreak/>
        <w:t xml:space="preserve">12,8 milj. </w:t>
      </w:r>
      <w:r w:rsidRPr="00D93D22">
        <w:rPr>
          <w:i/>
        </w:rPr>
        <w:t>euro</w:t>
      </w:r>
      <w:r>
        <w:t xml:space="preserve"> 2018.gadam;</w:t>
      </w:r>
    </w:p>
    <w:p w:rsidR="00F23C3C" w:rsidRDefault="00F23C3C" w:rsidP="006A4CCE">
      <w:pPr>
        <w:pStyle w:val="ListParagraph"/>
        <w:numPr>
          <w:ilvl w:val="0"/>
          <w:numId w:val="53"/>
        </w:numPr>
        <w:tabs>
          <w:tab w:val="left" w:pos="993"/>
        </w:tabs>
        <w:ind w:hanging="11"/>
        <w:contextualSpacing w:val="0"/>
        <w:jc w:val="both"/>
      </w:pPr>
      <w:r>
        <w:t xml:space="preserve">13,5 milj. </w:t>
      </w:r>
      <w:r w:rsidRPr="00D93D22">
        <w:rPr>
          <w:i/>
        </w:rPr>
        <w:t>euro</w:t>
      </w:r>
      <w:r>
        <w:t xml:space="preserve"> 2019.gadam;</w:t>
      </w:r>
    </w:p>
    <w:p w:rsidR="00F23C3C" w:rsidRDefault="00F23C3C" w:rsidP="006A4CCE">
      <w:pPr>
        <w:pStyle w:val="ListParagraph"/>
        <w:numPr>
          <w:ilvl w:val="0"/>
          <w:numId w:val="53"/>
        </w:numPr>
        <w:tabs>
          <w:tab w:val="left" w:pos="993"/>
        </w:tabs>
        <w:ind w:hanging="11"/>
        <w:contextualSpacing w:val="0"/>
        <w:jc w:val="both"/>
      </w:pPr>
      <w:r>
        <w:t xml:space="preserve">14,2 milj. </w:t>
      </w:r>
      <w:r w:rsidRPr="00D93D22">
        <w:rPr>
          <w:i/>
        </w:rPr>
        <w:t>euro</w:t>
      </w:r>
      <w:r>
        <w:t xml:space="preserve"> 2020.gadam;</w:t>
      </w:r>
    </w:p>
    <w:p w:rsidR="00F23C3C" w:rsidRDefault="00F23C3C" w:rsidP="008C25BB">
      <w:pPr>
        <w:pStyle w:val="ListParagraph"/>
        <w:numPr>
          <w:ilvl w:val="0"/>
          <w:numId w:val="53"/>
        </w:numPr>
        <w:tabs>
          <w:tab w:val="left" w:pos="993"/>
        </w:tabs>
        <w:spacing w:after="120"/>
        <w:ind w:hanging="11"/>
        <w:contextualSpacing w:val="0"/>
        <w:jc w:val="both"/>
      </w:pPr>
      <w:r>
        <w:t xml:space="preserve">15 milj. </w:t>
      </w:r>
      <w:r w:rsidRPr="00D93D22">
        <w:rPr>
          <w:i/>
        </w:rPr>
        <w:t>euro</w:t>
      </w:r>
      <w:r>
        <w:t xml:space="preserve"> 2021.gadam, kas veido 19% pieaugumu salīdzinoši pret 2017.gada pašu ieņēmumu atlikumu. </w:t>
      </w:r>
    </w:p>
    <w:p w:rsidR="00F23C3C" w:rsidRPr="00AC1650" w:rsidRDefault="00F23C3C" w:rsidP="00AC1650">
      <w:pPr>
        <w:spacing w:before="120" w:after="120"/>
        <w:jc w:val="both"/>
        <w:rPr>
          <w:u w:val="single"/>
        </w:rPr>
      </w:pPr>
      <w:r>
        <w:rPr>
          <w:szCs w:val="24"/>
          <w:u w:val="single"/>
        </w:rPr>
        <w:t xml:space="preserve">TM </w:t>
      </w:r>
      <w:r w:rsidRPr="00323FB2">
        <w:rPr>
          <w:u w:val="single"/>
        </w:rPr>
        <w:t>apakšprogramma 06.04.00 “Darbin</w:t>
      </w:r>
      <w:r w:rsidR="00AC1650">
        <w:rPr>
          <w:u w:val="single"/>
        </w:rPr>
        <w:t>ieku prasījumu garantiju fonds”</w:t>
      </w:r>
    </w:p>
    <w:p w:rsidR="00F23C3C" w:rsidRDefault="00F23C3C" w:rsidP="00DF526F">
      <w:pPr>
        <w:ind w:firstLine="720"/>
        <w:jc w:val="both"/>
      </w:pPr>
      <w:r>
        <w:t>Atbilstoši likumam “Par darbinieku aizsardzību darba devēja maksātnespējas gadījumā” d</w:t>
      </w:r>
      <w:r w:rsidRPr="00D065AE">
        <w:t>arb</w:t>
      </w:r>
      <w:r>
        <w:t>inieku prasījumu garantiju fonda līdzekļus veido uzņēmējdarbības riska valsts nodevas ieskaitāmā daļa (turpmāk – riska nodevas daļa), dāvinājumi un ziedojumi, un administratoru atgūtās summas. Savukārt riska nodevas daļas apmēru 2017.gadam nosaka atbilstoši MK 2016.gada 20.decembra noteikumiem Nr.836 “</w:t>
      </w:r>
      <w:r w:rsidRPr="004138DF">
        <w:t>Noteikumi par uzņēmējdarbības riska valsts nodevu 2017.gadā</w:t>
      </w:r>
      <w:r>
        <w:t>” (turpmāk – MK not. Nr.836) un darbinieku prasījumu aprēķināšanu</w:t>
      </w:r>
      <w:r w:rsidR="00AC1650">
        <w:t xml:space="preserve"> </w:t>
      </w:r>
      <w:r>
        <w:t>un izmaksu veic atbilstoši MK 2011.gada 27.decembra noteikumiem Nr.995 “</w:t>
      </w:r>
      <w:r w:rsidRPr="0021534A">
        <w:t>Maksātnespējīgo darba devēju darbinieku prasījumu apmierināšanas un administratora atlīdzības izmaksas kārtība</w:t>
      </w:r>
      <w:r>
        <w:t>”.</w:t>
      </w:r>
    </w:p>
    <w:p w:rsidR="00F23C3C" w:rsidRDefault="00F23C3C" w:rsidP="00DF526F">
      <w:pPr>
        <w:ind w:firstLine="720"/>
        <w:jc w:val="both"/>
      </w:pPr>
      <w:r>
        <w:t>Darbinieku prasījumu garantijas fonda līdzekļi glabājas Valsts kasē, savukārt Maksātnespējas administrācija ir to turētājs un rīkotājs, kas organizē finanšu līdzekļu uzskaiti un izmaksu darbinieku prasījumu apmierināšanai.</w:t>
      </w:r>
    </w:p>
    <w:p w:rsidR="00F23C3C" w:rsidRPr="00AC393E" w:rsidRDefault="00F23C3C" w:rsidP="00F23C3C">
      <w:pPr>
        <w:spacing w:after="120"/>
        <w:ind w:firstLine="720"/>
        <w:jc w:val="both"/>
        <w:rPr>
          <w:szCs w:val="24"/>
        </w:rPr>
      </w:pPr>
      <w:r w:rsidRPr="00AC393E">
        <w:rPr>
          <w:szCs w:val="24"/>
        </w:rPr>
        <w:t xml:space="preserve">Ierosinām veikt grozījumus </w:t>
      </w:r>
      <w:r w:rsidRPr="00AC393E">
        <w:t>MK not. Nr.836, t.i.</w:t>
      </w:r>
      <w:r>
        <w:t>,</w:t>
      </w:r>
      <w:r w:rsidRPr="00AC393E">
        <w:t xml:space="preserve"> TM izvērtēt un noteikt optimāli nepieciešamo līdzekļu apmēru atbilstoši riska iestāšanās vērtējumam un mainīt no uzņēmējdarbības riska valsts nodevas ieņēmumos ieskaitāmās valsts nodevas daļas procentuālo sadalījumu, kāds jāieskaita TM pamatbudžeta apakšprogrammā 06.04.00 “Darbinieku prasījumu garantiju fonds” un kāds apakšprogrammā 06.03.00 “Maksātspējas procesa pārvaldība”.</w:t>
      </w:r>
    </w:p>
    <w:p w:rsidR="00F23C3C" w:rsidRPr="00323FB2" w:rsidRDefault="00F23C3C" w:rsidP="00F23C3C">
      <w:pPr>
        <w:jc w:val="both"/>
        <w:rPr>
          <w:u w:val="single"/>
        </w:rPr>
      </w:pPr>
      <w:r>
        <w:rPr>
          <w:szCs w:val="24"/>
          <w:u w:val="single"/>
        </w:rPr>
        <w:t xml:space="preserve">VM </w:t>
      </w:r>
      <w:r w:rsidRPr="00323FB2">
        <w:rPr>
          <w:u w:val="single"/>
        </w:rPr>
        <w:t>apakšprogramma 45.02.00 “Ārstniecības riska fonda darbības nodrošināšana”</w:t>
      </w:r>
    </w:p>
    <w:p w:rsidR="00F23C3C" w:rsidRDefault="00F23C3C" w:rsidP="00DF526F">
      <w:pPr>
        <w:spacing w:before="120"/>
        <w:ind w:firstLine="720"/>
        <w:jc w:val="both"/>
      </w:pPr>
      <w:r>
        <w:t xml:space="preserve">Atbilstoši Pacientu tiesību likuma 16.pantam pacientam ir tiesības saņemt atlīdzību par </w:t>
      </w:r>
      <w:r w:rsidRPr="00C16444">
        <w:t xml:space="preserve">viņa dzīvībai vai veselībai nodarīto kaitējumu (arī morālo kaitējumu) </w:t>
      </w:r>
      <w:r>
        <w:t xml:space="preserve">– </w:t>
      </w:r>
      <w:r w:rsidRPr="00C16444">
        <w:t>nodarītā kaitējuma apmērā</w:t>
      </w:r>
      <w:r>
        <w:t xml:space="preserve">, </w:t>
      </w:r>
      <w:r w:rsidRPr="00C16444">
        <w:t>kā arī par pacientam radītiem ārstniecības izdevumiem – radīto izdevumu apmērā.</w:t>
      </w:r>
      <w:r>
        <w:t xml:space="preserve"> </w:t>
      </w:r>
      <w:r w:rsidRPr="00EF5395">
        <w:t xml:space="preserve">Ārstniecības riska fonda līdzekļus veido ārstniecības riska maksājumi un regresa kārtībā atgūtie fonda līdzekļi. Ārstniecības riska fonda izveidošanas, uzkrāšanas un administrēšanas kārtību nosaka </w:t>
      </w:r>
      <w:r>
        <w:t>MK 2013.gada 5.novembra noteikumi Nr.1268 “Ārstniecības riska fonda darbības noteikumi”.</w:t>
      </w:r>
    </w:p>
    <w:p w:rsidR="00F23C3C" w:rsidRDefault="00F23C3C" w:rsidP="00DF526F">
      <w:pPr>
        <w:ind w:firstLine="720"/>
        <w:jc w:val="both"/>
      </w:pPr>
      <w:r>
        <w:t>Ārstniecības riska fonda darbību nodrošina Veselības inspekcija, kas veic</w:t>
      </w:r>
      <w:r w:rsidRPr="00722BD2">
        <w:t xml:space="preserve"> ekspertīzi, sagatavo atzinumu un nosaka kaitējuma apmēru procentos, kā arī vērtē ārstniecības izdevumu saistību ar pacientam nodarītā kaitējuma seku mazināšanu vai novēršanu un </w:t>
      </w:r>
      <w:r>
        <w:t>NVD, kas administrē Ā</w:t>
      </w:r>
      <w:r w:rsidRPr="00722BD2">
        <w:t>rstniecības riska fonda līdzekļus</w:t>
      </w:r>
      <w:r>
        <w:t>,</w:t>
      </w:r>
      <w:r w:rsidRPr="00722BD2">
        <w:t xml:space="preserve"> un, pamatojoties uz inspekcijas atzinumu, pieņem lēmumu par atlīdzības izmaksāšanu vai par atteikumu to izmaksā</w:t>
      </w:r>
      <w:r>
        <w:t>t, kā arī izmaksā atlīdzību no Ā</w:t>
      </w:r>
      <w:r w:rsidRPr="00722BD2">
        <w:t>rstniecības riska fonda.</w:t>
      </w:r>
    </w:p>
    <w:p w:rsidR="00F23C3C" w:rsidRDefault="00F23C3C" w:rsidP="00DF526F">
      <w:pPr>
        <w:ind w:firstLine="720"/>
        <w:jc w:val="both"/>
      </w:pPr>
      <w:r w:rsidRPr="00AC393E">
        <w:t xml:space="preserve">VM izvērtēt iespēju izstrādāt jaunu Ārstniecības riska fonda izveidošanas, uzkrāšanas un administrēšanas kārtību, paredzot, ka ārstniecības iestādes </w:t>
      </w:r>
      <w:r>
        <w:t>NVD</w:t>
      </w:r>
      <w:r w:rsidRPr="00AC393E">
        <w:t xml:space="preserve"> aprēķinātos maksājumus ieskaita Valsts kasē kopējos valsts budžeta ieņēmumos</w:t>
      </w:r>
      <w:r>
        <w:t xml:space="preserve"> 1,4 milj. </w:t>
      </w:r>
      <w:r w:rsidRPr="00967E03">
        <w:rPr>
          <w:i/>
        </w:rPr>
        <w:t>euro</w:t>
      </w:r>
      <w:r>
        <w:t xml:space="preserve"> apmērā 2018.-2020.gadam </w:t>
      </w:r>
      <w:r w:rsidRPr="00967E03">
        <w:t>ik gadu</w:t>
      </w:r>
      <w:r w:rsidRPr="00AC393E">
        <w:t>, savukārt atlīdzības izmaksas veic reizi ceturksnī no 74.resora programmas 02.00.00 “Līdzekļi neparedzētiem gadījumiem”, veicot atbils</w:t>
      </w:r>
      <w:r>
        <w:t>tošo normatīvo aktu grozījumus.</w:t>
      </w:r>
    </w:p>
    <w:p w:rsidR="004463B6" w:rsidRDefault="004463B6" w:rsidP="00DF526F">
      <w:pPr>
        <w:ind w:firstLine="720"/>
        <w:jc w:val="both"/>
      </w:pPr>
      <w:r>
        <w:t xml:space="preserve">VM uzskata, ka lietderīgāk un drošāk ir saglabāt pašreizējo iemaksu modeli, kur, lai </w:t>
      </w:r>
      <w:r w:rsidRPr="00EF5395">
        <w:t>Ārstniecības riska fonda</w:t>
      </w:r>
      <w:r>
        <w:t xml:space="preserve"> kārtējā gadā neizlietotos līdzekļus varētu izmantot nākamajā gadā, VM budžeta un finanšu jomu regulējošajos normatīvajos aktos noteiktajā kārtībā sagatavo priekšlikumu apropriācijas palielinājumam – ieņēmumu no maksas pakalpojumiem un citu pašu ieņēmumu atlikuma izmantošanai. Attiecīgajā gadījumā NVD būtu pasargāts no tā, ka tekošajā gadā Ārstniecības riska fondā pietrūktu naudas līdzekļi, lai izmaksātu atlīdzības (tai skaitā </w:t>
      </w:r>
      <w:r>
        <w:lastRenderedPageBreak/>
        <w:t xml:space="preserve">pacienti būtu pasargāti no tā, ka viņi varētu šīs atlīdzības laikā nesaņemt), kā arī novērstu daudz smagāku birokrātiski slogu, lai sagatavotu budžeta pieprasījumu un lai meklētu naudas līdzekļus ārpus </w:t>
      </w:r>
      <w:r w:rsidRPr="00EF5395">
        <w:t>Ārstniecības riska fonda</w:t>
      </w:r>
      <w:r>
        <w:t xml:space="preserve"> līdzekļiem, kurus piešķirt atlīdzībām.</w:t>
      </w:r>
    </w:p>
    <w:p w:rsidR="00810F4D" w:rsidRPr="00810F4D" w:rsidRDefault="00810F4D" w:rsidP="00810F4D">
      <w:pPr>
        <w:spacing w:before="120" w:after="120"/>
        <w:jc w:val="both"/>
        <w:rPr>
          <w:u w:val="single"/>
        </w:rPr>
      </w:pPr>
      <w:r>
        <w:rPr>
          <w:i/>
          <w:u w:val="single"/>
        </w:rPr>
        <w:t>Secinājums</w:t>
      </w:r>
    </w:p>
    <w:p w:rsidR="00F23C3C" w:rsidRPr="00F67978" w:rsidRDefault="00F23C3C" w:rsidP="00810F4D">
      <w:pPr>
        <w:spacing w:before="120" w:after="120"/>
        <w:ind w:firstLine="720"/>
        <w:jc w:val="both"/>
      </w:pPr>
      <w:r w:rsidRPr="00F67978">
        <w:t>Ņemot vērā, ka tikai pašu ieņēmumu finansētas programmas dalās divās grupās, t.i.</w:t>
      </w:r>
      <w:r>
        <w:t>,</w:t>
      </w:r>
      <w:r w:rsidRPr="00F67978">
        <w:t xml:space="preserve"> programmas, kuru finansēšanai nepieciešama politikas maiņa, un programmas, kuru finansēšana turpinās ierastajā kārtībā, FM potenciālos resursus izdevumu segšanai no</w:t>
      </w:r>
      <w:r>
        <w:t>saka šādā kārtībā</w:t>
      </w:r>
      <w:r w:rsidRPr="00F67978">
        <w:t>:</w:t>
      </w:r>
    </w:p>
    <w:p w:rsidR="00F23C3C" w:rsidRPr="00F67978" w:rsidRDefault="00F23C3C" w:rsidP="008C25BB">
      <w:pPr>
        <w:pStyle w:val="ListParagraph"/>
        <w:numPr>
          <w:ilvl w:val="0"/>
          <w:numId w:val="54"/>
        </w:numPr>
        <w:spacing w:after="120"/>
        <w:contextualSpacing w:val="0"/>
        <w:jc w:val="both"/>
      </w:pPr>
      <w:r w:rsidRPr="00F67978">
        <w:t xml:space="preserve">plānoto pašu ieņēmumu apmērā apdrošināšanas principa programmām – TM apakšprogrammai 06.04.00 “Darbinieku prasījumu garantiju fonds” 2 728 442 </w:t>
      </w:r>
      <w:r w:rsidRPr="00F67978">
        <w:rPr>
          <w:i/>
        </w:rPr>
        <w:t>euro</w:t>
      </w:r>
      <w:r w:rsidRPr="00F67978">
        <w:t xml:space="preserve"> apmērā 2018.gadam, 2 731 488</w:t>
      </w:r>
      <w:r w:rsidRPr="00F67978">
        <w:rPr>
          <w:i/>
        </w:rPr>
        <w:t xml:space="preserve"> euro</w:t>
      </w:r>
      <w:r w:rsidRPr="00F67978">
        <w:t xml:space="preserve"> apmērā 2019.-2020.gadam ik gadu un VM apakšprogrammai 45.02.00 “Ārstniecības riska fonda darbības nodrošināšana” 1</w:t>
      </w:r>
      <w:r w:rsidR="006A4CCE">
        <w:t> </w:t>
      </w:r>
      <w:r w:rsidRPr="00F67978">
        <w:t>421</w:t>
      </w:r>
      <w:r w:rsidR="006A4CCE">
        <w:t> </w:t>
      </w:r>
      <w:r w:rsidRPr="00F67978">
        <w:t xml:space="preserve">386 </w:t>
      </w:r>
      <w:r w:rsidRPr="00F67978">
        <w:rPr>
          <w:i/>
        </w:rPr>
        <w:t>euro</w:t>
      </w:r>
      <w:r>
        <w:t xml:space="preserve"> apmērā 2018.</w:t>
      </w:r>
      <w:r>
        <w:noBreakHyphen/>
      </w:r>
      <w:r w:rsidRPr="00F67978">
        <w:t>2020.gadam ik gadu;</w:t>
      </w:r>
    </w:p>
    <w:p w:rsidR="00F23C3C" w:rsidRPr="00F67978" w:rsidRDefault="00F23C3C" w:rsidP="008C25BB">
      <w:pPr>
        <w:pStyle w:val="ListParagraph"/>
        <w:numPr>
          <w:ilvl w:val="0"/>
          <w:numId w:val="54"/>
        </w:numPr>
        <w:spacing w:after="120"/>
        <w:contextualSpacing w:val="0"/>
        <w:jc w:val="both"/>
      </w:pPr>
      <w:r w:rsidRPr="00F67978">
        <w:t xml:space="preserve">50% apmērā no 2018. un 2019.gada budžetā neiestrādātā pašu ieņēmumu atlikuma IeM apakšprogrammai 40.04.00 “Valsts materiālās rezerves” 52 399 </w:t>
      </w:r>
      <w:r w:rsidRPr="00F67978">
        <w:rPr>
          <w:i/>
        </w:rPr>
        <w:t>euro</w:t>
      </w:r>
      <w:r w:rsidRPr="00F67978">
        <w:t xml:space="preserve"> apmērā 2018.gadam, 26 199 </w:t>
      </w:r>
      <w:r w:rsidRPr="00F67978">
        <w:rPr>
          <w:i/>
        </w:rPr>
        <w:t>euro</w:t>
      </w:r>
      <w:r w:rsidRPr="00F67978">
        <w:t xml:space="preserve"> apmērā 2019.gadam un TM apakšprogrammai 06.05.00 “Maksātspējas procesa izmaksas” 409 417 </w:t>
      </w:r>
      <w:r w:rsidRPr="00F67978">
        <w:rPr>
          <w:i/>
        </w:rPr>
        <w:t>euro</w:t>
      </w:r>
      <w:r w:rsidRPr="00F67978">
        <w:t xml:space="preserve"> apmērā 2018.gadam un 196 683 </w:t>
      </w:r>
      <w:r w:rsidRPr="00F67978">
        <w:rPr>
          <w:i/>
        </w:rPr>
        <w:t>euro</w:t>
      </w:r>
      <w:r w:rsidRPr="00F67978">
        <w:t xml:space="preserve"> apmērā 2019.gadam.</w:t>
      </w:r>
    </w:p>
    <w:p w:rsidR="00F23C3C" w:rsidRDefault="00F23C3C" w:rsidP="00F23C3C">
      <w:pPr>
        <w:jc w:val="center"/>
      </w:pPr>
      <w:r>
        <w:rPr>
          <w:noProof/>
          <w:lang w:eastAsia="lv-LV"/>
        </w:rPr>
        <w:drawing>
          <wp:inline distT="0" distB="0" distL="0" distR="0" wp14:anchorId="50401A20" wp14:editId="463730F1">
            <wp:extent cx="5619750" cy="2847975"/>
            <wp:effectExtent l="0" t="0" r="0" b="9525"/>
            <wp:docPr id="97" name="Chart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F23C3C" w:rsidRPr="006A4CCE" w:rsidRDefault="006A4CCE" w:rsidP="006A4CCE">
      <w:pPr>
        <w:spacing w:before="120"/>
        <w:jc w:val="center"/>
      </w:pPr>
      <w:r w:rsidRPr="006A4CCE">
        <w:rPr>
          <w:i/>
          <w:sz w:val="22"/>
        </w:rPr>
        <w:t>3.37</w:t>
      </w:r>
      <w:r w:rsidR="00F23C3C" w:rsidRPr="006A4CCE">
        <w:rPr>
          <w:i/>
          <w:sz w:val="22"/>
        </w:rPr>
        <w:t>. att</w:t>
      </w:r>
      <w:r w:rsidR="00F23C3C" w:rsidRPr="006A4CCE">
        <w:rPr>
          <w:sz w:val="22"/>
        </w:rPr>
        <w:t xml:space="preserve">. </w:t>
      </w:r>
      <w:r w:rsidR="00F23C3C" w:rsidRPr="006A4CCE">
        <w:rPr>
          <w:b/>
          <w:sz w:val="22"/>
        </w:rPr>
        <w:t>Plānotie atlikumi programmās, kuras finansē tikai dotācija vai kombinēti resursi</w:t>
      </w:r>
      <w:r w:rsidR="00F23C3C" w:rsidRPr="006A4CCE">
        <w:rPr>
          <w:rStyle w:val="FootnoteReference"/>
          <w:b/>
          <w:sz w:val="22"/>
        </w:rPr>
        <w:footnoteReference w:id="68"/>
      </w:r>
      <w:r w:rsidR="00F23C3C" w:rsidRPr="006A4CCE">
        <w:rPr>
          <w:b/>
          <w:sz w:val="22"/>
        </w:rPr>
        <w:t xml:space="preserve">, milj. </w:t>
      </w:r>
      <w:r w:rsidR="00F23C3C" w:rsidRPr="006A4CCE">
        <w:rPr>
          <w:b/>
          <w:i/>
          <w:sz w:val="22"/>
        </w:rPr>
        <w:t>euro</w:t>
      </w:r>
    </w:p>
    <w:p w:rsidR="00F23C3C" w:rsidRDefault="006A4CCE" w:rsidP="006A4CCE">
      <w:pPr>
        <w:spacing w:before="120" w:after="120"/>
        <w:ind w:firstLine="720"/>
        <w:jc w:val="both"/>
      </w:pPr>
      <w:r>
        <w:t>3.37.a</w:t>
      </w:r>
      <w:r w:rsidR="00F23C3C">
        <w:t xml:space="preserve">ttēlā </w:t>
      </w:r>
      <w:r w:rsidR="00F23C3C" w:rsidRPr="00BD2148">
        <w:t>redzami potenciālie resursi programmās, kuras finansē tikai no dotācijas vai kombinējot resursus, t.i.</w:t>
      </w:r>
      <w:r w:rsidR="00F23C3C">
        <w:t>,</w:t>
      </w:r>
      <w:r w:rsidR="00F23C3C" w:rsidRPr="00BD2148">
        <w:t xml:space="preserve"> resursus veido dotācija kombinācijā ar pašu ieņēmumiem, ārvalstu finanšu palīdzību vai transfertiem (turpmāk – kombinētais finansēšanas avots). Secināms, ka ministrijas kopumā uz 2021.gada 1.janvāri savos budžetos būs iestrādājušas </w:t>
      </w:r>
      <w:r w:rsidR="00F23C3C">
        <w:t>75</w:t>
      </w:r>
      <w:r w:rsidR="00F23C3C" w:rsidRPr="00BD2148">
        <w:t>% no pašu ieņēmumu atlikumiem, kas ir uzkrāti uz 2017.gada 1.janvāri.</w:t>
      </w:r>
      <w:r w:rsidR="00F23C3C">
        <w:t xml:space="preserve"> Tomēr, ņemot vērā vēsturisko pieredzi, šāds scenārijs ir maz ticams, turklāt šī situācija ir risināma kontekstā ar cenrāžu </w:t>
      </w:r>
      <w:r w:rsidR="00F23C3C" w:rsidRPr="00121FBE">
        <w:t>aktualizāciju (sk. 3.4.2. sadaļu).</w:t>
      </w:r>
      <w:r>
        <w:t xml:space="preserve"> </w:t>
      </w:r>
    </w:p>
    <w:p w:rsidR="00DF526F" w:rsidRDefault="00DF526F" w:rsidP="00AC42E9">
      <w:pPr>
        <w:ind w:firstLine="720"/>
        <w:jc w:val="right"/>
      </w:pPr>
    </w:p>
    <w:p w:rsidR="00DF526F" w:rsidRDefault="00DF526F" w:rsidP="00AC42E9">
      <w:pPr>
        <w:ind w:firstLine="720"/>
        <w:jc w:val="right"/>
      </w:pPr>
    </w:p>
    <w:p w:rsidR="00F23C3C" w:rsidRPr="00AC42E9" w:rsidRDefault="00F23C3C" w:rsidP="00AC42E9">
      <w:pPr>
        <w:ind w:firstLine="720"/>
        <w:jc w:val="right"/>
      </w:pPr>
      <w:r w:rsidRPr="007C49D3">
        <w:lastRenderedPageBreak/>
        <w:t>Tabula Nr.</w:t>
      </w:r>
      <w:r w:rsidR="007C49D3" w:rsidRPr="007C49D3">
        <w:t>3.26</w:t>
      </w:r>
      <w:r w:rsidR="008B457B">
        <w:t>.</w:t>
      </w:r>
    </w:p>
    <w:p w:rsidR="00F23C3C" w:rsidRPr="00E76258" w:rsidRDefault="00F23C3C" w:rsidP="00AC42E9">
      <w:pPr>
        <w:spacing w:before="120" w:after="120"/>
        <w:jc w:val="center"/>
        <w:rPr>
          <w:b/>
          <w:i/>
        </w:rPr>
      </w:pPr>
      <w:r w:rsidRPr="00781949">
        <w:rPr>
          <w:b/>
        </w:rPr>
        <w:t>Pašu ieņēmumu atlikumu iestrādāšana budžetā, programmām</w:t>
      </w:r>
      <w:r>
        <w:rPr>
          <w:b/>
        </w:rPr>
        <w:t>, kuras</w:t>
      </w:r>
      <w:r w:rsidRPr="00781949">
        <w:rPr>
          <w:b/>
        </w:rPr>
        <w:t xml:space="preserve"> finansē kombinēt</w:t>
      </w:r>
      <w:r>
        <w:rPr>
          <w:b/>
        </w:rPr>
        <w:t>ais finansēšanas avots</w:t>
      </w:r>
      <w:r w:rsidRPr="00781949">
        <w:rPr>
          <w:b/>
        </w:rPr>
        <w:t>, sadalījumā pa resoriem,</w:t>
      </w:r>
      <w:r>
        <w:rPr>
          <w:b/>
        </w:rPr>
        <w:t xml:space="preserve"> </w:t>
      </w:r>
      <w:r w:rsidRPr="00781949">
        <w:rPr>
          <w:b/>
          <w:i/>
        </w:rPr>
        <w:t>euro</w:t>
      </w:r>
      <w:r>
        <w:tab/>
      </w:r>
    </w:p>
    <w:tbl>
      <w:tblPr>
        <w:tblW w:w="9351" w:type="dxa"/>
        <w:tblLayout w:type="fixed"/>
        <w:tblLook w:val="04A0" w:firstRow="1" w:lastRow="0" w:firstColumn="1" w:lastColumn="0" w:noHBand="0" w:noVBand="1"/>
      </w:tblPr>
      <w:tblGrid>
        <w:gridCol w:w="1208"/>
        <w:gridCol w:w="1055"/>
        <w:gridCol w:w="1134"/>
        <w:gridCol w:w="993"/>
        <w:gridCol w:w="992"/>
        <w:gridCol w:w="992"/>
        <w:gridCol w:w="992"/>
        <w:gridCol w:w="993"/>
        <w:gridCol w:w="992"/>
      </w:tblGrid>
      <w:tr w:rsidR="00F23C3C" w:rsidRPr="00053500" w:rsidTr="00F30CB1">
        <w:trPr>
          <w:trHeight w:val="20"/>
          <w:tblHeader/>
        </w:trPr>
        <w:tc>
          <w:tcPr>
            <w:tcW w:w="1208" w:type="dxa"/>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053500" w:rsidRDefault="00F23C3C" w:rsidP="00963A50">
            <w:pPr>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Ministrija</w:t>
            </w:r>
          </w:p>
        </w:tc>
        <w:tc>
          <w:tcPr>
            <w:tcW w:w="1055" w:type="dxa"/>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053500" w:rsidRDefault="00F23C3C" w:rsidP="00963A50">
            <w:pPr>
              <w:ind w:left="-42" w:right="-87"/>
              <w:jc w:val="center"/>
              <w:rPr>
                <w:rFonts w:eastAsia="Times New Roman" w:cs="Times New Roman"/>
                <w:b/>
                <w:color w:val="000000"/>
                <w:sz w:val="20"/>
                <w:szCs w:val="20"/>
                <w:lang w:eastAsia="lv-LV"/>
              </w:rPr>
            </w:pPr>
            <w:r w:rsidRPr="00053500">
              <w:rPr>
                <w:rFonts w:eastAsia="Times New Roman" w:cs="Times New Roman"/>
                <w:b/>
                <w:color w:val="000000"/>
                <w:sz w:val="20"/>
                <w:szCs w:val="20"/>
                <w:lang w:eastAsia="lv-LV"/>
              </w:rPr>
              <w:t>Atlikums uz 01.01.2017.</w:t>
            </w:r>
          </w:p>
        </w:tc>
        <w:tc>
          <w:tcPr>
            <w:tcW w:w="2127" w:type="dxa"/>
            <w:gridSpan w:val="2"/>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rsidR="00F23C3C" w:rsidRPr="00053500" w:rsidRDefault="00F23C3C" w:rsidP="00963A50">
            <w:pPr>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2018</w:t>
            </w:r>
          </w:p>
        </w:tc>
        <w:tc>
          <w:tcPr>
            <w:tcW w:w="1984" w:type="dxa"/>
            <w:gridSpan w:val="2"/>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rsidR="00F23C3C" w:rsidRPr="00053500" w:rsidRDefault="00F23C3C" w:rsidP="00963A50">
            <w:pPr>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2019</w:t>
            </w:r>
          </w:p>
        </w:tc>
        <w:tc>
          <w:tcPr>
            <w:tcW w:w="1985" w:type="dxa"/>
            <w:gridSpan w:val="2"/>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rsidR="00F23C3C" w:rsidRPr="00053500" w:rsidRDefault="00F23C3C" w:rsidP="00963A50">
            <w:pPr>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2020</w:t>
            </w:r>
          </w:p>
        </w:tc>
        <w:tc>
          <w:tcPr>
            <w:tcW w:w="99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F23C3C" w:rsidRPr="00053500" w:rsidRDefault="00F23C3C" w:rsidP="00963A50">
            <w:pPr>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2021</w:t>
            </w:r>
          </w:p>
        </w:tc>
      </w:tr>
      <w:tr w:rsidR="00F23C3C" w:rsidRPr="00053500" w:rsidTr="00F30CB1">
        <w:trPr>
          <w:trHeight w:val="20"/>
          <w:tblHeader/>
        </w:trPr>
        <w:tc>
          <w:tcPr>
            <w:tcW w:w="1208" w:type="dxa"/>
            <w:vMerge/>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053500" w:rsidRDefault="00F23C3C" w:rsidP="00963A50">
            <w:pPr>
              <w:jc w:val="center"/>
              <w:rPr>
                <w:rFonts w:eastAsia="Times New Roman" w:cs="Times New Roman"/>
                <w:b/>
                <w:color w:val="000000"/>
                <w:sz w:val="21"/>
                <w:szCs w:val="21"/>
                <w:lang w:eastAsia="lv-LV"/>
              </w:rPr>
            </w:pPr>
          </w:p>
        </w:tc>
        <w:tc>
          <w:tcPr>
            <w:tcW w:w="1055" w:type="dxa"/>
            <w:vMerge/>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053500" w:rsidRDefault="00F23C3C" w:rsidP="00963A50">
            <w:pPr>
              <w:jc w:val="center"/>
              <w:rPr>
                <w:rFonts w:eastAsia="Times New Roman" w:cs="Times New Roman"/>
                <w:b/>
                <w:color w:val="000000"/>
                <w:sz w:val="21"/>
                <w:szCs w:val="21"/>
                <w:lang w:eastAsia="lv-LV"/>
              </w:rPr>
            </w:pPr>
          </w:p>
        </w:tc>
        <w:tc>
          <w:tcPr>
            <w:tcW w:w="1134"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053500" w:rsidRDefault="00F23C3C" w:rsidP="00963A50">
            <w:pPr>
              <w:ind w:left="-71" w:right="-5"/>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Plānotais atlikums</w:t>
            </w:r>
          </w:p>
        </w:tc>
        <w:tc>
          <w:tcPr>
            <w:tcW w:w="993"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053500" w:rsidRDefault="00F23C3C" w:rsidP="00963A50">
            <w:pPr>
              <w:ind w:left="-71" w:right="-102"/>
              <w:jc w:val="center"/>
              <w:rPr>
                <w:rFonts w:eastAsia="Times New Roman" w:cs="Times New Roman"/>
                <w:b/>
                <w:color w:val="000000"/>
                <w:sz w:val="21"/>
                <w:szCs w:val="21"/>
                <w:lang w:eastAsia="lv-LV"/>
              </w:rPr>
            </w:pPr>
            <w:r w:rsidRPr="004A3556">
              <w:rPr>
                <w:rFonts w:eastAsia="Times New Roman" w:cs="Times New Roman"/>
                <w:b/>
                <w:color w:val="000000"/>
                <w:sz w:val="19"/>
                <w:szCs w:val="19"/>
                <w:lang w:eastAsia="lv-LV"/>
              </w:rPr>
              <w:t>Bāzē iestrādātais atlikums</w:t>
            </w:r>
          </w:p>
        </w:tc>
        <w:tc>
          <w:tcPr>
            <w:tcW w:w="992"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053500" w:rsidRDefault="00F23C3C" w:rsidP="00963A50">
            <w:pPr>
              <w:ind w:left="-71" w:right="-5"/>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Plānotais atlikums</w:t>
            </w:r>
          </w:p>
        </w:tc>
        <w:tc>
          <w:tcPr>
            <w:tcW w:w="992"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053500" w:rsidRDefault="00F23C3C" w:rsidP="00963A50">
            <w:pPr>
              <w:ind w:left="-71" w:right="-103"/>
              <w:jc w:val="center"/>
              <w:rPr>
                <w:rFonts w:eastAsia="Times New Roman" w:cs="Times New Roman"/>
                <w:b/>
                <w:color w:val="000000"/>
                <w:sz w:val="21"/>
                <w:szCs w:val="21"/>
                <w:lang w:eastAsia="lv-LV"/>
              </w:rPr>
            </w:pPr>
            <w:r w:rsidRPr="004A3556">
              <w:rPr>
                <w:rFonts w:eastAsia="Times New Roman" w:cs="Times New Roman"/>
                <w:b/>
                <w:color w:val="000000"/>
                <w:sz w:val="19"/>
                <w:szCs w:val="19"/>
                <w:lang w:eastAsia="lv-LV"/>
              </w:rPr>
              <w:t>Bāzē iestrādātais atlikums</w:t>
            </w:r>
          </w:p>
        </w:tc>
        <w:tc>
          <w:tcPr>
            <w:tcW w:w="992"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053500" w:rsidRDefault="00F23C3C" w:rsidP="00963A50">
            <w:pPr>
              <w:ind w:left="-71" w:right="-5"/>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Plānotais atlikums</w:t>
            </w:r>
          </w:p>
        </w:tc>
        <w:tc>
          <w:tcPr>
            <w:tcW w:w="993"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053500" w:rsidRDefault="00F23C3C" w:rsidP="00963A50">
            <w:pPr>
              <w:ind w:left="-71" w:right="-104"/>
              <w:jc w:val="center"/>
              <w:rPr>
                <w:rFonts w:eastAsia="Times New Roman" w:cs="Times New Roman"/>
                <w:b/>
                <w:color w:val="000000"/>
                <w:sz w:val="21"/>
                <w:szCs w:val="21"/>
                <w:lang w:eastAsia="lv-LV"/>
              </w:rPr>
            </w:pPr>
            <w:r w:rsidRPr="004A3556">
              <w:rPr>
                <w:rFonts w:eastAsia="Times New Roman" w:cs="Times New Roman"/>
                <w:b/>
                <w:color w:val="000000"/>
                <w:sz w:val="19"/>
                <w:szCs w:val="19"/>
                <w:lang w:eastAsia="lv-LV"/>
              </w:rPr>
              <w:t>Bāzē iestrādātais atlikums</w:t>
            </w:r>
          </w:p>
        </w:tc>
        <w:tc>
          <w:tcPr>
            <w:tcW w:w="992"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053500" w:rsidRDefault="00F23C3C" w:rsidP="00963A50">
            <w:pPr>
              <w:ind w:left="-71" w:right="-5"/>
              <w:jc w:val="center"/>
              <w:rPr>
                <w:rFonts w:eastAsia="Times New Roman" w:cs="Times New Roman"/>
                <w:b/>
                <w:color w:val="000000"/>
                <w:sz w:val="21"/>
                <w:szCs w:val="21"/>
                <w:lang w:eastAsia="lv-LV"/>
              </w:rPr>
            </w:pPr>
            <w:r w:rsidRPr="00053500">
              <w:rPr>
                <w:rFonts w:eastAsia="Times New Roman" w:cs="Times New Roman"/>
                <w:b/>
                <w:color w:val="000000"/>
                <w:sz w:val="21"/>
                <w:szCs w:val="21"/>
                <w:lang w:eastAsia="lv-LV"/>
              </w:rPr>
              <w:t>Plānotais atlikums</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TM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9 107 619</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5 479 866</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1 973 404</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3 506 462</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1 468 815</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2 037 647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684 984</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1 352 663</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FM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4 691 290</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3 222 614</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1 360 676</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1 861 938</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1 163 126</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698 812</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1 163 126</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color w:val="FF0000"/>
                <w:sz w:val="21"/>
                <w:szCs w:val="21"/>
                <w:lang w:eastAsia="lv-LV"/>
              </w:rPr>
              <w:t>-464 314</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EM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2 003 230</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1 768 638</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1 768 638</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1 768 638</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1 768 638</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VM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1 979 438</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1 480 487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1 480 487</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1 480 487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1 480 487</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946 615</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667 318</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279 297</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388 021</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279 297</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108 724</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54 544</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54 180</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ĀM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1 306 929</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499 159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499 159</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499 159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499 159</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Saeima</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337 477</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337 477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337 477</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337 477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337 477</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IZM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1 179 179</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298 937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298 937</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298 937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298 937</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ZM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1 673 216</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234 689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1 440 496</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color w:val="FF0000"/>
                <w:sz w:val="21"/>
                <w:szCs w:val="21"/>
                <w:lang w:eastAsia="lv-LV"/>
              </w:rPr>
              <w:t>-1 205 807</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1 215 372</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color w:val="FF0000"/>
                <w:sz w:val="21"/>
                <w:szCs w:val="21"/>
                <w:lang w:eastAsia="lv-LV"/>
              </w:rPr>
              <w:t>-2 421 179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1 215 372</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-3 636 551</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AiM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537 981</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91 027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91 027</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91 027</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91 027</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AT</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13 043</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13 043</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13 043</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13 043</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13 043</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ST</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10 634</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10 634</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10 634</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10 634</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10 634</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left="-109" w:right="-176"/>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Prokuratūra</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7 629</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7 629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7 629</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7 629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7 629</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RTV</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2 849</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2 849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2 849</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2 849</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2 849</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IeM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21 626</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620</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620</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620</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620</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LM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469</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-331</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-331</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-331</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-331</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30CB1" w:rsidRDefault="00F23C3C" w:rsidP="00963A50">
            <w:pPr>
              <w:ind w:right="-39"/>
              <w:rPr>
                <w:rFonts w:eastAsia="Times New Roman" w:cs="Times New Roman"/>
                <w:b/>
                <w:color w:val="000000"/>
                <w:sz w:val="21"/>
                <w:szCs w:val="21"/>
                <w:lang w:eastAsia="lv-LV"/>
              </w:rPr>
            </w:pPr>
            <w:r w:rsidRPr="00F30CB1">
              <w:rPr>
                <w:rFonts w:eastAsia="Times New Roman" w:cs="Times New Roman"/>
                <w:b/>
                <w:color w:val="000000"/>
                <w:sz w:val="21"/>
                <w:szCs w:val="21"/>
                <w:lang w:eastAsia="lv-LV"/>
              </w:rPr>
              <w:t>VARAM</w:t>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244 745</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-382</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-382</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-382</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sz w:val="21"/>
                <w:szCs w:val="21"/>
                <w:lang w:eastAsia="lv-LV"/>
              </w:rPr>
            </w:pPr>
            <w:r w:rsidRPr="00053500">
              <w:rPr>
                <w:rFonts w:eastAsia="Times New Roman" w:cs="Times New Roman"/>
                <w:sz w:val="21"/>
                <w:szCs w:val="21"/>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color w:val="FF0000"/>
                <w:sz w:val="21"/>
                <w:szCs w:val="21"/>
                <w:lang w:eastAsia="lv-LV"/>
              </w:rPr>
            </w:pPr>
            <w:r w:rsidRPr="00053500">
              <w:rPr>
                <w:rFonts w:eastAsia="Times New Roman" w:cs="Times New Roman"/>
                <w:color w:val="FF0000"/>
                <w:sz w:val="21"/>
                <w:szCs w:val="21"/>
                <w:lang w:eastAsia="lv-LV"/>
              </w:rPr>
              <w:t>-382</w:t>
            </w:r>
          </w:p>
        </w:tc>
      </w:tr>
      <w:tr w:rsidR="00F23C3C" w:rsidRPr="00053500" w:rsidTr="00963A50">
        <w:trPr>
          <w:trHeight w:val="315"/>
        </w:trPr>
        <w:tc>
          <w:tcPr>
            <w:tcW w:w="1208" w:type="dxa"/>
            <w:tcBorders>
              <w:top w:val="nil"/>
              <w:left w:val="single" w:sz="4" w:space="0" w:color="auto"/>
              <w:bottom w:val="single" w:sz="4" w:space="0" w:color="auto"/>
              <w:right w:val="single" w:sz="4" w:space="0" w:color="auto"/>
            </w:tcBorders>
            <w:shd w:val="clear" w:color="auto" w:fill="auto"/>
            <w:noWrap/>
            <w:vAlign w:val="bottom"/>
            <w:hideMark/>
          </w:tcPr>
          <w:p w:rsidR="00F23C3C" w:rsidRPr="00AC42E9" w:rsidRDefault="00AC42E9" w:rsidP="00AC42E9">
            <w:pPr>
              <w:ind w:right="-39"/>
              <w:jc w:val="right"/>
              <w:rPr>
                <w:rFonts w:eastAsia="Times New Roman" w:cs="Times New Roman"/>
                <w:color w:val="000000"/>
                <w:sz w:val="21"/>
                <w:szCs w:val="21"/>
                <w:lang w:eastAsia="lv-LV"/>
              </w:rPr>
            </w:pPr>
            <w:r w:rsidRPr="00AC42E9">
              <w:rPr>
                <w:rFonts w:eastAsia="Times New Roman" w:cs="Times New Roman"/>
                <w:b/>
                <w:color w:val="000000"/>
                <w:sz w:val="21"/>
                <w:szCs w:val="21"/>
                <w:lang w:eastAsia="lv-LV"/>
              </w:rPr>
              <w:t>KOPĀ:</w:t>
            </w:r>
            <w:r w:rsidR="00F23C3C" w:rsidRPr="00AC42E9">
              <w:rPr>
                <w:rStyle w:val="FootnoteReference"/>
                <w:rFonts w:eastAsia="Times New Roman" w:cs="Times New Roman"/>
                <w:color w:val="000000"/>
                <w:sz w:val="21"/>
                <w:szCs w:val="21"/>
                <w:lang w:eastAsia="lv-LV"/>
              </w:rPr>
              <w:footnoteReference w:id="69"/>
            </w:r>
          </w:p>
        </w:tc>
        <w:tc>
          <w:tcPr>
            <w:tcW w:w="1055"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sidRPr="00053500">
              <w:rPr>
                <w:rFonts w:eastAsia="Times New Roman" w:cs="Times New Roman"/>
                <w:b/>
                <w:sz w:val="21"/>
                <w:szCs w:val="21"/>
                <w:lang w:eastAsia="lv-LV"/>
              </w:rPr>
              <w:t>24 063 970</w:t>
            </w:r>
          </w:p>
        </w:tc>
        <w:tc>
          <w:tcPr>
            <w:tcW w:w="1134"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sidRPr="00053500">
              <w:rPr>
                <w:rFonts w:eastAsia="Times New Roman" w:cs="Times New Roman"/>
                <w:b/>
                <w:sz w:val="21"/>
                <w:szCs w:val="21"/>
                <w:lang w:eastAsia="lv-LV"/>
              </w:rPr>
              <w:t>14 114 988</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sidRPr="00053500">
              <w:rPr>
                <w:rFonts w:eastAsia="Times New Roman" w:cs="Times New Roman"/>
                <w:b/>
                <w:sz w:val="21"/>
                <w:szCs w:val="21"/>
                <w:lang w:eastAsia="lv-LV"/>
              </w:rPr>
              <w:t>5 053 873</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Pr>
                <w:rFonts w:eastAsia="Times New Roman" w:cs="Times New Roman"/>
                <w:b/>
                <w:sz w:val="21"/>
                <w:szCs w:val="21"/>
                <w:lang w:eastAsia="lv-LV"/>
              </w:rPr>
              <w:t>10 266 922</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sidRPr="00053500">
              <w:rPr>
                <w:rFonts w:eastAsia="Times New Roman" w:cs="Times New Roman"/>
                <w:b/>
                <w:sz w:val="21"/>
                <w:szCs w:val="21"/>
                <w:lang w:eastAsia="lv-LV"/>
              </w:rPr>
              <w:t>4 126 610</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Pr>
                <w:rFonts w:eastAsia="Times New Roman" w:cs="Times New Roman"/>
                <w:b/>
                <w:sz w:val="21"/>
                <w:szCs w:val="21"/>
                <w:lang w:eastAsia="lv-LV"/>
              </w:rPr>
              <w:t>7 355 684</w:t>
            </w:r>
          </w:p>
        </w:tc>
        <w:tc>
          <w:tcPr>
            <w:tcW w:w="993"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sidRPr="00053500">
              <w:rPr>
                <w:rFonts w:eastAsia="Times New Roman" w:cs="Times New Roman"/>
                <w:b/>
                <w:sz w:val="21"/>
                <w:szCs w:val="21"/>
                <w:lang w:eastAsia="lv-LV"/>
              </w:rPr>
              <w:t>3 118 026</w:t>
            </w:r>
          </w:p>
        </w:tc>
        <w:tc>
          <w:tcPr>
            <w:tcW w:w="992" w:type="dxa"/>
            <w:tcBorders>
              <w:top w:val="nil"/>
              <w:left w:val="nil"/>
              <w:bottom w:val="single" w:sz="4" w:space="0" w:color="auto"/>
              <w:right w:val="single" w:sz="4" w:space="0" w:color="auto"/>
            </w:tcBorders>
            <w:shd w:val="clear" w:color="auto" w:fill="auto"/>
            <w:noWrap/>
            <w:vAlign w:val="bottom"/>
            <w:hideMark/>
          </w:tcPr>
          <w:p w:rsidR="00F23C3C" w:rsidRPr="00053500" w:rsidRDefault="00F23C3C" w:rsidP="00963A50">
            <w:pPr>
              <w:ind w:left="-149" w:right="-92"/>
              <w:jc w:val="right"/>
              <w:rPr>
                <w:rFonts w:eastAsia="Times New Roman" w:cs="Times New Roman"/>
                <w:b/>
                <w:sz w:val="21"/>
                <w:szCs w:val="21"/>
                <w:lang w:eastAsia="lv-LV"/>
              </w:rPr>
            </w:pPr>
            <w:r>
              <w:rPr>
                <w:rFonts w:eastAsia="Times New Roman" w:cs="Times New Roman"/>
                <w:b/>
                <w:sz w:val="21"/>
                <w:szCs w:val="21"/>
                <w:lang w:eastAsia="lv-LV"/>
              </w:rPr>
              <w:t>5 917 343</w:t>
            </w:r>
          </w:p>
        </w:tc>
      </w:tr>
    </w:tbl>
    <w:p w:rsidR="00F23C3C" w:rsidRDefault="00F23C3C" w:rsidP="00AC42E9">
      <w:pPr>
        <w:spacing w:before="240"/>
        <w:ind w:firstLine="720"/>
        <w:jc w:val="both"/>
      </w:pPr>
      <w:r w:rsidRPr="007C49D3">
        <w:t>Kā redzams tabulā Nr.</w:t>
      </w:r>
      <w:r w:rsidR="007C49D3" w:rsidRPr="007C49D3">
        <w:t>3.26</w:t>
      </w:r>
      <w:r w:rsidR="008B457B">
        <w:t>.</w:t>
      </w:r>
      <w:r w:rsidRPr="007C49D3">
        <w:rPr>
          <w:color w:val="000000" w:themeColor="text1"/>
        </w:rPr>
        <w:t xml:space="preserve">, </w:t>
      </w:r>
      <w:r w:rsidRPr="007C49D3">
        <w:t>lielākais neiestrādātais pašu ieņēmumu atlikums uz</w:t>
      </w:r>
      <w:r w:rsidRPr="007E237F">
        <w:t xml:space="preserve"> 201</w:t>
      </w:r>
      <w:r>
        <w:t>8</w:t>
      </w:r>
      <w:r w:rsidRPr="007E237F">
        <w:t>.gadu arī dalījumā pēc kombinētā</w:t>
      </w:r>
      <w:r>
        <w:t xml:space="preserve"> finansēšanas</w:t>
      </w:r>
      <w:r w:rsidRPr="007E237F">
        <w:t xml:space="preserve"> avota </w:t>
      </w:r>
      <w:r>
        <w:t>prognozējams TM, FM, VM un EM, kā arī redzams, ka uz 2021.gadu FM un ZM budžetā ir iestrādājis vairāk atlikumu nekā tām būs pieejams.</w:t>
      </w:r>
    </w:p>
    <w:p w:rsidR="00F23C3C" w:rsidRPr="007C49D3" w:rsidRDefault="00F23C3C" w:rsidP="007C49D3">
      <w:pPr>
        <w:spacing w:before="120"/>
        <w:ind w:firstLine="720"/>
        <w:jc w:val="both"/>
      </w:pPr>
      <w:r w:rsidRPr="00F67978">
        <w:t>FM potenciāl</w:t>
      </w:r>
      <w:r>
        <w:t>i</w:t>
      </w:r>
      <w:r w:rsidRPr="00F67978">
        <w:t xml:space="preserve"> </w:t>
      </w:r>
      <w:r>
        <w:t xml:space="preserve">pieejamos </w:t>
      </w:r>
      <w:r w:rsidRPr="00F67978">
        <w:t xml:space="preserve">resursus izdevumu segšanai </w:t>
      </w:r>
      <w:r>
        <w:t xml:space="preserve">ir </w:t>
      </w:r>
      <w:r w:rsidRPr="00F67978">
        <w:t>notei</w:t>
      </w:r>
      <w:r>
        <w:t>cis 50% apmērā no 2018. un 2019.</w:t>
      </w:r>
      <w:r w:rsidRPr="00F67978">
        <w:t xml:space="preserve">gada </w:t>
      </w:r>
      <w:r w:rsidRPr="007C49D3">
        <w:t>budžetā neiestrādātā pašu ieņēmumu atlikuma, kā izņēmums ir FM un SM, kurām 2018.gada potenciālie resursi noteikti, lai plānotais atlikums uz 2019.gadu nosegtu 2019.gada bāzē iestrādāto atlikuma apmēru atbilstoši tabulai Nr.</w:t>
      </w:r>
      <w:r w:rsidR="007C49D3" w:rsidRPr="007C49D3">
        <w:t>3.27</w:t>
      </w:r>
      <w:r w:rsidR="00AC42E9" w:rsidRPr="007C49D3">
        <w:t>.</w:t>
      </w:r>
    </w:p>
    <w:p w:rsidR="00F23C3C" w:rsidRPr="00AC42E9" w:rsidRDefault="00F23C3C" w:rsidP="00F23C3C">
      <w:pPr>
        <w:ind w:firstLine="720"/>
        <w:jc w:val="right"/>
      </w:pPr>
      <w:r w:rsidRPr="007C49D3">
        <w:t>Tabula Nr.</w:t>
      </w:r>
      <w:r w:rsidR="007C49D3" w:rsidRPr="007C49D3">
        <w:t>3.27</w:t>
      </w:r>
      <w:r w:rsidR="008B457B">
        <w:t>.</w:t>
      </w:r>
    </w:p>
    <w:p w:rsidR="00F23C3C" w:rsidRPr="00F67978" w:rsidRDefault="00F23C3C" w:rsidP="00AC42E9">
      <w:pPr>
        <w:spacing w:before="120" w:after="120"/>
        <w:jc w:val="center"/>
        <w:rPr>
          <w:b/>
          <w:i/>
        </w:rPr>
      </w:pPr>
      <w:r w:rsidRPr="00F67978">
        <w:rPr>
          <w:b/>
        </w:rPr>
        <w:t xml:space="preserve">Priekšlikums potenciālo resursu izmantošanai, sadalījumā pa resoriem, </w:t>
      </w:r>
      <w:r w:rsidRPr="00F67978">
        <w:rPr>
          <w:b/>
          <w:i/>
        </w:rPr>
        <w:t>euro</w:t>
      </w:r>
    </w:p>
    <w:tbl>
      <w:tblPr>
        <w:tblStyle w:val="TableGrid"/>
        <w:tblW w:w="9355" w:type="dxa"/>
        <w:jc w:val="center"/>
        <w:tblLayout w:type="fixed"/>
        <w:tblLook w:val="04A0" w:firstRow="1" w:lastRow="0" w:firstColumn="1" w:lastColumn="0" w:noHBand="0" w:noVBand="1"/>
      </w:tblPr>
      <w:tblGrid>
        <w:gridCol w:w="1129"/>
        <w:gridCol w:w="993"/>
        <w:gridCol w:w="1027"/>
        <w:gridCol w:w="1099"/>
        <w:gridCol w:w="996"/>
        <w:gridCol w:w="992"/>
        <w:gridCol w:w="1085"/>
        <w:gridCol w:w="991"/>
        <w:gridCol w:w="1043"/>
      </w:tblGrid>
      <w:tr w:rsidR="00F23C3C" w:rsidRPr="0071388F" w:rsidTr="00963A50">
        <w:trPr>
          <w:cantSplit/>
          <w:trHeight w:val="20"/>
          <w:jc w:val="center"/>
        </w:trPr>
        <w:tc>
          <w:tcPr>
            <w:tcW w:w="1129" w:type="dxa"/>
            <w:vMerge w:val="restart"/>
            <w:shd w:val="clear" w:color="auto" w:fill="C5E0B3" w:themeFill="accent6" w:themeFillTint="66"/>
            <w:vAlign w:val="center"/>
            <w:hideMark/>
          </w:tcPr>
          <w:p w:rsidR="00F23C3C" w:rsidRPr="00914269" w:rsidRDefault="00F23C3C" w:rsidP="00963A50">
            <w:pPr>
              <w:ind w:left="-108" w:right="-124"/>
              <w:jc w:val="center"/>
              <w:rPr>
                <w:b/>
                <w:bCs/>
                <w:sz w:val="20"/>
                <w:szCs w:val="20"/>
              </w:rPr>
            </w:pPr>
            <w:r w:rsidRPr="00914269">
              <w:rPr>
                <w:b/>
                <w:bCs/>
                <w:sz w:val="20"/>
                <w:szCs w:val="20"/>
              </w:rPr>
              <w:t>Ministrija</w:t>
            </w:r>
          </w:p>
        </w:tc>
        <w:tc>
          <w:tcPr>
            <w:tcW w:w="4115" w:type="dxa"/>
            <w:gridSpan w:val="4"/>
            <w:shd w:val="clear" w:color="auto" w:fill="C5E0B3" w:themeFill="accent6" w:themeFillTint="66"/>
            <w:noWrap/>
            <w:vAlign w:val="center"/>
            <w:hideMark/>
          </w:tcPr>
          <w:p w:rsidR="00F23C3C" w:rsidRPr="00914269" w:rsidRDefault="00F23C3C" w:rsidP="00963A50">
            <w:pPr>
              <w:jc w:val="center"/>
              <w:rPr>
                <w:b/>
                <w:bCs/>
                <w:sz w:val="20"/>
                <w:szCs w:val="20"/>
              </w:rPr>
            </w:pPr>
            <w:r w:rsidRPr="00914269">
              <w:rPr>
                <w:b/>
                <w:bCs/>
                <w:sz w:val="20"/>
                <w:szCs w:val="20"/>
              </w:rPr>
              <w:t>2018</w:t>
            </w:r>
          </w:p>
        </w:tc>
        <w:tc>
          <w:tcPr>
            <w:tcW w:w="4111" w:type="dxa"/>
            <w:gridSpan w:val="4"/>
            <w:shd w:val="clear" w:color="auto" w:fill="C5E0B3" w:themeFill="accent6" w:themeFillTint="66"/>
            <w:noWrap/>
            <w:vAlign w:val="center"/>
            <w:hideMark/>
          </w:tcPr>
          <w:p w:rsidR="00F23C3C" w:rsidRPr="00914269" w:rsidRDefault="00F23C3C" w:rsidP="00963A50">
            <w:pPr>
              <w:jc w:val="center"/>
              <w:rPr>
                <w:b/>
                <w:bCs/>
                <w:sz w:val="20"/>
                <w:szCs w:val="20"/>
              </w:rPr>
            </w:pPr>
            <w:r w:rsidRPr="00914269">
              <w:rPr>
                <w:b/>
                <w:bCs/>
                <w:sz w:val="20"/>
                <w:szCs w:val="20"/>
              </w:rPr>
              <w:t>2019</w:t>
            </w:r>
          </w:p>
        </w:tc>
      </w:tr>
      <w:tr w:rsidR="00F23C3C" w:rsidRPr="0071388F" w:rsidTr="00963A50">
        <w:trPr>
          <w:cantSplit/>
          <w:trHeight w:val="20"/>
          <w:jc w:val="center"/>
        </w:trPr>
        <w:tc>
          <w:tcPr>
            <w:tcW w:w="1129" w:type="dxa"/>
            <w:vMerge/>
            <w:shd w:val="clear" w:color="auto" w:fill="C5E0B3" w:themeFill="accent6" w:themeFillTint="66"/>
            <w:vAlign w:val="center"/>
            <w:hideMark/>
          </w:tcPr>
          <w:p w:rsidR="00F23C3C" w:rsidRPr="00914269" w:rsidRDefault="00F23C3C" w:rsidP="00963A50">
            <w:pPr>
              <w:ind w:right="-124"/>
              <w:jc w:val="center"/>
              <w:rPr>
                <w:b/>
                <w:bCs/>
                <w:sz w:val="20"/>
                <w:szCs w:val="20"/>
              </w:rPr>
            </w:pPr>
          </w:p>
        </w:tc>
        <w:tc>
          <w:tcPr>
            <w:tcW w:w="993" w:type="dxa"/>
            <w:shd w:val="clear" w:color="auto" w:fill="C5E0B3" w:themeFill="accent6" w:themeFillTint="66"/>
            <w:vAlign w:val="center"/>
            <w:hideMark/>
          </w:tcPr>
          <w:p w:rsidR="00F23C3C" w:rsidRPr="00914269" w:rsidRDefault="00F23C3C" w:rsidP="00963A50">
            <w:pPr>
              <w:ind w:left="-81" w:right="-42"/>
              <w:jc w:val="center"/>
              <w:rPr>
                <w:b/>
                <w:bCs/>
                <w:sz w:val="20"/>
                <w:szCs w:val="20"/>
              </w:rPr>
            </w:pPr>
            <w:r w:rsidRPr="00914269">
              <w:rPr>
                <w:b/>
                <w:bCs/>
                <w:sz w:val="20"/>
                <w:szCs w:val="20"/>
              </w:rPr>
              <w:t>Plānotais atlikums</w:t>
            </w:r>
          </w:p>
        </w:tc>
        <w:tc>
          <w:tcPr>
            <w:tcW w:w="1027" w:type="dxa"/>
            <w:shd w:val="clear" w:color="auto" w:fill="C5E0B3" w:themeFill="accent6" w:themeFillTint="66"/>
            <w:vAlign w:val="center"/>
            <w:hideMark/>
          </w:tcPr>
          <w:p w:rsidR="00F23C3C" w:rsidRPr="00914269" w:rsidRDefault="00F23C3C" w:rsidP="00963A50">
            <w:pPr>
              <w:ind w:left="-250" w:right="-204"/>
              <w:jc w:val="center"/>
              <w:rPr>
                <w:b/>
                <w:bCs/>
                <w:sz w:val="20"/>
                <w:szCs w:val="20"/>
              </w:rPr>
            </w:pPr>
            <w:r w:rsidRPr="00914269">
              <w:rPr>
                <w:b/>
                <w:bCs/>
                <w:sz w:val="20"/>
                <w:szCs w:val="20"/>
              </w:rPr>
              <w:t>Bāzē iestrādātais atlikums</w:t>
            </w:r>
          </w:p>
        </w:tc>
        <w:tc>
          <w:tcPr>
            <w:tcW w:w="1099" w:type="dxa"/>
            <w:shd w:val="clear" w:color="auto" w:fill="C5E0B3" w:themeFill="accent6" w:themeFillTint="66"/>
            <w:vAlign w:val="center"/>
            <w:hideMark/>
          </w:tcPr>
          <w:p w:rsidR="00F23C3C" w:rsidRPr="00914269" w:rsidRDefault="00F23C3C" w:rsidP="00963A50">
            <w:pPr>
              <w:ind w:left="-81" w:right="-113"/>
              <w:jc w:val="center"/>
              <w:rPr>
                <w:b/>
                <w:bCs/>
                <w:sz w:val="20"/>
                <w:szCs w:val="20"/>
              </w:rPr>
            </w:pPr>
            <w:r w:rsidRPr="00914269">
              <w:rPr>
                <w:b/>
                <w:bCs/>
                <w:sz w:val="20"/>
                <w:szCs w:val="20"/>
              </w:rPr>
              <w:t>Precizētais atlikums</w:t>
            </w:r>
          </w:p>
        </w:tc>
        <w:tc>
          <w:tcPr>
            <w:tcW w:w="996" w:type="dxa"/>
            <w:shd w:val="clear" w:color="auto" w:fill="C5E0B3" w:themeFill="accent6" w:themeFillTint="66"/>
            <w:vAlign w:val="center"/>
            <w:hideMark/>
          </w:tcPr>
          <w:p w:rsidR="00F23C3C" w:rsidRPr="00914269" w:rsidRDefault="00F23C3C" w:rsidP="00963A50">
            <w:pPr>
              <w:ind w:left="-81" w:right="-107"/>
              <w:jc w:val="center"/>
              <w:rPr>
                <w:b/>
                <w:bCs/>
                <w:sz w:val="20"/>
                <w:szCs w:val="20"/>
              </w:rPr>
            </w:pPr>
            <w:r w:rsidRPr="00914269">
              <w:rPr>
                <w:b/>
                <w:bCs/>
                <w:sz w:val="20"/>
                <w:szCs w:val="20"/>
              </w:rPr>
              <w:t>Potenciālie resursi</w:t>
            </w:r>
          </w:p>
        </w:tc>
        <w:tc>
          <w:tcPr>
            <w:tcW w:w="992" w:type="dxa"/>
            <w:shd w:val="clear" w:color="auto" w:fill="C5E0B3" w:themeFill="accent6" w:themeFillTint="66"/>
            <w:vAlign w:val="center"/>
            <w:hideMark/>
          </w:tcPr>
          <w:p w:rsidR="00F23C3C" w:rsidRPr="00914269" w:rsidRDefault="00F23C3C" w:rsidP="00963A50">
            <w:pPr>
              <w:ind w:left="-81" w:right="-102"/>
              <w:jc w:val="center"/>
              <w:rPr>
                <w:b/>
                <w:bCs/>
                <w:sz w:val="20"/>
                <w:szCs w:val="20"/>
              </w:rPr>
            </w:pPr>
            <w:r w:rsidRPr="00914269">
              <w:rPr>
                <w:b/>
                <w:bCs/>
                <w:sz w:val="20"/>
                <w:szCs w:val="20"/>
              </w:rPr>
              <w:t>Plānotais atlikums</w:t>
            </w:r>
          </w:p>
        </w:tc>
        <w:tc>
          <w:tcPr>
            <w:tcW w:w="1085" w:type="dxa"/>
            <w:shd w:val="clear" w:color="auto" w:fill="C5E0B3" w:themeFill="accent6" w:themeFillTint="66"/>
            <w:vAlign w:val="center"/>
            <w:hideMark/>
          </w:tcPr>
          <w:p w:rsidR="00F23C3C" w:rsidRPr="00914269" w:rsidRDefault="00F23C3C" w:rsidP="00963A50">
            <w:pPr>
              <w:ind w:left="-257" w:right="-210"/>
              <w:jc w:val="center"/>
              <w:rPr>
                <w:b/>
                <w:bCs/>
                <w:sz w:val="20"/>
                <w:szCs w:val="20"/>
              </w:rPr>
            </w:pPr>
            <w:r w:rsidRPr="00914269">
              <w:rPr>
                <w:b/>
                <w:bCs/>
                <w:sz w:val="20"/>
                <w:szCs w:val="20"/>
              </w:rPr>
              <w:t>Bāzē iestrādātais atlikums</w:t>
            </w:r>
          </w:p>
        </w:tc>
        <w:tc>
          <w:tcPr>
            <w:tcW w:w="991" w:type="dxa"/>
            <w:shd w:val="clear" w:color="auto" w:fill="C5E0B3" w:themeFill="accent6" w:themeFillTint="66"/>
            <w:vAlign w:val="center"/>
            <w:hideMark/>
          </w:tcPr>
          <w:p w:rsidR="00F23C3C" w:rsidRPr="00914269" w:rsidRDefault="00F23C3C" w:rsidP="00963A50">
            <w:pPr>
              <w:ind w:left="-81" w:right="-105"/>
              <w:jc w:val="center"/>
              <w:rPr>
                <w:b/>
                <w:bCs/>
                <w:sz w:val="20"/>
                <w:szCs w:val="20"/>
              </w:rPr>
            </w:pPr>
            <w:r w:rsidRPr="00914269">
              <w:rPr>
                <w:b/>
                <w:bCs/>
                <w:sz w:val="20"/>
                <w:szCs w:val="20"/>
              </w:rPr>
              <w:t>Precizētais atlikums</w:t>
            </w:r>
          </w:p>
        </w:tc>
        <w:tc>
          <w:tcPr>
            <w:tcW w:w="1043" w:type="dxa"/>
            <w:shd w:val="clear" w:color="auto" w:fill="C5E0B3" w:themeFill="accent6" w:themeFillTint="66"/>
            <w:vAlign w:val="center"/>
            <w:hideMark/>
          </w:tcPr>
          <w:p w:rsidR="00F23C3C" w:rsidRPr="00914269" w:rsidRDefault="00F23C3C" w:rsidP="00963A50">
            <w:pPr>
              <w:ind w:left="-104" w:right="-107"/>
              <w:jc w:val="center"/>
              <w:rPr>
                <w:b/>
                <w:bCs/>
                <w:sz w:val="20"/>
                <w:szCs w:val="20"/>
              </w:rPr>
            </w:pPr>
            <w:r w:rsidRPr="00914269">
              <w:rPr>
                <w:b/>
                <w:bCs/>
                <w:sz w:val="20"/>
                <w:szCs w:val="20"/>
              </w:rPr>
              <w:t>Potenciālie resursi</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TM</w:t>
            </w:r>
          </w:p>
        </w:tc>
        <w:tc>
          <w:tcPr>
            <w:tcW w:w="993" w:type="dxa"/>
            <w:noWrap/>
            <w:hideMark/>
          </w:tcPr>
          <w:p w:rsidR="00F23C3C" w:rsidRPr="0071388F" w:rsidRDefault="00F23C3C" w:rsidP="00963A50">
            <w:pPr>
              <w:ind w:left="-81" w:right="-42"/>
              <w:jc w:val="right"/>
              <w:rPr>
                <w:sz w:val="21"/>
                <w:szCs w:val="21"/>
              </w:rPr>
            </w:pPr>
            <w:r w:rsidRPr="0071388F">
              <w:rPr>
                <w:sz w:val="21"/>
                <w:szCs w:val="21"/>
              </w:rPr>
              <w:t>5</w:t>
            </w:r>
            <w:r>
              <w:rPr>
                <w:sz w:val="21"/>
                <w:szCs w:val="21"/>
              </w:rPr>
              <w:t> 479 866</w:t>
            </w:r>
            <w:r w:rsidRPr="0071388F">
              <w:rPr>
                <w:sz w:val="21"/>
                <w:szCs w:val="21"/>
              </w:rPr>
              <w:t xml:space="preserve"> </w:t>
            </w:r>
          </w:p>
        </w:tc>
        <w:tc>
          <w:tcPr>
            <w:tcW w:w="1027" w:type="dxa"/>
            <w:noWrap/>
            <w:hideMark/>
          </w:tcPr>
          <w:p w:rsidR="00F23C3C" w:rsidRPr="0071388F" w:rsidRDefault="00F23C3C" w:rsidP="00963A50">
            <w:pPr>
              <w:ind w:left="-176" w:right="-14"/>
              <w:jc w:val="right"/>
              <w:rPr>
                <w:sz w:val="21"/>
                <w:szCs w:val="21"/>
              </w:rPr>
            </w:pPr>
            <w:r w:rsidRPr="0071388F">
              <w:rPr>
                <w:sz w:val="21"/>
                <w:szCs w:val="21"/>
              </w:rPr>
              <w:t xml:space="preserve">1 973 404 </w:t>
            </w:r>
          </w:p>
        </w:tc>
        <w:tc>
          <w:tcPr>
            <w:tcW w:w="1099" w:type="dxa"/>
            <w:noWrap/>
            <w:hideMark/>
          </w:tcPr>
          <w:p w:rsidR="00F23C3C" w:rsidRPr="0071388F" w:rsidRDefault="00F23C3C" w:rsidP="00963A50">
            <w:pPr>
              <w:ind w:left="-176" w:right="-14"/>
              <w:jc w:val="right"/>
              <w:rPr>
                <w:sz w:val="21"/>
                <w:szCs w:val="21"/>
              </w:rPr>
            </w:pPr>
            <w:r>
              <w:rPr>
                <w:sz w:val="21"/>
                <w:szCs w:val="21"/>
              </w:rPr>
              <w:t>3 506 462</w:t>
            </w:r>
            <w:r w:rsidRPr="0071388F">
              <w:rPr>
                <w:sz w:val="21"/>
                <w:szCs w:val="21"/>
              </w:rPr>
              <w:t xml:space="preserve"> </w:t>
            </w:r>
          </w:p>
        </w:tc>
        <w:tc>
          <w:tcPr>
            <w:tcW w:w="996" w:type="dxa"/>
            <w:noWrap/>
            <w:hideMark/>
          </w:tcPr>
          <w:p w:rsidR="00F23C3C" w:rsidRPr="0071388F" w:rsidRDefault="00F23C3C" w:rsidP="00963A50">
            <w:pPr>
              <w:ind w:left="-176" w:right="-14"/>
              <w:jc w:val="right"/>
              <w:rPr>
                <w:b/>
                <w:bCs/>
                <w:sz w:val="21"/>
                <w:szCs w:val="21"/>
              </w:rPr>
            </w:pPr>
            <w:r>
              <w:rPr>
                <w:b/>
                <w:bCs/>
                <w:sz w:val="21"/>
                <w:szCs w:val="21"/>
              </w:rPr>
              <w:t>1 753 231</w:t>
            </w:r>
            <w:r w:rsidRPr="0071388F">
              <w:rPr>
                <w:b/>
                <w:bCs/>
                <w:sz w:val="21"/>
                <w:szCs w:val="21"/>
              </w:rPr>
              <w:t xml:space="preserve"> </w:t>
            </w:r>
          </w:p>
        </w:tc>
        <w:tc>
          <w:tcPr>
            <w:tcW w:w="992" w:type="dxa"/>
            <w:noWrap/>
            <w:hideMark/>
          </w:tcPr>
          <w:p w:rsidR="00F23C3C" w:rsidRPr="0071388F" w:rsidRDefault="00F23C3C" w:rsidP="00963A50">
            <w:pPr>
              <w:ind w:left="-137"/>
              <w:jc w:val="right"/>
              <w:rPr>
                <w:sz w:val="21"/>
                <w:szCs w:val="21"/>
              </w:rPr>
            </w:pPr>
            <w:r>
              <w:rPr>
                <w:sz w:val="21"/>
                <w:szCs w:val="21"/>
              </w:rPr>
              <w:t>1 753 231</w:t>
            </w:r>
            <w:r w:rsidRPr="0071388F">
              <w:rPr>
                <w:sz w:val="21"/>
                <w:szCs w:val="21"/>
              </w:rPr>
              <w:t xml:space="preserve"> </w:t>
            </w:r>
          </w:p>
        </w:tc>
        <w:tc>
          <w:tcPr>
            <w:tcW w:w="1085" w:type="dxa"/>
            <w:noWrap/>
            <w:hideMark/>
          </w:tcPr>
          <w:p w:rsidR="00F23C3C" w:rsidRPr="0071388F" w:rsidRDefault="00F23C3C" w:rsidP="00963A50">
            <w:pPr>
              <w:ind w:left="-137"/>
              <w:jc w:val="right"/>
              <w:rPr>
                <w:sz w:val="21"/>
                <w:szCs w:val="21"/>
              </w:rPr>
            </w:pPr>
            <w:r w:rsidRPr="0071388F">
              <w:rPr>
                <w:sz w:val="21"/>
                <w:szCs w:val="21"/>
              </w:rPr>
              <w:t xml:space="preserve">1 468 815 </w:t>
            </w:r>
          </w:p>
        </w:tc>
        <w:tc>
          <w:tcPr>
            <w:tcW w:w="991" w:type="dxa"/>
            <w:noWrap/>
            <w:hideMark/>
          </w:tcPr>
          <w:p w:rsidR="00F23C3C" w:rsidRPr="0071388F" w:rsidRDefault="00F23C3C" w:rsidP="00963A50">
            <w:pPr>
              <w:ind w:left="-137"/>
              <w:jc w:val="right"/>
              <w:rPr>
                <w:sz w:val="21"/>
                <w:szCs w:val="21"/>
              </w:rPr>
            </w:pPr>
            <w:r>
              <w:rPr>
                <w:sz w:val="21"/>
                <w:szCs w:val="21"/>
              </w:rPr>
              <w:t>284 416</w:t>
            </w:r>
            <w:r w:rsidRPr="0071388F">
              <w:rPr>
                <w:sz w:val="21"/>
                <w:szCs w:val="21"/>
              </w:rPr>
              <w:t xml:space="preserve"> </w:t>
            </w:r>
          </w:p>
        </w:tc>
        <w:tc>
          <w:tcPr>
            <w:tcW w:w="1043" w:type="dxa"/>
            <w:noWrap/>
            <w:hideMark/>
          </w:tcPr>
          <w:p w:rsidR="00F23C3C" w:rsidRPr="0071388F" w:rsidRDefault="00F23C3C" w:rsidP="00963A50">
            <w:pPr>
              <w:ind w:left="-137"/>
              <w:jc w:val="right"/>
              <w:rPr>
                <w:b/>
                <w:bCs/>
                <w:sz w:val="21"/>
                <w:szCs w:val="21"/>
              </w:rPr>
            </w:pPr>
            <w:r>
              <w:rPr>
                <w:b/>
                <w:bCs/>
                <w:sz w:val="21"/>
                <w:szCs w:val="21"/>
              </w:rPr>
              <w:t>142 208</w:t>
            </w:r>
            <w:r w:rsidRPr="0071388F">
              <w:rPr>
                <w:b/>
                <w:bCs/>
                <w:sz w:val="21"/>
                <w:szCs w:val="21"/>
              </w:rPr>
              <w:t xml:space="preserve">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FM</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3 222 614 </w:t>
            </w:r>
          </w:p>
        </w:tc>
        <w:tc>
          <w:tcPr>
            <w:tcW w:w="1027" w:type="dxa"/>
            <w:noWrap/>
            <w:hideMark/>
          </w:tcPr>
          <w:p w:rsidR="00F23C3C" w:rsidRPr="0071388F" w:rsidRDefault="00F23C3C" w:rsidP="00963A50">
            <w:pPr>
              <w:ind w:left="-176" w:right="-14"/>
              <w:jc w:val="right"/>
              <w:rPr>
                <w:sz w:val="21"/>
                <w:szCs w:val="21"/>
              </w:rPr>
            </w:pPr>
            <w:r w:rsidRPr="0071388F">
              <w:rPr>
                <w:sz w:val="21"/>
                <w:szCs w:val="21"/>
              </w:rPr>
              <w:t xml:space="preserve">1 360 676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1 861 938 </w:t>
            </w:r>
          </w:p>
        </w:tc>
        <w:tc>
          <w:tcPr>
            <w:tcW w:w="996" w:type="dxa"/>
            <w:noWrap/>
            <w:hideMark/>
          </w:tcPr>
          <w:p w:rsidR="00F23C3C" w:rsidRPr="0071388F" w:rsidRDefault="00F23C3C" w:rsidP="00963A50">
            <w:pPr>
              <w:ind w:left="-176" w:right="-14"/>
              <w:jc w:val="right"/>
              <w:rPr>
                <w:b/>
                <w:bCs/>
                <w:sz w:val="21"/>
                <w:szCs w:val="21"/>
              </w:rPr>
            </w:pPr>
            <w:r>
              <w:rPr>
                <w:b/>
                <w:bCs/>
                <w:sz w:val="21"/>
                <w:szCs w:val="21"/>
              </w:rPr>
              <w:t>698 812</w:t>
            </w:r>
            <w:r w:rsidRPr="0071388F">
              <w:rPr>
                <w:b/>
                <w:bCs/>
                <w:sz w:val="21"/>
                <w:szCs w:val="21"/>
              </w:rPr>
              <w:t xml:space="preserve"> </w:t>
            </w:r>
          </w:p>
        </w:tc>
        <w:tc>
          <w:tcPr>
            <w:tcW w:w="992" w:type="dxa"/>
            <w:noWrap/>
            <w:hideMark/>
          </w:tcPr>
          <w:p w:rsidR="00F23C3C" w:rsidRPr="0071388F" w:rsidRDefault="00F23C3C" w:rsidP="00963A50">
            <w:pPr>
              <w:ind w:left="-137"/>
              <w:jc w:val="right"/>
              <w:rPr>
                <w:sz w:val="21"/>
                <w:szCs w:val="21"/>
              </w:rPr>
            </w:pPr>
            <w:r>
              <w:rPr>
                <w:sz w:val="21"/>
                <w:szCs w:val="21"/>
              </w:rPr>
              <w:t>1 163 126</w:t>
            </w:r>
            <w:r w:rsidRPr="0071388F">
              <w:rPr>
                <w:sz w:val="21"/>
                <w:szCs w:val="21"/>
              </w:rPr>
              <w:t xml:space="preserve"> </w:t>
            </w:r>
          </w:p>
        </w:tc>
        <w:tc>
          <w:tcPr>
            <w:tcW w:w="1085" w:type="dxa"/>
            <w:noWrap/>
            <w:hideMark/>
          </w:tcPr>
          <w:p w:rsidR="00F23C3C" w:rsidRPr="0071388F" w:rsidRDefault="00F23C3C" w:rsidP="00963A50">
            <w:pPr>
              <w:ind w:left="-137"/>
              <w:jc w:val="right"/>
              <w:rPr>
                <w:sz w:val="21"/>
                <w:szCs w:val="21"/>
              </w:rPr>
            </w:pPr>
            <w:r w:rsidRPr="0071388F">
              <w:rPr>
                <w:sz w:val="21"/>
                <w:szCs w:val="21"/>
              </w:rPr>
              <w:t xml:space="preserve">1 163 126 </w:t>
            </w:r>
          </w:p>
        </w:tc>
        <w:tc>
          <w:tcPr>
            <w:tcW w:w="991" w:type="dxa"/>
            <w:noWrap/>
            <w:hideMark/>
          </w:tcPr>
          <w:p w:rsidR="00F23C3C" w:rsidRPr="0071388F" w:rsidRDefault="00F23C3C" w:rsidP="00963A50">
            <w:pPr>
              <w:ind w:left="-137"/>
              <w:jc w:val="right"/>
              <w:rPr>
                <w:sz w:val="21"/>
                <w:szCs w:val="21"/>
              </w:rPr>
            </w:pPr>
            <w:r>
              <w:rPr>
                <w:sz w:val="21"/>
                <w:szCs w:val="21"/>
              </w:rPr>
              <w:t>0</w:t>
            </w:r>
          </w:p>
        </w:tc>
        <w:tc>
          <w:tcPr>
            <w:tcW w:w="1043" w:type="dxa"/>
            <w:noWrap/>
            <w:hideMark/>
          </w:tcPr>
          <w:p w:rsidR="00F23C3C" w:rsidRPr="003956B8" w:rsidRDefault="00F23C3C" w:rsidP="00963A50">
            <w:pPr>
              <w:ind w:left="-137"/>
              <w:jc w:val="right"/>
              <w:rPr>
                <w:b/>
                <w:bCs/>
                <w:sz w:val="21"/>
                <w:szCs w:val="21"/>
              </w:rPr>
            </w:pPr>
            <w:r>
              <w:rPr>
                <w:b/>
                <w:bCs/>
                <w:sz w:val="21"/>
                <w:szCs w:val="21"/>
              </w:rPr>
              <w:t>0</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VM</w:t>
            </w:r>
          </w:p>
        </w:tc>
        <w:tc>
          <w:tcPr>
            <w:tcW w:w="993" w:type="dxa"/>
            <w:noWrap/>
            <w:hideMark/>
          </w:tcPr>
          <w:p w:rsidR="00F23C3C" w:rsidRPr="0071388F" w:rsidRDefault="00F23C3C" w:rsidP="00963A50">
            <w:pPr>
              <w:ind w:left="-81" w:right="-42"/>
              <w:jc w:val="right"/>
              <w:rPr>
                <w:sz w:val="21"/>
                <w:szCs w:val="21"/>
              </w:rPr>
            </w:pPr>
            <w:r w:rsidRPr="0071388F">
              <w:rPr>
                <w:sz w:val="21"/>
                <w:szCs w:val="21"/>
              </w:rPr>
              <w:t>1</w:t>
            </w:r>
            <w:r>
              <w:rPr>
                <w:sz w:val="21"/>
                <w:szCs w:val="21"/>
              </w:rPr>
              <w:t> 480 487</w:t>
            </w:r>
            <w:r w:rsidRPr="0071388F">
              <w:rPr>
                <w:sz w:val="21"/>
                <w:szCs w:val="21"/>
              </w:rPr>
              <w:t xml:space="preserve">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Pr>
                <w:sz w:val="21"/>
                <w:szCs w:val="21"/>
              </w:rPr>
              <w:t>1 480 487</w:t>
            </w:r>
            <w:r w:rsidRPr="0071388F">
              <w:rPr>
                <w:sz w:val="21"/>
                <w:szCs w:val="21"/>
              </w:rPr>
              <w:t xml:space="preserve"> </w:t>
            </w:r>
          </w:p>
        </w:tc>
        <w:tc>
          <w:tcPr>
            <w:tcW w:w="996" w:type="dxa"/>
            <w:noWrap/>
            <w:hideMark/>
          </w:tcPr>
          <w:p w:rsidR="00F23C3C" w:rsidRPr="0071388F" w:rsidRDefault="00F23C3C" w:rsidP="00963A50">
            <w:pPr>
              <w:ind w:left="-176" w:right="-14"/>
              <w:jc w:val="right"/>
              <w:rPr>
                <w:b/>
                <w:bCs/>
                <w:sz w:val="21"/>
                <w:szCs w:val="21"/>
              </w:rPr>
            </w:pPr>
            <w:r>
              <w:rPr>
                <w:b/>
                <w:bCs/>
                <w:sz w:val="21"/>
                <w:szCs w:val="21"/>
              </w:rPr>
              <w:t>740 244</w:t>
            </w:r>
            <w:r w:rsidRPr="0071388F">
              <w:rPr>
                <w:b/>
                <w:bCs/>
                <w:sz w:val="21"/>
                <w:szCs w:val="21"/>
              </w:rPr>
              <w:t xml:space="preserve"> </w:t>
            </w:r>
          </w:p>
        </w:tc>
        <w:tc>
          <w:tcPr>
            <w:tcW w:w="992" w:type="dxa"/>
            <w:noWrap/>
            <w:hideMark/>
          </w:tcPr>
          <w:p w:rsidR="00F23C3C" w:rsidRPr="0071388F" w:rsidRDefault="00F23C3C" w:rsidP="00963A50">
            <w:pPr>
              <w:ind w:left="-137"/>
              <w:jc w:val="right"/>
              <w:rPr>
                <w:sz w:val="21"/>
                <w:szCs w:val="21"/>
              </w:rPr>
            </w:pPr>
            <w:r>
              <w:rPr>
                <w:sz w:val="21"/>
                <w:szCs w:val="21"/>
              </w:rPr>
              <w:t>740 244</w:t>
            </w:r>
            <w:r w:rsidRPr="0071388F">
              <w:rPr>
                <w:sz w:val="21"/>
                <w:szCs w:val="21"/>
              </w:rPr>
              <w:t xml:space="preserve">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Pr>
                <w:sz w:val="21"/>
                <w:szCs w:val="21"/>
              </w:rPr>
              <w:t>740 244</w:t>
            </w:r>
            <w:r w:rsidRPr="0071388F">
              <w:rPr>
                <w:sz w:val="21"/>
                <w:szCs w:val="21"/>
              </w:rPr>
              <w:t xml:space="preserve"> </w:t>
            </w:r>
          </w:p>
        </w:tc>
        <w:tc>
          <w:tcPr>
            <w:tcW w:w="1043" w:type="dxa"/>
            <w:noWrap/>
            <w:hideMark/>
          </w:tcPr>
          <w:p w:rsidR="00F23C3C" w:rsidRPr="003956B8" w:rsidRDefault="00F23C3C" w:rsidP="00963A50">
            <w:pPr>
              <w:ind w:left="-137"/>
              <w:jc w:val="right"/>
              <w:rPr>
                <w:b/>
                <w:bCs/>
                <w:sz w:val="21"/>
                <w:szCs w:val="21"/>
              </w:rPr>
            </w:pPr>
            <w:r w:rsidRPr="003956B8">
              <w:rPr>
                <w:b/>
                <w:bCs/>
                <w:sz w:val="21"/>
                <w:szCs w:val="21"/>
              </w:rPr>
              <w:t xml:space="preserve">370 122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EM</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1 768 638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1 768 638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884 319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884 319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884 319 </w:t>
            </w:r>
          </w:p>
        </w:tc>
        <w:tc>
          <w:tcPr>
            <w:tcW w:w="1043" w:type="dxa"/>
            <w:noWrap/>
            <w:hideMark/>
          </w:tcPr>
          <w:p w:rsidR="00F23C3C" w:rsidRPr="003956B8" w:rsidRDefault="00F23C3C" w:rsidP="00963A50">
            <w:pPr>
              <w:ind w:left="-137"/>
              <w:jc w:val="right"/>
              <w:rPr>
                <w:b/>
                <w:bCs/>
                <w:sz w:val="21"/>
                <w:szCs w:val="21"/>
              </w:rPr>
            </w:pPr>
            <w:r w:rsidRPr="003956B8">
              <w:rPr>
                <w:b/>
                <w:bCs/>
                <w:sz w:val="21"/>
                <w:szCs w:val="21"/>
              </w:rPr>
              <w:t xml:space="preserve">442 159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SM</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667 318 </w:t>
            </w:r>
          </w:p>
        </w:tc>
        <w:tc>
          <w:tcPr>
            <w:tcW w:w="1027" w:type="dxa"/>
            <w:noWrap/>
            <w:hideMark/>
          </w:tcPr>
          <w:p w:rsidR="00F23C3C" w:rsidRPr="0071388F" w:rsidRDefault="00F23C3C" w:rsidP="00963A50">
            <w:pPr>
              <w:ind w:left="-176" w:right="-14"/>
              <w:jc w:val="right"/>
              <w:rPr>
                <w:sz w:val="21"/>
                <w:szCs w:val="21"/>
              </w:rPr>
            </w:pPr>
            <w:r w:rsidRPr="0071388F">
              <w:rPr>
                <w:sz w:val="21"/>
                <w:szCs w:val="21"/>
              </w:rPr>
              <w:t xml:space="preserve">279 297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388 021 </w:t>
            </w:r>
          </w:p>
        </w:tc>
        <w:tc>
          <w:tcPr>
            <w:tcW w:w="996" w:type="dxa"/>
            <w:noWrap/>
            <w:hideMark/>
          </w:tcPr>
          <w:p w:rsidR="00F23C3C" w:rsidRPr="0071388F" w:rsidRDefault="00F23C3C" w:rsidP="00963A50">
            <w:pPr>
              <w:ind w:left="-176" w:right="-14"/>
              <w:jc w:val="right"/>
              <w:rPr>
                <w:b/>
                <w:bCs/>
                <w:sz w:val="21"/>
                <w:szCs w:val="21"/>
              </w:rPr>
            </w:pPr>
            <w:r>
              <w:rPr>
                <w:b/>
                <w:bCs/>
                <w:sz w:val="21"/>
                <w:szCs w:val="21"/>
              </w:rPr>
              <w:t>108 724</w:t>
            </w:r>
            <w:r w:rsidRPr="0071388F">
              <w:rPr>
                <w:b/>
                <w:bCs/>
                <w:sz w:val="21"/>
                <w:szCs w:val="21"/>
              </w:rPr>
              <w:t xml:space="preserve"> </w:t>
            </w:r>
          </w:p>
        </w:tc>
        <w:tc>
          <w:tcPr>
            <w:tcW w:w="992" w:type="dxa"/>
            <w:noWrap/>
            <w:hideMark/>
          </w:tcPr>
          <w:p w:rsidR="00F23C3C" w:rsidRPr="0071388F" w:rsidRDefault="00F23C3C" w:rsidP="00963A50">
            <w:pPr>
              <w:ind w:left="-137"/>
              <w:jc w:val="right"/>
              <w:rPr>
                <w:sz w:val="21"/>
                <w:szCs w:val="21"/>
              </w:rPr>
            </w:pPr>
            <w:r>
              <w:rPr>
                <w:sz w:val="21"/>
                <w:szCs w:val="21"/>
              </w:rPr>
              <w:t>279 297</w:t>
            </w:r>
            <w:r w:rsidRPr="0071388F">
              <w:rPr>
                <w:sz w:val="21"/>
                <w:szCs w:val="21"/>
              </w:rPr>
              <w:t xml:space="preserve"> </w:t>
            </w:r>
          </w:p>
        </w:tc>
        <w:tc>
          <w:tcPr>
            <w:tcW w:w="1085" w:type="dxa"/>
            <w:noWrap/>
            <w:hideMark/>
          </w:tcPr>
          <w:p w:rsidR="00F23C3C" w:rsidRPr="0071388F" w:rsidRDefault="00F23C3C" w:rsidP="00963A50">
            <w:pPr>
              <w:ind w:left="-137"/>
              <w:jc w:val="right"/>
              <w:rPr>
                <w:sz w:val="21"/>
                <w:szCs w:val="21"/>
              </w:rPr>
            </w:pPr>
            <w:r w:rsidRPr="0071388F">
              <w:rPr>
                <w:sz w:val="21"/>
                <w:szCs w:val="21"/>
              </w:rPr>
              <w:t xml:space="preserve">279 297 </w:t>
            </w:r>
          </w:p>
        </w:tc>
        <w:tc>
          <w:tcPr>
            <w:tcW w:w="991" w:type="dxa"/>
            <w:noWrap/>
            <w:hideMark/>
          </w:tcPr>
          <w:p w:rsidR="00F23C3C" w:rsidRPr="0071388F" w:rsidRDefault="00F23C3C" w:rsidP="00963A50">
            <w:pPr>
              <w:ind w:left="-137"/>
              <w:jc w:val="right"/>
              <w:rPr>
                <w:sz w:val="21"/>
                <w:szCs w:val="21"/>
              </w:rPr>
            </w:pPr>
            <w:r>
              <w:rPr>
                <w:sz w:val="21"/>
                <w:szCs w:val="21"/>
              </w:rPr>
              <w:t>0</w:t>
            </w:r>
            <w:r w:rsidRPr="0071388F">
              <w:rPr>
                <w:sz w:val="21"/>
                <w:szCs w:val="21"/>
              </w:rPr>
              <w:t xml:space="preserve"> </w:t>
            </w:r>
          </w:p>
        </w:tc>
        <w:tc>
          <w:tcPr>
            <w:tcW w:w="1043" w:type="dxa"/>
            <w:noWrap/>
            <w:hideMark/>
          </w:tcPr>
          <w:p w:rsidR="00F23C3C" w:rsidRPr="003956B8" w:rsidRDefault="00F23C3C" w:rsidP="00963A50">
            <w:pPr>
              <w:ind w:left="-137"/>
              <w:jc w:val="right"/>
              <w:rPr>
                <w:b/>
                <w:bCs/>
                <w:sz w:val="21"/>
                <w:szCs w:val="21"/>
              </w:rPr>
            </w:pPr>
            <w:r w:rsidRPr="003956B8">
              <w:rPr>
                <w:b/>
                <w:bCs/>
                <w:sz w:val="21"/>
                <w:szCs w:val="21"/>
              </w:rPr>
              <w:t>0 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lastRenderedPageBreak/>
              <w:t>ĀM</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499 159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499 159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249 580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249 580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249 580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124 790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Saeima</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337 477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337 477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168 738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168 738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168 738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84 369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IZM</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298 937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298 937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149 468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149 468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149 468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74 734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AiM</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91 027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91 027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45 513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45 513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45 513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22 757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AT</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13 043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13 043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6 522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6 522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6 522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3 261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ST</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10 634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10 634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5 317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5 317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5 317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2 659 </w:t>
            </w:r>
          </w:p>
        </w:tc>
      </w:tr>
      <w:tr w:rsidR="00F23C3C" w:rsidRPr="0071388F" w:rsidTr="00963A50">
        <w:trPr>
          <w:trHeight w:val="20"/>
          <w:tblHeader/>
          <w:jc w:val="center"/>
        </w:trPr>
        <w:tc>
          <w:tcPr>
            <w:tcW w:w="1129" w:type="dxa"/>
            <w:noWrap/>
            <w:hideMark/>
          </w:tcPr>
          <w:p w:rsidR="00F23C3C" w:rsidRPr="00A43300" w:rsidRDefault="00F23C3C" w:rsidP="00963A50">
            <w:pPr>
              <w:ind w:left="-108" w:right="-286"/>
              <w:rPr>
                <w:b/>
                <w:sz w:val="20"/>
                <w:szCs w:val="20"/>
              </w:rPr>
            </w:pPr>
            <w:r w:rsidRPr="00A43300">
              <w:rPr>
                <w:b/>
                <w:sz w:val="20"/>
                <w:szCs w:val="20"/>
              </w:rPr>
              <w:t>Prokuratūra</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7 629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7 629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3 815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3 815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3 815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1 907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RTV</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2 849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2 849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1 425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1 425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1 425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712 </w:t>
            </w:r>
          </w:p>
        </w:tc>
      </w:tr>
      <w:tr w:rsidR="00F23C3C" w:rsidRPr="0071388F" w:rsidTr="00963A50">
        <w:trPr>
          <w:trHeight w:val="20"/>
          <w:tblHeader/>
          <w:jc w:val="center"/>
        </w:trPr>
        <w:tc>
          <w:tcPr>
            <w:tcW w:w="1129" w:type="dxa"/>
            <w:noWrap/>
            <w:hideMark/>
          </w:tcPr>
          <w:p w:rsidR="00F23C3C" w:rsidRPr="00A43300" w:rsidRDefault="00F23C3C" w:rsidP="00963A50">
            <w:pPr>
              <w:ind w:right="-124"/>
              <w:jc w:val="both"/>
              <w:rPr>
                <w:b/>
                <w:sz w:val="21"/>
                <w:szCs w:val="21"/>
              </w:rPr>
            </w:pPr>
            <w:r w:rsidRPr="00A43300">
              <w:rPr>
                <w:b/>
                <w:sz w:val="21"/>
                <w:szCs w:val="21"/>
              </w:rPr>
              <w:t>IeM</w:t>
            </w:r>
          </w:p>
        </w:tc>
        <w:tc>
          <w:tcPr>
            <w:tcW w:w="993" w:type="dxa"/>
            <w:noWrap/>
            <w:hideMark/>
          </w:tcPr>
          <w:p w:rsidR="00F23C3C" w:rsidRPr="0071388F" w:rsidRDefault="00F23C3C" w:rsidP="00963A50">
            <w:pPr>
              <w:ind w:left="-81" w:right="-42"/>
              <w:jc w:val="right"/>
              <w:rPr>
                <w:sz w:val="21"/>
                <w:szCs w:val="21"/>
              </w:rPr>
            </w:pPr>
            <w:r w:rsidRPr="0071388F">
              <w:rPr>
                <w:sz w:val="21"/>
                <w:szCs w:val="21"/>
              </w:rPr>
              <w:t xml:space="preserve">620 </w:t>
            </w:r>
          </w:p>
        </w:tc>
        <w:tc>
          <w:tcPr>
            <w:tcW w:w="1027" w:type="dxa"/>
            <w:noWrap/>
            <w:hideMark/>
          </w:tcPr>
          <w:p w:rsidR="00F23C3C" w:rsidRPr="0071388F" w:rsidRDefault="00F23C3C" w:rsidP="00963A50">
            <w:pPr>
              <w:ind w:left="-176" w:right="-14"/>
              <w:jc w:val="right"/>
              <w:rPr>
                <w:sz w:val="21"/>
                <w:szCs w:val="21"/>
              </w:rPr>
            </w:pPr>
            <w:r w:rsidRPr="0071388F">
              <w:rPr>
                <w:sz w:val="21"/>
                <w:szCs w:val="21"/>
              </w:rPr>
              <w:t> </w:t>
            </w:r>
          </w:p>
        </w:tc>
        <w:tc>
          <w:tcPr>
            <w:tcW w:w="1099" w:type="dxa"/>
            <w:noWrap/>
            <w:hideMark/>
          </w:tcPr>
          <w:p w:rsidR="00F23C3C" w:rsidRPr="0071388F" w:rsidRDefault="00F23C3C" w:rsidP="00963A50">
            <w:pPr>
              <w:ind w:left="-176" w:right="-14"/>
              <w:jc w:val="right"/>
              <w:rPr>
                <w:sz w:val="21"/>
                <w:szCs w:val="21"/>
              </w:rPr>
            </w:pPr>
            <w:r w:rsidRPr="0071388F">
              <w:rPr>
                <w:sz w:val="21"/>
                <w:szCs w:val="21"/>
              </w:rPr>
              <w:t xml:space="preserve">620 </w:t>
            </w:r>
          </w:p>
        </w:tc>
        <w:tc>
          <w:tcPr>
            <w:tcW w:w="996" w:type="dxa"/>
            <w:noWrap/>
            <w:hideMark/>
          </w:tcPr>
          <w:p w:rsidR="00F23C3C" w:rsidRPr="0071388F" w:rsidRDefault="00F23C3C" w:rsidP="00963A50">
            <w:pPr>
              <w:ind w:left="-176" w:right="-14"/>
              <w:jc w:val="right"/>
              <w:rPr>
                <w:b/>
                <w:bCs/>
                <w:sz w:val="21"/>
                <w:szCs w:val="21"/>
              </w:rPr>
            </w:pPr>
            <w:r w:rsidRPr="0071388F">
              <w:rPr>
                <w:b/>
                <w:bCs/>
                <w:sz w:val="21"/>
                <w:szCs w:val="21"/>
              </w:rPr>
              <w:t xml:space="preserve">310 </w:t>
            </w:r>
          </w:p>
        </w:tc>
        <w:tc>
          <w:tcPr>
            <w:tcW w:w="992" w:type="dxa"/>
            <w:noWrap/>
            <w:hideMark/>
          </w:tcPr>
          <w:p w:rsidR="00F23C3C" w:rsidRPr="0071388F" w:rsidRDefault="00F23C3C" w:rsidP="00963A50">
            <w:pPr>
              <w:ind w:left="-137"/>
              <w:jc w:val="right"/>
              <w:rPr>
                <w:sz w:val="21"/>
                <w:szCs w:val="21"/>
              </w:rPr>
            </w:pPr>
            <w:r w:rsidRPr="0071388F">
              <w:rPr>
                <w:sz w:val="21"/>
                <w:szCs w:val="21"/>
              </w:rPr>
              <w:t xml:space="preserve">310 </w:t>
            </w:r>
          </w:p>
        </w:tc>
        <w:tc>
          <w:tcPr>
            <w:tcW w:w="1085" w:type="dxa"/>
            <w:noWrap/>
            <w:hideMark/>
          </w:tcPr>
          <w:p w:rsidR="00F23C3C" w:rsidRPr="0071388F" w:rsidRDefault="00F23C3C" w:rsidP="00963A50">
            <w:pPr>
              <w:ind w:left="-137"/>
              <w:jc w:val="right"/>
              <w:rPr>
                <w:sz w:val="21"/>
                <w:szCs w:val="21"/>
              </w:rPr>
            </w:pPr>
            <w:r w:rsidRPr="0071388F">
              <w:rPr>
                <w:sz w:val="21"/>
                <w:szCs w:val="21"/>
              </w:rPr>
              <w:t> </w:t>
            </w:r>
          </w:p>
        </w:tc>
        <w:tc>
          <w:tcPr>
            <w:tcW w:w="991" w:type="dxa"/>
            <w:noWrap/>
            <w:hideMark/>
          </w:tcPr>
          <w:p w:rsidR="00F23C3C" w:rsidRPr="0071388F" w:rsidRDefault="00F23C3C" w:rsidP="00963A50">
            <w:pPr>
              <w:ind w:left="-137"/>
              <w:jc w:val="right"/>
              <w:rPr>
                <w:sz w:val="21"/>
                <w:szCs w:val="21"/>
              </w:rPr>
            </w:pPr>
            <w:r w:rsidRPr="0071388F">
              <w:rPr>
                <w:sz w:val="21"/>
                <w:szCs w:val="21"/>
              </w:rPr>
              <w:t xml:space="preserve">310 </w:t>
            </w:r>
          </w:p>
        </w:tc>
        <w:tc>
          <w:tcPr>
            <w:tcW w:w="1043" w:type="dxa"/>
            <w:noWrap/>
            <w:hideMark/>
          </w:tcPr>
          <w:p w:rsidR="00F23C3C" w:rsidRPr="0071388F" w:rsidRDefault="00F23C3C" w:rsidP="00963A50">
            <w:pPr>
              <w:ind w:left="-137"/>
              <w:jc w:val="right"/>
              <w:rPr>
                <w:b/>
                <w:bCs/>
                <w:sz w:val="21"/>
                <w:szCs w:val="21"/>
              </w:rPr>
            </w:pPr>
            <w:r w:rsidRPr="0071388F">
              <w:rPr>
                <w:b/>
                <w:bCs/>
                <w:sz w:val="21"/>
                <w:szCs w:val="21"/>
              </w:rPr>
              <w:t xml:space="preserve">155 </w:t>
            </w:r>
          </w:p>
        </w:tc>
      </w:tr>
      <w:tr w:rsidR="00F23C3C" w:rsidRPr="0071388F" w:rsidTr="00963A50">
        <w:trPr>
          <w:trHeight w:val="20"/>
          <w:tblHeader/>
          <w:jc w:val="center"/>
        </w:trPr>
        <w:tc>
          <w:tcPr>
            <w:tcW w:w="1129" w:type="dxa"/>
            <w:noWrap/>
            <w:hideMark/>
          </w:tcPr>
          <w:p w:rsidR="00F23C3C" w:rsidRPr="00A43300" w:rsidRDefault="00F30CB1" w:rsidP="00F30CB1">
            <w:pPr>
              <w:ind w:right="32"/>
              <w:jc w:val="right"/>
              <w:rPr>
                <w:b/>
                <w:sz w:val="21"/>
                <w:szCs w:val="21"/>
              </w:rPr>
            </w:pPr>
            <w:r>
              <w:rPr>
                <w:b/>
                <w:sz w:val="21"/>
                <w:szCs w:val="21"/>
              </w:rPr>
              <w:t>KOPĀ:</w:t>
            </w:r>
            <w:r w:rsidR="00F23C3C" w:rsidRPr="00A43300">
              <w:rPr>
                <w:rStyle w:val="FootnoteReference"/>
                <w:b/>
                <w:sz w:val="21"/>
                <w:szCs w:val="21"/>
              </w:rPr>
              <w:footnoteReference w:id="70"/>
            </w:r>
          </w:p>
        </w:tc>
        <w:tc>
          <w:tcPr>
            <w:tcW w:w="993" w:type="dxa"/>
            <w:noWrap/>
            <w:hideMark/>
          </w:tcPr>
          <w:p w:rsidR="00F23C3C" w:rsidRPr="0071388F" w:rsidRDefault="00F23C3C" w:rsidP="00963A50">
            <w:pPr>
              <w:ind w:left="-216" w:right="-42"/>
              <w:jc w:val="right"/>
              <w:rPr>
                <w:b/>
                <w:sz w:val="21"/>
                <w:szCs w:val="21"/>
              </w:rPr>
            </w:pPr>
            <w:r>
              <w:rPr>
                <w:b/>
                <w:sz w:val="21"/>
                <w:szCs w:val="21"/>
              </w:rPr>
              <w:t>13 880 298</w:t>
            </w:r>
            <w:r w:rsidRPr="0071388F">
              <w:rPr>
                <w:b/>
                <w:sz w:val="21"/>
                <w:szCs w:val="21"/>
              </w:rPr>
              <w:t xml:space="preserve"> </w:t>
            </w:r>
          </w:p>
        </w:tc>
        <w:tc>
          <w:tcPr>
            <w:tcW w:w="1027" w:type="dxa"/>
            <w:noWrap/>
            <w:hideMark/>
          </w:tcPr>
          <w:p w:rsidR="00F23C3C" w:rsidRPr="0071388F" w:rsidRDefault="00F23C3C" w:rsidP="00963A50">
            <w:pPr>
              <w:ind w:left="-176" w:right="-14"/>
              <w:jc w:val="right"/>
              <w:rPr>
                <w:b/>
                <w:sz w:val="21"/>
                <w:szCs w:val="21"/>
              </w:rPr>
            </w:pPr>
            <w:r w:rsidRPr="0071388F">
              <w:rPr>
                <w:b/>
                <w:sz w:val="21"/>
                <w:szCs w:val="21"/>
              </w:rPr>
              <w:t xml:space="preserve">3 613 377 </w:t>
            </w:r>
          </w:p>
        </w:tc>
        <w:tc>
          <w:tcPr>
            <w:tcW w:w="1099" w:type="dxa"/>
            <w:noWrap/>
            <w:hideMark/>
          </w:tcPr>
          <w:p w:rsidR="00F23C3C" w:rsidRPr="0071388F" w:rsidRDefault="00F23C3C" w:rsidP="00963A50">
            <w:pPr>
              <w:ind w:left="-176" w:right="-14"/>
              <w:jc w:val="right"/>
              <w:rPr>
                <w:b/>
                <w:sz w:val="21"/>
                <w:szCs w:val="21"/>
              </w:rPr>
            </w:pPr>
            <w:r w:rsidRPr="0071388F">
              <w:rPr>
                <w:b/>
                <w:sz w:val="21"/>
                <w:szCs w:val="21"/>
              </w:rPr>
              <w:t>10</w:t>
            </w:r>
            <w:r>
              <w:rPr>
                <w:b/>
                <w:sz w:val="21"/>
                <w:szCs w:val="21"/>
              </w:rPr>
              <w:t> 266 921</w:t>
            </w:r>
            <w:r w:rsidRPr="0071388F">
              <w:rPr>
                <w:b/>
                <w:sz w:val="21"/>
                <w:szCs w:val="21"/>
              </w:rPr>
              <w:t xml:space="preserve"> </w:t>
            </w:r>
          </w:p>
        </w:tc>
        <w:tc>
          <w:tcPr>
            <w:tcW w:w="996" w:type="dxa"/>
            <w:noWrap/>
            <w:hideMark/>
          </w:tcPr>
          <w:p w:rsidR="00F23C3C" w:rsidRPr="0071388F" w:rsidRDefault="00F23C3C" w:rsidP="00963A50">
            <w:pPr>
              <w:ind w:left="-176" w:right="-14"/>
              <w:jc w:val="right"/>
              <w:rPr>
                <w:b/>
                <w:sz w:val="21"/>
                <w:szCs w:val="21"/>
              </w:rPr>
            </w:pPr>
            <w:r>
              <w:rPr>
                <w:b/>
                <w:sz w:val="21"/>
                <w:szCs w:val="21"/>
              </w:rPr>
              <w:t>4 816 017</w:t>
            </w:r>
            <w:r w:rsidRPr="0071388F">
              <w:rPr>
                <w:b/>
                <w:sz w:val="21"/>
                <w:szCs w:val="21"/>
              </w:rPr>
              <w:t xml:space="preserve"> </w:t>
            </w:r>
          </w:p>
        </w:tc>
        <w:tc>
          <w:tcPr>
            <w:tcW w:w="992" w:type="dxa"/>
            <w:noWrap/>
            <w:hideMark/>
          </w:tcPr>
          <w:p w:rsidR="00F23C3C" w:rsidRPr="0071388F" w:rsidRDefault="00F23C3C" w:rsidP="00963A50">
            <w:pPr>
              <w:ind w:left="-137"/>
              <w:jc w:val="right"/>
              <w:rPr>
                <w:b/>
                <w:sz w:val="21"/>
                <w:szCs w:val="21"/>
              </w:rPr>
            </w:pPr>
            <w:r w:rsidRPr="0071388F">
              <w:rPr>
                <w:b/>
                <w:sz w:val="21"/>
                <w:szCs w:val="21"/>
              </w:rPr>
              <w:t>5</w:t>
            </w:r>
            <w:r>
              <w:rPr>
                <w:b/>
                <w:sz w:val="21"/>
                <w:szCs w:val="21"/>
              </w:rPr>
              <w:t> 450 904</w:t>
            </w:r>
            <w:r w:rsidRPr="0071388F">
              <w:rPr>
                <w:b/>
                <w:sz w:val="21"/>
                <w:szCs w:val="21"/>
              </w:rPr>
              <w:t xml:space="preserve"> </w:t>
            </w:r>
          </w:p>
        </w:tc>
        <w:tc>
          <w:tcPr>
            <w:tcW w:w="1085" w:type="dxa"/>
            <w:noWrap/>
            <w:hideMark/>
          </w:tcPr>
          <w:p w:rsidR="00F23C3C" w:rsidRPr="0071388F" w:rsidRDefault="00F23C3C" w:rsidP="00963A50">
            <w:pPr>
              <w:ind w:left="-137"/>
              <w:jc w:val="right"/>
              <w:rPr>
                <w:b/>
                <w:sz w:val="21"/>
                <w:szCs w:val="21"/>
              </w:rPr>
            </w:pPr>
            <w:r w:rsidRPr="0071388F">
              <w:rPr>
                <w:b/>
                <w:sz w:val="21"/>
                <w:szCs w:val="21"/>
              </w:rPr>
              <w:t xml:space="preserve">2 911 238 </w:t>
            </w:r>
          </w:p>
        </w:tc>
        <w:tc>
          <w:tcPr>
            <w:tcW w:w="991" w:type="dxa"/>
            <w:noWrap/>
            <w:hideMark/>
          </w:tcPr>
          <w:p w:rsidR="00F23C3C" w:rsidRPr="0071388F" w:rsidRDefault="00F23C3C" w:rsidP="00963A50">
            <w:pPr>
              <w:ind w:left="-137"/>
              <w:jc w:val="right"/>
              <w:rPr>
                <w:b/>
                <w:sz w:val="21"/>
                <w:szCs w:val="21"/>
              </w:rPr>
            </w:pPr>
            <w:r>
              <w:rPr>
                <w:b/>
                <w:sz w:val="21"/>
                <w:szCs w:val="21"/>
              </w:rPr>
              <w:t>2 539 666</w:t>
            </w:r>
            <w:r w:rsidRPr="0071388F">
              <w:rPr>
                <w:b/>
                <w:sz w:val="21"/>
                <w:szCs w:val="21"/>
              </w:rPr>
              <w:t xml:space="preserve"> </w:t>
            </w:r>
          </w:p>
        </w:tc>
        <w:tc>
          <w:tcPr>
            <w:tcW w:w="1043" w:type="dxa"/>
            <w:noWrap/>
            <w:hideMark/>
          </w:tcPr>
          <w:p w:rsidR="00F23C3C" w:rsidRPr="0071388F" w:rsidRDefault="00F23C3C" w:rsidP="00963A50">
            <w:pPr>
              <w:ind w:left="-137"/>
              <w:jc w:val="right"/>
              <w:rPr>
                <w:b/>
                <w:sz w:val="21"/>
                <w:szCs w:val="21"/>
              </w:rPr>
            </w:pPr>
            <w:r>
              <w:rPr>
                <w:b/>
                <w:sz w:val="21"/>
                <w:szCs w:val="21"/>
              </w:rPr>
              <w:t>1 269 833</w:t>
            </w:r>
            <w:r w:rsidRPr="0071388F">
              <w:rPr>
                <w:b/>
                <w:sz w:val="21"/>
                <w:szCs w:val="21"/>
              </w:rPr>
              <w:t xml:space="preserve"> </w:t>
            </w:r>
          </w:p>
        </w:tc>
      </w:tr>
    </w:tbl>
    <w:p w:rsidR="00F23C3C" w:rsidRPr="00F67978" w:rsidRDefault="00F23C3C" w:rsidP="00266FD1">
      <w:pPr>
        <w:spacing w:before="120"/>
        <w:ind w:firstLine="720"/>
        <w:jc w:val="both"/>
      </w:pPr>
      <w:r w:rsidRPr="00F67978">
        <w:t>Ie</w:t>
      </w:r>
      <w:r>
        <w:t>strādājot 2018.gada budžetā 28% SM, 38% FM un 50%</w:t>
      </w:r>
      <w:r w:rsidRPr="00F67978">
        <w:t xml:space="preserve"> </w:t>
      </w:r>
      <w:r>
        <w:t>pārējo ministriju pašu ieņēmumu atlikumus,</w:t>
      </w:r>
      <w:r w:rsidRPr="00F67978">
        <w:t xml:space="preserve"> ir iespēja rast potenciālos resursus </w:t>
      </w:r>
      <w:r>
        <w:t>4,8</w:t>
      </w:r>
      <w:r w:rsidRPr="00F67978">
        <w:t xml:space="preserve"> milj. </w:t>
      </w:r>
      <w:r w:rsidRPr="00F67978">
        <w:rPr>
          <w:i/>
        </w:rPr>
        <w:t>euro</w:t>
      </w:r>
      <w:r w:rsidRPr="00F67978">
        <w:t xml:space="preserve"> apmērā, savukārt 2019.gadā</w:t>
      </w:r>
      <w:r>
        <w:t>, iestrādājot 50% no atlikumiem, ir iespējams rast resursus 1,3</w:t>
      </w:r>
      <w:r w:rsidRPr="00F67978">
        <w:t xml:space="preserve"> milj. </w:t>
      </w:r>
      <w:r w:rsidRPr="00F67978">
        <w:rPr>
          <w:i/>
        </w:rPr>
        <w:t>euro</w:t>
      </w:r>
      <w:r w:rsidRPr="00F67978">
        <w:t xml:space="preserve"> apmērā.</w:t>
      </w:r>
    </w:p>
    <w:p w:rsidR="00F23C3C" w:rsidRPr="00266FD1" w:rsidRDefault="00F23C3C" w:rsidP="007C49D3">
      <w:pPr>
        <w:spacing w:before="240" w:after="120"/>
        <w:jc w:val="both"/>
        <w:rPr>
          <w:b/>
        </w:rPr>
      </w:pPr>
      <w:r w:rsidRPr="00253452">
        <w:rPr>
          <w:b/>
        </w:rPr>
        <w:t xml:space="preserve">Pašu ieņēmumu atlikumu izvērtēšana </w:t>
      </w:r>
      <w:r>
        <w:rPr>
          <w:b/>
        </w:rPr>
        <w:t>BNI</w:t>
      </w:r>
    </w:p>
    <w:p w:rsidR="00F23C3C" w:rsidRDefault="00F23C3C" w:rsidP="00F23C3C">
      <w:pPr>
        <w:ind w:firstLine="720"/>
        <w:jc w:val="both"/>
      </w:pPr>
      <w:r>
        <w:t>Ņemot vērā, ka BNI budžetu atbilstoši LBFV apstiprina MK, kā arī atbilstoši Publisko aģentūru likuma 13.panta 4.daļai MK, apstiprinot publisko aģentūru budžetu, ir tiesīgs noteikt valsts budžetā ieskaitāmo ienākumu daļu no valsts aģentūras ieņēmumiem par sniegtajiem maksas pakalpojumiem, pašu ieņēmumu atlikumu izvērtēšanā tika iekļautas arī SM, TM un VM BNI.</w:t>
      </w:r>
    </w:p>
    <w:p w:rsidR="00F23C3C" w:rsidRDefault="00F23C3C" w:rsidP="00F23C3C">
      <w:pPr>
        <w:jc w:val="both"/>
      </w:pPr>
      <w:r>
        <w:rPr>
          <w:noProof/>
          <w:lang w:eastAsia="lv-LV"/>
        </w:rPr>
        <w:drawing>
          <wp:inline distT="0" distB="0" distL="0" distR="0" wp14:anchorId="4E5D6451" wp14:editId="6FDE5E4D">
            <wp:extent cx="5757062" cy="3766820"/>
            <wp:effectExtent l="38100" t="0" r="5334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F23C3C" w:rsidRPr="00781949" w:rsidRDefault="007C49D3" w:rsidP="00F23C3C">
      <w:pPr>
        <w:spacing w:before="120"/>
        <w:jc w:val="center"/>
        <w:rPr>
          <w:b/>
          <w:sz w:val="22"/>
        </w:rPr>
      </w:pPr>
      <w:r w:rsidRPr="007C49D3">
        <w:rPr>
          <w:i/>
          <w:sz w:val="22"/>
        </w:rPr>
        <w:t>3.38.</w:t>
      </w:r>
      <w:r w:rsidR="00F23C3C" w:rsidRPr="007C49D3">
        <w:rPr>
          <w:i/>
          <w:sz w:val="22"/>
        </w:rPr>
        <w:t>att</w:t>
      </w:r>
      <w:r w:rsidR="00F23C3C" w:rsidRPr="007C49D3">
        <w:rPr>
          <w:sz w:val="22"/>
        </w:rPr>
        <w:t xml:space="preserve">. </w:t>
      </w:r>
      <w:r w:rsidR="00F23C3C" w:rsidRPr="007C49D3">
        <w:rPr>
          <w:b/>
          <w:sz w:val="22"/>
        </w:rPr>
        <w:t>BNI sadalījumā pa pārraudzības iestādēm</w:t>
      </w:r>
    </w:p>
    <w:p w:rsidR="00F23C3C" w:rsidRPr="007C49D3" w:rsidRDefault="00F23C3C" w:rsidP="00F23C3C">
      <w:pPr>
        <w:jc w:val="both"/>
        <w:rPr>
          <w:b/>
          <w:sz w:val="22"/>
        </w:rPr>
      </w:pPr>
    </w:p>
    <w:p w:rsidR="00F23C3C" w:rsidRDefault="00F23C3C" w:rsidP="007C49D3">
      <w:pPr>
        <w:ind w:firstLine="720"/>
        <w:jc w:val="both"/>
        <w:rPr>
          <w:szCs w:val="24"/>
        </w:rPr>
      </w:pPr>
      <w:r w:rsidRPr="007C49D3">
        <w:rPr>
          <w:szCs w:val="24"/>
        </w:rPr>
        <w:t xml:space="preserve">Kā redzams </w:t>
      </w:r>
      <w:r w:rsidR="007C49D3" w:rsidRPr="007C49D3">
        <w:rPr>
          <w:szCs w:val="24"/>
        </w:rPr>
        <w:t>3.38.</w:t>
      </w:r>
      <w:r w:rsidRPr="007C49D3">
        <w:rPr>
          <w:szCs w:val="24"/>
        </w:rPr>
        <w:t xml:space="preserve">attēlā, SM tiešajā pārraudzībā ir četras BNI, savukārt TM un VM pārraudzībā </w:t>
      </w:r>
      <w:r>
        <w:rPr>
          <w:szCs w:val="24"/>
        </w:rPr>
        <w:t xml:space="preserve">ir pa vienai BNI. </w:t>
      </w:r>
    </w:p>
    <w:p w:rsidR="00F23C3C" w:rsidRDefault="00F23C3C" w:rsidP="00F23C3C">
      <w:pPr>
        <w:jc w:val="both"/>
        <w:rPr>
          <w:szCs w:val="24"/>
        </w:rPr>
      </w:pPr>
    </w:p>
    <w:p w:rsidR="00F23C3C" w:rsidRDefault="00F23C3C" w:rsidP="00F23C3C">
      <w:pPr>
        <w:jc w:val="both"/>
        <w:rPr>
          <w:szCs w:val="24"/>
        </w:rPr>
      </w:pPr>
      <w:r>
        <w:rPr>
          <w:noProof/>
          <w:lang w:eastAsia="lv-LV"/>
        </w:rPr>
        <w:lastRenderedPageBreak/>
        <w:drawing>
          <wp:inline distT="0" distB="0" distL="0" distR="0" wp14:anchorId="40D498DF" wp14:editId="36F9883E">
            <wp:extent cx="5905500" cy="3189427"/>
            <wp:effectExtent l="0" t="0" r="0" b="11430"/>
            <wp:docPr id="98" name="Chart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F23C3C" w:rsidRDefault="007C49D3" w:rsidP="00F23C3C">
      <w:pPr>
        <w:spacing w:before="120"/>
        <w:ind w:firstLine="720"/>
        <w:jc w:val="center"/>
        <w:rPr>
          <w:szCs w:val="24"/>
        </w:rPr>
      </w:pPr>
      <w:r w:rsidRPr="007C49D3">
        <w:rPr>
          <w:i/>
          <w:sz w:val="22"/>
        </w:rPr>
        <w:t>3.39</w:t>
      </w:r>
      <w:r w:rsidR="00F23C3C" w:rsidRPr="007C49D3">
        <w:rPr>
          <w:i/>
          <w:sz w:val="22"/>
        </w:rPr>
        <w:t>.att</w:t>
      </w:r>
      <w:r w:rsidR="00F23C3C" w:rsidRPr="007C49D3">
        <w:rPr>
          <w:sz w:val="22"/>
        </w:rPr>
        <w:t xml:space="preserve">. </w:t>
      </w:r>
      <w:r w:rsidR="00F23C3C" w:rsidRPr="007C49D3">
        <w:rPr>
          <w:b/>
          <w:sz w:val="22"/>
        </w:rPr>
        <w:t xml:space="preserve">BNI pašu ieņēmumu atlikumu dinamika, milj. </w:t>
      </w:r>
      <w:r w:rsidR="00F23C3C" w:rsidRPr="007C49D3">
        <w:rPr>
          <w:b/>
          <w:i/>
          <w:sz w:val="22"/>
        </w:rPr>
        <w:t>euro</w:t>
      </w:r>
    </w:p>
    <w:p w:rsidR="00F23C3C" w:rsidRDefault="00F23C3C" w:rsidP="00F23C3C">
      <w:pPr>
        <w:ind w:firstLine="720"/>
        <w:jc w:val="both"/>
        <w:rPr>
          <w:szCs w:val="24"/>
        </w:rPr>
      </w:pPr>
    </w:p>
    <w:p w:rsidR="00F23C3C" w:rsidRDefault="007C49D3" w:rsidP="00F23C3C">
      <w:pPr>
        <w:ind w:firstLine="720"/>
        <w:jc w:val="both"/>
        <w:rPr>
          <w:szCs w:val="24"/>
        </w:rPr>
      </w:pPr>
      <w:r w:rsidRPr="007C49D3">
        <w:rPr>
          <w:color w:val="000000" w:themeColor="text1"/>
          <w:szCs w:val="24"/>
        </w:rPr>
        <w:t>3.39.a</w:t>
      </w:r>
      <w:r w:rsidR="00F23C3C" w:rsidRPr="007C49D3">
        <w:rPr>
          <w:color w:val="000000" w:themeColor="text1"/>
          <w:szCs w:val="24"/>
        </w:rPr>
        <w:t xml:space="preserve">ttēlā </w:t>
      </w:r>
      <w:r w:rsidR="00F23C3C" w:rsidRPr="007C49D3">
        <w:rPr>
          <w:szCs w:val="24"/>
        </w:rPr>
        <w:t>redzams, ka pašu ieņēmumu atlikumu uzkrāšana ir raksturīga arī BNI, jo pašu ieņēmu atlikums uz kārtēja gada sākumu visos gados ir lielāks nekā iestāžu budžetos</w:t>
      </w:r>
      <w:r w:rsidR="00F23C3C">
        <w:rPr>
          <w:szCs w:val="24"/>
        </w:rPr>
        <w:t xml:space="preserve"> iestrādātie atlikumi, līdz ar to uz 2018.gada 1.janvāri kopumā prognozējams neiestrādāts pašu ieņēmumu atlikums 3,6 milj. </w:t>
      </w:r>
      <w:r w:rsidR="00F23C3C" w:rsidRPr="000C39C7">
        <w:rPr>
          <w:i/>
          <w:szCs w:val="24"/>
        </w:rPr>
        <w:t>euro</w:t>
      </w:r>
      <w:r w:rsidR="00F23C3C">
        <w:rPr>
          <w:szCs w:val="24"/>
        </w:rPr>
        <w:t xml:space="preserve"> apmērā.</w:t>
      </w:r>
    </w:p>
    <w:p w:rsidR="00F23C3C" w:rsidRDefault="00F23C3C" w:rsidP="00F23C3C">
      <w:pPr>
        <w:jc w:val="both"/>
        <w:rPr>
          <w:szCs w:val="24"/>
        </w:rPr>
      </w:pPr>
    </w:p>
    <w:p w:rsidR="00F23C3C" w:rsidRPr="00FC0DB7" w:rsidRDefault="00F23C3C" w:rsidP="00F23C3C">
      <w:pPr>
        <w:jc w:val="center"/>
        <w:rPr>
          <w:szCs w:val="24"/>
        </w:rPr>
      </w:pPr>
      <w:r>
        <w:rPr>
          <w:noProof/>
          <w:lang w:eastAsia="lv-LV"/>
        </w:rPr>
        <w:drawing>
          <wp:inline distT="0" distB="0" distL="0" distR="0" wp14:anchorId="1DEC7536" wp14:editId="1359656C">
            <wp:extent cx="5946775" cy="3255264"/>
            <wp:effectExtent l="0" t="0" r="15875" b="254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F23C3C" w:rsidRPr="007C49D3" w:rsidRDefault="007C49D3" w:rsidP="00F23C3C">
      <w:pPr>
        <w:spacing w:before="120"/>
        <w:jc w:val="center"/>
        <w:rPr>
          <w:b/>
          <w:sz w:val="22"/>
        </w:rPr>
      </w:pPr>
      <w:r w:rsidRPr="007C49D3">
        <w:rPr>
          <w:i/>
          <w:sz w:val="22"/>
        </w:rPr>
        <w:t>3.40</w:t>
      </w:r>
      <w:r w:rsidR="00F23C3C" w:rsidRPr="007C49D3">
        <w:rPr>
          <w:i/>
          <w:sz w:val="22"/>
        </w:rPr>
        <w:t>.att</w:t>
      </w:r>
      <w:r w:rsidR="00F23C3C" w:rsidRPr="007C49D3">
        <w:rPr>
          <w:sz w:val="22"/>
        </w:rPr>
        <w:t xml:space="preserve">. </w:t>
      </w:r>
      <w:r w:rsidR="00F23C3C" w:rsidRPr="007C49D3">
        <w:rPr>
          <w:b/>
          <w:sz w:val="22"/>
        </w:rPr>
        <w:t xml:space="preserve">Pašu ieņēmumu atlikums BNI, milj. </w:t>
      </w:r>
      <w:r w:rsidR="00F23C3C" w:rsidRPr="007C49D3">
        <w:rPr>
          <w:b/>
          <w:i/>
          <w:sz w:val="22"/>
        </w:rPr>
        <w:t>euro</w:t>
      </w:r>
    </w:p>
    <w:p w:rsidR="00F23C3C" w:rsidRPr="007C49D3" w:rsidRDefault="00F23C3C" w:rsidP="00F23C3C">
      <w:pPr>
        <w:jc w:val="both"/>
        <w:rPr>
          <w:b/>
          <w:sz w:val="22"/>
        </w:rPr>
      </w:pPr>
    </w:p>
    <w:p w:rsidR="00F23C3C" w:rsidRPr="00117302" w:rsidRDefault="00F23C3C" w:rsidP="00117302">
      <w:pPr>
        <w:spacing w:after="120"/>
        <w:ind w:firstLine="720"/>
        <w:jc w:val="both"/>
        <w:rPr>
          <w:szCs w:val="24"/>
        </w:rPr>
      </w:pPr>
      <w:r w:rsidRPr="007C49D3">
        <w:rPr>
          <w:szCs w:val="24"/>
        </w:rPr>
        <w:t xml:space="preserve">Veicot BNI prognozējamā pašu ieņēmu atlikuma izvērtēšanu, secināts, ka tikai TAIIB </w:t>
      </w:r>
      <w:r>
        <w:rPr>
          <w:szCs w:val="24"/>
        </w:rPr>
        <w:t xml:space="preserve">2017.gada budžetā izdevumu segšanai plāno novirzīt visus atlikumus. Kā redzams </w:t>
      </w:r>
      <w:r w:rsidR="007C49D3">
        <w:rPr>
          <w:szCs w:val="24"/>
        </w:rPr>
        <w:t>3.40.</w:t>
      </w:r>
      <w:r>
        <w:rPr>
          <w:szCs w:val="24"/>
        </w:rPr>
        <w:t>attēlā CAA, VDA un VDZTI 2017.gada budžetā nav iestrādājušas pašu ieņēmumu atlikumus, savukārt LRPV un ZVA pašu ieņēmumu atlikumus 2017.gad</w:t>
      </w:r>
      <w:r w:rsidR="00117302">
        <w:rPr>
          <w:szCs w:val="24"/>
        </w:rPr>
        <w:t>a budžetā iestrādājušas daļēji.</w:t>
      </w:r>
    </w:p>
    <w:p w:rsidR="00F23C3C" w:rsidRPr="003444EF" w:rsidRDefault="00F23C3C" w:rsidP="00F23C3C">
      <w:pPr>
        <w:jc w:val="both"/>
        <w:rPr>
          <w:color w:val="FF0000"/>
        </w:rPr>
      </w:pPr>
      <w:r>
        <w:rPr>
          <w:noProof/>
          <w:lang w:eastAsia="lv-LV"/>
        </w:rPr>
        <w:lastRenderedPageBreak/>
        <w:drawing>
          <wp:inline distT="0" distB="0" distL="0" distR="0" wp14:anchorId="67949AAD" wp14:editId="4AFED2C3">
            <wp:extent cx="5753735" cy="2794406"/>
            <wp:effectExtent l="0" t="0" r="18415" b="6350"/>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F23C3C" w:rsidRPr="007C49D3" w:rsidRDefault="007C49D3" w:rsidP="00F23C3C">
      <w:pPr>
        <w:spacing w:before="120"/>
        <w:jc w:val="center"/>
        <w:rPr>
          <w:b/>
          <w:sz w:val="22"/>
        </w:rPr>
      </w:pPr>
      <w:r w:rsidRPr="007C49D3">
        <w:rPr>
          <w:i/>
          <w:sz w:val="22"/>
        </w:rPr>
        <w:t>3.41</w:t>
      </w:r>
      <w:r w:rsidR="00F23C3C" w:rsidRPr="007C49D3">
        <w:rPr>
          <w:i/>
          <w:sz w:val="22"/>
        </w:rPr>
        <w:t>. att</w:t>
      </w:r>
      <w:r w:rsidR="00F23C3C" w:rsidRPr="007C49D3">
        <w:rPr>
          <w:sz w:val="22"/>
        </w:rPr>
        <w:t xml:space="preserve">. </w:t>
      </w:r>
      <w:r w:rsidR="00F23C3C" w:rsidRPr="007C49D3">
        <w:rPr>
          <w:b/>
          <w:sz w:val="22"/>
        </w:rPr>
        <w:t>Pašu ieņēmumu atlikums BNI sadalījumā pa pārraudzības iestādēm, milj.</w:t>
      </w:r>
      <w:r w:rsidR="00F23C3C" w:rsidRPr="007C49D3">
        <w:rPr>
          <w:b/>
          <w:i/>
          <w:sz w:val="22"/>
        </w:rPr>
        <w:t xml:space="preserve"> euro</w:t>
      </w:r>
    </w:p>
    <w:p w:rsidR="00F23C3C" w:rsidRPr="007C49D3" w:rsidRDefault="00F23C3C" w:rsidP="00F23C3C">
      <w:pPr>
        <w:jc w:val="both"/>
        <w:rPr>
          <w:b/>
          <w:szCs w:val="24"/>
        </w:rPr>
      </w:pPr>
    </w:p>
    <w:p w:rsidR="009A3085" w:rsidRPr="009A3085" w:rsidRDefault="00F23C3C" w:rsidP="009A3085">
      <w:pPr>
        <w:jc w:val="both"/>
      </w:pPr>
      <w:r w:rsidRPr="007C49D3">
        <w:tab/>
        <w:t xml:space="preserve">Aplūkojot </w:t>
      </w:r>
      <w:r w:rsidR="007C49D3" w:rsidRPr="007C49D3">
        <w:t>3.41.</w:t>
      </w:r>
      <w:r w:rsidRPr="007C49D3">
        <w:t>attēlu, secināms, ka kopumā BNI pašu ieņēmumu atlikums sadalījumā</w:t>
      </w:r>
      <w:r>
        <w:t xml:space="preserve"> pa pārraudzības iestādēm uz 2018.gada sākumu prognozējams 3,6 milj. </w:t>
      </w:r>
      <w:r w:rsidRPr="00074667">
        <w:rPr>
          <w:i/>
        </w:rPr>
        <w:t>euro</w:t>
      </w:r>
      <w:r>
        <w:t xml:space="preserve"> apmērā, t.sk SM 1,8 milj. </w:t>
      </w:r>
      <w:r w:rsidRPr="0036053D">
        <w:rPr>
          <w:i/>
        </w:rPr>
        <w:t>euro</w:t>
      </w:r>
      <w:r>
        <w:t xml:space="preserve">, TM 1,4 milj. </w:t>
      </w:r>
      <w:r w:rsidRPr="0036053D">
        <w:rPr>
          <w:i/>
        </w:rPr>
        <w:t>euro</w:t>
      </w:r>
      <w:r>
        <w:t xml:space="preserve"> un VM 0,4 milj. </w:t>
      </w:r>
      <w:r w:rsidRPr="0036053D">
        <w:rPr>
          <w:i/>
        </w:rPr>
        <w:t>euro</w:t>
      </w:r>
      <w:r>
        <w:t>.</w:t>
      </w:r>
    </w:p>
    <w:p w:rsidR="00F23C3C" w:rsidRPr="009A3085" w:rsidRDefault="00F23C3C" w:rsidP="009A3085">
      <w:pPr>
        <w:ind w:firstLine="720"/>
        <w:jc w:val="right"/>
      </w:pPr>
      <w:r w:rsidRPr="007C49D3">
        <w:t>Tabula Nr.</w:t>
      </w:r>
      <w:r w:rsidR="007C49D3" w:rsidRPr="007C49D3">
        <w:t>3.28</w:t>
      </w:r>
      <w:r w:rsidR="00121FBE">
        <w:t>.</w:t>
      </w:r>
    </w:p>
    <w:p w:rsidR="00F23C3C" w:rsidRPr="003D6C9F" w:rsidRDefault="00F23C3C" w:rsidP="00F23C3C">
      <w:pPr>
        <w:spacing w:after="120"/>
        <w:jc w:val="center"/>
        <w:rPr>
          <w:b/>
          <w:i/>
        </w:rPr>
      </w:pPr>
      <w:r>
        <w:rPr>
          <w:b/>
        </w:rPr>
        <w:t>Priekšlikumi BNI potenciālo resursu izmantošanai</w:t>
      </w:r>
      <w:r w:rsidRPr="00781949">
        <w:rPr>
          <w:b/>
        </w:rPr>
        <w:t>,</w:t>
      </w:r>
      <w:r>
        <w:rPr>
          <w:b/>
        </w:rPr>
        <w:t xml:space="preserve"> </w:t>
      </w:r>
      <w:r w:rsidRPr="00781949">
        <w:rPr>
          <w:b/>
          <w:i/>
        </w:rPr>
        <w:t>euro</w:t>
      </w:r>
    </w:p>
    <w:tbl>
      <w:tblPr>
        <w:tblW w:w="5000" w:type="pct"/>
        <w:jc w:val="center"/>
        <w:tblLook w:val="04A0" w:firstRow="1" w:lastRow="0" w:firstColumn="1" w:lastColumn="0" w:noHBand="0" w:noVBand="1"/>
      </w:tblPr>
      <w:tblGrid>
        <w:gridCol w:w="1381"/>
        <w:gridCol w:w="1524"/>
        <w:gridCol w:w="1325"/>
        <w:gridCol w:w="1370"/>
        <w:gridCol w:w="1325"/>
        <w:gridCol w:w="1241"/>
        <w:gridCol w:w="895"/>
      </w:tblGrid>
      <w:tr w:rsidR="00F23C3C" w:rsidRPr="00C90316" w:rsidTr="00117302">
        <w:trPr>
          <w:trHeight w:val="20"/>
          <w:tblHeader/>
          <w:jc w:val="center"/>
        </w:trPr>
        <w:tc>
          <w:tcPr>
            <w:tcW w:w="762" w:type="pct"/>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r w:rsidRPr="00C90316">
              <w:rPr>
                <w:rFonts w:eastAsia="Times New Roman" w:cs="Times New Roman"/>
                <w:b/>
                <w:color w:val="000000"/>
                <w:sz w:val="21"/>
                <w:szCs w:val="21"/>
                <w:lang w:eastAsia="lv-LV"/>
              </w:rPr>
              <w:t>Ministrija</w:t>
            </w:r>
          </w:p>
        </w:tc>
        <w:tc>
          <w:tcPr>
            <w:tcW w:w="841" w:type="pct"/>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r w:rsidRPr="00C90316">
              <w:rPr>
                <w:rFonts w:eastAsia="Times New Roman" w:cs="Times New Roman"/>
                <w:b/>
                <w:color w:val="000000"/>
                <w:sz w:val="21"/>
                <w:szCs w:val="21"/>
                <w:lang w:eastAsia="lv-LV"/>
              </w:rPr>
              <w:t>Iestāde</w:t>
            </w:r>
          </w:p>
        </w:tc>
        <w:tc>
          <w:tcPr>
            <w:tcW w:w="731" w:type="pct"/>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r w:rsidRPr="00C90316">
              <w:rPr>
                <w:rFonts w:eastAsia="Times New Roman" w:cs="Times New Roman"/>
                <w:b/>
                <w:color w:val="000000"/>
                <w:sz w:val="21"/>
                <w:szCs w:val="21"/>
                <w:lang w:eastAsia="lv-LV"/>
              </w:rPr>
              <w:t>Atlikums uz 01.01.2017.</w:t>
            </w:r>
          </w:p>
        </w:tc>
        <w:tc>
          <w:tcPr>
            <w:tcW w:w="756" w:type="pct"/>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r w:rsidRPr="00C90316">
              <w:rPr>
                <w:rFonts w:eastAsia="Times New Roman" w:cs="Times New Roman"/>
                <w:b/>
                <w:color w:val="000000"/>
                <w:sz w:val="21"/>
                <w:szCs w:val="21"/>
                <w:lang w:eastAsia="lv-LV"/>
              </w:rPr>
              <w:t>2017.gada budžetā iestrādātais atlikums</w:t>
            </w:r>
          </w:p>
        </w:tc>
        <w:tc>
          <w:tcPr>
            <w:tcW w:w="731" w:type="pct"/>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r w:rsidRPr="00C90316">
              <w:rPr>
                <w:rFonts w:eastAsia="Times New Roman" w:cs="Times New Roman"/>
                <w:b/>
                <w:color w:val="000000"/>
                <w:sz w:val="21"/>
                <w:szCs w:val="21"/>
                <w:lang w:eastAsia="lv-LV"/>
              </w:rPr>
              <w:t>Atlikums uz 01.01.2018.</w:t>
            </w:r>
          </w:p>
        </w:tc>
        <w:tc>
          <w:tcPr>
            <w:tcW w:w="1179" w:type="pct"/>
            <w:gridSpan w:val="2"/>
            <w:tcBorders>
              <w:top w:val="single" w:sz="4" w:space="0" w:color="auto"/>
              <w:left w:val="nil"/>
              <w:bottom w:val="single" w:sz="4" w:space="0" w:color="auto"/>
              <w:right w:val="single" w:sz="4" w:space="0" w:color="000000"/>
            </w:tcBorders>
            <w:shd w:val="clear" w:color="auto" w:fill="C5E0B3" w:themeFill="accent6" w:themeFillTint="66"/>
            <w:vAlign w:val="center"/>
            <w:hideMark/>
          </w:tcPr>
          <w:p w:rsidR="00F23C3C" w:rsidRPr="00C90316" w:rsidRDefault="00F23C3C" w:rsidP="00963A50">
            <w:pPr>
              <w:ind w:left="-171" w:right="-115"/>
              <w:jc w:val="center"/>
              <w:rPr>
                <w:rFonts w:eastAsia="Times New Roman" w:cs="Times New Roman"/>
                <w:b/>
                <w:color w:val="000000"/>
                <w:sz w:val="21"/>
                <w:szCs w:val="21"/>
                <w:lang w:eastAsia="lv-LV"/>
              </w:rPr>
            </w:pPr>
            <w:r w:rsidRPr="00C90316">
              <w:rPr>
                <w:rFonts w:eastAsia="Times New Roman" w:cs="Times New Roman"/>
                <w:b/>
                <w:color w:val="000000"/>
                <w:sz w:val="21"/>
                <w:szCs w:val="21"/>
                <w:lang w:eastAsia="lv-LV"/>
              </w:rPr>
              <w:t>Priekšlikumi transfertiem uz valsts budžetu 2018.gadam</w:t>
            </w:r>
          </w:p>
        </w:tc>
      </w:tr>
      <w:tr w:rsidR="00F23C3C" w:rsidRPr="00C90316" w:rsidTr="00117302">
        <w:trPr>
          <w:trHeight w:val="20"/>
          <w:tblHeader/>
          <w:jc w:val="center"/>
        </w:trPr>
        <w:tc>
          <w:tcPr>
            <w:tcW w:w="762" w:type="pct"/>
            <w:vMerge/>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p>
        </w:tc>
        <w:tc>
          <w:tcPr>
            <w:tcW w:w="841" w:type="pct"/>
            <w:vMerge/>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p>
        </w:tc>
        <w:tc>
          <w:tcPr>
            <w:tcW w:w="731" w:type="pct"/>
            <w:vMerge/>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p>
        </w:tc>
        <w:tc>
          <w:tcPr>
            <w:tcW w:w="756" w:type="pct"/>
            <w:vMerge/>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p>
        </w:tc>
        <w:tc>
          <w:tcPr>
            <w:tcW w:w="731" w:type="pct"/>
            <w:vMerge/>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p>
        </w:tc>
        <w:tc>
          <w:tcPr>
            <w:tcW w:w="685" w:type="pct"/>
            <w:tcBorders>
              <w:top w:val="nil"/>
              <w:left w:val="nil"/>
              <w:bottom w:val="single" w:sz="4" w:space="0" w:color="auto"/>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i/>
                <w:iCs/>
                <w:color w:val="000000"/>
                <w:sz w:val="21"/>
                <w:szCs w:val="21"/>
                <w:lang w:eastAsia="lv-LV"/>
              </w:rPr>
            </w:pPr>
            <w:r w:rsidRPr="00C90316">
              <w:rPr>
                <w:rFonts w:eastAsia="Times New Roman" w:cs="Times New Roman"/>
                <w:b/>
                <w:i/>
                <w:iCs/>
                <w:color w:val="000000"/>
                <w:sz w:val="21"/>
                <w:szCs w:val="21"/>
                <w:lang w:eastAsia="lv-LV"/>
              </w:rPr>
              <w:t>euro</w:t>
            </w:r>
          </w:p>
        </w:tc>
        <w:tc>
          <w:tcPr>
            <w:tcW w:w="494" w:type="pct"/>
            <w:tcBorders>
              <w:top w:val="nil"/>
              <w:left w:val="nil"/>
              <w:bottom w:val="single" w:sz="4" w:space="0" w:color="auto"/>
              <w:right w:val="single" w:sz="4" w:space="0" w:color="auto"/>
            </w:tcBorders>
            <w:shd w:val="clear" w:color="auto" w:fill="C5E0B3" w:themeFill="accent6" w:themeFillTint="66"/>
            <w:vAlign w:val="center"/>
            <w:hideMark/>
          </w:tcPr>
          <w:p w:rsidR="00F23C3C" w:rsidRPr="00C90316" w:rsidRDefault="00F23C3C" w:rsidP="00963A50">
            <w:pPr>
              <w:jc w:val="center"/>
              <w:rPr>
                <w:rFonts w:eastAsia="Times New Roman" w:cs="Times New Roman"/>
                <w:b/>
                <w:color w:val="000000"/>
                <w:sz w:val="21"/>
                <w:szCs w:val="21"/>
                <w:lang w:eastAsia="lv-LV"/>
              </w:rPr>
            </w:pPr>
            <w:r w:rsidRPr="00C90316">
              <w:rPr>
                <w:rFonts w:eastAsia="Times New Roman" w:cs="Times New Roman"/>
                <w:b/>
                <w:color w:val="000000"/>
                <w:sz w:val="21"/>
                <w:szCs w:val="21"/>
                <w:lang w:eastAsia="lv-LV"/>
              </w:rPr>
              <w:t>%</w:t>
            </w:r>
          </w:p>
        </w:tc>
      </w:tr>
      <w:tr w:rsidR="00F23C3C" w:rsidRPr="00C90316" w:rsidTr="00963A50">
        <w:trPr>
          <w:trHeight w:val="20"/>
          <w:jc w:val="center"/>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TM</w:t>
            </w:r>
          </w:p>
        </w:tc>
        <w:tc>
          <w:tcPr>
            <w:tcW w:w="841" w:type="pct"/>
            <w:tcBorders>
              <w:top w:val="nil"/>
              <w:left w:val="nil"/>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LRPV</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2 082 313</w:t>
            </w:r>
          </w:p>
        </w:tc>
        <w:tc>
          <w:tcPr>
            <w:tcW w:w="756"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701 215</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1 381 098</w:t>
            </w:r>
          </w:p>
        </w:tc>
        <w:tc>
          <w:tcPr>
            <w:tcW w:w="685"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690 549</w:t>
            </w:r>
          </w:p>
        </w:tc>
        <w:tc>
          <w:tcPr>
            <w:tcW w:w="494"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50%</w:t>
            </w:r>
          </w:p>
        </w:tc>
      </w:tr>
      <w:tr w:rsidR="00F23C3C" w:rsidRPr="00C90316" w:rsidTr="00963A50">
        <w:trPr>
          <w:trHeight w:val="20"/>
          <w:jc w:val="center"/>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SM</w:t>
            </w:r>
          </w:p>
        </w:tc>
        <w:tc>
          <w:tcPr>
            <w:tcW w:w="841" w:type="pct"/>
            <w:tcBorders>
              <w:top w:val="nil"/>
              <w:left w:val="nil"/>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CAA</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1 584 687</w:t>
            </w:r>
          </w:p>
        </w:tc>
        <w:tc>
          <w:tcPr>
            <w:tcW w:w="756"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rPr>
                <w:rFonts w:eastAsia="Times New Roman" w:cs="Times New Roman"/>
                <w:color w:val="000000"/>
                <w:sz w:val="21"/>
                <w:szCs w:val="21"/>
                <w:lang w:eastAsia="lv-LV"/>
              </w:rPr>
            </w:pPr>
            <w:r w:rsidRPr="00C90316">
              <w:rPr>
                <w:rFonts w:eastAsia="Times New Roman" w:cs="Times New Roman"/>
                <w:color w:val="000000"/>
                <w:sz w:val="21"/>
                <w:szCs w:val="21"/>
                <w:lang w:eastAsia="lv-LV"/>
              </w:rPr>
              <w:t> </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1 584 687</w:t>
            </w:r>
          </w:p>
        </w:tc>
        <w:tc>
          <w:tcPr>
            <w:tcW w:w="685"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792 343</w:t>
            </w:r>
          </w:p>
        </w:tc>
        <w:tc>
          <w:tcPr>
            <w:tcW w:w="494"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50%</w:t>
            </w:r>
          </w:p>
        </w:tc>
      </w:tr>
      <w:tr w:rsidR="00F23C3C" w:rsidRPr="00C90316" w:rsidTr="00963A50">
        <w:trPr>
          <w:trHeight w:val="20"/>
          <w:jc w:val="center"/>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SM</w:t>
            </w:r>
          </w:p>
        </w:tc>
        <w:tc>
          <w:tcPr>
            <w:tcW w:w="841" w:type="pct"/>
            <w:tcBorders>
              <w:top w:val="nil"/>
              <w:left w:val="nil"/>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VDA</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155 154</w:t>
            </w:r>
          </w:p>
        </w:tc>
        <w:tc>
          <w:tcPr>
            <w:tcW w:w="756"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rPr>
                <w:rFonts w:eastAsia="Times New Roman" w:cs="Times New Roman"/>
                <w:color w:val="000000"/>
                <w:sz w:val="21"/>
                <w:szCs w:val="21"/>
                <w:lang w:eastAsia="lv-LV"/>
              </w:rPr>
            </w:pPr>
            <w:r w:rsidRPr="00C90316">
              <w:rPr>
                <w:rFonts w:eastAsia="Times New Roman" w:cs="Times New Roman"/>
                <w:color w:val="000000"/>
                <w:sz w:val="21"/>
                <w:szCs w:val="21"/>
                <w:lang w:eastAsia="lv-LV"/>
              </w:rPr>
              <w:t> </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155 154</w:t>
            </w:r>
          </w:p>
        </w:tc>
        <w:tc>
          <w:tcPr>
            <w:tcW w:w="685"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F25738">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15 51</w:t>
            </w:r>
            <w:r w:rsidR="00F25738">
              <w:rPr>
                <w:rFonts w:eastAsia="Times New Roman" w:cs="Times New Roman"/>
                <w:color w:val="000000"/>
                <w:sz w:val="21"/>
                <w:szCs w:val="21"/>
                <w:lang w:eastAsia="lv-LV"/>
              </w:rPr>
              <w:t>6</w:t>
            </w:r>
          </w:p>
        </w:tc>
        <w:tc>
          <w:tcPr>
            <w:tcW w:w="494"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10%</w:t>
            </w:r>
          </w:p>
        </w:tc>
      </w:tr>
      <w:tr w:rsidR="00F23C3C" w:rsidRPr="00C90316" w:rsidTr="00963A50">
        <w:trPr>
          <w:trHeight w:val="20"/>
          <w:jc w:val="center"/>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SM</w:t>
            </w:r>
          </w:p>
        </w:tc>
        <w:tc>
          <w:tcPr>
            <w:tcW w:w="841" w:type="pct"/>
            <w:tcBorders>
              <w:top w:val="nil"/>
              <w:left w:val="nil"/>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VDZTI</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65 612</w:t>
            </w:r>
          </w:p>
        </w:tc>
        <w:tc>
          <w:tcPr>
            <w:tcW w:w="756"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rPr>
                <w:rFonts w:eastAsia="Times New Roman" w:cs="Times New Roman"/>
                <w:color w:val="000000"/>
                <w:sz w:val="21"/>
                <w:szCs w:val="21"/>
                <w:lang w:eastAsia="lv-LV"/>
              </w:rPr>
            </w:pPr>
            <w:r w:rsidRPr="00C90316">
              <w:rPr>
                <w:rFonts w:eastAsia="Times New Roman" w:cs="Times New Roman"/>
                <w:color w:val="000000"/>
                <w:sz w:val="21"/>
                <w:szCs w:val="21"/>
                <w:lang w:eastAsia="lv-LV"/>
              </w:rPr>
              <w:t> </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65 612</w:t>
            </w:r>
          </w:p>
        </w:tc>
        <w:tc>
          <w:tcPr>
            <w:tcW w:w="685"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6 561</w:t>
            </w:r>
          </w:p>
        </w:tc>
        <w:tc>
          <w:tcPr>
            <w:tcW w:w="494"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10%</w:t>
            </w:r>
          </w:p>
        </w:tc>
      </w:tr>
      <w:tr w:rsidR="00F23C3C" w:rsidRPr="00C90316" w:rsidTr="00963A50">
        <w:trPr>
          <w:trHeight w:val="20"/>
          <w:jc w:val="center"/>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VM</w:t>
            </w:r>
          </w:p>
        </w:tc>
        <w:tc>
          <w:tcPr>
            <w:tcW w:w="841" w:type="pct"/>
            <w:tcBorders>
              <w:top w:val="nil"/>
              <w:left w:val="nil"/>
              <w:bottom w:val="single" w:sz="4" w:space="0" w:color="auto"/>
              <w:right w:val="single" w:sz="4" w:space="0" w:color="auto"/>
            </w:tcBorders>
            <w:shd w:val="clear" w:color="auto" w:fill="auto"/>
            <w:noWrap/>
            <w:vAlign w:val="bottom"/>
            <w:hideMark/>
          </w:tcPr>
          <w:p w:rsidR="00F23C3C" w:rsidRPr="0057097E" w:rsidRDefault="00F23C3C" w:rsidP="00963A50">
            <w:pPr>
              <w:rPr>
                <w:rFonts w:eastAsia="Times New Roman" w:cs="Times New Roman"/>
                <w:b/>
                <w:sz w:val="21"/>
                <w:szCs w:val="21"/>
                <w:lang w:eastAsia="lv-LV"/>
              </w:rPr>
            </w:pPr>
            <w:r w:rsidRPr="0057097E">
              <w:rPr>
                <w:rFonts w:eastAsia="Times New Roman" w:cs="Times New Roman"/>
                <w:b/>
                <w:sz w:val="21"/>
                <w:szCs w:val="21"/>
                <w:lang w:eastAsia="lv-LV"/>
              </w:rPr>
              <w:t>ZVA</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968 620</w:t>
            </w:r>
          </w:p>
        </w:tc>
        <w:tc>
          <w:tcPr>
            <w:tcW w:w="756"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603 879</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364 741</w:t>
            </w:r>
          </w:p>
        </w:tc>
        <w:tc>
          <w:tcPr>
            <w:tcW w:w="685"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36 474</w:t>
            </w:r>
          </w:p>
        </w:tc>
        <w:tc>
          <w:tcPr>
            <w:tcW w:w="494"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color w:val="000000"/>
                <w:sz w:val="21"/>
                <w:szCs w:val="21"/>
                <w:lang w:eastAsia="lv-LV"/>
              </w:rPr>
            </w:pPr>
            <w:r w:rsidRPr="00C90316">
              <w:rPr>
                <w:rFonts w:eastAsia="Times New Roman" w:cs="Times New Roman"/>
                <w:color w:val="000000"/>
                <w:sz w:val="21"/>
                <w:szCs w:val="21"/>
                <w:lang w:eastAsia="lv-LV"/>
              </w:rPr>
              <w:t>10%</w:t>
            </w:r>
          </w:p>
        </w:tc>
      </w:tr>
      <w:tr w:rsidR="00F23C3C" w:rsidRPr="00C90316" w:rsidTr="00963A50">
        <w:trPr>
          <w:trHeight w:val="20"/>
          <w:jc w:val="center"/>
        </w:trPr>
        <w:tc>
          <w:tcPr>
            <w:tcW w:w="762" w:type="pct"/>
            <w:tcBorders>
              <w:top w:val="nil"/>
              <w:left w:val="single" w:sz="4" w:space="0" w:color="auto"/>
              <w:bottom w:val="single" w:sz="4" w:space="0" w:color="auto"/>
              <w:right w:val="single" w:sz="4" w:space="0" w:color="auto"/>
            </w:tcBorders>
            <w:shd w:val="clear" w:color="auto" w:fill="auto"/>
            <w:noWrap/>
            <w:vAlign w:val="bottom"/>
            <w:hideMark/>
          </w:tcPr>
          <w:p w:rsidR="00F23C3C" w:rsidRPr="00C90316" w:rsidRDefault="00F23C3C" w:rsidP="00963A50">
            <w:pPr>
              <w:rPr>
                <w:rFonts w:eastAsia="Times New Roman" w:cs="Times New Roman"/>
                <w:color w:val="000000"/>
                <w:sz w:val="21"/>
                <w:szCs w:val="21"/>
                <w:lang w:eastAsia="lv-LV"/>
              </w:rPr>
            </w:pPr>
            <w:r w:rsidRPr="00C90316">
              <w:rPr>
                <w:rFonts w:eastAsia="Times New Roman" w:cs="Times New Roman"/>
                <w:color w:val="000000"/>
                <w:sz w:val="21"/>
                <w:szCs w:val="21"/>
                <w:lang w:eastAsia="lv-LV"/>
              </w:rPr>
              <w:t> </w:t>
            </w:r>
          </w:p>
        </w:tc>
        <w:tc>
          <w:tcPr>
            <w:tcW w:w="84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b/>
                <w:bCs/>
                <w:color w:val="000000"/>
                <w:sz w:val="21"/>
                <w:szCs w:val="21"/>
                <w:lang w:eastAsia="lv-LV"/>
              </w:rPr>
            </w:pPr>
            <w:r w:rsidRPr="00C90316">
              <w:rPr>
                <w:rFonts w:eastAsia="Times New Roman" w:cs="Times New Roman"/>
                <w:b/>
                <w:bCs/>
                <w:color w:val="000000"/>
                <w:sz w:val="21"/>
                <w:szCs w:val="21"/>
                <w:lang w:eastAsia="lv-LV"/>
              </w:rPr>
              <w:t>Kopā</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b/>
                <w:bCs/>
                <w:color w:val="000000"/>
                <w:sz w:val="21"/>
                <w:szCs w:val="21"/>
                <w:lang w:eastAsia="lv-LV"/>
              </w:rPr>
            </w:pPr>
            <w:r w:rsidRPr="00C90316">
              <w:rPr>
                <w:rFonts w:eastAsia="Times New Roman" w:cs="Times New Roman"/>
                <w:b/>
                <w:bCs/>
                <w:color w:val="000000"/>
                <w:sz w:val="21"/>
                <w:szCs w:val="21"/>
                <w:lang w:eastAsia="lv-LV"/>
              </w:rPr>
              <w:t>5 032 202</w:t>
            </w:r>
          </w:p>
        </w:tc>
        <w:tc>
          <w:tcPr>
            <w:tcW w:w="756"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b/>
                <w:bCs/>
                <w:color w:val="000000"/>
                <w:sz w:val="21"/>
                <w:szCs w:val="21"/>
                <w:lang w:eastAsia="lv-LV"/>
              </w:rPr>
            </w:pPr>
            <w:r w:rsidRPr="00C90316">
              <w:rPr>
                <w:rFonts w:eastAsia="Times New Roman" w:cs="Times New Roman"/>
                <w:b/>
                <w:bCs/>
                <w:color w:val="000000"/>
                <w:sz w:val="21"/>
                <w:szCs w:val="21"/>
                <w:lang w:eastAsia="lv-LV"/>
              </w:rPr>
              <w:t>1 480 911</w:t>
            </w:r>
          </w:p>
        </w:tc>
        <w:tc>
          <w:tcPr>
            <w:tcW w:w="731"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b/>
                <w:bCs/>
                <w:color w:val="000000"/>
                <w:sz w:val="21"/>
                <w:szCs w:val="21"/>
                <w:lang w:eastAsia="lv-LV"/>
              </w:rPr>
            </w:pPr>
            <w:r w:rsidRPr="00C90316">
              <w:rPr>
                <w:rFonts w:eastAsia="Times New Roman" w:cs="Times New Roman"/>
                <w:b/>
                <w:bCs/>
                <w:color w:val="000000"/>
                <w:sz w:val="21"/>
                <w:szCs w:val="21"/>
                <w:lang w:eastAsia="lv-LV"/>
              </w:rPr>
              <w:t>3 551 291</w:t>
            </w:r>
          </w:p>
        </w:tc>
        <w:tc>
          <w:tcPr>
            <w:tcW w:w="685"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b/>
                <w:bCs/>
                <w:color w:val="000000"/>
                <w:sz w:val="21"/>
                <w:szCs w:val="21"/>
                <w:lang w:eastAsia="lv-LV"/>
              </w:rPr>
            </w:pPr>
            <w:r w:rsidRPr="00C90316">
              <w:rPr>
                <w:rFonts w:eastAsia="Times New Roman" w:cs="Times New Roman"/>
                <w:b/>
                <w:bCs/>
                <w:color w:val="000000"/>
                <w:sz w:val="21"/>
                <w:szCs w:val="21"/>
                <w:lang w:eastAsia="lv-LV"/>
              </w:rPr>
              <w:t>1 541 443</w:t>
            </w:r>
          </w:p>
        </w:tc>
        <w:tc>
          <w:tcPr>
            <w:tcW w:w="494" w:type="pct"/>
            <w:tcBorders>
              <w:top w:val="nil"/>
              <w:left w:val="nil"/>
              <w:bottom w:val="single" w:sz="4" w:space="0" w:color="auto"/>
              <w:right w:val="single" w:sz="4" w:space="0" w:color="auto"/>
            </w:tcBorders>
            <w:shd w:val="clear" w:color="auto" w:fill="auto"/>
            <w:noWrap/>
            <w:vAlign w:val="bottom"/>
            <w:hideMark/>
          </w:tcPr>
          <w:p w:rsidR="00F23C3C" w:rsidRPr="00C90316" w:rsidRDefault="00F23C3C" w:rsidP="00963A50">
            <w:pPr>
              <w:jc w:val="right"/>
              <w:rPr>
                <w:rFonts w:eastAsia="Times New Roman" w:cs="Times New Roman"/>
                <w:b/>
                <w:bCs/>
                <w:color w:val="000000"/>
                <w:sz w:val="21"/>
                <w:szCs w:val="21"/>
                <w:lang w:eastAsia="lv-LV"/>
              </w:rPr>
            </w:pPr>
            <w:r w:rsidRPr="00C90316">
              <w:rPr>
                <w:rFonts w:eastAsia="Times New Roman" w:cs="Times New Roman"/>
                <w:b/>
                <w:bCs/>
                <w:color w:val="000000"/>
                <w:sz w:val="21"/>
                <w:szCs w:val="21"/>
                <w:lang w:eastAsia="lv-LV"/>
              </w:rPr>
              <w:t>43%</w:t>
            </w:r>
          </w:p>
        </w:tc>
      </w:tr>
    </w:tbl>
    <w:p w:rsidR="00F23C3C" w:rsidRDefault="00F23C3C" w:rsidP="00F23C3C">
      <w:pPr>
        <w:jc w:val="both"/>
      </w:pPr>
    </w:p>
    <w:p w:rsidR="00F23C3C" w:rsidRDefault="00F23C3C" w:rsidP="007C49D3">
      <w:pPr>
        <w:jc w:val="both"/>
      </w:pPr>
      <w:r>
        <w:tab/>
        <w:t xml:space="preserve">Pēc veiktās BNI pašu ieņēmumu atlikumu izvērtēšanas, FM ieskatā BNI uzkrātos pašu </w:t>
      </w:r>
      <w:r w:rsidRPr="007C49D3">
        <w:t>ieņēmumu atlikumus atbilstoši tabulā Nr.</w:t>
      </w:r>
      <w:r w:rsidR="007C49D3" w:rsidRPr="007C49D3">
        <w:t>3.28</w:t>
      </w:r>
      <w:r w:rsidR="00121FBE">
        <w:t>.</w:t>
      </w:r>
      <w:r w:rsidRPr="007C49D3">
        <w:rPr>
          <w:color w:val="FF0000"/>
        </w:rPr>
        <w:t xml:space="preserve"> </w:t>
      </w:r>
      <w:r w:rsidRPr="007C49D3">
        <w:t>norādītajam ir iespējams novirzīt ministriju</w:t>
      </w:r>
      <w:r>
        <w:t xml:space="preserve"> pamatbudžetam, v</w:t>
      </w:r>
      <w:r w:rsidR="009A3085">
        <w:t>eicot transferta pārskaitījumu.</w:t>
      </w:r>
    </w:p>
    <w:p w:rsidR="00F23C3C" w:rsidRPr="009A3085" w:rsidRDefault="009A3085" w:rsidP="007C49D3">
      <w:pPr>
        <w:spacing w:before="240" w:after="120"/>
        <w:jc w:val="both"/>
        <w:rPr>
          <w:b/>
          <w:color w:val="000000" w:themeColor="text1"/>
        </w:rPr>
      </w:pPr>
      <w:r>
        <w:rPr>
          <w:b/>
          <w:color w:val="000000" w:themeColor="text1"/>
        </w:rPr>
        <w:t>Secinājumi</w:t>
      </w:r>
    </w:p>
    <w:p w:rsidR="00F23C3C" w:rsidRPr="00117302" w:rsidRDefault="00F23C3C" w:rsidP="00117302">
      <w:pPr>
        <w:jc w:val="both"/>
      </w:pPr>
      <w:r>
        <w:rPr>
          <w:b/>
          <w:color w:val="FF0000"/>
        </w:rPr>
        <w:tab/>
      </w:r>
      <w:r w:rsidRPr="00C6711C">
        <w:t xml:space="preserve">Veicot </w:t>
      </w:r>
      <w:r>
        <w:t xml:space="preserve">pašu ieņēmumu atlikumu </w:t>
      </w:r>
      <w:r w:rsidRPr="007C49D3">
        <w:t>izvērtēšanu, secināms, ka ministriju rīcībā ir potenciālie papildu resursi izdevumu segšanai (sk</w:t>
      </w:r>
      <w:r w:rsidR="007C49D3" w:rsidRPr="007C49D3">
        <w:t>at</w:t>
      </w:r>
      <w:r w:rsidRPr="007C49D3">
        <w:t>. tabulu Nr.</w:t>
      </w:r>
      <w:r w:rsidR="007C49D3" w:rsidRPr="007C49D3">
        <w:t>3.29</w:t>
      </w:r>
      <w:r w:rsidR="00121FBE">
        <w:t>.</w:t>
      </w:r>
      <w:r w:rsidRPr="007C49D3">
        <w:t xml:space="preserve"> un Nr.</w:t>
      </w:r>
      <w:r w:rsidR="007C49D3" w:rsidRPr="007C49D3">
        <w:t>3.30</w:t>
      </w:r>
      <w:r w:rsidR="00121FBE">
        <w:t>.</w:t>
      </w:r>
      <w:r w:rsidR="00117302" w:rsidRPr="007C49D3">
        <w:t>).</w:t>
      </w:r>
      <w:r w:rsidR="00117302">
        <w:t xml:space="preserve"> </w:t>
      </w:r>
    </w:p>
    <w:p w:rsidR="00F23C3C" w:rsidRPr="00117302" w:rsidRDefault="00117302" w:rsidP="00DF526F">
      <w:pPr>
        <w:spacing w:before="120" w:after="120"/>
        <w:ind w:firstLine="720"/>
        <w:jc w:val="right"/>
      </w:pPr>
      <w:r w:rsidRPr="007C49D3">
        <w:t>Tabula Nr.</w:t>
      </w:r>
      <w:r w:rsidR="007C49D3" w:rsidRPr="007C49D3">
        <w:t>3.29</w:t>
      </w:r>
      <w:r w:rsidR="00121FBE">
        <w:t>.</w:t>
      </w:r>
    </w:p>
    <w:p w:rsidR="00F23C3C" w:rsidRPr="00D4319D" w:rsidRDefault="00F23C3C" w:rsidP="00F23C3C">
      <w:pPr>
        <w:spacing w:after="120"/>
        <w:jc w:val="center"/>
        <w:rPr>
          <w:b/>
          <w:i/>
        </w:rPr>
      </w:pPr>
      <w:r>
        <w:rPr>
          <w:b/>
        </w:rPr>
        <w:t>Potenciālie resursi 2018.gadam</w:t>
      </w:r>
      <w:r w:rsidRPr="00781949">
        <w:rPr>
          <w:b/>
        </w:rPr>
        <w:t>,</w:t>
      </w:r>
      <w:r>
        <w:rPr>
          <w:b/>
        </w:rPr>
        <w:t xml:space="preserve"> </w:t>
      </w:r>
      <w:r w:rsidRPr="00781949">
        <w:rPr>
          <w:b/>
          <w:i/>
        </w:rPr>
        <w:t>euro</w:t>
      </w:r>
    </w:p>
    <w:tbl>
      <w:tblPr>
        <w:tblW w:w="9067" w:type="dxa"/>
        <w:tblLook w:val="04A0" w:firstRow="1" w:lastRow="0" w:firstColumn="1" w:lastColumn="0" w:noHBand="0" w:noVBand="1"/>
      </w:tblPr>
      <w:tblGrid>
        <w:gridCol w:w="1555"/>
        <w:gridCol w:w="1438"/>
        <w:gridCol w:w="1559"/>
        <w:gridCol w:w="1539"/>
        <w:gridCol w:w="1417"/>
        <w:gridCol w:w="1559"/>
      </w:tblGrid>
      <w:tr w:rsidR="00F23C3C" w:rsidRPr="00387EA6" w:rsidTr="00DF526F">
        <w:trPr>
          <w:trHeight w:val="315"/>
          <w:tblHeader/>
        </w:trPr>
        <w:tc>
          <w:tcPr>
            <w:tcW w:w="1555"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F23C3C" w:rsidRPr="00387EA6" w:rsidRDefault="00F23C3C" w:rsidP="00963A50">
            <w:pPr>
              <w:jc w:val="center"/>
              <w:rPr>
                <w:rFonts w:eastAsia="Times New Roman" w:cs="Times New Roman"/>
                <w:b/>
                <w:bCs/>
                <w:color w:val="000000"/>
                <w:sz w:val="21"/>
                <w:szCs w:val="21"/>
                <w:lang w:eastAsia="lv-LV"/>
              </w:rPr>
            </w:pPr>
            <w:r w:rsidRPr="00387EA6">
              <w:rPr>
                <w:rFonts w:eastAsia="Times New Roman" w:cs="Times New Roman"/>
                <w:b/>
                <w:bCs/>
                <w:color w:val="000000"/>
                <w:sz w:val="21"/>
                <w:szCs w:val="21"/>
                <w:lang w:eastAsia="lv-LV"/>
              </w:rPr>
              <w:t>Ministrija</w:t>
            </w:r>
          </w:p>
        </w:tc>
        <w:tc>
          <w:tcPr>
            <w:tcW w:w="2997" w:type="dxa"/>
            <w:gridSpan w:val="2"/>
            <w:tcBorders>
              <w:top w:val="single" w:sz="4" w:space="0" w:color="auto"/>
              <w:left w:val="nil"/>
              <w:bottom w:val="single" w:sz="4" w:space="0" w:color="auto"/>
              <w:right w:val="single" w:sz="4" w:space="0" w:color="000000"/>
            </w:tcBorders>
            <w:shd w:val="clear" w:color="auto" w:fill="C5E0B3" w:themeFill="accent6" w:themeFillTint="66"/>
            <w:vAlign w:val="center"/>
            <w:hideMark/>
          </w:tcPr>
          <w:p w:rsidR="00F23C3C" w:rsidRPr="00387EA6" w:rsidRDefault="00F23C3C" w:rsidP="00963A50">
            <w:pPr>
              <w:jc w:val="center"/>
              <w:rPr>
                <w:rFonts w:eastAsia="Times New Roman" w:cs="Times New Roman"/>
                <w:b/>
                <w:bCs/>
                <w:color w:val="000000"/>
                <w:sz w:val="21"/>
                <w:szCs w:val="21"/>
                <w:lang w:eastAsia="lv-LV"/>
              </w:rPr>
            </w:pPr>
            <w:r w:rsidRPr="00387EA6">
              <w:rPr>
                <w:rFonts w:eastAsia="Times New Roman" w:cs="Times New Roman"/>
                <w:b/>
                <w:bCs/>
                <w:color w:val="000000"/>
                <w:sz w:val="21"/>
                <w:szCs w:val="21"/>
                <w:lang w:eastAsia="lv-LV"/>
              </w:rPr>
              <w:t>Pašu ieņēmumu finansētām programmām</w:t>
            </w:r>
          </w:p>
        </w:tc>
        <w:tc>
          <w:tcPr>
            <w:tcW w:w="1539" w:type="dxa"/>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387EA6" w:rsidRDefault="00F23C3C" w:rsidP="00963A50">
            <w:pPr>
              <w:jc w:val="center"/>
              <w:rPr>
                <w:rFonts w:eastAsia="Times New Roman" w:cs="Times New Roman"/>
                <w:b/>
                <w:bCs/>
                <w:color w:val="000000"/>
                <w:sz w:val="21"/>
                <w:szCs w:val="21"/>
                <w:lang w:eastAsia="lv-LV"/>
              </w:rPr>
            </w:pPr>
            <w:r w:rsidRPr="00387EA6">
              <w:rPr>
                <w:rFonts w:eastAsia="Times New Roman" w:cs="Times New Roman"/>
                <w:b/>
                <w:bCs/>
                <w:color w:val="000000"/>
                <w:sz w:val="21"/>
                <w:szCs w:val="21"/>
                <w:lang w:eastAsia="lv-LV"/>
              </w:rPr>
              <w:t>Kombinētā finansējuma programmām</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387EA6" w:rsidRDefault="00F23C3C" w:rsidP="00963A50">
            <w:pPr>
              <w:jc w:val="center"/>
              <w:rPr>
                <w:rFonts w:eastAsia="Times New Roman" w:cs="Times New Roman"/>
                <w:b/>
                <w:bCs/>
                <w:color w:val="000000"/>
                <w:sz w:val="21"/>
                <w:szCs w:val="21"/>
                <w:lang w:eastAsia="lv-LV"/>
              </w:rPr>
            </w:pPr>
            <w:r w:rsidRPr="00387EA6">
              <w:rPr>
                <w:rFonts w:eastAsia="Times New Roman" w:cs="Times New Roman"/>
                <w:b/>
                <w:bCs/>
                <w:color w:val="000000"/>
                <w:sz w:val="21"/>
                <w:szCs w:val="21"/>
                <w:lang w:eastAsia="lv-LV"/>
              </w:rPr>
              <w:t>BNI</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rsidR="00F23C3C" w:rsidRPr="00387EA6" w:rsidRDefault="00F23C3C" w:rsidP="00963A50">
            <w:pPr>
              <w:jc w:val="center"/>
              <w:rPr>
                <w:rFonts w:eastAsia="Times New Roman" w:cs="Times New Roman"/>
                <w:b/>
                <w:bCs/>
                <w:color w:val="000000"/>
                <w:sz w:val="21"/>
                <w:szCs w:val="21"/>
                <w:lang w:eastAsia="lv-LV"/>
              </w:rPr>
            </w:pPr>
            <w:r w:rsidRPr="00387EA6">
              <w:rPr>
                <w:rFonts w:eastAsia="Times New Roman" w:cs="Times New Roman"/>
                <w:b/>
                <w:bCs/>
                <w:color w:val="000000"/>
                <w:sz w:val="21"/>
                <w:szCs w:val="21"/>
                <w:lang w:eastAsia="lv-LV"/>
              </w:rPr>
              <w:t>Kopā</w:t>
            </w:r>
          </w:p>
        </w:tc>
      </w:tr>
      <w:tr w:rsidR="00F23C3C" w:rsidRPr="00387EA6" w:rsidTr="00DF526F">
        <w:trPr>
          <w:trHeight w:val="439"/>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F23C3C" w:rsidRPr="00387EA6" w:rsidRDefault="00F23C3C" w:rsidP="00963A50">
            <w:pPr>
              <w:rPr>
                <w:rFonts w:eastAsia="Times New Roman" w:cs="Times New Roman"/>
                <w:b/>
                <w:bCs/>
                <w:color w:val="000000"/>
                <w:szCs w:val="24"/>
                <w:lang w:eastAsia="lv-LV"/>
              </w:rPr>
            </w:pPr>
          </w:p>
        </w:tc>
        <w:tc>
          <w:tcPr>
            <w:tcW w:w="1438"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387EA6" w:rsidRDefault="00F23C3C" w:rsidP="00963A50">
            <w:pPr>
              <w:ind w:left="-108" w:right="-108"/>
              <w:jc w:val="center"/>
              <w:rPr>
                <w:rFonts w:eastAsia="Times New Roman" w:cs="Times New Roman"/>
                <w:color w:val="000000"/>
                <w:sz w:val="21"/>
                <w:szCs w:val="21"/>
                <w:lang w:eastAsia="lv-LV"/>
              </w:rPr>
            </w:pPr>
            <w:r w:rsidRPr="00387EA6">
              <w:rPr>
                <w:rFonts w:eastAsia="Times New Roman" w:cs="Times New Roman"/>
                <w:color w:val="000000"/>
                <w:sz w:val="21"/>
                <w:szCs w:val="21"/>
                <w:lang w:eastAsia="lv-LV"/>
              </w:rPr>
              <w:t>Apdrošināšanas principa</w:t>
            </w:r>
          </w:p>
        </w:tc>
        <w:tc>
          <w:tcPr>
            <w:tcW w:w="1559" w:type="dxa"/>
            <w:tcBorders>
              <w:top w:val="nil"/>
              <w:left w:val="nil"/>
              <w:bottom w:val="single" w:sz="4" w:space="0" w:color="auto"/>
              <w:right w:val="single" w:sz="4" w:space="0" w:color="auto"/>
            </w:tcBorders>
            <w:shd w:val="clear" w:color="auto" w:fill="C5E0B3" w:themeFill="accent6" w:themeFillTint="66"/>
            <w:vAlign w:val="center"/>
            <w:hideMark/>
          </w:tcPr>
          <w:p w:rsidR="00F23C3C" w:rsidRPr="00387EA6" w:rsidRDefault="00F23C3C" w:rsidP="00963A50">
            <w:pPr>
              <w:ind w:left="-108" w:right="-108"/>
              <w:jc w:val="center"/>
              <w:rPr>
                <w:rFonts w:eastAsia="Times New Roman" w:cs="Times New Roman"/>
                <w:color w:val="000000"/>
                <w:sz w:val="21"/>
                <w:szCs w:val="21"/>
                <w:lang w:eastAsia="lv-LV"/>
              </w:rPr>
            </w:pPr>
            <w:r w:rsidRPr="00387EA6">
              <w:rPr>
                <w:rFonts w:eastAsia="Times New Roman" w:cs="Times New Roman"/>
                <w:color w:val="000000"/>
                <w:sz w:val="21"/>
                <w:szCs w:val="21"/>
                <w:lang w:eastAsia="lv-LV"/>
              </w:rPr>
              <w:t>Pārējās</w:t>
            </w:r>
          </w:p>
        </w:tc>
        <w:tc>
          <w:tcPr>
            <w:tcW w:w="1539" w:type="dxa"/>
            <w:vMerge/>
            <w:tcBorders>
              <w:top w:val="single" w:sz="4" w:space="0" w:color="auto"/>
              <w:left w:val="single" w:sz="4" w:space="0" w:color="auto"/>
              <w:bottom w:val="single" w:sz="4" w:space="0" w:color="000000"/>
              <w:right w:val="single" w:sz="4" w:space="0" w:color="auto"/>
            </w:tcBorders>
            <w:vAlign w:val="center"/>
            <w:hideMark/>
          </w:tcPr>
          <w:p w:rsidR="00F23C3C" w:rsidRPr="00387EA6" w:rsidRDefault="00F23C3C" w:rsidP="00963A50">
            <w:pPr>
              <w:rPr>
                <w:rFonts w:eastAsia="Times New Roman" w:cs="Times New Roman"/>
                <w:color w:val="000000"/>
                <w:szCs w:val="24"/>
                <w:lang w:eastAsia="lv-LV"/>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F23C3C" w:rsidRPr="00387EA6" w:rsidRDefault="00F23C3C" w:rsidP="00963A50">
            <w:pPr>
              <w:rPr>
                <w:rFonts w:eastAsia="Times New Roman" w:cs="Times New Roman"/>
                <w:color w:val="000000"/>
                <w:szCs w:val="24"/>
                <w:lang w:eastAsia="lv-LV"/>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F23C3C" w:rsidRPr="00387EA6" w:rsidRDefault="00F23C3C" w:rsidP="00963A50">
            <w:pPr>
              <w:rPr>
                <w:rFonts w:eastAsia="Times New Roman" w:cs="Times New Roman"/>
                <w:color w:val="000000"/>
                <w:szCs w:val="24"/>
                <w:lang w:eastAsia="lv-LV"/>
              </w:rPr>
            </w:pP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TM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2 728 442</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409 417</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1 753 231</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690 549</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5 581 639</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VM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1 421 386</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740 244</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36 474</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2 198 104</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SM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108 724</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814 420</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923 144</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lastRenderedPageBreak/>
              <w:t>EM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884 319</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884 319</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FM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698 812</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698 812</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ĀM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249 580</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249 580</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Saeima</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168 738</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168 738</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IZM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149 468</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149 468</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IeM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52 399</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310</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52 709</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AiM</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45 513</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45 513</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AT</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6 522</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6 522</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ST</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5 317</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5 317</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Prokuratūra</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3 815</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3 815</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RTV</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color w:val="000000"/>
                <w:sz w:val="21"/>
                <w:szCs w:val="21"/>
                <w:lang w:eastAsia="lv-LV"/>
              </w:rPr>
            </w:pPr>
            <w:r w:rsidRPr="00387EA6">
              <w:rPr>
                <w:rFonts w:eastAsia="Times New Roman" w:cs="Times New Roman"/>
                <w:color w:val="000000"/>
                <w:sz w:val="21"/>
                <w:szCs w:val="21"/>
                <w:lang w:eastAsia="lv-LV"/>
              </w:rPr>
              <w:t>1 425</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color w:val="000000"/>
                <w:sz w:val="21"/>
                <w:szCs w:val="21"/>
                <w:lang w:eastAsia="lv-LV"/>
              </w:rPr>
            </w:pPr>
            <w:r w:rsidRPr="00387EA6">
              <w:rPr>
                <w:rFonts w:eastAsia="Times New Roman" w:cs="Times New Roman"/>
                <w:color w:val="000000"/>
                <w:sz w:val="21"/>
                <w:szCs w:val="21"/>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1 425</w:t>
            </w:r>
          </w:p>
        </w:tc>
      </w:tr>
      <w:tr w:rsidR="00F23C3C" w:rsidRPr="00387EA6" w:rsidTr="00DF526F">
        <w:trPr>
          <w:trHeight w:val="315"/>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F23C3C" w:rsidRPr="00387EA6" w:rsidRDefault="00F23C3C" w:rsidP="00963A50">
            <w:pPr>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Kopā</w:t>
            </w:r>
          </w:p>
        </w:tc>
        <w:tc>
          <w:tcPr>
            <w:tcW w:w="1438"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4 149 828</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461 816</w:t>
            </w:r>
          </w:p>
        </w:tc>
        <w:tc>
          <w:tcPr>
            <w:tcW w:w="1539"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4 816 017</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387EA6" w:rsidRDefault="00F23C3C" w:rsidP="00963A50">
            <w:pPr>
              <w:jc w:val="right"/>
              <w:rPr>
                <w:rFonts w:eastAsia="Times New Roman" w:cs="Times New Roman"/>
                <w:b/>
                <w:color w:val="000000"/>
                <w:sz w:val="21"/>
                <w:szCs w:val="21"/>
                <w:lang w:eastAsia="lv-LV"/>
              </w:rPr>
            </w:pPr>
            <w:r w:rsidRPr="00387EA6">
              <w:rPr>
                <w:rFonts w:eastAsia="Times New Roman" w:cs="Times New Roman"/>
                <w:b/>
                <w:color w:val="000000"/>
                <w:sz w:val="21"/>
                <w:szCs w:val="21"/>
                <w:lang w:eastAsia="lv-LV"/>
              </w:rPr>
              <w:t>1 541 443</w:t>
            </w:r>
          </w:p>
        </w:tc>
        <w:tc>
          <w:tcPr>
            <w:tcW w:w="1559" w:type="dxa"/>
            <w:tcBorders>
              <w:top w:val="nil"/>
              <w:left w:val="nil"/>
              <w:bottom w:val="single" w:sz="4" w:space="0" w:color="auto"/>
              <w:right w:val="single" w:sz="4" w:space="0" w:color="auto"/>
            </w:tcBorders>
            <w:shd w:val="clear" w:color="auto" w:fill="auto"/>
            <w:noWrap/>
            <w:vAlign w:val="bottom"/>
            <w:hideMark/>
          </w:tcPr>
          <w:p w:rsidR="00F23C3C" w:rsidRPr="00387EA6" w:rsidRDefault="004E02AE" w:rsidP="00963A50">
            <w:pPr>
              <w:jc w:val="right"/>
              <w:rPr>
                <w:rFonts w:eastAsia="Times New Roman" w:cs="Times New Roman"/>
                <w:b/>
                <w:color w:val="000000"/>
                <w:sz w:val="21"/>
                <w:szCs w:val="21"/>
                <w:lang w:eastAsia="lv-LV"/>
              </w:rPr>
            </w:pPr>
            <w:r>
              <w:rPr>
                <w:rFonts w:eastAsia="Times New Roman" w:cs="Times New Roman"/>
                <w:b/>
                <w:color w:val="000000"/>
                <w:sz w:val="21"/>
                <w:szCs w:val="21"/>
                <w:lang w:eastAsia="lv-LV"/>
              </w:rPr>
              <w:t>10 969 105</w:t>
            </w:r>
          </w:p>
        </w:tc>
      </w:tr>
    </w:tbl>
    <w:p w:rsidR="00F23C3C" w:rsidRPr="007C52F0" w:rsidRDefault="007C52F0" w:rsidP="00117302">
      <w:pPr>
        <w:spacing w:before="240"/>
        <w:ind w:firstLine="720"/>
        <w:jc w:val="right"/>
      </w:pPr>
      <w:r w:rsidRPr="007C49D3">
        <w:t>Tabula Nr.</w:t>
      </w:r>
      <w:r w:rsidR="007C49D3" w:rsidRPr="007C49D3">
        <w:t>3.30</w:t>
      </w:r>
      <w:r w:rsidR="00121FBE">
        <w:t>.</w:t>
      </w:r>
    </w:p>
    <w:p w:rsidR="00F23C3C" w:rsidRPr="00FB66CB" w:rsidRDefault="00F23C3C" w:rsidP="00F23C3C">
      <w:pPr>
        <w:spacing w:after="120"/>
        <w:jc w:val="center"/>
        <w:rPr>
          <w:b/>
          <w:i/>
        </w:rPr>
      </w:pPr>
      <w:r>
        <w:rPr>
          <w:b/>
        </w:rPr>
        <w:t>Potenciālie resursi 2019.gadam</w:t>
      </w:r>
      <w:r w:rsidRPr="00781949">
        <w:rPr>
          <w:b/>
        </w:rPr>
        <w:t>,</w:t>
      </w:r>
      <w:r>
        <w:rPr>
          <w:b/>
        </w:rPr>
        <w:t xml:space="preserve"> </w:t>
      </w:r>
      <w:r w:rsidRPr="00781949">
        <w:rPr>
          <w:b/>
          <w:i/>
        </w:rPr>
        <w:t>euro</w:t>
      </w:r>
    </w:p>
    <w:tbl>
      <w:tblPr>
        <w:tblW w:w="9067" w:type="dxa"/>
        <w:tblLook w:val="04A0" w:firstRow="1" w:lastRow="0" w:firstColumn="1" w:lastColumn="0" w:noHBand="0" w:noVBand="1"/>
      </w:tblPr>
      <w:tblGrid>
        <w:gridCol w:w="1838"/>
        <w:gridCol w:w="1985"/>
        <w:gridCol w:w="1902"/>
        <w:gridCol w:w="1925"/>
        <w:gridCol w:w="1417"/>
      </w:tblGrid>
      <w:tr w:rsidR="00F23C3C" w:rsidRPr="00FB66CB" w:rsidTr="00DF526F">
        <w:trPr>
          <w:trHeight w:val="315"/>
          <w:tblHeader/>
        </w:trPr>
        <w:tc>
          <w:tcPr>
            <w:tcW w:w="1838" w:type="dxa"/>
            <w:vMerge w:val="restart"/>
            <w:tcBorders>
              <w:top w:val="single" w:sz="4" w:space="0" w:color="auto"/>
              <w:left w:val="single" w:sz="4" w:space="0" w:color="auto"/>
              <w:right w:val="single" w:sz="4" w:space="0" w:color="auto"/>
            </w:tcBorders>
            <w:shd w:val="clear" w:color="auto" w:fill="C5E0B3" w:themeFill="accent6" w:themeFillTint="66"/>
            <w:vAlign w:val="center"/>
            <w:hideMark/>
          </w:tcPr>
          <w:p w:rsidR="00F23C3C" w:rsidRPr="00FB66CB" w:rsidRDefault="00F23C3C" w:rsidP="00963A50">
            <w:pPr>
              <w:jc w:val="center"/>
              <w:rPr>
                <w:rFonts w:eastAsia="Times New Roman" w:cs="Times New Roman"/>
                <w:b/>
                <w:bCs/>
                <w:color w:val="000000"/>
                <w:sz w:val="21"/>
                <w:szCs w:val="21"/>
                <w:lang w:eastAsia="lv-LV"/>
              </w:rPr>
            </w:pPr>
            <w:r w:rsidRPr="00FB66CB">
              <w:rPr>
                <w:rFonts w:eastAsia="Times New Roman" w:cs="Times New Roman"/>
                <w:b/>
                <w:bCs/>
                <w:color w:val="000000"/>
                <w:sz w:val="21"/>
                <w:szCs w:val="21"/>
                <w:lang w:eastAsia="lv-LV"/>
              </w:rPr>
              <w:t>Ministrija</w:t>
            </w:r>
          </w:p>
        </w:tc>
        <w:tc>
          <w:tcPr>
            <w:tcW w:w="3887" w:type="dxa"/>
            <w:gridSpan w:val="2"/>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F23C3C" w:rsidRPr="00FB66CB" w:rsidRDefault="00F23C3C" w:rsidP="00963A50">
            <w:pPr>
              <w:jc w:val="center"/>
              <w:rPr>
                <w:rFonts w:eastAsia="Times New Roman" w:cs="Times New Roman"/>
                <w:b/>
                <w:bCs/>
                <w:color w:val="000000"/>
                <w:sz w:val="21"/>
                <w:szCs w:val="21"/>
                <w:lang w:eastAsia="lv-LV"/>
              </w:rPr>
            </w:pPr>
            <w:r w:rsidRPr="00FB66CB">
              <w:rPr>
                <w:rFonts w:eastAsia="Times New Roman" w:cs="Times New Roman"/>
                <w:b/>
                <w:bCs/>
                <w:color w:val="000000"/>
                <w:sz w:val="21"/>
                <w:szCs w:val="21"/>
                <w:lang w:eastAsia="lv-LV"/>
              </w:rPr>
              <w:t>Pašu ieņēmumu finansētām programmām</w:t>
            </w:r>
          </w:p>
        </w:tc>
        <w:tc>
          <w:tcPr>
            <w:tcW w:w="1925"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F23C3C" w:rsidRPr="00FB66CB" w:rsidRDefault="00F23C3C" w:rsidP="00963A50">
            <w:pPr>
              <w:jc w:val="center"/>
              <w:rPr>
                <w:rFonts w:eastAsia="Times New Roman" w:cs="Times New Roman"/>
                <w:b/>
                <w:bCs/>
                <w:color w:val="000000"/>
                <w:sz w:val="21"/>
                <w:szCs w:val="21"/>
                <w:lang w:eastAsia="lv-LV"/>
              </w:rPr>
            </w:pPr>
            <w:r w:rsidRPr="00FB66CB">
              <w:rPr>
                <w:rFonts w:eastAsia="Times New Roman" w:cs="Times New Roman"/>
                <w:b/>
                <w:bCs/>
                <w:color w:val="000000"/>
                <w:sz w:val="21"/>
                <w:szCs w:val="21"/>
                <w:lang w:eastAsia="lv-LV"/>
              </w:rPr>
              <w:t>Kombinētā finansējuma programmām</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F23C3C" w:rsidRPr="00FB66CB" w:rsidRDefault="00F23C3C" w:rsidP="00963A50">
            <w:pPr>
              <w:jc w:val="center"/>
              <w:rPr>
                <w:rFonts w:eastAsia="Times New Roman" w:cs="Times New Roman"/>
                <w:b/>
                <w:bCs/>
                <w:color w:val="000000"/>
                <w:sz w:val="21"/>
                <w:szCs w:val="21"/>
                <w:lang w:eastAsia="lv-LV"/>
              </w:rPr>
            </w:pPr>
            <w:r w:rsidRPr="00FB66CB">
              <w:rPr>
                <w:rFonts w:eastAsia="Times New Roman" w:cs="Times New Roman"/>
                <w:b/>
                <w:bCs/>
                <w:color w:val="000000"/>
                <w:sz w:val="21"/>
                <w:szCs w:val="21"/>
                <w:lang w:eastAsia="lv-LV"/>
              </w:rPr>
              <w:t>Kopā</w:t>
            </w:r>
          </w:p>
        </w:tc>
      </w:tr>
      <w:tr w:rsidR="00F23C3C" w:rsidRPr="00FB66CB" w:rsidTr="00DF526F">
        <w:trPr>
          <w:trHeight w:val="489"/>
          <w:tblHeader/>
        </w:trPr>
        <w:tc>
          <w:tcPr>
            <w:tcW w:w="1838" w:type="dxa"/>
            <w:vMerge/>
            <w:tcBorders>
              <w:left w:val="single" w:sz="4" w:space="0" w:color="auto"/>
              <w:bottom w:val="single" w:sz="4" w:space="0" w:color="000000"/>
              <w:right w:val="single" w:sz="4" w:space="0" w:color="auto"/>
            </w:tcBorders>
            <w:shd w:val="clear" w:color="auto" w:fill="auto"/>
            <w:vAlign w:val="center"/>
            <w:hideMark/>
          </w:tcPr>
          <w:p w:rsidR="00F23C3C" w:rsidRPr="00FB66CB" w:rsidRDefault="00F23C3C" w:rsidP="00963A50">
            <w:pPr>
              <w:rPr>
                <w:rFonts w:eastAsia="Times New Roman" w:cs="Times New Roman"/>
                <w:b/>
                <w:bCs/>
                <w:color w:val="000000"/>
                <w:szCs w:val="24"/>
                <w:lang w:eastAsia="lv-LV"/>
              </w:rPr>
            </w:pPr>
          </w:p>
        </w:tc>
        <w:tc>
          <w:tcPr>
            <w:tcW w:w="1985"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F23C3C" w:rsidRPr="00FB66CB" w:rsidRDefault="00F23C3C" w:rsidP="00963A50">
            <w:pPr>
              <w:jc w:val="center"/>
              <w:rPr>
                <w:rFonts w:eastAsia="Times New Roman" w:cs="Times New Roman"/>
                <w:color w:val="000000"/>
                <w:sz w:val="21"/>
                <w:szCs w:val="21"/>
                <w:lang w:eastAsia="lv-LV"/>
              </w:rPr>
            </w:pPr>
            <w:r w:rsidRPr="00FB66CB">
              <w:rPr>
                <w:rFonts w:eastAsia="Times New Roman" w:cs="Times New Roman"/>
                <w:color w:val="000000"/>
                <w:sz w:val="21"/>
                <w:szCs w:val="21"/>
                <w:lang w:eastAsia="lv-LV"/>
              </w:rPr>
              <w:t>Apdrošināšanas principa</w:t>
            </w:r>
          </w:p>
        </w:tc>
        <w:tc>
          <w:tcPr>
            <w:tcW w:w="1902"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F23C3C" w:rsidRPr="00FB66CB" w:rsidRDefault="00F23C3C" w:rsidP="00963A50">
            <w:pPr>
              <w:jc w:val="center"/>
              <w:rPr>
                <w:rFonts w:eastAsia="Times New Roman" w:cs="Times New Roman"/>
                <w:color w:val="000000"/>
                <w:sz w:val="21"/>
                <w:szCs w:val="21"/>
                <w:lang w:eastAsia="lv-LV"/>
              </w:rPr>
            </w:pPr>
            <w:r w:rsidRPr="00FB66CB">
              <w:rPr>
                <w:rFonts w:eastAsia="Times New Roman" w:cs="Times New Roman"/>
                <w:color w:val="000000"/>
                <w:sz w:val="21"/>
                <w:szCs w:val="21"/>
                <w:lang w:eastAsia="lv-LV"/>
              </w:rPr>
              <w:t>Pārējās</w:t>
            </w:r>
          </w:p>
        </w:tc>
        <w:tc>
          <w:tcPr>
            <w:tcW w:w="1925" w:type="dxa"/>
            <w:vMerge/>
            <w:tcBorders>
              <w:top w:val="single" w:sz="4" w:space="0" w:color="auto"/>
              <w:left w:val="single" w:sz="4" w:space="0" w:color="auto"/>
              <w:bottom w:val="single" w:sz="4" w:space="0" w:color="auto"/>
              <w:right w:val="single" w:sz="4" w:space="0" w:color="auto"/>
            </w:tcBorders>
            <w:vAlign w:val="center"/>
            <w:hideMark/>
          </w:tcPr>
          <w:p w:rsidR="00F23C3C" w:rsidRPr="00FB66CB" w:rsidRDefault="00F23C3C" w:rsidP="00963A50">
            <w:pPr>
              <w:rPr>
                <w:rFonts w:eastAsia="Times New Roman" w:cs="Times New Roman"/>
                <w:color w:val="000000"/>
                <w:szCs w:val="24"/>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F23C3C" w:rsidRPr="00FB66CB" w:rsidRDefault="00F23C3C" w:rsidP="00963A50">
            <w:pPr>
              <w:rPr>
                <w:rFonts w:eastAsia="Times New Roman" w:cs="Times New Roman"/>
                <w:color w:val="000000"/>
                <w:szCs w:val="24"/>
                <w:lang w:eastAsia="lv-LV"/>
              </w:rPr>
            </w:pP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TM</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2 731 488</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196 683</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142 208</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3 070 379</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VM</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1 421 386</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370 122</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1 791 508</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EM</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442 159</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442 159</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ĀM</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124 790</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124 790</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Saeima</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84 369</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84 369</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IZM</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74 734</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74 734</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IeM</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 xml:space="preserve">26 199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155</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26 354</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AiM</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22 757</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22 757</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AT</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3 261</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3 261</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ST</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2 659</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2 659</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Prokuratūra</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1 907</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1 907</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RTV</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rPr>
                <w:rFonts w:eastAsia="Times New Roman" w:cs="Times New Roman"/>
                <w:color w:val="000000"/>
                <w:sz w:val="21"/>
                <w:szCs w:val="21"/>
                <w:lang w:eastAsia="lv-LV"/>
              </w:rPr>
            </w:pPr>
            <w:r w:rsidRPr="00FB66CB">
              <w:rPr>
                <w:rFonts w:eastAsia="Times New Roman" w:cs="Times New Roman"/>
                <w:color w:val="000000"/>
                <w:sz w:val="21"/>
                <w:szCs w:val="21"/>
                <w:lang w:eastAsia="lv-LV"/>
              </w:rPr>
              <w:t> </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color w:val="000000"/>
                <w:sz w:val="21"/>
                <w:szCs w:val="21"/>
                <w:lang w:eastAsia="lv-LV"/>
              </w:rPr>
            </w:pPr>
            <w:r w:rsidRPr="00FB66CB">
              <w:rPr>
                <w:rFonts w:eastAsia="Times New Roman" w:cs="Times New Roman"/>
                <w:color w:val="000000"/>
                <w:sz w:val="21"/>
                <w:szCs w:val="21"/>
                <w:lang w:eastAsia="lv-LV"/>
              </w:rPr>
              <w:t>712</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712</w:t>
            </w:r>
          </w:p>
        </w:tc>
      </w:tr>
      <w:tr w:rsidR="00F23C3C" w:rsidRPr="00FB66CB" w:rsidTr="00DF526F">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rsidR="00F23C3C" w:rsidRPr="00FB66CB" w:rsidRDefault="007C52F0" w:rsidP="007C52F0">
            <w:pPr>
              <w:jc w:val="right"/>
              <w:rPr>
                <w:rFonts w:eastAsia="Times New Roman" w:cs="Times New Roman"/>
                <w:b/>
                <w:color w:val="000000"/>
                <w:sz w:val="21"/>
                <w:szCs w:val="21"/>
                <w:lang w:eastAsia="lv-LV"/>
              </w:rPr>
            </w:pPr>
            <w:r>
              <w:rPr>
                <w:rFonts w:eastAsia="Times New Roman" w:cs="Times New Roman"/>
                <w:b/>
                <w:color w:val="000000"/>
                <w:sz w:val="21"/>
                <w:szCs w:val="21"/>
                <w:lang w:eastAsia="lv-LV"/>
              </w:rPr>
              <w:t>KOPĀ:</w:t>
            </w:r>
          </w:p>
        </w:tc>
        <w:tc>
          <w:tcPr>
            <w:tcW w:w="198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4 152 874</w:t>
            </w:r>
          </w:p>
        </w:tc>
        <w:tc>
          <w:tcPr>
            <w:tcW w:w="1902"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222 882</w:t>
            </w:r>
          </w:p>
        </w:tc>
        <w:tc>
          <w:tcPr>
            <w:tcW w:w="1925"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1 269 833</w:t>
            </w:r>
          </w:p>
        </w:tc>
        <w:tc>
          <w:tcPr>
            <w:tcW w:w="1417" w:type="dxa"/>
            <w:tcBorders>
              <w:top w:val="nil"/>
              <w:left w:val="nil"/>
              <w:bottom w:val="single" w:sz="4" w:space="0" w:color="auto"/>
              <w:right w:val="single" w:sz="4" w:space="0" w:color="auto"/>
            </w:tcBorders>
            <w:shd w:val="clear" w:color="auto" w:fill="auto"/>
            <w:noWrap/>
            <w:vAlign w:val="bottom"/>
            <w:hideMark/>
          </w:tcPr>
          <w:p w:rsidR="00F23C3C" w:rsidRPr="00FB66CB" w:rsidRDefault="00F23C3C" w:rsidP="00963A50">
            <w:pPr>
              <w:jc w:val="right"/>
              <w:rPr>
                <w:rFonts w:eastAsia="Times New Roman" w:cs="Times New Roman"/>
                <w:b/>
                <w:color w:val="000000"/>
                <w:sz w:val="21"/>
                <w:szCs w:val="21"/>
                <w:lang w:eastAsia="lv-LV"/>
              </w:rPr>
            </w:pPr>
            <w:r w:rsidRPr="00FB66CB">
              <w:rPr>
                <w:rFonts w:eastAsia="Times New Roman" w:cs="Times New Roman"/>
                <w:b/>
                <w:color w:val="000000"/>
                <w:sz w:val="21"/>
                <w:szCs w:val="21"/>
                <w:lang w:eastAsia="lv-LV"/>
              </w:rPr>
              <w:t>5 645 589</w:t>
            </w:r>
          </w:p>
        </w:tc>
      </w:tr>
    </w:tbl>
    <w:p w:rsidR="00F23C3C" w:rsidRPr="00A77089" w:rsidRDefault="00F23C3C" w:rsidP="007C52F0">
      <w:pPr>
        <w:spacing w:before="120" w:after="120"/>
        <w:jc w:val="both"/>
        <w:rPr>
          <w:b/>
          <w:szCs w:val="24"/>
        </w:rPr>
      </w:pPr>
      <w:r w:rsidRPr="003E51D1">
        <w:rPr>
          <w:b/>
          <w:szCs w:val="24"/>
        </w:rPr>
        <w:t>Priekšlikumi</w:t>
      </w:r>
    </w:p>
    <w:p w:rsidR="00F23C3C" w:rsidRPr="00A77089" w:rsidRDefault="00F23C3C" w:rsidP="00682009">
      <w:pPr>
        <w:pStyle w:val="ListParagraph"/>
        <w:numPr>
          <w:ilvl w:val="0"/>
          <w:numId w:val="41"/>
        </w:numPr>
        <w:tabs>
          <w:tab w:val="left" w:pos="1134"/>
        </w:tabs>
        <w:ind w:left="0" w:firstLine="851"/>
        <w:contextualSpacing w:val="0"/>
        <w:jc w:val="both"/>
        <w:rPr>
          <w:b/>
          <w:szCs w:val="24"/>
        </w:rPr>
      </w:pPr>
      <w:r w:rsidRPr="00A77089">
        <w:t xml:space="preserve">TM </w:t>
      </w:r>
      <w:r w:rsidRPr="00A77089">
        <w:rPr>
          <w:szCs w:val="24"/>
        </w:rPr>
        <w:t xml:space="preserve">veikt grozījumus </w:t>
      </w:r>
      <w:r w:rsidRPr="00A77089">
        <w:t>MK not. Nr.836, nosakot optimāli nepieciešamo līdzekļu apmēru atbilstoši riska iestāšanās vērtējumam</w:t>
      </w:r>
      <w:r>
        <w:t>,</w:t>
      </w:r>
      <w:r w:rsidRPr="00A77089">
        <w:t xml:space="preserve"> un mainīt no uzņēmējdarbības riska valsts nodevas ieņēmumos ieskaitāmās valsts nodevas daļas procentuālo sadalījumu, kāds jāieskaita TM pamatbudžeta apakšprogrammā 06.04.00 “Darbinieku prasījumu garantiju fonds un kāds apakšprogrammā 06.03.00 “Maksātspējas procesa pārvaldība”.</w:t>
      </w:r>
    </w:p>
    <w:p w:rsidR="00F23C3C" w:rsidRPr="00A77089" w:rsidRDefault="00F23C3C" w:rsidP="00682009">
      <w:pPr>
        <w:pStyle w:val="ListParagraph"/>
        <w:numPr>
          <w:ilvl w:val="0"/>
          <w:numId w:val="41"/>
        </w:numPr>
        <w:tabs>
          <w:tab w:val="left" w:pos="993"/>
          <w:tab w:val="left" w:pos="1134"/>
        </w:tabs>
        <w:ind w:left="0" w:firstLine="851"/>
        <w:contextualSpacing w:val="0"/>
        <w:jc w:val="both"/>
      </w:pPr>
      <w:r w:rsidRPr="00A77089">
        <w:t xml:space="preserve">VM izveidot jaunu Ārstniecības riska fonda izveidošanas, uzkrāšanas un administrēšanas kārtību, paredzot, ka ārstniecības iestādes ārstniecības riska maksājumus ieskaita Valsts kasē kopējos valsts budžeta ieņēmumos, savukārt atlīdzības izmaksas veic reizi </w:t>
      </w:r>
      <w:r w:rsidRPr="00A77089">
        <w:lastRenderedPageBreak/>
        <w:t>ceturksnī no 74.resora programmas 02.00.00 “Līdzekļi neparedzētiem gadījumiem”, veicot atbilstošo normatīvo aktu grozījumus.</w:t>
      </w:r>
    </w:p>
    <w:p w:rsidR="00F23C3C" w:rsidRPr="00A77089" w:rsidRDefault="00F23C3C" w:rsidP="00682009">
      <w:pPr>
        <w:pStyle w:val="ListParagraph"/>
        <w:numPr>
          <w:ilvl w:val="0"/>
          <w:numId w:val="41"/>
        </w:numPr>
        <w:tabs>
          <w:tab w:val="left" w:pos="993"/>
          <w:tab w:val="left" w:pos="1134"/>
        </w:tabs>
        <w:ind w:left="0" w:firstLine="851"/>
        <w:contextualSpacing w:val="0"/>
        <w:jc w:val="both"/>
      </w:pPr>
      <w:r w:rsidRPr="00A77089">
        <w:t>Gatavojot MK rīkojumus par BNI 2018.gada budžetu apstiprināšanu</w:t>
      </w:r>
      <w:r>
        <w:t xml:space="preserve">, kuros </w:t>
      </w:r>
      <w:r w:rsidRPr="00516D74">
        <w:t>nepieciešams paredzēt, ka neiestrādātais pašu ieņēmumu atlikums transferta veidā (atbilstoši tabulai Nr.</w:t>
      </w:r>
      <w:r w:rsidR="00516D74" w:rsidRPr="00516D74">
        <w:t>3.28</w:t>
      </w:r>
      <w:r w:rsidRPr="00516D74">
        <w:t>) ir ieskaitāms valsts budžetā, nodrošinot attiecīgās ministrijas prioritāro izdevumu segšanu.</w:t>
      </w:r>
      <w:r w:rsidRPr="00A77089">
        <w:t xml:space="preserve">  </w:t>
      </w:r>
    </w:p>
    <w:p w:rsidR="006D75CD" w:rsidRPr="00516D74" w:rsidRDefault="00F23C3C" w:rsidP="008C25BB">
      <w:pPr>
        <w:pStyle w:val="ListParagraph"/>
        <w:numPr>
          <w:ilvl w:val="0"/>
          <w:numId w:val="41"/>
        </w:numPr>
        <w:tabs>
          <w:tab w:val="left" w:pos="993"/>
          <w:tab w:val="left" w:pos="1134"/>
        </w:tabs>
        <w:spacing w:after="120"/>
        <w:ind w:left="0" w:firstLine="851"/>
        <w:contextualSpacing w:val="0"/>
        <w:jc w:val="both"/>
      </w:pPr>
      <w:r w:rsidRPr="00516D74">
        <w:t>Ministrijām likumprojektā “Par valsts budžetu 2018.gadam” un likumprojektā “Par vidēja termiņa budžeta ietvaru 2018., 2019. un 2020.gadam” iestrādāt pašu ieņēmumu atlikumus 2018. un 2019.gadam.</w:t>
      </w:r>
    </w:p>
    <w:p w:rsidR="009A5DC2" w:rsidRPr="003800F3" w:rsidRDefault="009A5DC2" w:rsidP="003800F3">
      <w:pPr>
        <w:pStyle w:val="Heading3"/>
        <w:spacing w:before="240" w:after="240"/>
        <w:jc w:val="center"/>
        <w:rPr>
          <w:rFonts w:ascii="Times New Roman" w:hAnsi="Times New Roman" w:cs="Times New Roman"/>
          <w:color w:val="auto"/>
          <w:sz w:val="28"/>
          <w:szCs w:val="28"/>
        </w:rPr>
      </w:pPr>
      <w:bookmarkStart w:id="23" w:name="_Toc487036807"/>
      <w:r w:rsidRPr="00C90316">
        <w:rPr>
          <w:rFonts w:ascii="Times New Roman" w:hAnsi="Times New Roman" w:cs="Times New Roman"/>
          <w:color w:val="auto"/>
          <w:sz w:val="28"/>
          <w:szCs w:val="28"/>
        </w:rPr>
        <w:t>3.4.2. Maksas pakalpojumu cenrāžu aktualizācija</w:t>
      </w:r>
      <w:bookmarkEnd w:id="23"/>
    </w:p>
    <w:p w:rsidR="003800F3" w:rsidRDefault="003800F3" w:rsidP="00682009">
      <w:pPr>
        <w:ind w:firstLine="720"/>
        <w:jc w:val="both"/>
        <w:rPr>
          <w:rFonts w:eastAsia="Calibri" w:cs="Times New Roman"/>
          <w:szCs w:val="24"/>
        </w:rPr>
      </w:pPr>
      <w:r>
        <w:rPr>
          <w:rFonts w:eastAsia="Calibri" w:cs="Times New Roman"/>
          <w:szCs w:val="24"/>
        </w:rPr>
        <w:t>P</w:t>
      </w:r>
      <w:r w:rsidRPr="005E7EE7">
        <w:rPr>
          <w:rFonts w:eastAsia="Calibri" w:cs="Times New Roman"/>
          <w:szCs w:val="24"/>
        </w:rPr>
        <w:t xml:space="preserve">amatojoties uz </w:t>
      </w:r>
      <w:r>
        <w:rPr>
          <w:rFonts w:eastAsia="Calibri" w:cs="Times New Roman"/>
          <w:szCs w:val="24"/>
        </w:rPr>
        <w:t>MK</w:t>
      </w:r>
      <w:r w:rsidRPr="005E7EE7">
        <w:rPr>
          <w:rFonts w:eastAsia="Calibri" w:cs="Times New Roman"/>
          <w:szCs w:val="24"/>
        </w:rPr>
        <w:t xml:space="preserve"> rīkojuma Nr.141 </w:t>
      </w:r>
      <w:r>
        <w:rPr>
          <w:rFonts w:eastAsia="Calibri" w:cs="Times New Roman"/>
          <w:szCs w:val="24"/>
        </w:rPr>
        <w:t>2.2</w:t>
      </w:r>
      <w:r w:rsidRPr="005E7EE7">
        <w:rPr>
          <w:rFonts w:eastAsia="Calibri" w:cs="Times New Roman"/>
          <w:szCs w:val="24"/>
        </w:rPr>
        <w:t>.</w:t>
      </w:r>
      <w:r>
        <w:rPr>
          <w:rFonts w:eastAsia="Calibri" w:cs="Times New Roman"/>
          <w:szCs w:val="24"/>
        </w:rPr>
        <w:t>4.apakšpunktā noteikto, izdevumu pārskatīšanas procesā</w:t>
      </w:r>
      <w:r w:rsidRPr="00C630BB">
        <w:rPr>
          <w:rFonts w:eastAsia="Calibri" w:cs="Times New Roman"/>
          <w:szCs w:val="24"/>
        </w:rPr>
        <w:t xml:space="preserve"> </w:t>
      </w:r>
      <w:r w:rsidRPr="005E7EE7">
        <w:rPr>
          <w:rFonts w:eastAsia="Calibri" w:cs="Times New Roman"/>
          <w:szCs w:val="24"/>
        </w:rPr>
        <w:t xml:space="preserve">tika analizēti </w:t>
      </w:r>
      <w:r>
        <w:rPr>
          <w:rFonts w:eastAsia="Calibri" w:cs="Times New Roman"/>
          <w:szCs w:val="24"/>
        </w:rPr>
        <w:t>maksas pakalpojumu cenrāži un izvērtēta tajos ietverto izmaksu aktualitāte</w:t>
      </w:r>
      <w:r w:rsidRPr="005E7EE7">
        <w:rPr>
          <w:rFonts w:eastAsia="Calibri" w:cs="Times New Roman"/>
          <w:szCs w:val="24"/>
        </w:rPr>
        <w:t xml:space="preserve">. </w:t>
      </w:r>
    </w:p>
    <w:p w:rsidR="003800F3" w:rsidRDefault="003800F3" w:rsidP="00682009">
      <w:pPr>
        <w:ind w:firstLine="720"/>
        <w:jc w:val="both"/>
        <w:rPr>
          <w:rFonts w:eastAsia="Calibri" w:cs="Times New Roman"/>
          <w:szCs w:val="24"/>
        </w:rPr>
      </w:pPr>
      <w:r>
        <w:rPr>
          <w:rFonts w:eastAsia="Calibri" w:cs="Times New Roman"/>
          <w:szCs w:val="24"/>
        </w:rPr>
        <w:t xml:space="preserve">Kopumā ir </w:t>
      </w:r>
      <w:r w:rsidRPr="004F725A">
        <w:rPr>
          <w:rFonts w:eastAsia="Calibri" w:cs="Times New Roman"/>
          <w:szCs w:val="24"/>
        </w:rPr>
        <w:t>94 spēkā esoši maksas pakalpojumu cenrāži</w:t>
      </w:r>
      <w:r w:rsidR="0004659A">
        <w:rPr>
          <w:rFonts w:eastAsia="Calibri" w:cs="Times New Roman"/>
          <w:szCs w:val="24"/>
        </w:rPr>
        <w:t xml:space="preserve"> (turpmāk – MPK cenrāži)</w:t>
      </w:r>
      <w:r w:rsidRPr="004F725A">
        <w:rPr>
          <w:rFonts w:eastAsia="Calibri" w:cs="Times New Roman"/>
          <w:szCs w:val="24"/>
        </w:rPr>
        <w:t>,</w:t>
      </w:r>
      <w:r w:rsidRPr="004F725A">
        <w:t xml:space="preserve"> </w:t>
      </w:r>
      <w:r>
        <w:t xml:space="preserve">kas izdoti </w:t>
      </w:r>
      <w:r w:rsidRPr="004F725A">
        <w:rPr>
          <w:rFonts w:eastAsia="Calibri" w:cs="Times New Roman"/>
          <w:szCs w:val="24"/>
        </w:rPr>
        <w:t>uz LBFV pamata</w:t>
      </w:r>
      <w:r>
        <w:rPr>
          <w:rFonts w:eastAsia="Calibri" w:cs="Times New Roman"/>
          <w:szCs w:val="24"/>
        </w:rPr>
        <w:t xml:space="preserve"> un</w:t>
      </w:r>
      <w:r w:rsidRPr="004F725A">
        <w:rPr>
          <w:rFonts w:eastAsia="Calibri" w:cs="Times New Roman"/>
          <w:szCs w:val="24"/>
        </w:rPr>
        <w:t xml:space="preserve"> kuru ieņēmumi par sniegtajiem maksas pakalpojumiem un citiem pašu ieņēmumiem tiek plānoti valsts budžetā</w:t>
      </w:r>
      <w:r>
        <w:rPr>
          <w:rFonts w:eastAsia="Calibri" w:cs="Times New Roman"/>
          <w:szCs w:val="24"/>
        </w:rPr>
        <w:t xml:space="preserve">. </w:t>
      </w:r>
      <w:r w:rsidR="00810F4D" w:rsidRPr="00810F4D">
        <w:rPr>
          <w:rFonts w:eastAsia="Calibri" w:cs="Times New Roman"/>
          <w:szCs w:val="24"/>
        </w:rPr>
        <w:t xml:space="preserve">. Maksas pakalpojumu ieņēmumu un to saistīto izdevumu plānošanu un uzskaiti, kā arī izcenojuma noteikšanu </w:t>
      </w:r>
      <w:r>
        <w:rPr>
          <w:rFonts w:eastAsia="Calibri" w:cs="Times New Roman"/>
          <w:szCs w:val="24"/>
        </w:rPr>
        <w:t xml:space="preserve">nosaka </w:t>
      </w:r>
      <w:r w:rsidRPr="004F725A">
        <w:rPr>
          <w:rFonts w:eastAsia="Calibri" w:cs="Times New Roman"/>
          <w:szCs w:val="24"/>
        </w:rPr>
        <w:t>M</w:t>
      </w:r>
      <w:r>
        <w:rPr>
          <w:rFonts w:eastAsia="Calibri" w:cs="Times New Roman"/>
          <w:szCs w:val="24"/>
        </w:rPr>
        <w:t>K</w:t>
      </w:r>
      <w:r w:rsidRPr="004F725A">
        <w:rPr>
          <w:rFonts w:eastAsia="Calibri" w:cs="Times New Roman"/>
          <w:szCs w:val="24"/>
        </w:rPr>
        <w:t xml:space="preserve"> 2017.gada 28.marta</w:t>
      </w:r>
      <w:r>
        <w:rPr>
          <w:rFonts w:eastAsia="Calibri" w:cs="Times New Roman"/>
          <w:szCs w:val="24"/>
        </w:rPr>
        <w:t xml:space="preserve"> noteikumi Nr.333</w:t>
      </w:r>
      <w:r w:rsidRPr="00EC0625">
        <w:rPr>
          <w:szCs w:val="24"/>
        </w:rPr>
        <w:t xml:space="preserve"> </w:t>
      </w:r>
      <w:r>
        <w:rPr>
          <w:szCs w:val="24"/>
        </w:rPr>
        <w:t>“</w:t>
      </w:r>
      <w:r w:rsidRPr="000F07D1">
        <w:rPr>
          <w:szCs w:val="24"/>
        </w:rPr>
        <w:t>Kārtība, kādā plānojami un uzskaitāmi ieņēmumi no maksas pakalpojumiem un ar šo pakalpojumu sniegšanu saistītie izdevumi, kā arī maksas pakalpojumu izcenojumu noteikšanas metodika un izcenojumu apstiprināšanas kārtība</w:t>
      </w:r>
      <w:r>
        <w:rPr>
          <w:szCs w:val="24"/>
        </w:rPr>
        <w:t xml:space="preserve">” </w:t>
      </w:r>
      <w:r w:rsidRPr="00064239">
        <w:rPr>
          <w:szCs w:val="24"/>
        </w:rPr>
        <w:t xml:space="preserve">(turpmāk – MK </w:t>
      </w:r>
      <w:r>
        <w:rPr>
          <w:szCs w:val="24"/>
        </w:rPr>
        <w:t>noteikumi</w:t>
      </w:r>
      <w:r w:rsidRPr="00064239">
        <w:rPr>
          <w:szCs w:val="24"/>
        </w:rPr>
        <w:t xml:space="preserve"> Nr.</w:t>
      </w:r>
      <w:r>
        <w:rPr>
          <w:szCs w:val="24"/>
        </w:rPr>
        <w:t>333</w:t>
      </w:r>
      <w:r w:rsidRPr="00064239">
        <w:rPr>
          <w:szCs w:val="24"/>
        </w:rPr>
        <w:t>)</w:t>
      </w:r>
      <w:r>
        <w:rPr>
          <w:szCs w:val="24"/>
        </w:rPr>
        <w:t>.</w:t>
      </w:r>
    </w:p>
    <w:p w:rsidR="003800F3" w:rsidRDefault="003800F3" w:rsidP="00682009">
      <w:pPr>
        <w:ind w:firstLine="720"/>
        <w:jc w:val="both"/>
      </w:pPr>
      <w:r w:rsidRPr="006E5888">
        <w:t xml:space="preserve">Izdevumu </w:t>
      </w:r>
      <w:r>
        <w:t>pārskatīšanas</w:t>
      </w:r>
      <w:r w:rsidRPr="006E5888">
        <w:t xml:space="preserve"> </w:t>
      </w:r>
      <w:r>
        <w:t xml:space="preserve">procesa </w:t>
      </w:r>
      <w:r w:rsidRPr="006E5888">
        <w:t>ietvaros</w:t>
      </w:r>
      <w:r>
        <w:t>,</w:t>
      </w:r>
      <w:r w:rsidRPr="006E5888">
        <w:t xml:space="preserve"> analizējot </w:t>
      </w:r>
      <w:r w:rsidR="0004659A">
        <w:t>MPK</w:t>
      </w:r>
      <w:r>
        <w:t xml:space="preserve"> cenrāžus</w:t>
      </w:r>
      <w:r w:rsidRPr="006E5888">
        <w:t>, uzmanība t</w:t>
      </w:r>
      <w:r>
        <w:t xml:space="preserve">ika pievērsta MPK cenrāžu izcenojuma aktualizācijai pēc to būtības, atskaitot </w:t>
      </w:r>
      <w:r w:rsidRPr="000D484F">
        <w:t xml:space="preserve">2013.gadā </w:t>
      </w:r>
      <w:r>
        <w:t>veiktos MPK cenrāžu</w:t>
      </w:r>
      <w:r w:rsidRPr="001D5623">
        <w:t xml:space="preserve"> </w:t>
      </w:r>
      <w:r>
        <w:t xml:space="preserve">grozījumus saistībā ar latu pārkonvertēšanu </w:t>
      </w:r>
      <w:r w:rsidRPr="00F728ED">
        <w:t>uz eiro</w:t>
      </w:r>
      <w:r>
        <w:rPr>
          <w:rStyle w:val="FootnoteReference"/>
        </w:rPr>
        <w:footnoteReference w:id="71"/>
      </w:r>
      <w:r>
        <w:t>.</w:t>
      </w:r>
    </w:p>
    <w:p w:rsidR="003800F3" w:rsidRDefault="003800F3" w:rsidP="00682009">
      <w:pPr>
        <w:ind w:firstLine="720"/>
        <w:jc w:val="both"/>
      </w:pPr>
      <w:r>
        <w:t xml:space="preserve">Aplūkojot </w:t>
      </w:r>
      <w:r w:rsidR="00BD36F5">
        <w:t>3.42.</w:t>
      </w:r>
      <w:r>
        <w:t xml:space="preserve">attēlu redzams, </w:t>
      </w:r>
      <w:r w:rsidRPr="00653AC1">
        <w:t xml:space="preserve">ka </w:t>
      </w:r>
      <w:r>
        <w:t>39</w:t>
      </w:r>
      <w:r w:rsidRPr="00653AC1">
        <w:t xml:space="preserve"> </w:t>
      </w:r>
      <w:r>
        <w:t>MPK cenrāži</w:t>
      </w:r>
      <w:r w:rsidRPr="00653AC1">
        <w:t xml:space="preserve"> jeb </w:t>
      </w:r>
      <w:r>
        <w:t>41,5</w:t>
      </w:r>
      <w:r w:rsidRPr="00653AC1">
        <w:t xml:space="preserve">% ir </w:t>
      </w:r>
      <w:r>
        <w:t>aktualizēti mazāk nekā pirms diviem gadiem</w:t>
      </w:r>
      <w:r w:rsidRPr="00653AC1">
        <w:t xml:space="preserve">, </w:t>
      </w:r>
      <w:r>
        <w:t>39</w:t>
      </w:r>
      <w:r w:rsidRPr="00653AC1">
        <w:t xml:space="preserve"> jeb </w:t>
      </w:r>
      <w:r>
        <w:t>41,5</w:t>
      </w:r>
      <w:r w:rsidRPr="00653AC1">
        <w:t xml:space="preserve">% aktualizēti pirms diviem līdz pieciem gadiem, </w:t>
      </w:r>
      <w:r>
        <w:t>13</w:t>
      </w:r>
      <w:r w:rsidRPr="00653AC1">
        <w:t xml:space="preserve"> jeb </w:t>
      </w:r>
      <w:r>
        <w:t>13,8</w:t>
      </w:r>
      <w:r w:rsidRPr="00653AC1">
        <w:t xml:space="preserve">% aktualizēti pirms </w:t>
      </w:r>
      <w:r>
        <w:t>pieciem</w:t>
      </w:r>
      <w:r w:rsidRPr="00653AC1">
        <w:t xml:space="preserve"> līdz </w:t>
      </w:r>
      <w:r>
        <w:t>desmit</w:t>
      </w:r>
      <w:r w:rsidRPr="00653AC1">
        <w:t xml:space="preserve"> gadiem un </w:t>
      </w:r>
      <w:r w:rsidRPr="00C458B2">
        <w:t>3 jeb 3,2%</w:t>
      </w:r>
      <w:r w:rsidRPr="00653AC1">
        <w:t xml:space="preserve"> aktualizēti </w:t>
      </w:r>
      <w:r>
        <w:t xml:space="preserve">vairāk nekā pirms </w:t>
      </w:r>
      <w:r w:rsidRPr="00653AC1">
        <w:t>desmit gadiem</w:t>
      </w:r>
      <w:r>
        <w:t xml:space="preserve">. </w:t>
      </w:r>
    </w:p>
    <w:p w:rsidR="003800F3" w:rsidRDefault="003800F3" w:rsidP="003800F3">
      <w:pPr>
        <w:spacing w:before="120" w:after="120"/>
        <w:jc w:val="center"/>
      </w:pPr>
      <w:r w:rsidRPr="00407D1C">
        <w:rPr>
          <w:noProof/>
          <w:lang w:eastAsia="lv-LV"/>
        </w:rPr>
        <w:drawing>
          <wp:inline distT="0" distB="0" distL="0" distR="0" wp14:anchorId="2EDD16A1" wp14:editId="72B9DD6D">
            <wp:extent cx="5756275" cy="2809037"/>
            <wp:effectExtent l="0" t="0" r="15875" b="1079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3800F3" w:rsidRPr="003832B9" w:rsidRDefault="00BD36F5" w:rsidP="003800F3">
      <w:pPr>
        <w:spacing w:before="120" w:after="120"/>
        <w:jc w:val="center"/>
        <w:rPr>
          <w:rFonts w:eastAsia="Calibri" w:cs="Times New Roman"/>
          <w:b/>
          <w:sz w:val="22"/>
        </w:rPr>
      </w:pPr>
      <w:r w:rsidRPr="00BD36F5">
        <w:rPr>
          <w:rFonts w:eastAsia="Calibri" w:cs="Times New Roman"/>
          <w:i/>
          <w:sz w:val="22"/>
        </w:rPr>
        <w:t>3.42</w:t>
      </w:r>
      <w:r w:rsidR="003800F3" w:rsidRPr="00BD36F5">
        <w:rPr>
          <w:rFonts w:eastAsia="Calibri" w:cs="Times New Roman"/>
          <w:i/>
          <w:sz w:val="22"/>
        </w:rPr>
        <w:t>.att.</w:t>
      </w:r>
      <w:r w:rsidR="003800F3" w:rsidRPr="00BD36F5">
        <w:rPr>
          <w:rFonts w:eastAsia="Calibri" w:cs="Times New Roman"/>
          <w:sz w:val="22"/>
        </w:rPr>
        <w:t xml:space="preserve"> </w:t>
      </w:r>
      <w:r w:rsidR="003800F3" w:rsidRPr="00BD36F5">
        <w:rPr>
          <w:rFonts w:eastAsia="Calibri" w:cs="Times New Roman"/>
          <w:b/>
          <w:sz w:val="22"/>
        </w:rPr>
        <w:t>Gadi kopš MPK cenrāžu aktualizācijas, %</w:t>
      </w:r>
    </w:p>
    <w:p w:rsidR="003800F3" w:rsidRPr="004B3A23" w:rsidRDefault="003800F3" w:rsidP="003800F3">
      <w:pPr>
        <w:spacing w:before="120" w:after="120"/>
        <w:ind w:firstLine="720"/>
        <w:jc w:val="both"/>
      </w:pPr>
      <w:r>
        <w:rPr>
          <w:szCs w:val="24"/>
        </w:rPr>
        <w:lastRenderedPageBreak/>
        <w:t xml:space="preserve">MPK cenrāžu saraksts sadalījumā pa ministrijām un gadiem kopš pēdējās aktualizācijas </w:t>
      </w:r>
      <w:r w:rsidRPr="006E5888">
        <w:rPr>
          <w:szCs w:val="24"/>
        </w:rPr>
        <w:t xml:space="preserve">pieejams informatīvā </w:t>
      </w:r>
      <w:r w:rsidRPr="00BD36F5">
        <w:rPr>
          <w:szCs w:val="24"/>
        </w:rPr>
        <w:t xml:space="preserve">ziņojuma </w:t>
      </w:r>
      <w:r w:rsidR="00B1215A">
        <w:rPr>
          <w:szCs w:val="24"/>
        </w:rPr>
        <w:t>11.</w:t>
      </w:r>
      <w:r w:rsidRPr="00BD36F5">
        <w:rPr>
          <w:szCs w:val="24"/>
        </w:rPr>
        <w:t>pielikumā</w:t>
      </w:r>
      <w:r w:rsidR="00BD36F5" w:rsidRPr="00BD36F5">
        <w:rPr>
          <w:szCs w:val="24"/>
        </w:rPr>
        <w:t>.</w:t>
      </w:r>
    </w:p>
    <w:p w:rsidR="003800F3" w:rsidRDefault="003800F3" w:rsidP="003800F3">
      <w:pPr>
        <w:spacing w:before="120" w:after="120"/>
        <w:ind w:firstLine="720"/>
        <w:jc w:val="both"/>
      </w:pPr>
      <w:r w:rsidRPr="00BD36F5">
        <w:rPr>
          <w:bCs/>
          <w:iCs/>
          <w:szCs w:val="24"/>
        </w:rPr>
        <w:t xml:space="preserve">No </w:t>
      </w:r>
      <w:r w:rsidR="00BD36F5" w:rsidRPr="00BD36F5">
        <w:rPr>
          <w:bCs/>
          <w:iCs/>
          <w:szCs w:val="24"/>
        </w:rPr>
        <w:t>3.42</w:t>
      </w:r>
      <w:r w:rsidRPr="00BD36F5">
        <w:rPr>
          <w:bCs/>
          <w:iCs/>
          <w:szCs w:val="24"/>
        </w:rPr>
        <w:t>.attēla secināms</w:t>
      </w:r>
      <w:r>
        <w:t xml:space="preserve">, ka lielākā daļa, tas ir 58,5 % jeb 55 maksas pakalpojumu cenrāži aktualizēti vairāk nekā pirms diviem gadiem. Turpmākajā MPK cenrāžu izvērtēšanā ir ietverti tie MPK cenrāži, kuru aktualizācijas laiks ir divi gadi un vairāk. MPK cenrāži, kas aktualizēti laika periodā līdz diviem gadiem, netika pārskatīti, jo šādam laika periodam nav ekonomiski nozīmīgs efekts uz ieņēmumu sasaisti ar šī brīža izmaksu līmeni. </w:t>
      </w:r>
    </w:p>
    <w:p w:rsidR="003800F3" w:rsidRDefault="003800F3" w:rsidP="003800F3">
      <w:pPr>
        <w:spacing w:before="120" w:after="120"/>
        <w:ind w:firstLine="720"/>
        <w:jc w:val="both"/>
      </w:pPr>
      <w:r>
        <w:t xml:space="preserve">Lai identificētu aktuālajās izmaksās balstītos potenciālos papildu ieņēmumu resursus, tika apzināti 2018.gadā </w:t>
      </w:r>
      <w:r w:rsidRPr="00CF10AD">
        <w:t xml:space="preserve">valsts budžetā </w:t>
      </w:r>
      <w:r>
        <w:t xml:space="preserve">plānotie ieņēmumi no </w:t>
      </w:r>
      <w:r w:rsidRPr="002B1689">
        <w:t>sniegtajiem maksas pakalpojumiem un citiem pašu</w:t>
      </w:r>
      <w:r>
        <w:t xml:space="preserve"> ieņēmumiem</w:t>
      </w:r>
      <w:r w:rsidRPr="00CF10AD">
        <w:t xml:space="preserve"> atbilstoši attiecīgajā </w:t>
      </w:r>
      <w:r>
        <w:t xml:space="preserve">MPK </w:t>
      </w:r>
      <w:r w:rsidRPr="00CF10AD">
        <w:t>cenrādī noteiktajām cenām</w:t>
      </w:r>
      <w:r>
        <w:t xml:space="preserve"> un veikti ieņēmumu indeksācijas aprēķini. Ieņēmumu indeksācijā ir piemēroti šādi ar dabisko izmaksu pieaugumu saistītie statistikas raksturlielumi:</w:t>
      </w:r>
    </w:p>
    <w:p w:rsidR="003800F3" w:rsidRDefault="003800F3" w:rsidP="008C25BB">
      <w:pPr>
        <w:pStyle w:val="ListParagraph"/>
        <w:numPr>
          <w:ilvl w:val="0"/>
          <w:numId w:val="15"/>
        </w:numPr>
        <w:spacing w:before="120" w:after="120"/>
        <w:jc w:val="both"/>
      </w:pPr>
      <w:r>
        <w:rPr>
          <w:szCs w:val="24"/>
        </w:rPr>
        <w:t xml:space="preserve">strādājošo </w:t>
      </w:r>
      <w:r w:rsidRPr="0004659A">
        <w:rPr>
          <w:szCs w:val="24"/>
        </w:rPr>
        <w:t>mēneša vidējā darba samaksa</w:t>
      </w:r>
      <w:r w:rsidRPr="0004659A">
        <w:t>;</w:t>
      </w:r>
    </w:p>
    <w:p w:rsidR="003800F3" w:rsidRDefault="003800F3" w:rsidP="008C25BB">
      <w:pPr>
        <w:pStyle w:val="ListParagraph"/>
        <w:numPr>
          <w:ilvl w:val="0"/>
          <w:numId w:val="15"/>
        </w:numPr>
        <w:spacing w:before="120" w:after="120"/>
        <w:jc w:val="both"/>
      </w:pPr>
      <w:r>
        <w:t>iekšzemes kopprodukta deflators;</w:t>
      </w:r>
    </w:p>
    <w:p w:rsidR="003800F3" w:rsidRPr="00BD36F5" w:rsidRDefault="003800F3" w:rsidP="008C25BB">
      <w:pPr>
        <w:pStyle w:val="ListParagraph"/>
        <w:numPr>
          <w:ilvl w:val="0"/>
          <w:numId w:val="15"/>
        </w:numPr>
        <w:spacing w:before="120" w:after="120"/>
        <w:jc w:val="both"/>
      </w:pPr>
      <w:r w:rsidRPr="00BD36F5">
        <w:t xml:space="preserve">vispārējās valdības </w:t>
      </w:r>
      <w:r w:rsidRPr="00BD36F5">
        <w:rPr>
          <w:rFonts w:eastAsia="Times New Roman" w:cs="Times New Roman"/>
          <w:bCs/>
          <w:color w:val="222222"/>
          <w:szCs w:val="24"/>
          <w:lang w:eastAsia="lv-LV"/>
        </w:rPr>
        <w:t xml:space="preserve">sektora starppatēriņš (P2) </w:t>
      </w:r>
      <w:r w:rsidR="00BD36F5">
        <w:rPr>
          <w:rFonts w:cs="Times New Roman"/>
          <w:szCs w:val="24"/>
        </w:rPr>
        <w:t>(skat. tabulu</w:t>
      </w:r>
      <w:r w:rsidRPr="00BD36F5">
        <w:rPr>
          <w:rFonts w:cs="Times New Roman"/>
          <w:szCs w:val="24"/>
        </w:rPr>
        <w:t xml:space="preserve"> Nr.</w:t>
      </w:r>
      <w:r w:rsidR="00BD36F5" w:rsidRPr="00BD36F5">
        <w:rPr>
          <w:rFonts w:cs="Times New Roman"/>
          <w:szCs w:val="24"/>
        </w:rPr>
        <w:t>3.31</w:t>
      </w:r>
      <w:r w:rsidR="008B457B">
        <w:rPr>
          <w:rFonts w:cs="Times New Roman"/>
          <w:szCs w:val="24"/>
        </w:rPr>
        <w:t>.</w:t>
      </w:r>
      <w:r w:rsidRPr="00BD36F5">
        <w:rPr>
          <w:rFonts w:cs="Times New Roman"/>
          <w:szCs w:val="24"/>
        </w:rPr>
        <w:t>)</w:t>
      </w:r>
      <w:r w:rsidRPr="00BD36F5">
        <w:t>.</w:t>
      </w:r>
    </w:p>
    <w:p w:rsidR="003800F3" w:rsidRDefault="003800F3" w:rsidP="003800F3">
      <w:pPr>
        <w:spacing w:before="120"/>
        <w:ind w:firstLine="720"/>
        <w:jc w:val="right"/>
        <w:rPr>
          <w:szCs w:val="24"/>
        </w:rPr>
      </w:pPr>
      <w:r w:rsidRPr="00BD36F5">
        <w:rPr>
          <w:szCs w:val="24"/>
        </w:rPr>
        <w:t>Tabula Nr.</w:t>
      </w:r>
      <w:r w:rsidR="00BD36F5" w:rsidRPr="00BD36F5">
        <w:rPr>
          <w:szCs w:val="24"/>
        </w:rPr>
        <w:t>3.31</w:t>
      </w:r>
      <w:r w:rsidR="008B457B">
        <w:rPr>
          <w:szCs w:val="24"/>
        </w:rPr>
        <w:t>.</w:t>
      </w:r>
    </w:p>
    <w:p w:rsidR="003800F3" w:rsidRPr="008B457B" w:rsidRDefault="003800F3" w:rsidP="003800F3">
      <w:pPr>
        <w:spacing w:before="120" w:after="120"/>
        <w:ind w:firstLine="720"/>
        <w:jc w:val="center"/>
        <w:rPr>
          <w:b/>
          <w:szCs w:val="24"/>
        </w:rPr>
      </w:pPr>
      <w:r w:rsidRPr="008B457B">
        <w:rPr>
          <w:b/>
          <w:szCs w:val="24"/>
        </w:rPr>
        <w:t>MPK cenrāžu ieņēmumu aktualizācijai piemērotie izmaksu izmaiņu indeksi</w:t>
      </w:r>
    </w:p>
    <w:tbl>
      <w:tblPr>
        <w:tblW w:w="5000" w:type="pct"/>
        <w:tblLook w:val="04A0" w:firstRow="1" w:lastRow="0" w:firstColumn="1" w:lastColumn="0" w:noHBand="0" w:noVBand="1"/>
      </w:tblPr>
      <w:tblGrid>
        <w:gridCol w:w="698"/>
        <w:gridCol w:w="1491"/>
        <w:gridCol w:w="1343"/>
        <w:gridCol w:w="1493"/>
        <w:gridCol w:w="1194"/>
        <w:gridCol w:w="1468"/>
        <w:gridCol w:w="1374"/>
      </w:tblGrid>
      <w:tr w:rsidR="003800F3" w:rsidRPr="003A1F97" w:rsidTr="008B457B">
        <w:trPr>
          <w:trHeight w:val="283"/>
          <w:tblHeader/>
        </w:trPr>
        <w:tc>
          <w:tcPr>
            <w:tcW w:w="385"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800F3" w:rsidRPr="003A1F97" w:rsidRDefault="003800F3" w:rsidP="0004659A">
            <w:pPr>
              <w:jc w:val="center"/>
              <w:rPr>
                <w:rFonts w:eastAsia="Times New Roman" w:cs="Times New Roman"/>
                <w:b/>
                <w:bCs/>
                <w:sz w:val="20"/>
                <w:szCs w:val="20"/>
                <w:lang w:eastAsia="lv-LV"/>
              </w:rPr>
            </w:pPr>
            <w:r w:rsidRPr="003A1F97">
              <w:rPr>
                <w:rFonts w:eastAsia="Times New Roman" w:cs="Times New Roman"/>
                <w:b/>
                <w:bCs/>
                <w:sz w:val="20"/>
                <w:szCs w:val="20"/>
                <w:lang w:eastAsia="lv-LV"/>
              </w:rPr>
              <w:t>Gads</w:t>
            </w:r>
          </w:p>
        </w:tc>
        <w:tc>
          <w:tcPr>
            <w:tcW w:w="823"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800F3" w:rsidRPr="003A1F97" w:rsidRDefault="003800F3" w:rsidP="0004659A">
            <w:pPr>
              <w:jc w:val="center"/>
              <w:rPr>
                <w:rFonts w:eastAsia="Times New Roman" w:cs="Times New Roman"/>
                <w:b/>
                <w:bCs/>
                <w:color w:val="222222"/>
                <w:sz w:val="20"/>
                <w:szCs w:val="20"/>
                <w:lang w:eastAsia="lv-LV"/>
              </w:rPr>
            </w:pPr>
            <w:r w:rsidRPr="003A1F97">
              <w:rPr>
                <w:rFonts w:eastAsia="Times New Roman" w:cs="Times New Roman"/>
                <w:b/>
                <w:bCs/>
                <w:color w:val="222222"/>
                <w:sz w:val="20"/>
                <w:szCs w:val="20"/>
                <w:lang w:eastAsia="lv-LV"/>
              </w:rPr>
              <w:t>Strādājošo mēneša vidējā darba samaksa bruto (</w:t>
            </w:r>
            <w:r w:rsidRPr="003A1F97">
              <w:rPr>
                <w:rFonts w:eastAsia="Times New Roman" w:cs="Times New Roman"/>
                <w:b/>
                <w:bCs/>
                <w:i/>
                <w:color w:val="222222"/>
                <w:sz w:val="20"/>
                <w:szCs w:val="20"/>
                <w:lang w:eastAsia="lv-LV"/>
              </w:rPr>
              <w:t>euro</w:t>
            </w:r>
            <w:r w:rsidRPr="003A1F97">
              <w:rPr>
                <w:rFonts w:eastAsia="Times New Roman" w:cs="Times New Roman"/>
                <w:b/>
                <w:bCs/>
                <w:color w:val="222222"/>
                <w:sz w:val="20"/>
                <w:szCs w:val="20"/>
                <w:lang w:eastAsia="lv-LV"/>
              </w:rPr>
              <w:t>)</w:t>
            </w:r>
            <w:r w:rsidRPr="003A1F97">
              <w:rPr>
                <w:rStyle w:val="FootnoteReference"/>
                <w:rFonts w:eastAsia="Times New Roman" w:cs="Times New Roman"/>
                <w:b/>
                <w:bCs/>
                <w:color w:val="222222"/>
                <w:sz w:val="20"/>
                <w:szCs w:val="20"/>
                <w:lang w:eastAsia="lv-LV"/>
              </w:rPr>
              <w:footnoteReference w:id="72"/>
            </w:r>
          </w:p>
        </w:tc>
        <w:tc>
          <w:tcPr>
            <w:tcW w:w="741"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800F3" w:rsidRPr="003A1F97" w:rsidRDefault="003800F3" w:rsidP="0004659A">
            <w:pPr>
              <w:jc w:val="center"/>
              <w:rPr>
                <w:rFonts w:eastAsia="Times New Roman" w:cs="Times New Roman"/>
                <w:b/>
                <w:bCs/>
                <w:color w:val="222222"/>
                <w:sz w:val="20"/>
                <w:szCs w:val="20"/>
                <w:vertAlign w:val="superscript"/>
                <w:lang w:eastAsia="lv-LV"/>
              </w:rPr>
            </w:pPr>
            <w:r w:rsidRPr="003A1F97">
              <w:rPr>
                <w:rFonts w:eastAsia="Times New Roman" w:cs="Times New Roman"/>
                <w:b/>
                <w:bCs/>
                <w:color w:val="222222"/>
                <w:sz w:val="20"/>
                <w:szCs w:val="20"/>
                <w:lang w:eastAsia="lv-LV"/>
              </w:rPr>
              <w:t>Iekšzemes kopprodukta deflatori (Iepriekšējā gada cenas = 1)</w:t>
            </w:r>
            <w:r w:rsidRPr="00590607">
              <w:rPr>
                <w:rFonts w:eastAsia="Times New Roman" w:cs="Times New Roman"/>
                <w:b/>
                <w:bCs/>
                <w:color w:val="222222"/>
                <w:sz w:val="20"/>
                <w:szCs w:val="20"/>
                <w:vertAlign w:val="superscript"/>
                <w:lang w:eastAsia="lv-LV"/>
              </w:rPr>
              <w:t>1</w:t>
            </w:r>
          </w:p>
        </w:tc>
        <w:tc>
          <w:tcPr>
            <w:tcW w:w="824"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800F3" w:rsidRPr="003A1F97" w:rsidRDefault="003800F3" w:rsidP="0004659A">
            <w:pPr>
              <w:jc w:val="center"/>
              <w:rPr>
                <w:rFonts w:eastAsia="Times New Roman" w:cs="Times New Roman"/>
                <w:b/>
                <w:bCs/>
                <w:color w:val="222222"/>
                <w:sz w:val="20"/>
                <w:szCs w:val="20"/>
                <w:vertAlign w:val="superscript"/>
                <w:lang w:eastAsia="lv-LV"/>
              </w:rPr>
            </w:pPr>
            <w:r w:rsidRPr="003A1F97">
              <w:rPr>
                <w:rFonts w:eastAsia="Times New Roman" w:cs="Times New Roman"/>
                <w:b/>
                <w:bCs/>
                <w:color w:val="222222"/>
                <w:sz w:val="20"/>
                <w:szCs w:val="20"/>
                <w:lang w:eastAsia="lv-LV"/>
              </w:rPr>
              <w:t xml:space="preserve">Vispārējās valdības sektora starppatēriņš (P2 milj, </w:t>
            </w:r>
            <w:r w:rsidRPr="003A1F97">
              <w:rPr>
                <w:rFonts w:eastAsia="Times New Roman" w:cs="Times New Roman"/>
                <w:b/>
                <w:bCs/>
                <w:i/>
                <w:color w:val="222222"/>
                <w:sz w:val="20"/>
                <w:szCs w:val="20"/>
                <w:lang w:eastAsia="lv-LV"/>
              </w:rPr>
              <w:t>euro</w:t>
            </w:r>
            <w:r w:rsidRPr="00590607">
              <w:rPr>
                <w:rFonts w:eastAsia="Times New Roman" w:cs="Times New Roman"/>
                <w:b/>
                <w:bCs/>
                <w:color w:val="222222"/>
                <w:sz w:val="20"/>
                <w:szCs w:val="20"/>
                <w:lang w:eastAsia="lv-LV"/>
              </w:rPr>
              <w:t>)</w:t>
            </w:r>
            <w:r w:rsidRPr="00590607">
              <w:rPr>
                <w:rFonts w:eastAsia="Times New Roman" w:cs="Times New Roman"/>
                <w:b/>
                <w:bCs/>
                <w:color w:val="222222"/>
                <w:sz w:val="20"/>
                <w:szCs w:val="20"/>
                <w:vertAlign w:val="superscript"/>
                <w:lang w:eastAsia="lv-LV"/>
              </w:rPr>
              <w:t>1</w:t>
            </w:r>
          </w:p>
        </w:tc>
        <w:tc>
          <w:tcPr>
            <w:tcW w:w="659"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800F3" w:rsidRPr="003A1F97" w:rsidRDefault="003800F3" w:rsidP="0004659A">
            <w:pPr>
              <w:jc w:val="center"/>
              <w:rPr>
                <w:rFonts w:eastAsia="Times New Roman" w:cs="Times New Roman"/>
                <w:b/>
                <w:color w:val="000000"/>
                <w:sz w:val="20"/>
                <w:szCs w:val="20"/>
                <w:lang w:eastAsia="lv-LV"/>
              </w:rPr>
            </w:pPr>
            <w:r w:rsidRPr="003A1F97">
              <w:rPr>
                <w:rFonts w:eastAsia="Times New Roman" w:cs="Times New Roman"/>
                <w:b/>
                <w:color w:val="000000"/>
                <w:sz w:val="20"/>
                <w:szCs w:val="20"/>
                <w:lang w:eastAsia="lv-LV"/>
              </w:rPr>
              <w:t>Vidējais izmaiņu indekss (gads pret gadu)</w:t>
            </w:r>
          </w:p>
        </w:tc>
        <w:tc>
          <w:tcPr>
            <w:tcW w:w="810"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800F3" w:rsidRPr="003A1F97" w:rsidRDefault="003800F3" w:rsidP="0004659A">
            <w:pPr>
              <w:jc w:val="center"/>
              <w:rPr>
                <w:rFonts w:eastAsia="Times New Roman" w:cs="Times New Roman"/>
                <w:b/>
                <w:color w:val="000000"/>
                <w:sz w:val="20"/>
                <w:szCs w:val="20"/>
                <w:lang w:eastAsia="lv-LV"/>
              </w:rPr>
            </w:pPr>
            <w:r w:rsidRPr="003A1F97">
              <w:rPr>
                <w:rFonts w:eastAsia="Times New Roman" w:cs="Times New Roman"/>
                <w:b/>
                <w:color w:val="000000"/>
                <w:sz w:val="20"/>
                <w:szCs w:val="20"/>
                <w:lang w:eastAsia="lv-LV"/>
              </w:rPr>
              <w:t>Cenrāža gadu skaits kopš aktualizācijas</w:t>
            </w:r>
          </w:p>
        </w:tc>
        <w:tc>
          <w:tcPr>
            <w:tcW w:w="759"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800F3" w:rsidRPr="003A1F97" w:rsidRDefault="003800F3" w:rsidP="0004659A">
            <w:pPr>
              <w:jc w:val="center"/>
              <w:rPr>
                <w:rFonts w:eastAsia="Times New Roman" w:cs="Times New Roman"/>
                <w:b/>
                <w:color w:val="000000"/>
                <w:sz w:val="20"/>
                <w:szCs w:val="20"/>
                <w:lang w:eastAsia="lv-LV"/>
              </w:rPr>
            </w:pPr>
            <w:r w:rsidRPr="003A1F97">
              <w:rPr>
                <w:rFonts w:eastAsia="Times New Roman" w:cs="Times New Roman"/>
                <w:b/>
                <w:color w:val="000000"/>
                <w:sz w:val="20"/>
                <w:szCs w:val="20"/>
                <w:lang w:eastAsia="lv-LV"/>
              </w:rPr>
              <w:t>Vidējais izmaiņu indekss (kumulatīvs)</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2005</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405</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1,11</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881,00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1,09</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13</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2,18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2006</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499</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1,12</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1 041,10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1,18</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12</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1,97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2007</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678</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1,20</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1 227,50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1,25</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11</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1,80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2008</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806</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1,12</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1 508,80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1,18</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1,53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2009</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719</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0,90</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1 151,80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0,85</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9</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1,23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2010</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669</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0,99</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1 181,20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0,98</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8</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1,04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2011</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701</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1,06</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1 342,70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1,08</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7</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1,22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2012</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732</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1,04</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1 339,30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1,03</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6</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1,24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2013</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766</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1,02</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1 427,40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1,04</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5</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1,15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2014</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813</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1,02</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1 448,50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1,03</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4</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1,12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2015</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855</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1,00</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1 509,60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1,03</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3</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1,07 </w:t>
            </w:r>
          </w:p>
        </w:tc>
      </w:tr>
      <w:tr w:rsidR="003800F3" w:rsidRPr="003A1F97" w:rsidTr="008B457B">
        <w:trPr>
          <w:trHeight w:val="283"/>
        </w:trPr>
        <w:tc>
          <w:tcPr>
            <w:tcW w:w="38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rsidR="003800F3" w:rsidRPr="003A1F97" w:rsidRDefault="003800F3" w:rsidP="0004659A">
            <w:pPr>
              <w:rPr>
                <w:rFonts w:eastAsia="Times New Roman" w:cs="Times New Roman"/>
                <w:b/>
                <w:bCs/>
                <w:sz w:val="20"/>
                <w:szCs w:val="20"/>
                <w:lang w:eastAsia="lv-LV"/>
              </w:rPr>
            </w:pPr>
            <w:r w:rsidRPr="003A1F97">
              <w:rPr>
                <w:rFonts w:eastAsia="Times New Roman" w:cs="Times New Roman"/>
                <w:b/>
                <w:bCs/>
                <w:sz w:val="20"/>
                <w:szCs w:val="20"/>
                <w:lang w:eastAsia="lv-LV"/>
              </w:rPr>
              <w:t>2016</w:t>
            </w:r>
          </w:p>
        </w:tc>
        <w:tc>
          <w:tcPr>
            <w:tcW w:w="823"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886</w:t>
            </w:r>
          </w:p>
        </w:tc>
        <w:tc>
          <w:tcPr>
            <w:tcW w:w="741"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1,01</w:t>
            </w:r>
          </w:p>
        </w:tc>
        <w:tc>
          <w:tcPr>
            <w:tcW w:w="824" w:type="pct"/>
            <w:tcBorders>
              <w:top w:val="nil"/>
              <w:left w:val="nil"/>
              <w:bottom w:val="single" w:sz="4" w:space="0" w:color="auto"/>
              <w:right w:val="single" w:sz="4" w:space="0" w:color="auto"/>
            </w:tcBorders>
            <w:shd w:val="clear" w:color="000000" w:fill="FFFFFF"/>
            <w:noWrap/>
            <w:vAlign w:val="center"/>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1 484,20</w:t>
            </w:r>
          </w:p>
        </w:tc>
        <w:tc>
          <w:tcPr>
            <w:tcW w:w="6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1,01</w:t>
            </w:r>
          </w:p>
        </w:tc>
        <w:tc>
          <w:tcPr>
            <w:tcW w:w="810"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color w:val="000000"/>
                <w:sz w:val="20"/>
                <w:szCs w:val="20"/>
                <w:lang w:eastAsia="lv-LV"/>
              </w:rPr>
            </w:pPr>
            <w:r w:rsidRPr="003A1F97">
              <w:rPr>
                <w:rFonts w:eastAsia="Times New Roman" w:cs="Times New Roman"/>
                <w:color w:val="000000"/>
                <w:sz w:val="20"/>
                <w:szCs w:val="20"/>
                <w:lang w:eastAsia="lv-LV"/>
              </w:rPr>
              <w:t>2</w:t>
            </w:r>
          </w:p>
        </w:tc>
        <w:tc>
          <w:tcPr>
            <w:tcW w:w="759" w:type="pct"/>
            <w:tcBorders>
              <w:top w:val="nil"/>
              <w:left w:val="nil"/>
              <w:bottom w:val="single" w:sz="4" w:space="0" w:color="auto"/>
              <w:right w:val="single" w:sz="4" w:space="0" w:color="auto"/>
            </w:tcBorders>
            <w:shd w:val="clear" w:color="auto" w:fill="auto"/>
            <w:noWrap/>
            <w:vAlign w:val="bottom"/>
            <w:hideMark/>
          </w:tcPr>
          <w:p w:rsidR="003800F3" w:rsidRPr="003A1F97" w:rsidRDefault="003800F3" w:rsidP="0004659A">
            <w:pPr>
              <w:jc w:val="right"/>
              <w:rPr>
                <w:rFonts w:eastAsia="Times New Roman" w:cs="Times New Roman"/>
                <w:sz w:val="20"/>
                <w:szCs w:val="20"/>
                <w:lang w:eastAsia="lv-LV"/>
              </w:rPr>
            </w:pPr>
            <w:r w:rsidRPr="003A1F97">
              <w:rPr>
                <w:rFonts w:eastAsia="Times New Roman" w:cs="Times New Roman"/>
                <w:sz w:val="20"/>
                <w:szCs w:val="20"/>
                <w:lang w:eastAsia="lv-LV"/>
              </w:rPr>
              <w:t xml:space="preserve">            1,04 </w:t>
            </w:r>
          </w:p>
        </w:tc>
      </w:tr>
    </w:tbl>
    <w:p w:rsidR="003800F3" w:rsidRDefault="003800F3" w:rsidP="00697EA2">
      <w:pPr>
        <w:tabs>
          <w:tab w:val="left" w:pos="1010"/>
        </w:tabs>
        <w:spacing w:before="240"/>
        <w:ind w:firstLine="720"/>
        <w:jc w:val="both"/>
        <w:rPr>
          <w:szCs w:val="24"/>
        </w:rPr>
      </w:pPr>
      <w:r w:rsidRPr="00BD36F5">
        <w:rPr>
          <w:szCs w:val="24"/>
        </w:rPr>
        <w:t>Tabulā Nr.</w:t>
      </w:r>
      <w:r w:rsidR="00BD36F5" w:rsidRPr="00BD36F5">
        <w:rPr>
          <w:szCs w:val="24"/>
        </w:rPr>
        <w:t>3.32</w:t>
      </w:r>
      <w:r w:rsidR="00D86274">
        <w:rPr>
          <w:szCs w:val="24"/>
        </w:rPr>
        <w:t>.</w:t>
      </w:r>
      <w:r w:rsidRPr="00BD36F5">
        <w:rPr>
          <w:szCs w:val="24"/>
          <w:shd w:val="clear" w:color="auto" w:fill="FFFFFF" w:themeFill="background1"/>
        </w:rPr>
        <w:t xml:space="preserve"> </w:t>
      </w:r>
      <w:r w:rsidRPr="00BD36F5">
        <w:rPr>
          <w:szCs w:val="24"/>
        </w:rPr>
        <w:t xml:space="preserve">atspoguļoti katrai ministrijai 2018.gadā </w:t>
      </w:r>
      <w:r w:rsidRPr="00BD36F5">
        <w:t>valsts budžetā plānotie</w:t>
      </w:r>
      <w:r w:rsidRPr="00BD36F5">
        <w:rPr>
          <w:rStyle w:val="FootnoteReference"/>
        </w:rPr>
        <w:footnoteReference w:id="73"/>
      </w:r>
      <w:r>
        <w:t xml:space="preserve"> ieņēmumi no </w:t>
      </w:r>
      <w:r w:rsidRPr="002B1689">
        <w:t>sniegtajiem maksas pakalpojumiem un citiem pašu</w:t>
      </w:r>
      <w:r>
        <w:t xml:space="preserve"> ieņēmumiem</w:t>
      </w:r>
      <w:r w:rsidRPr="00CF10AD">
        <w:t xml:space="preserve"> atbilstoši </w:t>
      </w:r>
      <w:r>
        <w:t xml:space="preserve">šobrīd </w:t>
      </w:r>
      <w:r w:rsidRPr="00CF10AD">
        <w:t xml:space="preserve">attiecīgajā </w:t>
      </w:r>
      <w:r>
        <w:t xml:space="preserve">MPK </w:t>
      </w:r>
      <w:r w:rsidRPr="00CF10AD">
        <w:t>cenrādī</w:t>
      </w:r>
      <w:r>
        <w:t>,</w:t>
      </w:r>
      <w:r w:rsidRPr="00495BAB">
        <w:t xml:space="preserve"> </w:t>
      </w:r>
      <w:r>
        <w:t>kuru pēdējais aktualizācijas laiks ir divi gadi un vairāk,</w:t>
      </w:r>
      <w:r w:rsidRPr="00CF10AD">
        <w:t xml:space="preserve"> noteiktajām cenām</w:t>
      </w:r>
      <w:r w:rsidRPr="006E5888">
        <w:rPr>
          <w:szCs w:val="24"/>
        </w:rPr>
        <w:t xml:space="preserve"> un </w:t>
      </w:r>
      <w:r>
        <w:rPr>
          <w:szCs w:val="24"/>
        </w:rPr>
        <w:t>potenciālie papildu ieņēmumi valsts budžetā, ja MPK cenrāži</w:t>
      </w:r>
      <w:r w:rsidRPr="001532CC">
        <w:t xml:space="preserve"> </w:t>
      </w:r>
      <w:r w:rsidRPr="001532CC">
        <w:rPr>
          <w:szCs w:val="24"/>
        </w:rPr>
        <w:t>tiktu</w:t>
      </w:r>
      <w:r>
        <w:rPr>
          <w:szCs w:val="24"/>
        </w:rPr>
        <w:t xml:space="preserve"> </w:t>
      </w:r>
      <w:r w:rsidRPr="001532CC">
        <w:rPr>
          <w:szCs w:val="24"/>
        </w:rPr>
        <w:t>aktualizēti</w:t>
      </w:r>
      <w:r>
        <w:rPr>
          <w:szCs w:val="24"/>
        </w:rPr>
        <w:t xml:space="preserve"> saskaņā ar normatīvajos aktos</w:t>
      </w:r>
      <w:r w:rsidRPr="00145316">
        <w:rPr>
          <w:szCs w:val="24"/>
        </w:rPr>
        <w:t xml:space="preserve"> </w:t>
      </w:r>
      <w:r>
        <w:rPr>
          <w:szCs w:val="24"/>
        </w:rPr>
        <w:t>noteikto un pārskatot cenrāžos noteikto maksas pakalpojumu izcenojumus atbilstoši dabiskajam izmaksu pieaugumam</w:t>
      </w:r>
      <w:r w:rsidRPr="006E5888">
        <w:rPr>
          <w:szCs w:val="24"/>
        </w:rPr>
        <w:t>, kas kopumā veido</w:t>
      </w:r>
      <w:r>
        <w:rPr>
          <w:szCs w:val="24"/>
        </w:rPr>
        <w:t xml:space="preserve"> </w:t>
      </w:r>
      <w:r w:rsidR="007E31BD">
        <w:rPr>
          <w:szCs w:val="24"/>
        </w:rPr>
        <w:t>vismaz 3,4</w:t>
      </w:r>
      <w:r w:rsidRPr="0004659A">
        <w:rPr>
          <w:szCs w:val="24"/>
        </w:rPr>
        <w:t xml:space="preserve"> milj. </w:t>
      </w:r>
      <w:r w:rsidRPr="0004659A">
        <w:rPr>
          <w:i/>
          <w:szCs w:val="24"/>
        </w:rPr>
        <w:t>euro</w:t>
      </w:r>
      <w:r w:rsidRPr="00BC6B97">
        <w:rPr>
          <w:szCs w:val="24"/>
        </w:rPr>
        <w:t>.</w:t>
      </w:r>
      <w:r w:rsidRPr="006E5888">
        <w:rPr>
          <w:szCs w:val="24"/>
        </w:rPr>
        <w:t xml:space="preserve"> </w:t>
      </w:r>
    </w:p>
    <w:p w:rsidR="003800F3" w:rsidRDefault="003800F3" w:rsidP="00121FBE">
      <w:pPr>
        <w:tabs>
          <w:tab w:val="left" w:pos="1010"/>
        </w:tabs>
        <w:spacing w:after="120"/>
        <w:ind w:firstLine="720"/>
        <w:jc w:val="both"/>
        <w:rPr>
          <w:szCs w:val="24"/>
        </w:rPr>
      </w:pPr>
      <w:r w:rsidRPr="006E5888">
        <w:rPr>
          <w:szCs w:val="24"/>
        </w:rPr>
        <w:lastRenderedPageBreak/>
        <w:t xml:space="preserve">Detalizēts kopsavilkums </w:t>
      </w:r>
      <w:r>
        <w:rPr>
          <w:szCs w:val="24"/>
        </w:rPr>
        <w:t xml:space="preserve">par </w:t>
      </w:r>
      <w:r w:rsidRPr="004507D6">
        <w:rPr>
          <w:szCs w:val="24"/>
        </w:rPr>
        <w:t>MPK</w:t>
      </w:r>
      <w:r>
        <w:rPr>
          <w:szCs w:val="24"/>
        </w:rPr>
        <w:t xml:space="preserve"> cenrāžu</w:t>
      </w:r>
      <w:r w:rsidRPr="0039126B">
        <w:rPr>
          <w:szCs w:val="24"/>
        </w:rPr>
        <w:t xml:space="preserve"> horizontālo analīzi </w:t>
      </w:r>
      <w:r>
        <w:rPr>
          <w:szCs w:val="24"/>
        </w:rPr>
        <w:t xml:space="preserve">sadalījumā pa ministrijām un tajā </w:t>
      </w:r>
      <w:r w:rsidRPr="001D4485">
        <w:rPr>
          <w:szCs w:val="24"/>
        </w:rPr>
        <w:t xml:space="preserve">skaitā pa ministriju budžeta programmām/apakšprogrammām pieejams informatīvā ziņojuma </w:t>
      </w:r>
      <w:r w:rsidR="00BD10BB">
        <w:rPr>
          <w:szCs w:val="24"/>
        </w:rPr>
        <w:t>12.</w:t>
      </w:r>
      <w:r w:rsidRPr="001D4485">
        <w:rPr>
          <w:szCs w:val="24"/>
        </w:rPr>
        <w:t>pielikumā.</w:t>
      </w:r>
    </w:p>
    <w:p w:rsidR="003800F3" w:rsidRDefault="00BD36F5" w:rsidP="003800F3">
      <w:pPr>
        <w:spacing w:before="120"/>
        <w:ind w:firstLine="720"/>
        <w:jc w:val="right"/>
        <w:rPr>
          <w:szCs w:val="24"/>
        </w:rPr>
      </w:pPr>
      <w:r w:rsidRPr="00BD36F5">
        <w:rPr>
          <w:szCs w:val="24"/>
        </w:rPr>
        <w:t>Tabula Nr.3.32</w:t>
      </w:r>
      <w:r w:rsidR="00D86274">
        <w:rPr>
          <w:szCs w:val="24"/>
        </w:rPr>
        <w:t>.</w:t>
      </w:r>
    </w:p>
    <w:p w:rsidR="003800F3" w:rsidRPr="003A1F97" w:rsidRDefault="003800F3" w:rsidP="0004659A">
      <w:pPr>
        <w:spacing w:before="120" w:after="240"/>
        <w:jc w:val="center"/>
        <w:rPr>
          <w:b/>
          <w:szCs w:val="24"/>
        </w:rPr>
      </w:pPr>
      <w:r w:rsidRPr="003A1F97">
        <w:rPr>
          <w:b/>
        </w:rPr>
        <w:t xml:space="preserve">Kopsavilkums par ieņēmumu no maksas pakalpojumiem horizontālo analīzi, </w:t>
      </w:r>
      <w:r w:rsidRPr="003A1F97">
        <w:rPr>
          <w:b/>
          <w:i/>
        </w:rPr>
        <w:t>euro</w:t>
      </w:r>
      <w:r w:rsidRPr="003A1F97">
        <w:rPr>
          <w:b/>
        </w:rPr>
        <w:t xml:space="preserve"> </w:t>
      </w:r>
    </w:p>
    <w:tbl>
      <w:tblPr>
        <w:tblW w:w="5000" w:type="pct"/>
        <w:tblLook w:val="04A0" w:firstRow="1" w:lastRow="0" w:firstColumn="1" w:lastColumn="0" w:noHBand="0" w:noVBand="1"/>
      </w:tblPr>
      <w:tblGrid>
        <w:gridCol w:w="2744"/>
        <w:gridCol w:w="3436"/>
        <w:gridCol w:w="2881"/>
      </w:tblGrid>
      <w:tr w:rsidR="003800F3" w:rsidRPr="00BC6B97" w:rsidTr="0004659A">
        <w:trPr>
          <w:trHeight w:val="20"/>
          <w:tblHeader/>
        </w:trPr>
        <w:tc>
          <w:tcPr>
            <w:tcW w:w="1514"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3800F3" w:rsidRPr="00BC6B97" w:rsidRDefault="003800F3" w:rsidP="0004659A">
            <w:pPr>
              <w:jc w:val="center"/>
              <w:rPr>
                <w:rFonts w:eastAsia="Times New Roman" w:cs="Times New Roman"/>
                <w:b/>
                <w:bCs/>
                <w:color w:val="000000"/>
                <w:sz w:val="22"/>
                <w:lang w:eastAsia="lv-LV"/>
              </w:rPr>
            </w:pPr>
            <w:r w:rsidRPr="00BC6B97">
              <w:rPr>
                <w:rFonts w:eastAsia="Times New Roman" w:cs="Times New Roman"/>
                <w:b/>
                <w:bCs/>
                <w:color w:val="000000"/>
                <w:sz w:val="22"/>
                <w:lang w:eastAsia="lv-LV"/>
              </w:rPr>
              <w:t>Ministrija</w:t>
            </w:r>
          </w:p>
        </w:tc>
        <w:tc>
          <w:tcPr>
            <w:tcW w:w="1896" w:type="pct"/>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3800F3" w:rsidRPr="00BC6B97" w:rsidRDefault="003800F3" w:rsidP="0004659A">
            <w:pPr>
              <w:jc w:val="center"/>
              <w:rPr>
                <w:rFonts w:eastAsia="Times New Roman" w:cs="Times New Roman"/>
                <w:b/>
                <w:bCs/>
                <w:color w:val="000000"/>
                <w:sz w:val="22"/>
                <w:lang w:eastAsia="lv-LV"/>
              </w:rPr>
            </w:pPr>
            <w:r w:rsidRPr="00BC6B97">
              <w:rPr>
                <w:rFonts w:eastAsia="Times New Roman" w:cs="Times New Roman"/>
                <w:b/>
                <w:bCs/>
                <w:color w:val="000000"/>
                <w:sz w:val="22"/>
                <w:lang w:eastAsia="lv-LV"/>
              </w:rPr>
              <w:t>2018.gadā plānotie ieņēmumi</w:t>
            </w:r>
          </w:p>
        </w:tc>
        <w:tc>
          <w:tcPr>
            <w:tcW w:w="1590"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3800F3" w:rsidRPr="00BC6B97" w:rsidRDefault="003800F3" w:rsidP="0004659A">
            <w:pPr>
              <w:jc w:val="center"/>
              <w:rPr>
                <w:rFonts w:eastAsia="Times New Roman" w:cs="Times New Roman"/>
                <w:b/>
                <w:bCs/>
                <w:color w:val="000000"/>
                <w:sz w:val="22"/>
                <w:lang w:eastAsia="lv-LV"/>
              </w:rPr>
            </w:pPr>
            <w:r w:rsidRPr="00BC6B97">
              <w:rPr>
                <w:rFonts w:eastAsia="Times New Roman" w:cs="Times New Roman"/>
                <w:b/>
                <w:bCs/>
                <w:color w:val="000000"/>
                <w:sz w:val="22"/>
                <w:lang w:eastAsia="lv-LV"/>
              </w:rPr>
              <w:t>Potenciālie papildu ieņēmumi</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FM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3 381 419</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Pr>
                <w:rFonts w:eastAsia="Times New Roman" w:cs="Times New Roman"/>
                <w:bCs/>
                <w:color w:val="000000"/>
                <w:sz w:val="22"/>
                <w:lang w:eastAsia="lv-LV"/>
              </w:rPr>
              <w:t>36 847</w:t>
            </w:r>
            <w:r>
              <w:rPr>
                <w:rStyle w:val="FootnoteReference"/>
                <w:rFonts w:eastAsia="Times New Roman" w:cs="Times New Roman"/>
                <w:bCs/>
                <w:color w:val="000000"/>
                <w:sz w:val="22"/>
                <w:lang w:eastAsia="lv-LV"/>
              </w:rPr>
              <w:footnoteReference w:id="74"/>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VM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2 552 159</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366 761</w:t>
            </w:r>
          </w:p>
        </w:tc>
      </w:tr>
      <w:tr w:rsidR="002E2E1B" w:rsidRPr="002E2E1B"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tcPr>
          <w:p w:rsidR="003800F3" w:rsidRPr="002E2E1B" w:rsidRDefault="003800F3" w:rsidP="0004659A">
            <w:pPr>
              <w:jc w:val="center"/>
              <w:rPr>
                <w:rFonts w:eastAsia="Times New Roman" w:cs="Times New Roman"/>
                <w:b/>
                <w:bCs/>
                <w:sz w:val="22"/>
                <w:lang w:eastAsia="lv-LV"/>
              </w:rPr>
            </w:pPr>
            <w:r w:rsidRPr="002E2E1B">
              <w:rPr>
                <w:rFonts w:eastAsia="Times New Roman" w:cs="Times New Roman"/>
                <w:b/>
                <w:bCs/>
                <w:sz w:val="22"/>
                <w:lang w:eastAsia="lv-LV"/>
              </w:rPr>
              <w:t>KM</w:t>
            </w:r>
          </w:p>
        </w:tc>
        <w:tc>
          <w:tcPr>
            <w:tcW w:w="1896" w:type="pct"/>
            <w:tcBorders>
              <w:top w:val="nil"/>
              <w:left w:val="nil"/>
              <w:bottom w:val="single" w:sz="4" w:space="0" w:color="auto"/>
              <w:right w:val="single" w:sz="4" w:space="0" w:color="auto"/>
            </w:tcBorders>
            <w:shd w:val="clear" w:color="auto" w:fill="auto"/>
            <w:noWrap/>
            <w:vAlign w:val="center"/>
          </w:tcPr>
          <w:p w:rsidR="003800F3" w:rsidRPr="002E2E1B" w:rsidRDefault="003800F3" w:rsidP="0004659A">
            <w:pPr>
              <w:jc w:val="center"/>
              <w:rPr>
                <w:rFonts w:eastAsia="Times New Roman" w:cs="Times New Roman"/>
                <w:bCs/>
                <w:sz w:val="22"/>
                <w:lang w:eastAsia="lv-LV"/>
              </w:rPr>
            </w:pPr>
            <w:r w:rsidRPr="002E2E1B">
              <w:rPr>
                <w:rFonts w:eastAsia="Times New Roman" w:cs="Times New Roman"/>
                <w:bCs/>
                <w:sz w:val="22"/>
                <w:lang w:eastAsia="lv-LV"/>
              </w:rPr>
              <w:t>2 081 226</w:t>
            </w:r>
          </w:p>
        </w:tc>
        <w:tc>
          <w:tcPr>
            <w:tcW w:w="1590" w:type="pct"/>
            <w:tcBorders>
              <w:top w:val="nil"/>
              <w:left w:val="nil"/>
              <w:bottom w:val="single" w:sz="4" w:space="0" w:color="auto"/>
              <w:right w:val="single" w:sz="4" w:space="0" w:color="auto"/>
            </w:tcBorders>
            <w:shd w:val="clear" w:color="auto" w:fill="auto"/>
            <w:noWrap/>
            <w:vAlign w:val="center"/>
          </w:tcPr>
          <w:p w:rsidR="003800F3" w:rsidRPr="002E2E1B" w:rsidRDefault="003800F3" w:rsidP="002E2E1B">
            <w:pPr>
              <w:jc w:val="center"/>
              <w:rPr>
                <w:rFonts w:eastAsia="Times New Roman" w:cs="Times New Roman"/>
                <w:bCs/>
                <w:sz w:val="22"/>
                <w:lang w:eastAsia="lv-LV"/>
              </w:rPr>
            </w:pPr>
            <w:r w:rsidRPr="002E2E1B">
              <w:rPr>
                <w:rFonts w:eastAsia="Times New Roman" w:cs="Times New Roman"/>
                <w:bCs/>
                <w:sz w:val="22"/>
                <w:lang w:eastAsia="lv-LV"/>
              </w:rPr>
              <w:t>1</w:t>
            </w:r>
            <w:r w:rsidR="002E2E1B" w:rsidRPr="002E2E1B">
              <w:rPr>
                <w:rFonts w:eastAsia="Times New Roman" w:cs="Times New Roman"/>
                <w:bCs/>
                <w:sz w:val="22"/>
                <w:lang w:eastAsia="lv-LV"/>
              </w:rPr>
              <w:t> 600 530</w:t>
            </w:r>
            <w:r w:rsidR="002E2E1B" w:rsidRPr="002E2E1B">
              <w:rPr>
                <w:rStyle w:val="FootnoteReference"/>
                <w:rFonts w:eastAsia="Times New Roman" w:cs="Times New Roman"/>
                <w:bCs/>
                <w:sz w:val="22"/>
                <w:lang w:eastAsia="lv-LV"/>
              </w:rPr>
              <w:footnoteReference w:id="75"/>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IZM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0C0165" w:rsidP="0004659A">
            <w:pPr>
              <w:jc w:val="center"/>
              <w:rPr>
                <w:rFonts w:eastAsia="Times New Roman" w:cs="Times New Roman"/>
                <w:bCs/>
                <w:color w:val="000000"/>
                <w:sz w:val="22"/>
                <w:lang w:eastAsia="lv-LV"/>
              </w:rPr>
            </w:pPr>
            <w:r>
              <w:rPr>
                <w:rFonts w:eastAsia="Times New Roman" w:cs="Times New Roman"/>
                <w:bCs/>
                <w:color w:val="000000"/>
                <w:sz w:val="22"/>
                <w:lang w:eastAsia="lv-LV"/>
              </w:rPr>
              <w:t>1 662 703</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Pr>
                <w:rFonts w:eastAsia="Times New Roman" w:cs="Times New Roman"/>
                <w:bCs/>
                <w:color w:val="000000"/>
                <w:sz w:val="22"/>
                <w:lang w:eastAsia="lv-LV"/>
              </w:rPr>
              <w:t>911 034</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LM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1 162 545</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172 320</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ZM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1 793 564</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74 813</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TM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998 786</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47 368</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IeM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6F0C4A" w:rsidP="0004659A">
            <w:pPr>
              <w:jc w:val="center"/>
              <w:rPr>
                <w:rFonts w:eastAsia="Times New Roman" w:cs="Times New Roman"/>
                <w:bCs/>
                <w:color w:val="000000"/>
                <w:sz w:val="22"/>
                <w:lang w:eastAsia="lv-LV"/>
              </w:rPr>
            </w:pPr>
            <w:r>
              <w:rPr>
                <w:rFonts w:eastAsia="Times New Roman" w:cs="Times New Roman"/>
                <w:bCs/>
                <w:color w:val="000000"/>
                <w:sz w:val="22"/>
                <w:lang w:eastAsia="lv-LV"/>
              </w:rPr>
              <w:t>587 613</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1A35B8" w:rsidP="0004659A">
            <w:pPr>
              <w:jc w:val="center"/>
              <w:rPr>
                <w:rFonts w:eastAsia="Times New Roman" w:cs="Times New Roman"/>
                <w:bCs/>
                <w:color w:val="000000"/>
                <w:sz w:val="22"/>
                <w:lang w:eastAsia="lv-LV"/>
              </w:rPr>
            </w:pPr>
            <w:r>
              <w:rPr>
                <w:rFonts w:eastAsia="Times New Roman" w:cs="Times New Roman"/>
                <w:bCs/>
                <w:color w:val="000000"/>
                <w:sz w:val="22"/>
                <w:lang w:eastAsia="lv-LV"/>
              </w:rPr>
              <w:t>127 499</w:t>
            </w:r>
            <w:r>
              <w:rPr>
                <w:rStyle w:val="FootnoteReference"/>
                <w:rFonts w:eastAsia="Times New Roman" w:cs="Times New Roman"/>
                <w:bCs/>
                <w:color w:val="000000"/>
                <w:sz w:val="22"/>
                <w:lang w:eastAsia="lv-LV"/>
              </w:rPr>
              <w:footnoteReference w:id="76"/>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AiM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549 400</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65 511</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7A1C1C" w:rsidP="0004659A">
            <w:pPr>
              <w:jc w:val="center"/>
              <w:rPr>
                <w:rFonts w:eastAsia="Times New Roman" w:cs="Times New Roman"/>
                <w:b/>
                <w:bCs/>
                <w:color w:val="000000"/>
                <w:sz w:val="22"/>
                <w:lang w:eastAsia="lv-LV"/>
              </w:rPr>
            </w:pPr>
            <w:r>
              <w:rPr>
                <w:rFonts w:eastAsia="Times New Roman" w:cs="Times New Roman"/>
                <w:b/>
                <w:bCs/>
                <w:color w:val="000000"/>
                <w:sz w:val="22"/>
                <w:lang w:eastAsia="lv-LV"/>
              </w:rPr>
              <w:t>M</w:t>
            </w:r>
            <w:r w:rsidR="003800F3" w:rsidRPr="0004659A">
              <w:rPr>
                <w:rFonts w:eastAsia="Times New Roman" w:cs="Times New Roman"/>
                <w:b/>
                <w:bCs/>
                <w:color w:val="000000"/>
                <w:sz w:val="22"/>
                <w:lang w:eastAsia="lv-LV"/>
              </w:rPr>
              <w:t>K</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359 402</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42 856</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EM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145 164</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16 355</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VARAM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116 244</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727BC4" w:rsidP="0004659A">
            <w:pPr>
              <w:jc w:val="center"/>
              <w:rPr>
                <w:rFonts w:eastAsia="Times New Roman" w:cs="Times New Roman"/>
                <w:bCs/>
                <w:color w:val="000000"/>
                <w:sz w:val="22"/>
                <w:lang w:eastAsia="lv-LV"/>
              </w:rPr>
            </w:pPr>
            <w:r>
              <w:rPr>
                <w:rFonts w:eastAsia="Times New Roman" w:cs="Times New Roman"/>
                <w:bCs/>
                <w:color w:val="000000"/>
                <w:sz w:val="22"/>
                <w:lang w:eastAsia="lv-LV"/>
              </w:rPr>
              <w:t>38 766</w:t>
            </w:r>
            <w:r>
              <w:rPr>
                <w:rStyle w:val="FootnoteReference"/>
                <w:rFonts w:eastAsia="Times New Roman" w:cs="Times New Roman"/>
                <w:bCs/>
                <w:color w:val="000000"/>
                <w:sz w:val="22"/>
                <w:lang w:eastAsia="lv-LV"/>
              </w:rPr>
              <w:footnoteReference w:id="77"/>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04659A" w:rsidRDefault="003800F3" w:rsidP="0004659A">
            <w:pPr>
              <w:jc w:val="center"/>
              <w:rPr>
                <w:rFonts w:eastAsia="Times New Roman" w:cs="Times New Roman"/>
                <w:b/>
                <w:bCs/>
                <w:color w:val="000000"/>
                <w:sz w:val="22"/>
                <w:lang w:eastAsia="lv-LV"/>
              </w:rPr>
            </w:pPr>
            <w:r w:rsidRPr="0004659A">
              <w:rPr>
                <w:rFonts w:eastAsia="Times New Roman" w:cs="Times New Roman"/>
                <w:b/>
                <w:bCs/>
                <w:color w:val="000000"/>
                <w:sz w:val="22"/>
                <w:lang w:eastAsia="lv-LV"/>
              </w:rPr>
              <w:t>ĀM</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1 209</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3800F3" w:rsidP="0004659A">
            <w:pPr>
              <w:jc w:val="center"/>
              <w:rPr>
                <w:rFonts w:eastAsia="Times New Roman" w:cs="Times New Roman"/>
                <w:bCs/>
                <w:color w:val="000000"/>
                <w:sz w:val="22"/>
                <w:lang w:eastAsia="lv-LV"/>
              </w:rPr>
            </w:pPr>
            <w:r w:rsidRPr="00BC6B97">
              <w:rPr>
                <w:rFonts w:eastAsia="Times New Roman" w:cs="Times New Roman"/>
                <w:bCs/>
                <w:color w:val="000000"/>
                <w:sz w:val="22"/>
                <w:lang w:eastAsia="lv-LV"/>
              </w:rPr>
              <w:t>89</w:t>
            </w:r>
          </w:p>
        </w:tc>
      </w:tr>
      <w:tr w:rsidR="003800F3" w:rsidRPr="00BC6B97" w:rsidTr="0004659A">
        <w:trPr>
          <w:trHeight w:val="20"/>
        </w:trPr>
        <w:tc>
          <w:tcPr>
            <w:tcW w:w="1514" w:type="pct"/>
            <w:tcBorders>
              <w:top w:val="nil"/>
              <w:left w:val="single" w:sz="4" w:space="0" w:color="auto"/>
              <w:bottom w:val="single" w:sz="4" w:space="0" w:color="auto"/>
              <w:right w:val="single" w:sz="4" w:space="0" w:color="auto"/>
            </w:tcBorders>
            <w:shd w:val="clear" w:color="auto" w:fill="auto"/>
            <w:noWrap/>
            <w:vAlign w:val="center"/>
            <w:hideMark/>
          </w:tcPr>
          <w:p w:rsidR="003800F3" w:rsidRPr="00BC6B97" w:rsidRDefault="0004659A" w:rsidP="0004659A">
            <w:pPr>
              <w:jc w:val="right"/>
              <w:rPr>
                <w:rFonts w:eastAsia="Times New Roman" w:cs="Times New Roman"/>
                <w:b/>
                <w:bCs/>
                <w:color w:val="000000"/>
                <w:sz w:val="22"/>
                <w:lang w:eastAsia="lv-LV"/>
              </w:rPr>
            </w:pPr>
            <w:r>
              <w:rPr>
                <w:rFonts w:eastAsia="Times New Roman" w:cs="Times New Roman"/>
                <w:b/>
                <w:bCs/>
                <w:color w:val="000000"/>
                <w:sz w:val="22"/>
                <w:lang w:eastAsia="lv-LV"/>
              </w:rPr>
              <w:t>KOPĀ</w:t>
            </w:r>
            <w:r w:rsidR="003800F3" w:rsidRPr="00BC6B97">
              <w:rPr>
                <w:rFonts w:eastAsia="Times New Roman" w:cs="Times New Roman"/>
                <w:b/>
                <w:bCs/>
                <w:color w:val="000000"/>
                <w:sz w:val="22"/>
                <w:lang w:eastAsia="lv-LV"/>
              </w:rPr>
              <w:t>:</w:t>
            </w:r>
          </w:p>
        </w:tc>
        <w:tc>
          <w:tcPr>
            <w:tcW w:w="1896" w:type="pct"/>
            <w:tcBorders>
              <w:top w:val="nil"/>
              <w:left w:val="nil"/>
              <w:bottom w:val="single" w:sz="4" w:space="0" w:color="auto"/>
              <w:right w:val="single" w:sz="4" w:space="0" w:color="auto"/>
            </w:tcBorders>
            <w:shd w:val="clear" w:color="auto" w:fill="auto"/>
            <w:noWrap/>
            <w:vAlign w:val="center"/>
            <w:hideMark/>
          </w:tcPr>
          <w:p w:rsidR="003800F3" w:rsidRPr="00BC6B97" w:rsidRDefault="007F6AAA" w:rsidP="000C0165">
            <w:pPr>
              <w:jc w:val="center"/>
              <w:rPr>
                <w:rFonts w:eastAsia="Times New Roman" w:cs="Times New Roman"/>
                <w:b/>
                <w:bCs/>
                <w:color w:val="000000"/>
                <w:sz w:val="22"/>
                <w:lang w:eastAsia="lv-LV"/>
              </w:rPr>
            </w:pPr>
            <w:r>
              <w:rPr>
                <w:rFonts w:eastAsia="Times New Roman" w:cs="Times New Roman"/>
                <w:b/>
                <w:bCs/>
                <w:color w:val="000000"/>
                <w:sz w:val="22"/>
                <w:lang w:eastAsia="lv-LV"/>
              </w:rPr>
              <w:t>15</w:t>
            </w:r>
            <w:r w:rsidR="000C0165">
              <w:rPr>
                <w:rFonts w:eastAsia="Times New Roman" w:cs="Times New Roman"/>
                <w:b/>
                <w:bCs/>
                <w:color w:val="000000"/>
                <w:sz w:val="22"/>
                <w:lang w:eastAsia="lv-LV"/>
              </w:rPr>
              <w:t> 391 434</w:t>
            </w:r>
          </w:p>
        </w:tc>
        <w:tc>
          <w:tcPr>
            <w:tcW w:w="1590" w:type="pct"/>
            <w:tcBorders>
              <w:top w:val="nil"/>
              <w:left w:val="nil"/>
              <w:bottom w:val="single" w:sz="4" w:space="0" w:color="auto"/>
              <w:right w:val="single" w:sz="4" w:space="0" w:color="auto"/>
            </w:tcBorders>
            <w:shd w:val="clear" w:color="auto" w:fill="auto"/>
            <w:noWrap/>
            <w:vAlign w:val="center"/>
            <w:hideMark/>
          </w:tcPr>
          <w:p w:rsidR="003800F3" w:rsidRPr="00BC6B97" w:rsidRDefault="001B2A8F" w:rsidP="00E337DE">
            <w:pPr>
              <w:jc w:val="center"/>
              <w:rPr>
                <w:rFonts w:eastAsia="Times New Roman" w:cs="Times New Roman"/>
                <w:b/>
                <w:bCs/>
                <w:color w:val="000000"/>
                <w:sz w:val="22"/>
                <w:lang w:eastAsia="lv-LV"/>
              </w:rPr>
            </w:pPr>
            <w:r>
              <w:rPr>
                <w:rFonts w:eastAsia="Times New Roman" w:cs="Times New Roman"/>
                <w:b/>
                <w:bCs/>
                <w:color w:val="000000"/>
                <w:sz w:val="22"/>
                <w:lang w:eastAsia="lv-LV"/>
              </w:rPr>
              <w:t>3</w:t>
            </w:r>
            <w:r w:rsidR="001F280A">
              <w:rPr>
                <w:rFonts w:eastAsia="Times New Roman" w:cs="Times New Roman"/>
                <w:b/>
                <w:bCs/>
                <w:color w:val="000000"/>
                <w:sz w:val="22"/>
                <w:lang w:eastAsia="lv-LV"/>
              </w:rPr>
              <w:t> 500 749</w:t>
            </w:r>
          </w:p>
        </w:tc>
      </w:tr>
    </w:tbl>
    <w:p w:rsidR="003800F3" w:rsidRDefault="003800F3" w:rsidP="0004659A">
      <w:pPr>
        <w:tabs>
          <w:tab w:val="left" w:pos="1010"/>
        </w:tabs>
        <w:spacing w:before="240" w:after="120"/>
        <w:ind w:firstLine="709"/>
        <w:jc w:val="both"/>
        <w:rPr>
          <w:szCs w:val="24"/>
        </w:rPr>
      </w:pPr>
      <w:r>
        <w:rPr>
          <w:szCs w:val="24"/>
        </w:rPr>
        <w:t>Informācijas apkopošanas rezultātā tika konstatēts, ka ir vairāki MPK cenrāži, kas</w:t>
      </w:r>
      <w:r w:rsidRPr="00D42F43">
        <w:t xml:space="preserve"> </w:t>
      </w:r>
      <w:r w:rsidRPr="00D42F43">
        <w:rPr>
          <w:szCs w:val="24"/>
        </w:rPr>
        <w:t>ir zaudējuši</w:t>
      </w:r>
      <w:r>
        <w:rPr>
          <w:szCs w:val="24"/>
        </w:rPr>
        <w:t xml:space="preserve"> savu</w:t>
      </w:r>
      <w:r w:rsidRPr="00D42F43">
        <w:rPr>
          <w:szCs w:val="24"/>
        </w:rPr>
        <w:t xml:space="preserve"> aktualitāti</w:t>
      </w:r>
      <w:r>
        <w:rPr>
          <w:szCs w:val="24"/>
        </w:rPr>
        <w:t xml:space="preserve">, un ieņēmumi </w:t>
      </w:r>
      <w:r w:rsidRPr="00AC4070">
        <w:rPr>
          <w:szCs w:val="24"/>
        </w:rPr>
        <w:t>no maksas pakalpojumiem</w:t>
      </w:r>
      <w:r>
        <w:rPr>
          <w:szCs w:val="24"/>
        </w:rPr>
        <w:t xml:space="preserve"> netiek plānoti, bet kuri vēl joprojām ir spēkā esoši. Tādi ir:</w:t>
      </w:r>
    </w:p>
    <w:p w:rsidR="003800F3" w:rsidRDefault="003800F3" w:rsidP="008C25BB">
      <w:pPr>
        <w:pStyle w:val="ListParagraph"/>
        <w:numPr>
          <w:ilvl w:val="0"/>
          <w:numId w:val="12"/>
        </w:numPr>
        <w:tabs>
          <w:tab w:val="left" w:pos="993"/>
        </w:tabs>
        <w:spacing w:after="60"/>
        <w:ind w:left="993" w:hanging="284"/>
        <w:contextualSpacing w:val="0"/>
        <w:jc w:val="both"/>
        <w:rPr>
          <w:szCs w:val="24"/>
        </w:rPr>
      </w:pPr>
      <w:r w:rsidRPr="00955976">
        <w:rPr>
          <w:szCs w:val="24"/>
        </w:rPr>
        <w:t>AiM “Latvijas Nacionālās aizsardzības akadēmijas maksas pakalpojumu cenrādis</w:t>
      </w:r>
      <w:r>
        <w:rPr>
          <w:szCs w:val="24"/>
        </w:rPr>
        <w:t>”;</w:t>
      </w:r>
    </w:p>
    <w:p w:rsidR="003800F3" w:rsidRDefault="003800F3" w:rsidP="008C25BB">
      <w:pPr>
        <w:pStyle w:val="ListParagraph"/>
        <w:numPr>
          <w:ilvl w:val="0"/>
          <w:numId w:val="12"/>
        </w:numPr>
        <w:tabs>
          <w:tab w:val="left" w:pos="993"/>
        </w:tabs>
        <w:spacing w:after="60"/>
        <w:ind w:left="993" w:hanging="284"/>
        <w:contextualSpacing w:val="0"/>
        <w:jc w:val="both"/>
        <w:rPr>
          <w:szCs w:val="24"/>
        </w:rPr>
      </w:pPr>
      <w:r w:rsidRPr="00955976">
        <w:rPr>
          <w:szCs w:val="24"/>
        </w:rPr>
        <w:t xml:space="preserve">ĀM “Noteikumi par Ārlietu ministrijas publisko maksas pakalpojumu cenrādi Eiropas Savienības informācijas bibliotēkas pakalpojumu jomā” (cenrādis ir latos un nav </w:t>
      </w:r>
      <w:r>
        <w:rPr>
          <w:szCs w:val="24"/>
        </w:rPr>
        <w:t>konvertēts</w:t>
      </w:r>
      <w:r w:rsidRPr="00955976">
        <w:rPr>
          <w:szCs w:val="24"/>
        </w:rPr>
        <w:t xml:space="preserve"> uz eiro</w:t>
      </w:r>
      <w:r>
        <w:rPr>
          <w:szCs w:val="24"/>
        </w:rPr>
        <w:t>);</w:t>
      </w:r>
    </w:p>
    <w:p w:rsidR="003800F3" w:rsidRDefault="003800F3" w:rsidP="008C25BB">
      <w:pPr>
        <w:pStyle w:val="ListParagraph"/>
        <w:numPr>
          <w:ilvl w:val="0"/>
          <w:numId w:val="12"/>
        </w:numPr>
        <w:tabs>
          <w:tab w:val="left" w:pos="993"/>
        </w:tabs>
        <w:spacing w:after="60"/>
        <w:ind w:left="993" w:hanging="284"/>
        <w:contextualSpacing w:val="0"/>
        <w:jc w:val="both"/>
        <w:rPr>
          <w:szCs w:val="24"/>
        </w:rPr>
      </w:pPr>
      <w:r>
        <w:rPr>
          <w:szCs w:val="24"/>
        </w:rPr>
        <w:t>IeM “</w:t>
      </w:r>
      <w:r w:rsidRPr="00993A12">
        <w:rPr>
          <w:szCs w:val="24"/>
        </w:rPr>
        <w:t>Valsts robežsardzes maksas pakalpojumu cenrādis</w:t>
      </w:r>
      <w:r>
        <w:rPr>
          <w:szCs w:val="24"/>
        </w:rPr>
        <w:t>”;</w:t>
      </w:r>
    </w:p>
    <w:p w:rsidR="003800F3" w:rsidRDefault="003800F3" w:rsidP="008C25BB">
      <w:pPr>
        <w:pStyle w:val="ListParagraph"/>
        <w:numPr>
          <w:ilvl w:val="0"/>
          <w:numId w:val="12"/>
        </w:numPr>
        <w:tabs>
          <w:tab w:val="left" w:pos="993"/>
        </w:tabs>
        <w:spacing w:after="60"/>
        <w:ind w:left="993" w:hanging="284"/>
        <w:contextualSpacing w:val="0"/>
        <w:jc w:val="both"/>
        <w:rPr>
          <w:szCs w:val="24"/>
        </w:rPr>
      </w:pPr>
      <w:r w:rsidRPr="00955976">
        <w:rPr>
          <w:szCs w:val="24"/>
        </w:rPr>
        <w:t xml:space="preserve">ZM “Noteikumi par Lauku atbalsta dienesta sniegto maksas pakalpojumu cenrādi” (cenrādis ir latos un nav </w:t>
      </w:r>
      <w:r>
        <w:rPr>
          <w:szCs w:val="24"/>
        </w:rPr>
        <w:t>konvertēts</w:t>
      </w:r>
      <w:r w:rsidRPr="00955976">
        <w:rPr>
          <w:szCs w:val="24"/>
        </w:rPr>
        <w:t xml:space="preserve"> uz eiro</w:t>
      </w:r>
      <w:r>
        <w:rPr>
          <w:szCs w:val="24"/>
        </w:rPr>
        <w:t>);</w:t>
      </w:r>
    </w:p>
    <w:p w:rsidR="003800F3" w:rsidRDefault="003800F3" w:rsidP="008C25BB">
      <w:pPr>
        <w:pStyle w:val="ListParagraph"/>
        <w:numPr>
          <w:ilvl w:val="0"/>
          <w:numId w:val="12"/>
        </w:numPr>
        <w:tabs>
          <w:tab w:val="left" w:pos="993"/>
        </w:tabs>
        <w:spacing w:after="60"/>
        <w:ind w:left="993" w:hanging="284"/>
        <w:contextualSpacing w:val="0"/>
        <w:jc w:val="both"/>
        <w:rPr>
          <w:szCs w:val="24"/>
        </w:rPr>
      </w:pPr>
      <w:r>
        <w:rPr>
          <w:szCs w:val="24"/>
        </w:rPr>
        <w:t>TM “</w:t>
      </w:r>
      <w:r w:rsidRPr="00993A12">
        <w:rPr>
          <w:szCs w:val="24"/>
        </w:rPr>
        <w:t>Valsts valodas centra publisko maksas pakalpojumu cenrādis</w:t>
      </w:r>
      <w:r>
        <w:rPr>
          <w:szCs w:val="24"/>
        </w:rPr>
        <w:t>”.</w:t>
      </w:r>
    </w:p>
    <w:p w:rsidR="003800F3" w:rsidRDefault="003800F3" w:rsidP="003800F3">
      <w:pPr>
        <w:tabs>
          <w:tab w:val="left" w:pos="1010"/>
        </w:tabs>
        <w:spacing w:before="240" w:after="240"/>
        <w:jc w:val="both"/>
        <w:rPr>
          <w:b/>
          <w:szCs w:val="24"/>
        </w:rPr>
      </w:pPr>
      <w:r>
        <w:rPr>
          <w:b/>
          <w:szCs w:val="24"/>
        </w:rPr>
        <w:t>Secinājumi:</w:t>
      </w:r>
    </w:p>
    <w:p w:rsidR="003800F3" w:rsidRDefault="003800F3" w:rsidP="008C25BB">
      <w:pPr>
        <w:pStyle w:val="ListParagraph"/>
        <w:numPr>
          <w:ilvl w:val="0"/>
          <w:numId w:val="13"/>
        </w:numPr>
        <w:tabs>
          <w:tab w:val="left" w:pos="1010"/>
        </w:tabs>
        <w:spacing w:before="120" w:after="120"/>
        <w:ind w:left="714" w:hanging="357"/>
        <w:contextualSpacing w:val="0"/>
        <w:jc w:val="both"/>
        <w:rPr>
          <w:szCs w:val="24"/>
        </w:rPr>
      </w:pPr>
      <w:r>
        <w:rPr>
          <w:szCs w:val="24"/>
        </w:rPr>
        <w:t>m</w:t>
      </w:r>
      <w:r w:rsidRPr="00505FAB">
        <w:rPr>
          <w:szCs w:val="24"/>
        </w:rPr>
        <w:t>inistrijām ir krasi atšķirīgi</w:t>
      </w:r>
      <w:r w:rsidRPr="00505FAB">
        <w:rPr>
          <w:szCs w:val="24"/>
          <w:lang w:eastAsia="lv-LV"/>
        </w:rPr>
        <w:t xml:space="preserve"> maksas pakalpojumu cenrāžu aktualizācijas laiki, sākot no 0,1 gada līdz pat 11,7 gadiem</w:t>
      </w:r>
      <w:r>
        <w:rPr>
          <w:szCs w:val="24"/>
        </w:rPr>
        <w:t>;</w:t>
      </w:r>
    </w:p>
    <w:p w:rsidR="003800F3" w:rsidRDefault="003800F3" w:rsidP="008C25BB">
      <w:pPr>
        <w:pStyle w:val="ListParagraph"/>
        <w:numPr>
          <w:ilvl w:val="0"/>
          <w:numId w:val="13"/>
        </w:numPr>
        <w:tabs>
          <w:tab w:val="left" w:pos="1010"/>
        </w:tabs>
        <w:spacing w:before="120" w:after="120"/>
        <w:ind w:left="714" w:hanging="357"/>
        <w:contextualSpacing w:val="0"/>
        <w:jc w:val="both"/>
        <w:rPr>
          <w:szCs w:val="24"/>
        </w:rPr>
      </w:pPr>
      <w:r>
        <w:rPr>
          <w:szCs w:val="24"/>
        </w:rPr>
        <w:lastRenderedPageBreak/>
        <w:t>v</w:t>
      </w:r>
      <w:r w:rsidRPr="00505FAB">
        <w:rPr>
          <w:szCs w:val="24"/>
        </w:rPr>
        <w:t>airākām ministrijām ir cenrāži, kas ir spēkā esoši, bet zaudējuši savu aktualitāti un ieņēmumi no maksas pakalpojumiem vairs netiek plānoti.</w:t>
      </w:r>
    </w:p>
    <w:p w:rsidR="003800F3" w:rsidRPr="00505FAB" w:rsidRDefault="003800F3" w:rsidP="009657CF">
      <w:pPr>
        <w:tabs>
          <w:tab w:val="left" w:pos="1010"/>
        </w:tabs>
        <w:spacing w:before="240" w:after="240"/>
        <w:jc w:val="both"/>
        <w:rPr>
          <w:b/>
          <w:szCs w:val="24"/>
        </w:rPr>
      </w:pPr>
      <w:r w:rsidRPr="00505FAB">
        <w:rPr>
          <w:b/>
          <w:szCs w:val="24"/>
        </w:rPr>
        <w:t>Priekšlikumi:</w:t>
      </w:r>
    </w:p>
    <w:p w:rsidR="003800F3" w:rsidRDefault="003800F3" w:rsidP="008C25BB">
      <w:pPr>
        <w:pStyle w:val="ListParagraph"/>
        <w:numPr>
          <w:ilvl w:val="0"/>
          <w:numId w:val="14"/>
        </w:numPr>
        <w:tabs>
          <w:tab w:val="left" w:pos="1010"/>
        </w:tabs>
        <w:spacing w:before="120" w:after="120"/>
        <w:ind w:left="714" w:hanging="357"/>
        <w:contextualSpacing w:val="0"/>
        <w:jc w:val="both"/>
        <w:rPr>
          <w:szCs w:val="24"/>
        </w:rPr>
      </w:pPr>
      <w:r>
        <w:rPr>
          <w:szCs w:val="24"/>
        </w:rPr>
        <w:t>m</w:t>
      </w:r>
      <w:r w:rsidRPr="00505FAB">
        <w:rPr>
          <w:szCs w:val="24"/>
        </w:rPr>
        <w:t xml:space="preserve">inistrijām </w:t>
      </w:r>
      <w:r>
        <w:rPr>
          <w:szCs w:val="24"/>
        </w:rPr>
        <w:t>veikt nepieciešamās izmaiņas (aktualizēt) tajos MPK cenrāžos, kuru pēdējais aktualizācijas laiks ir bijis vairāk nekā pirms</w:t>
      </w:r>
      <w:r w:rsidRPr="00505FAB">
        <w:rPr>
          <w:szCs w:val="24"/>
        </w:rPr>
        <w:t xml:space="preserve"> </w:t>
      </w:r>
      <w:r>
        <w:rPr>
          <w:szCs w:val="24"/>
        </w:rPr>
        <w:t>diviem gadiem</w:t>
      </w:r>
      <w:r w:rsidR="007E31BD">
        <w:rPr>
          <w:szCs w:val="24"/>
        </w:rPr>
        <w:t>;</w:t>
      </w:r>
    </w:p>
    <w:p w:rsidR="003800F3" w:rsidRPr="00505FAB" w:rsidRDefault="003800F3" w:rsidP="008C25BB">
      <w:pPr>
        <w:pStyle w:val="ListParagraph"/>
        <w:numPr>
          <w:ilvl w:val="0"/>
          <w:numId w:val="14"/>
        </w:numPr>
        <w:tabs>
          <w:tab w:val="left" w:pos="1010"/>
        </w:tabs>
        <w:spacing w:before="120" w:after="120"/>
        <w:contextualSpacing w:val="0"/>
        <w:jc w:val="both"/>
        <w:rPr>
          <w:szCs w:val="24"/>
        </w:rPr>
      </w:pPr>
      <w:r>
        <w:rPr>
          <w:szCs w:val="24"/>
        </w:rPr>
        <w:t>t</w:t>
      </w:r>
      <w:r w:rsidRPr="00505FAB">
        <w:rPr>
          <w:szCs w:val="24"/>
        </w:rPr>
        <w:t xml:space="preserve">urpmāk </w:t>
      </w:r>
      <w:r>
        <w:rPr>
          <w:szCs w:val="24"/>
        </w:rPr>
        <w:t xml:space="preserve">regulāri pārskatīt un veikt </w:t>
      </w:r>
      <w:r w:rsidRPr="00505FAB">
        <w:rPr>
          <w:szCs w:val="24"/>
        </w:rPr>
        <w:t>M</w:t>
      </w:r>
      <w:r w:rsidR="00426334">
        <w:rPr>
          <w:szCs w:val="24"/>
        </w:rPr>
        <w:t>PK</w:t>
      </w:r>
      <w:r w:rsidRPr="00505FAB">
        <w:rPr>
          <w:szCs w:val="24"/>
        </w:rPr>
        <w:t xml:space="preserve"> cenrāžu aktualizāciju esošā normatīvā regulējuma ietvaros</w:t>
      </w:r>
      <w:r>
        <w:rPr>
          <w:szCs w:val="24"/>
        </w:rPr>
        <w:t xml:space="preserve"> – </w:t>
      </w:r>
      <w:r w:rsidRPr="00505FAB">
        <w:rPr>
          <w:szCs w:val="24"/>
        </w:rPr>
        <w:t xml:space="preserve">MK noteikumos Nr.333 noteikts, ka </w:t>
      </w:r>
      <w:r>
        <w:rPr>
          <w:szCs w:val="24"/>
        </w:rPr>
        <w:t>g</w:t>
      </w:r>
      <w:r w:rsidRPr="00505FAB">
        <w:rPr>
          <w:szCs w:val="24"/>
        </w:rPr>
        <w:t>rozījumus noteikumos par maksas pakalpojumu cenrādi izdara šādos gadījumos:</w:t>
      </w:r>
    </w:p>
    <w:p w:rsidR="003800F3" w:rsidRPr="002B3F75" w:rsidRDefault="003800F3" w:rsidP="008C25BB">
      <w:pPr>
        <w:pStyle w:val="ListParagraph"/>
        <w:numPr>
          <w:ilvl w:val="0"/>
          <w:numId w:val="11"/>
        </w:numPr>
        <w:spacing w:before="120" w:after="120"/>
        <w:ind w:left="1134" w:hanging="425"/>
        <w:contextualSpacing w:val="0"/>
        <w:jc w:val="both"/>
        <w:rPr>
          <w:szCs w:val="24"/>
        </w:rPr>
      </w:pPr>
      <w:r w:rsidRPr="002B3F75">
        <w:rPr>
          <w:szCs w:val="24"/>
        </w:rPr>
        <w:t>ir izdarīti grozījumi normatīvajos aktos vai mainījušies apstākļi, kas ietekmē iestādes vai valsts aģentūras sniedzamo maksas pakalpojumu klāstu;</w:t>
      </w:r>
    </w:p>
    <w:p w:rsidR="003800F3" w:rsidRPr="002B3F75" w:rsidRDefault="003800F3" w:rsidP="008C25BB">
      <w:pPr>
        <w:pStyle w:val="ListParagraph"/>
        <w:numPr>
          <w:ilvl w:val="0"/>
          <w:numId w:val="11"/>
        </w:numPr>
        <w:spacing w:before="120" w:after="120"/>
        <w:ind w:left="1134" w:hanging="425"/>
        <w:contextualSpacing w:val="0"/>
        <w:jc w:val="both"/>
        <w:rPr>
          <w:szCs w:val="24"/>
        </w:rPr>
      </w:pPr>
      <w:r w:rsidRPr="002B3F75">
        <w:rPr>
          <w:szCs w:val="24"/>
        </w:rPr>
        <w:t>ir būtiski mainījušās (samazinājušās vai palielinājušās) tiešās vai netiešās izmaksas, kuras veido maksas pakalpojumu izcenojumus;</w:t>
      </w:r>
    </w:p>
    <w:p w:rsidR="00C458B2" w:rsidRPr="00697EA2" w:rsidRDefault="003800F3" w:rsidP="00697EA2">
      <w:pPr>
        <w:pStyle w:val="ListParagraph"/>
        <w:numPr>
          <w:ilvl w:val="0"/>
          <w:numId w:val="11"/>
        </w:numPr>
        <w:spacing w:before="120" w:after="120"/>
        <w:ind w:left="1134" w:hanging="425"/>
        <w:contextualSpacing w:val="0"/>
        <w:jc w:val="both"/>
        <w:rPr>
          <w:szCs w:val="24"/>
        </w:rPr>
      </w:pPr>
      <w:r w:rsidRPr="002B3F75">
        <w:rPr>
          <w:szCs w:val="24"/>
        </w:rPr>
        <w:t>ir tā mainījies plānoto maksas pakalpojumu vienību skaits noteiktā laikposmā, ka tas būtiski ietekmē vienas pakalpojuma vienības sniegšanas izmaksas.</w:t>
      </w:r>
    </w:p>
    <w:p w:rsidR="006D75CD" w:rsidRPr="00697EA2" w:rsidRDefault="009A5DC2" w:rsidP="00697EA2">
      <w:pPr>
        <w:pStyle w:val="Heading3"/>
        <w:spacing w:before="240" w:after="240"/>
        <w:jc w:val="center"/>
        <w:rPr>
          <w:rFonts w:ascii="Times New Roman" w:hAnsi="Times New Roman" w:cs="Times New Roman"/>
          <w:color w:val="auto"/>
          <w:sz w:val="28"/>
          <w:szCs w:val="28"/>
        </w:rPr>
      </w:pPr>
      <w:bookmarkStart w:id="24" w:name="_Toc487036808"/>
      <w:r w:rsidRPr="00C90316">
        <w:rPr>
          <w:rFonts w:ascii="Times New Roman" w:hAnsi="Times New Roman" w:cs="Times New Roman"/>
          <w:color w:val="auto"/>
          <w:sz w:val="28"/>
          <w:szCs w:val="28"/>
        </w:rPr>
        <w:t>3.4.3. Zemākās prioritātes administratīvo izdevumu pārskatīšana</w:t>
      </w:r>
      <w:bookmarkEnd w:id="24"/>
    </w:p>
    <w:p w:rsidR="005D01B2" w:rsidRDefault="005D01B2" w:rsidP="005D01B2">
      <w:pPr>
        <w:ind w:firstLine="720"/>
        <w:jc w:val="both"/>
      </w:pPr>
      <w:r>
        <w:rPr>
          <w:szCs w:val="24"/>
        </w:rPr>
        <w:t>I</w:t>
      </w:r>
      <w:r w:rsidRPr="006E5888">
        <w:rPr>
          <w:szCs w:val="24"/>
        </w:rPr>
        <w:t xml:space="preserve">zdevumu </w:t>
      </w:r>
      <w:r>
        <w:rPr>
          <w:szCs w:val="24"/>
        </w:rPr>
        <w:t>pārskatīšanā</w:t>
      </w:r>
      <w:r w:rsidRPr="006E5888">
        <w:rPr>
          <w:szCs w:val="24"/>
        </w:rPr>
        <w:t xml:space="preserve"> atsevišķa uzmanība tika veltīta </w:t>
      </w:r>
      <w:r>
        <w:rPr>
          <w:szCs w:val="24"/>
        </w:rPr>
        <w:t>nosacīti z</w:t>
      </w:r>
      <w:r w:rsidRPr="00935755">
        <w:rPr>
          <w:szCs w:val="24"/>
        </w:rPr>
        <w:t xml:space="preserve">emākās prioritātes administratīvo izdevumu </w:t>
      </w:r>
      <w:r>
        <w:rPr>
          <w:szCs w:val="24"/>
        </w:rPr>
        <w:t>pārskatīšanai:</w:t>
      </w:r>
    </w:p>
    <w:p w:rsidR="005D01B2" w:rsidRDefault="005D01B2" w:rsidP="008C25BB">
      <w:pPr>
        <w:pStyle w:val="ListParagraph"/>
        <w:numPr>
          <w:ilvl w:val="0"/>
          <w:numId w:val="99"/>
        </w:numPr>
        <w:jc w:val="both"/>
      </w:pPr>
      <w:r>
        <w:t>K</w:t>
      </w:r>
      <w:r w:rsidRPr="00E17129">
        <w:t>omandējumu un darba braucienu izdevumi</w:t>
      </w:r>
      <w:r>
        <w:t xml:space="preserve"> (EKK </w:t>
      </w:r>
      <w:r w:rsidRPr="005F2572">
        <w:t>2122 “Pārējie komandējumu un darba braucienu izdevumi”</w:t>
      </w:r>
      <w:r>
        <w:t>)</w:t>
      </w:r>
      <w:r>
        <w:rPr>
          <w:rStyle w:val="FootnoteReference"/>
        </w:rPr>
        <w:footnoteReference w:id="78"/>
      </w:r>
      <w:r>
        <w:t>;</w:t>
      </w:r>
    </w:p>
    <w:p w:rsidR="005D01B2" w:rsidRDefault="005D01B2" w:rsidP="008C25BB">
      <w:pPr>
        <w:pStyle w:val="ListParagraph"/>
        <w:numPr>
          <w:ilvl w:val="0"/>
          <w:numId w:val="99"/>
        </w:numPr>
        <w:jc w:val="both"/>
      </w:pPr>
      <w:r>
        <w:t>S</w:t>
      </w:r>
      <w:r w:rsidRPr="00E17129">
        <w:t>akaru pakalpojumi</w:t>
      </w:r>
      <w:r>
        <w:t xml:space="preserve"> (EKK </w:t>
      </w:r>
      <w:r w:rsidRPr="00BB4ED5">
        <w:t>2219 “Pārējie sakaru pakalpojumi”</w:t>
      </w:r>
      <w:r>
        <w:t>)</w:t>
      </w:r>
      <w:r>
        <w:rPr>
          <w:vertAlign w:val="superscript"/>
        </w:rPr>
        <w:t>1</w:t>
      </w:r>
      <w:r>
        <w:t>;</w:t>
      </w:r>
    </w:p>
    <w:p w:rsidR="005D01B2" w:rsidRDefault="005D01B2" w:rsidP="008C25BB">
      <w:pPr>
        <w:pStyle w:val="ListParagraph"/>
        <w:numPr>
          <w:ilvl w:val="0"/>
          <w:numId w:val="99"/>
        </w:numPr>
        <w:jc w:val="both"/>
      </w:pPr>
      <w:r w:rsidRPr="00E17129">
        <w:t>Biroja preces</w:t>
      </w:r>
      <w:r>
        <w:t xml:space="preserve"> (EKK </w:t>
      </w:r>
      <w:r w:rsidRPr="006347DE">
        <w:t>2</w:t>
      </w:r>
      <w:r>
        <w:t>311</w:t>
      </w:r>
      <w:r w:rsidRPr="006347DE">
        <w:t xml:space="preserve"> “</w:t>
      </w:r>
      <w:r>
        <w:t>Biroja preces</w:t>
      </w:r>
      <w:r w:rsidRPr="006347DE">
        <w:t>”</w:t>
      </w:r>
      <w:r>
        <w:t>)</w:t>
      </w:r>
      <w:r>
        <w:rPr>
          <w:vertAlign w:val="superscript"/>
        </w:rPr>
        <w:t>1</w:t>
      </w:r>
      <w:r>
        <w:t>;</w:t>
      </w:r>
    </w:p>
    <w:p w:rsidR="005D01B2" w:rsidRDefault="005D01B2" w:rsidP="008C25BB">
      <w:pPr>
        <w:pStyle w:val="ListParagraph"/>
        <w:numPr>
          <w:ilvl w:val="0"/>
          <w:numId w:val="99"/>
        </w:numPr>
        <w:jc w:val="both"/>
      </w:pPr>
      <w:r w:rsidRPr="00E17129">
        <w:t xml:space="preserve">Izdevumi </w:t>
      </w:r>
      <w:r>
        <w:t>i</w:t>
      </w:r>
      <w:r w:rsidRPr="00E17129">
        <w:t>estādes administratīvās darbības nodrošināšanai</w:t>
      </w:r>
      <w:r>
        <w:t xml:space="preserve"> (EKK </w:t>
      </w:r>
      <w:r w:rsidRPr="00BB4ED5">
        <w:t xml:space="preserve">2314 </w:t>
      </w:r>
      <w:r>
        <w:t>“</w:t>
      </w:r>
      <w:r w:rsidRPr="00BB4ED5">
        <w:t>Izdevumi par precēm iestādes administratīvās darbības nodrošināšanai</w:t>
      </w:r>
      <w:r>
        <w:t>”)</w:t>
      </w:r>
      <w:r>
        <w:rPr>
          <w:vertAlign w:val="superscript"/>
        </w:rPr>
        <w:t>1</w:t>
      </w:r>
      <w:r>
        <w:t>;</w:t>
      </w:r>
    </w:p>
    <w:p w:rsidR="005D01B2" w:rsidRDefault="005D01B2" w:rsidP="008C25BB">
      <w:pPr>
        <w:pStyle w:val="ListParagraph"/>
        <w:numPr>
          <w:ilvl w:val="0"/>
          <w:numId w:val="99"/>
        </w:numPr>
        <w:jc w:val="both"/>
      </w:pPr>
      <w:r>
        <w:t>Bankas komisija un</w:t>
      </w:r>
      <w:r w:rsidRPr="00E17129">
        <w:t xml:space="preserve"> pakalpojumi</w:t>
      </w:r>
      <w:r>
        <w:t xml:space="preserve"> (EKK </w:t>
      </w:r>
      <w:r w:rsidRPr="00920B60">
        <w:t xml:space="preserve">2236 </w:t>
      </w:r>
      <w:r>
        <w:t>“</w:t>
      </w:r>
      <w:r w:rsidRPr="00920B60">
        <w:t>Bankas komisija, pakalpojumi</w:t>
      </w:r>
      <w:r>
        <w:t>”)</w:t>
      </w:r>
      <w:r>
        <w:rPr>
          <w:vertAlign w:val="superscript"/>
        </w:rPr>
        <w:t>1</w:t>
      </w:r>
      <w:r>
        <w:t>;</w:t>
      </w:r>
    </w:p>
    <w:p w:rsidR="005D01B2" w:rsidRPr="00920B60" w:rsidRDefault="005D01B2" w:rsidP="008C25BB">
      <w:pPr>
        <w:pStyle w:val="ListParagraph"/>
        <w:numPr>
          <w:ilvl w:val="0"/>
          <w:numId w:val="99"/>
        </w:numPr>
        <w:jc w:val="both"/>
      </w:pPr>
      <w:r w:rsidRPr="00E17129">
        <w:t>Izdevumi periodikas iegādei</w:t>
      </w:r>
      <w:r>
        <w:t xml:space="preserve"> (EKK </w:t>
      </w:r>
      <w:r w:rsidRPr="00920B60">
        <w:t xml:space="preserve">2400 </w:t>
      </w:r>
      <w:r>
        <w:t>“</w:t>
      </w:r>
      <w:r w:rsidRPr="00920B60">
        <w:t>Izdevumi periodikas iegādei</w:t>
      </w:r>
      <w:r>
        <w:t>”)</w:t>
      </w:r>
      <w:r>
        <w:rPr>
          <w:vertAlign w:val="superscript"/>
        </w:rPr>
        <w:t>1</w:t>
      </w:r>
      <w:r>
        <w:t>.</w:t>
      </w:r>
    </w:p>
    <w:p w:rsidR="005D01B2" w:rsidRDefault="005D01B2" w:rsidP="005D01B2">
      <w:pPr>
        <w:spacing w:before="120"/>
        <w:ind w:firstLine="720"/>
        <w:jc w:val="both"/>
        <w:rPr>
          <w:szCs w:val="24"/>
          <w:lang w:eastAsia="lv-LV"/>
        </w:rPr>
      </w:pPr>
      <w:r>
        <w:rPr>
          <w:szCs w:val="24"/>
          <w:lang w:eastAsia="lv-LV"/>
        </w:rPr>
        <w:t>Tika izvērtēts augstāk minēto</w:t>
      </w:r>
      <w:r w:rsidRPr="006E5888">
        <w:rPr>
          <w:szCs w:val="24"/>
          <w:lang w:eastAsia="lv-LV"/>
        </w:rPr>
        <w:t xml:space="preserve"> izdevumu apmēr</w:t>
      </w:r>
      <w:r>
        <w:rPr>
          <w:szCs w:val="24"/>
          <w:lang w:eastAsia="lv-LV"/>
        </w:rPr>
        <w:t>s</w:t>
      </w:r>
      <w:r w:rsidRPr="006E5888">
        <w:rPr>
          <w:szCs w:val="24"/>
          <w:lang w:eastAsia="lv-LV"/>
        </w:rPr>
        <w:t xml:space="preserve"> </w:t>
      </w:r>
      <w:r>
        <w:rPr>
          <w:szCs w:val="24"/>
          <w:lang w:eastAsia="lv-LV"/>
        </w:rPr>
        <w:t xml:space="preserve">ministrijās </w:t>
      </w:r>
      <w:r w:rsidRPr="001C0F1B">
        <w:rPr>
          <w:szCs w:val="24"/>
          <w:lang w:eastAsia="lv-LV"/>
        </w:rPr>
        <w:t xml:space="preserve">šajās </w:t>
      </w:r>
      <w:r w:rsidRPr="006E5888">
        <w:rPr>
          <w:szCs w:val="24"/>
          <w:lang w:eastAsia="lv-LV"/>
        </w:rPr>
        <w:t>izdevumu pozīcijās par periodu no 201</w:t>
      </w:r>
      <w:r>
        <w:rPr>
          <w:szCs w:val="24"/>
          <w:lang w:eastAsia="lv-LV"/>
        </w:rPr>
        <w:t>5</w:t>
      </w:r>
      <w:r w:rsidRPr="006E5888">
        <w:rPr>
          <w:szCs w:val="24"/>
          <w:lang w:eastAsia="lv-LV"/>
        </w:rPr>
        <w:t>.</w:t>
      </w:r>
      <w:r>
        <w:rPr>
          <w:szCs w:val="24"/>
          <w:lang w:eastAsia="lv-LV"/>
        </w:rPr>
        <w:t>gada līdz 2019</w:t>
      </w:r>
      <w:r w:rsidRPr="006E5888">
        <w:rPr>
          <w:szCs w:val="24"/>
          <w:lang w:eastAsia="lv-LV"/>
        </w:rPr>
        <w:t>.gadam, kur 201</w:t>
      </w:r>
      <w:r>
        <w:rPr>
          <w:szCs w:val="24"/>
          <w:lang w:eastAsia="lv-LV"/>
        </w:rPr>
        <w:t>5</w:t>
      </w:r>
      <w:r w:rsidRPr="006E5888">
        <w:rPr>
          <w:szCs w:val="24"/>
          <w:lang w:eastAsia="lv-LV"/>
        </w:rPr>
        <w:t>.–201</w:t>
      </w:r>
      <w:r>
        <w:rPr>
          <w:szCs w:val="24"/>
          <w:lang w:eastAsia="lv-LV"/>
        </w:rPr>
        <w:t>6</w:t>
      </w:r>
      <w:r w:rsidRPr="006E5888">
        <w:rPr>
          <w:szCs w:val="24"/>
          <w:lang w:eastAsia="lv-LV"/>
        </w:rPr>
        <w:t>.gadiem ir analizēta faktiskā izpilde, bet 201</w:t>
      </w:r>
      <w:r>
        <w:rPr>
          <w:szCs w:val="24"/>
          <w:lang w:eastAsia="lv-LV"/>
        </w:rPr>
        <w:t>7</w:t>
      </w:r>
      <w:r w:rsidRPr="006E5888">
        <w:rPr>
          <w:szCs w:val="24"/>
          <w:lang w:eastAsia="lv-LV"/>
        </w:rPr>
        <w:t>.–20</w:t>
      </w:r>
      <w:r>
        <w:rPr>
          <w:szCs w:val="24"/>
          <w:lang w:eastAsia="lv-LV"/>
        </w:rPr>
        <w:t>19</w:t>
      </w:r>
      <w:r w:rsidRPr="006E5888">
        <w:rPr>
          <w:szCs w:val="24"/>
          <w:lang w:eastAsia="lv-LV"/>
        </w:rPr>
        <w:t xml:space="preserve">.gadiem </w:t>
      </w:r>
      <w:r>
        <w:rPr>
          <w:szCs w:val="24"/>
          <w:lang w:eastAsia="lv-LV"/>
        </w:rPr>
        <w:t xml:space="preserve">izsludinātais valsts budžeta </w:t>
      </w:r>
      <w:r w:rsidRPr="006E5888">
        <w:rPr>
          <w:szCs w:val="24"/>
          <w:lang w:eastAsia="lv-LV"/>
        </w:rPr>
        <w:t xml:space="preserve">plāns. Izdevumi tika vērtēti </w:t>
      </w:r>
      <w:r w:rsidRPr="006E5888">
        <w:rPr>
          <w:szCs w:val="24"/>
          <w:u w:val="single"/>
          <w:lang w:eastAsia="lv-LV"/>
        </w:rPr>
        <w:t>valsts pamatfunkciju daļā</w:t>
      </w:r>
      <w:r w:rsidRPr="006E5888">
        <w:rPr>
          <w:szCs w:val="24"/>
          <w:lang w:eastAsia="lv-LV"/>
        </w:rPr>
        <w:t xml:space="preserve">, </w:t>
      </w:r>
      <w:r>
        <w:rPr>
          <w:szCs w:val="24"/>
          <w:lang w:eastAsia="lv-LV"/>
        </w:rPr>
        <w:t>atskaitot</w:t>
      </w:r>
      <w:r w:rsidRPr="006E5888">
        <w:rPr>
          <w:szCs w:val="24"/>
          <w:lang w:eastAsia="lv-LV"/>
        </w:rPr>
        <w:t xml:space="preserve"> </w:t>
      </w:r>
      <w:r>
        <w:rPr>
          <w:szCs w:val="24"/>
          <w:lang w:eastAsia="lv-LV"/>
        </w:rPr>
        <w:t>budžeta programmas</w:t>
      </w:r>
      <w:r w:rsidRPr="006E5888">
        <w:rPr>
          <w:szCs w:val="24"/>
          <w:lang w:eastAsia="lv-LV"/>
        </w:rPr>
        <w:t xml:space="preserve"> Latvijas prezidentūr</w:t>
      </w:r>
      <w:r>
        <w:rPr>
          <w:szCs w:val="24"/>
          <w:lang w:eastAsia="lv-LV"/>
        </w:rPr>
        <w:t>ai</w:t>
      </w:r>
      <w:r w:rsidRPr="006E5888">
        <w:rPr>
          <w:szCs w:val="24"/>
          <w:lang w:eastAsia="lv-LV"/>
        </w:rPr>
        <w:t xml:space="preserve"> ES Padomē </w:t>
      </w:r>
      <w:r>
        <w:rPr>
          <w:szCs w:val="24"/>
          <w:lang w:eastAsia="lv-LV"/>
        </w:rPr>
        <w:t>un Saeimas, pašvaldību un Eiropas parlamenta vēlēšanām</w:t>
      </w:r>
      <w:r w:rsidRPr="006E5888">
        <w:rPr>
          <w:szCs w:val="24"/>
          <w:lang w:eastAsia="lv-LV"/>
        </w:rPr>
        <w:t xml:space="preserve">. </w:t>
      </w:r>
      <w:r>
        <w:rPr>
          <w:szCs w:val="24"/>
          <w:lang w:eastAsia="lv-LV"/>
        </w:rPr>
        <w:t>Administratīvie izdevumi pārskatīšanas nolūkos ir attiecināti uz vienu vidējo amata vietu skaitu gadā, kas norādīts 2017.gada budžeta paskaidrojumos (valsts pamatfunkciju daļas amata vietu skaits). Katras ministrijas</w:t>
      </w:r>
      <w:r w:rsidRPr="00A343FE">
        <w:rPr>
          <w:szCs w:val="24"/>
          <w:lang w:eastAsia="lv-LV"/>
        </w:rPr>
        <w:t xml:space="preserve"> </w:t>
      </w:r>
      <w:r>
        <w:rPr>
          <w:szCs w:val="24"/>
          <w:lang w:eastAsia="lv-LV"/>
        </w:rPr>
        <w:t xml:space="preserve">administratīvo izdevumu vidējais rādītājs un kopējais ministriju administratīvo izdevumu vidējais rādītājs ir aprēķināts, izmantojot valsts budžeta datus par </w:t>
      </w:r>
      <w:r w:rsidRPr="00A343FE">
        <w:rPr>
          <w:szCs w:val="24"/>
          <w:lang w:eastAsia="lv-LV"/>
        </w:rPr>
        <w:t xml:space="preserve">2015.–2016.gadiem </w:t>
      </w:r>
      <w:r>
        <w:rPr>
          <w:szCs w:val="24"/>
          <w:lang w:eastAsia="lv-LV"/>
        </w:rPr>
        <w:t>faktisko izpildi</w:t>
      </w:r>
      <w:r w:rsidRPr="00A343FE">
        <w:rPr>
          <w:szCs w:val="24"/>
          <w:lang w:eastAsia="lv-LV"/>
        </w:rPr>
        <w:t>, bet</w:t>
      </w:r>
      <w:r>
        <w:rPr>
          <w:szCs w:val="24"/>
          <w:lang w:eastAsia="lv-LV"/>
        </w:rPr>
        <w:t xml:space="preserve"> par</w:t>
      </w:r>
      <w:r w:rsidRPr="00A343FE">
        <w:rPr>
          <w:szCs w:val="24"/>
          <w:lang w:eastAsia="lv-LV"/>
        </w:rPr>
        <w:t xml:space="preserve"> 2017.–2019.gadiem izsludināt</w:t>
      </w:r>
      <w:r>
        <w:rPr>
          <w:szCs w:val="24"/>
          <w:lang w:eastAsia="lv-LV"/>
        </w:rPr>
        <w:t>o plānu.</w:t>
      </w:r>
    </w:p>
    <w:p w:rsidR="005D01B2" w:rsidRDefault="005D01B2" w:rsidP="008D28E9">
      <w:pPr>
        <w:spacing w:before="120"/>
        <w:ind w:firstLine="720"/>
        <w:jc w:val="both"/>
      </w:pPr>
      <w:r>
        <w:rPr>
          <w:szCs w:val="24"/>
          <w:lang w:eastAsia="lv-LV"/>
        </w:rPr>
        <w:t xml:space="preserve">Administratīvo izdevumu pārskatīšanas mērķis ir aprēķināt potenciāli pieejamo resursu apmēru situācijā, ja būtu nepieciešams nodrošināt horizontāli optimizējamus resursus aktuālo valsts prioritāšu finansēšanai. </w:t>
      </w:r>
      <w:r w:rsidRPr="0040298D">
        <w:rPr>
          <w:szCs w:val="24"/>
          <w:lang w:eastAsia="lv-LV"/>
        </w:rPr>
        <w:t xml:space="preserve">Lai identificētu </w:t>
      </w:r>
      <w:r>
        <w:rPr>
          <w:szCs w:val="24"/>
          <w:lang w:eastAsia="lv-LV"/>
        </w:rPr>
        <w:t>minētos resursus</w:t>
      </w:r>
      <w:r w:rsidRPr="0040298D">
        <w:rPr>
          <w:szCs w:val="24"/>
          <w:lang w:eastAsia="lv-LV"/>
        </w:rPr>
        <w:t xml:space="preserve">, </w:t>
      </w:r>
      <w:r>
        <w:rPr>
          <w:szCs w:val="24"/>
          <w:lang w:eastAsia="lv-LV"/>
        </w:rPr>
        <w:t>ministriju nosacīti zemākās prioritātes administratīvajiem izdevumiem, kas kopumā pārsniedz noteiktu līmeni, tiek piemērots koeficients 0,1</w:t>
      </w:r>
      <w:r w:rsidRPr="0040298D">
        <w:rPr>
          <w:szCs w:val="24"/>
          <w:lang w:eastAsia="lv-LV"/>
        </w:rPr>
        <w:t>.</w:t>
      </w:r>
    </w:p>
    <w:p w:rsidR="005D01B2" w:rsidRDefault="005D01B2" w:rsidP="005D01B2">
      <w:pPr>
        <w:ind w:firstLine="720"/>
        <w:jc w:val="both"/>
        <w:rPr>
          <w:sz w:val="20"/>
          <w:highlight w:val="yellow"/>
        </w:rPr>
      </w:pPr>
    </w:p>
    <w:p w:rsidR="005D01B2" w:rsidRDefault="005D01B2" w:rsidP="005D01B2">
      <w:pPr>
        <w:rPr>
          <w:b/>
          <w:u w:val="single"/>
        </w:rPr>
      </w:pPr>
      <w:r>
        <w:rPr>
          <w:b/>
          <w:u w:val="single"/>
        </w:rPr>
        <w:t>K</w:t>
      </w:r>
      <w:r w:rsidRPr="00C16479">
        <w:rPr>
          <w:b/>
          <w:u w:val="single"/>
        </w:rPr>
        <w:t>omandējumu un darba braucienu izdevumi</w:t>
      </w:r>
    </w:p>
    <w:p w:rsidR="005D01B2" w:rsidRDefault="005D01B2" w:rsidP="005D01B2">
      <w:r>
        <w:lastRenderedPageBreak/>
        <w:tab/>
      </w:r>
    </w:p>
    <w:p w:rsidR="005D01B2" w:rsidRDefault="005D01B2" w:rsidP="005D01B2">
      <w:pPr>
        <w:rPr>
          <w:i/>
          <w:sz w:val="20"/>
          <w:highlight w:val="yellow"/>
        </w:rPr>
      </w:pPr>
      <w:r w:rsidRPr="00FB29F7">
        <w:rPr>
          <w:noProof/>
          <w:color w:val="FF0000"/>
          <w:shd w:val="clear" w:color="auto" w:fill="000000" w:themeFill="text1"/>
          <w:lang w:eastAsia="lv-LV"/>
        </w:rPr>
        <w:drawing>
          <wp:inline distT="0" distB="0" distL="0" distR="0" wp14:anchorId="021436C4" wp14:editId="5C85B4A6">
            <wp:extent cx="5941060" cy="4200525"/>
            <wp:effectExtent l="0" t="0" r="2540" b="9525"/>
            <wp:docPr id="152" name="Chart 152"/>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r>
        <w:rPr>
          <w:i/>
          <w:sz w:val="20"/>
          <w:highlight w:val="yellow"/>
        </w:rPr>
        <w:t xml:space="preserve">  </w:t>
      </w:r>
    </w:p>
    <w:p w:rsidR="005D01B2" w:rsidRPr="001D4485" w:rsidRDefault="001D4485" w:rsidP="00697EA2">
      <w:pPr>
        <w:spacing w:before="60"/>
        <w:jc w:val="center"/>
        <w:rPr>
          <w:sz w:val="21"/>
          <w:szCs w:val="21"/>
        </w:rPr>
      </w:pPr>
      <w:r w:rsidRPr="001D4485">
        <w:rPr>
          <w:i/>
          <w:sz w:val="21"/>
          <w:szCs w:val="21"/>
        </w:rPr>
        <w:t>3.43</w:t>
      </w:r>
      <w:r w:rsidR="005D01B2" w:rsidRPr="001D4485">
        <w:rPr>
          <w:i/>
          <w:sz w:val="21"/>
          <w:szCs w:val="21"/>
        </w:rPr>
        <w:t>.att.</w:t>
      </w:r>
      <w:r w:rsidR="005D01B2" w:rsidRPr="001D4485">
        <w:rPr>
          <w:sz w:val="21"/>
          <w:szCs w:val="21"/>
        </w:rPr>
        <w:t xml:space="preserve"> </w:t>
      </w:r>
      <w:r w:rsidR="005D01B2" w:rsidRPr="001D4485">
        <w:rPr>
          <w:b/>
          <w:sz w:val="21"/>
          <w:szCs w:val="21"/>
        </w:rPr>
        <w:t xml:space="preserve">Ārvalstu komandējumu un darba braucienu izdevumi, </w:t>
      </w:r>
      <w:r w:rsidR="005D01B2" w:rsidRPr="001D4485">
        <w:rPr>
          <w:b/>
          <w:i/>
          <w:sz w:val="21"/>
          <w:szCs w:val="21"/>
        </w:rPr>
        <w:t>euro</w:t>
      </w:r>
      <w:r w:rsidR="005D01B2" w:rsidRPr="001D4485">
        <w:rPr>
          <w:b/>
          <w:sz w:val="21"/>
          <w:szCs w:val="21"/>
        </w:rPr>
        <w:t xml:space="preserve"> uz vienu amata vietu</w:t>
      </w:r>
    </w:p>
    <w:p w:rsidR="001D4485" w:rsidRDefault="005D01B2" w:rsidP="005D01B2">
      <w:pPr>
        <w:jc w:val="both"/>
      </w:pPr>
      <w:r>
        <w:tab/>
      </w:r>
    </w:p>
    <w:p w:rsidR="005D01B2" w:rsidRPr="00D05E85" w:rsidRDefault="005D01B2" w:rsidP="001D4485">
      <w:pPr>
        <w:ind w:firstLine="720"/>
        <w:jc w:val="both"/>
      </w:pPr>
      <w:r>
        <w:t xml:space="preserve">Kā redzams </w:t>
      </w:r>
      <w:r w:rsidR="001D4485">
        <w:t>3.43</w:t>
      </w:r>
      <w:r>
        <w:t xml:space="preserve">.attēlā </w:t>
      </w:r>
      <w:r w:rsidRPr="004272FE">
        <w:t xml:space="preserve">ārvalstu komandējumu un darba braucienu izdevumu apmērs uz vienu amata vietu </w:t>
      </w:r>
      <w:r>
        <w:t>k</w:t>
      </w:r>
      <w:r w:rsidRPr="004272FE">
        <w:t xml:space="preserve">rasi atšķiras un arī pamatā saistās ar </w:t>
      </w:r>
      <w:r w:rsidRPr="00A110BA">
        <w:t>ministriju</w:t>
      </w:r>
      <w:r w:rsidRPr="00896BC2">
        <w:rPr>
          <w:color w:val="FF0000"/>
        </w:rPr>
        <w:t xml:space="preserve"> </w:t>
      </w:r>
      <w:r>
        <w:t xml:space="preserve">funkcijām un darba specifiku. Dominantes ir ĀM ar 3 290 </w:t>
      </w:r>
      <w:r w:rsidRPr="0001325D">
        <w:rPr>
          <w:i/>
        </w:rPr>
        <w:t>euro</w:t>
      </w:r>
      <w:r>
        <w:t xml:space="preserve"> un VPK ar 3 161 </w:t>
      </w:r>
      <w:r w:rsidRPr="0001325D">
        <w:rPr>
          <w:i/>
        </w:rPr>
        <w:t>euro</w:t>
      </w:r>
      <w:r>
        <w:rPr>
          <w:i/>
        </w:rPr>
        <w:t xml:space="preserve"> </w:t>
      </w:r>
      <w:r w:rsidRPr="0040298D">
        <w:t>vidēji uz vienu amata vietu</w:t>
      </w:r>
      <w:r>
        <w:t xml:space="preserve">, kas skaidrojams ar to, ka šajās institūcijās nodarbināto funkcijas pamatā saistās ar ārvalstu sadarbības veicināšanu un starpvalstu attiecību nodibināšanu, nodrošinot pārstāvniecību dažādās </w:t>
      </w:r>
      <w:r w:rsidRPr="006638AD">
        <w:t>starptautiskajās organizācijās</w:t>
      </w:r>
      <w:r>
        <w:t>,</w:t>
      </w:r>
      <w:r w:rsidRPr="006638AD">
        <w:t xml:space="preserve"> </w:t>
      </w:r>
      <w:r>
        <w:t>īstenojot starptautisko politiku</w:t>
      </w:r>
      <w:r w:rsidRPr="006638AD">
        <w:t xml:space="preserve"> ar mērķi palielināt </w:t>
      </w:r>
      <w:r>
        <w:t xml:space="preserve">valsts </w:t>
      </w:r>
      <w:r w:rsidRPr="006638AD">
        <w:t>drošību un stabilitāti, vairot iedzīvotāju labklājību, veicināt starptautisko tiesību ievērošanu, kā arī samazināt starptautisko konfliktu un krīžu izcelšanās iespējas</w:t>
      </w:r>
      <w:r>
        <w:t xml:space="preserve">. Kopējās vidējās ārvalstu komandējumu un darba braucienu izdevumu izmaksas uz vienu amata vietu ministrijām ir 374 </w:t>
      </w:r>
      <w:r w:rsidRPr="00932828">
        <w:rPr>
          <w:i/>
        </w:rPr>
        <w:t>euro</w:t>
      </w:r>
      <w:r w:rsidRPr="00932828">
        <w:t>, aprēķinos</w:t>
      </w:r>
      <w:r>
        <w:t xml:space="preserve"> </w:t>
      </w:r>
      <w:r w:rsidRPr="00932828">
        <w:t>netika iekļaut</w:t>
      </w:r>
      <w:r>
        <w:t>as galējās vērtības –</w:t>
      </w:r>
      <w:r w:rsidRPr="00932828">
        <w:t xml:space="preserve"> </w:t>
      </w:r>
      <w:r>
        <w:t>ĀM un VPK izdevumi.</w:t>
      </w:r>
      <w:r w:rsidRPr="00E31EBF">
        <w:t xml:space="preserve"> </w:t>
      </w:r>
      <w:r>
        <w:t>Piemērojot koeficientu 0,1</w:t>
      </w:r>
      <w:r w:rsidRPr="00D834FD">
        <w:t xml:space="preserve"> </w:t>
      </w:r>
      <w:r>
        <w:t>tām ministrijām, kurām</w:t>
      </w:r>
      <w:r w:rsidRPr="00AC19D7">
        <w:t xml:space="preserve"> </w:t>
      </w:r>
      <w:r>
        <w:t xml:space="preserve">šie izdevumi pārsniedz aprēķināto </w:t>
      </w:r>
      <w:r w:rsidRPr="00AC19D7">
        <w:t xml:space="preserve">vidējo </w:t>
      </w:r>
      <w:r>
        <w:t>rādītāju, potenciāli pieejamais papildus finansējuma apmērs</w:t>
      </w:r>
      <w:r w:rsidR="00224DD6">
        <w:t xml:space="preserve"> 2018.gadā</w:t>
      </w:r>
      <w:r>
        <w:t xml:space="preserve"> veido </w:t>
      </w:r>
      <w:r w:rsidR="00A03E7F" w:rsidRPr="005D75BC">
        <w:t>382</w:t>
      </w:r>
      <w:r w:rsidR="00224DD6">
        <w:t xml:space="preserve"> </w:t>
      </w:r>
      <w:r w:rsidR="00566BF2">
        <w:t>1</w:t>
      </w:r>
      <w:r w:rsidR="00224DD6">
        <w:t>62</w:t>
      </w:r>
      <w:r w:rsidRPr="005D75BC">
        <w:t xml:space="preserve"> </w:t>
      </w:r>
      <w:r w:rsidRPr="005D75BC">
        <w:rPr>
          <w:i/>
        </w:rPr>
        <w:t>euro</w:t>
      </w:r>
      <w:r w:rsidRPr="005D75BC">
        <w:t>.</w:t>
      </w:r>
    </w:p>
    <w:p w:rsidR="005D01B2" w:rsidRDefault="005D01B2" w:rsidP="005D01B2">
      <w:pPr>
        <w:rPr>
          <w:b/>
          <w:u w:val="single"/>
        </w:rPr>
      </w:pPr>
    </w:p>
    <w:p w:rsidR="005D01B2" w:rsidRDefault="005D01B2" w:rsidP="005D01B2">
      <w:pPr>
        <w:rPr>
          <w:b/>
          <w:u w:val="single"/>
        </w:rPr>
      </w:pPr>
      <w:r>
        <w:rPr>
          <w:b/>
          <w:u w:val="single"/>
        </w:rPr>
        <w:t>S</w:t>
      </w:r>
      <w:r w:rsidRPr="002F52C6">
        <w:rPr>
          <w:b/>
          <w:u w:val="single"/>
        </w:rPr>
        <w:t>akaru pakalpojumi</w:t>
      </w:r>
    </w:p>
    <w:p w:rsidR="005D01B2" w:rsidRPr="0025383F" w:rsidRDefault="005D01B2" w:rsidP="005D01B2"/>
    <w:p w:rsidR="005D01B2" w:rsidRPr="00EF7F84" w:rsidRDefault="005D01B2" w:rsidP="005D01B2">
      <w:pPr>
        <w:rPr>
          <w:b/>
          <w:u w:val="single"/>
        </w:rPr>
      </w:pPr>
      <w:r>
        <w:rPr>
          <w:noProof/>
          <w:lang w:eastAsia="lv-LV"/>
        </w:rPr>
        <w:lastRenderedPageBreak/>
        <w:drawing>
          <wp:inline distT="0" distB="0" distL="0" distR="0" wp14:anchorId="10702E09" wp14:editId="3AA2BEB3">
            <wp:extent cx="5941060" cy="4600575"/>
            <wp:effectExtent l="0" t="0" r="2540" b="9525"/>
            <wp:docPr id="159" name="Chart 159"/>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5D01B2" w:rsidRPr="001D4485" w:rsidRDefault="001D4485" w:rsidP="001D4485">
      <w:pPr>
        <w:ind w:firstLine="720"/>
        <w:jc w:val="center"/>
        <w:rPr>
          <w:b/>
          <w:sz w:val="22"/>
        </w:rPr>
      </w:pPr>
      <w:r w:rsidRPr="001D4485">
        <w:rPr>
          <w:i/>
          <w:sz w:val="22"/>
        </w:rPr>
        <w:t>3.44</w:t>
      </w:r>
      <w:r w:rsidR="005D01B2" w:rsidRPr="001D4485">
        <w:rPr>
          <w:i/>
          <w:sz w:val="22"/>
        </w:rPr>
        <w:t>.att.</w:t>
      </w:r>
      <w:r w:rsidR="005D01B2" w:rsidRPr="001D4485">
        <w:rPr>
          <w:sz w:val="22"/>
        </w:rPr>
        <w:t xml:space="preserve"> </w:t>
      </w:r>
      <w:r w:rsidR="005D01B2" w:rsidRPr="001D4485">
        <w:rPr>
          <w:b/>
          <w:sz w:val="22"/>
        </w:rPr>
        <w:t xml:space="preserve">Sakaru pakalpojumi, </w:t>
      </w:r>
      <w:r w:rsidR="005D01B2" w:rsidRPr="001D4485">
        <w:rPr>
          <w:b/>
          <w:i/>
          <w:sz w:val="22"/>
        </w:rPr>
        <w:t>euro</w:t>
      </w:r>
      <w:r w:rsidR="005D01B2" w:rsidRPr="001D4485">
        <w:rPr>
          <w:b/>
          <w:sz w:val="22"/>
        </w:rPr>
        <w:t xml:space="preserve"> uz vienu amata vietu</w:t>
      </w:r>
    </w:p>
    <w:p w:rsidR="005D01B2" w:rsidRDefault="005D01B2" w:rsidP="005D01B2">
      <w:pPr>
        <w:ind w:firstLine="720"/>
        <w:rPr>
          <w:b/>
          <w:sz w:val="22"/>
        </w:rPr>
      </w:pPr>
    </w:p>
    <w:p w:rsidR="005D01B2" w:rsidRPr="00B91793" w:rsidRDefault="005D01B2" w:rsidP="005D01B2">
      <w:pPr>
        <w:jc w:val="both"/>
        <w:rPr>
          <w:b/>
        </w:rPr>
      </w:pPr>
      <w:r>
        <w:tab/>
      </w:r>
      <w:r w:rsidR="001D4485">
        <w:t>3.44.a</w:t>
      </w:r>
      <w:r>
        <w:t xml:space="preserve">ttēlā uzskatāmi redzams, ka arī šajā administratīvo izdevumu pozīcijā vislielākais izdevumu īpatsvars ir ĀM 3 004 </w:t>
      </w:r>
      <w:r>
        <w:rPr>
          <w:i/>
        </w:rPr>
        <w:t>euro</w:t>
      </w:r>
      <w:r>
        <w:t xml:space="preserve">, kas ir skaidrojams ar šīs institūcijas funkcijām un darba specifiku. </w:t>
      </w:r>
      <w:r w:rsidRPr="00AC0D5E">
        <w:t xml:space="preserve">Pārējo </w:t>
      </w:r>
      <w:r>
        <w:t>ministriju</w:t>
      </w:r>
      <w:r w:rsidRPr="00AC0D5E">
        <w:t xml:space="preserve"> attiecīgie izdevumi uz vienu amata vietu svārstās no viena simta līdz vairākiem simtiem </w:t>
      </w:r>
      <w:r w:rsidRPr="00AC0D5E">
        <w:rPr>
          <w:i/>
        </w:rPr>
        <w:t>euro</w:t>
      </w:r>
      <w:r>
        <w:t>.</w:t>
      </w:r>
      <w:r w:rsidRPr="00AC0D5E">
        <w:t xml:space="preserve"> </w:t>
      </w:r>
      <w:r>
        <w:t xml:space="preserve">Kopējās vidējās sakaru pakalpojumu izmaksas uz vienu amata vietu ministrijām ir 314 </w:t>
      </w:r>
      <w:r w:rsidRPr="00932828">
        <w:rPr>
          <w:i/>
        </w:rPr>
        <w:t>euro</w:t>
      </w:r>
      <w:r w:rsidRPr="00932828">
        <w:t>, aprēķinos</w:t>
      </w:r>
      <w:r>
        <w:t xml:space="preserve"> </w:t>
      </w:r>
      <w:r w:rsidRPr="00932828">
        <w:t>netika iekļaut</w:t>
      </w:r>
      <w:r>
        <w:t>a galējā vērtība –</w:t>
      </w:r>
      <w:r w:rsidRPr="00932828">
        <w:t xml:space="preserve"> </w:t>
      </w:r>
      <w:r>
        <w:t>ĀM izdevumi. Piemērojot koeficientu 0,1 tām</w:t>
      </w:r>
      <w:r w:rsidRPr="00AC0D5E">
        <w:t xml:space="preserve"> </w:t>
      </w:r>
      <w:r>
        <w:t>ministrijām, kurām</w:t>
      </w:r>
      <w:r w:rsidRPr="00AC0D5E">
        <w:t xml:space="preserve"> šie izdevumi pārsniedz aprēķināto vidējo izdevumu izmaksu apmēru, ak</w:t>
      </w:r>
      <w:r>
        <w:t>tuālākām prioritātēm novirzāmie</w:t>
      </w:r>
      <w:r w:rsidRPr="00AC0D5E">
        <w:t xml:space="preserve"> </w:t>
      </w:r>
      <w:r>
        <w:t>potenciālie papildus finanšu resursi</w:t>
      </w:r>
      <w:r w:rsidR="00114137">
        <w:t xml:space="preserve"> </w:t>
      </w:r>
      <w:r w:rsidR="00224DD6">
        <w:t xml:space="preserve">2018.gadā </w:t>
      </w:r>
      <w:r w:rsidRPr="00AC0D5E">
        <w:t xml:space="preserve">veido </w:t>
      </w:r>
      <w:r w:rsidR="00BA6D62" w:rsidRPr="005D75BC">
        <w:t>723</w:t>
      </w:r>
      <w:r w:rsidR="00224DD6">
        <w:t xml:space="preserve"> 965</w:t>
      </w:r>
      <w:r w:rsidRPr="005D75BC">
        <w:t xml:space="preserve"> </w:t>
      </w:r>
      <w:r w:rsidRPr="005D75BC">
        <w:rPr>
          <w:i/>
        </w:rPr>
        <w:t>euro</w:t>
      </w:r>
      <w:r w:rsidRPr="005D75BC">
        <w:t>.</w:t>
      </w:r>
    </w:p>
    <w:p w:rsidR="005D01B2" w:rsidRDefault="005D01B2" w:rsidP="005D01B2">
      <w:pPr>
        <w:rPr>
          <w:b/>
          <w:u w:val="single"/>
        </w:rPr>
      </w:pPr>
    </w:p>
    <w:p w:rsidR="00213133" w:rsidRDefault="00213133" w:rsidP="005D01B2">
      <w:pPr>
        <w:rPr>
          <w:b/>
          <w:u w:val="single"/>
        </w:rPr>
      </w:pPr>
    </w:p>
    <w:p w:rsidR="005D01B2" w:rsidRDefault="005D01B2" w:rsidP="005D01B2">
      <w:pPr>
        <w:rPr>
          <w:b/>
          <w:u w:val="single"/>
        </w:rPr>
      </w:pPr>
      <w:r>
        <w:rPr>
          <w:b/>
          <w:u w:val="single"/>
        </w:rPr>
        <w:t>Biroja preces</w:t>
      </w:r>
    </w:p>
    <w:p w:rsidR="005D01B2" w:rsidRPr="009D0F8D" w:rsidRDefault="005D01B2" w:rsidP="005D01B2"/>
    <w:p w:rsidR="005D01B2" w:rsidRDefault="005D01B2" w:rsidP="005D01B2">
      <w:pPr>
        <w:rPr>
          <w:b/>
          <w:u w:val="single"/>
        </w:rPr>
      </w:pPr>
      <w:r>
        <w:rPr>
          <w:noProof/>
          <w:lang w:eastAsia="lv-LV"/>
        </w:rPr>
        <w:lastRenderedPageBreak/>
        <w:drawing>
          <wp:inline distT="0" distB="0" distL="0" distR="0" wp14:anchorId="107AB20C" wp14:editId="4E0D21BE">
            <wp:extent cx="5941060" cy="5324475"/>
            <wp:effectExtent l="0" t="0" r="2540" b="9525"/>
            <wp:docPr id="160" name="Chart 1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5D01B2" w:rsidRPr="001D4485" w:rsidRDefault="001D4485" w:rsidP="001D4485">
      <w:pPr>
        <w:ind w:firstLine="720"/>
        <w:jc w:val="center"/>
        <w:rPr>
          <w:b/>
          <w:sz w:val="22"/>
        </w:rPr>
      </w:pPr>
      <w:r w:rsidRPr="001D4485">
        <w:rPr>
          <w:i/>
          <w:sz w:val="22"/>
        </w:rPr>
        <w:t>3.45</w:t>
      </w:r>
      <w:r w:rsidR="005D01B2" w:rsidRPr="001D4485">
        <w:rPr>
          <w:i/>
          <w:sz w:val="22"/>
        </w:rPr>
        <w:t>.att.</w:t>
      </w:r>
      <w:r w:rsidR="005D01B2" w:rsidRPr="001D4485">
        <w:rPr>
          <w:sz w:val="22"/>
        </w:rPr>
        <w:t xml:space="preserve"> </w:t>
      </w:r>
      <w:r w:rsidR="005D01B2" w:rsidRPr="001D4485">
        <w:rPr>
          <w:b/>
          <w:sz w:val="22"/>
        </w:rPr>
        <w:t xml:space="preserve">Biroja preces, </w:t>
      </w:r>
      <w:r w:rsidR="005D01B2" w:rsidRPr="001D4485">
        <w:rPr>
          <w:b/>
          <w:i/>
          <w:sz w:val="22"/>
        </w:rPr>
        <w:t>euro</w:t>
      </w:r>
      <w:r w:rsidR="005D01B2" w:rsidRPr="001D4485">
        <w:rPr>
          <w:b/>
          <w:sz w:val="22"/>
        </w:rPr>
        <w:t xml:space="preserve"> uz vienu amata vietu</w:t>
      </w:r>
    </w:p>
    <w:p w:rsidR="005D01B2" w:rsidRDefault="005D01B2" w:rsidP="005D01B2">
      <w:r>
        <w:tab/>
      </w:r>
    </w:p>
    <w:p w:rsidR="005D01B2" w:rsidRDefault="005D01B2" w:rsidP="005D01B2">
      <w:pPr>
        <w:ind w:firstLine="720"/>
        <w:jc w:val="both"/>
      </w:pPr>
      <w:r>
        <w:t xml:space="preserve">Kā skatāms </w:t>
      </w:r>
      <w:r w:rsidR="001D4485">
        <w:t>3.45</w:t>
      </w:r>
      <w:r>
        <w:t>.attēlā, izdevumi</w:t>
      </w:r>
      <w:r w:rsidR="00B0284D">
        <w:t xml:space="preserve"> ministrijām par</w:t>
      </w:r>
      <w:r>
        <w:t xml:space="preserve"> biroja precēm </w:t>
      </w:r>
      <w:r w:rsidRPr="009D565B">
        <w:t xml:space="preserve">svārstās no 55 </w:t>
      </w:r>
      <w:r w:rsidRPr="009D565B">
        <w:rPr>
          <w:i/>
        </w:rPr>
        <w:t>euro</w:t>
      </w:r>
      <w:r w:rsidRPr="009D565B">
        <w:t xml:space="preserve"> līdz 263 </w:t>
      </w:r>
      <w:r w:rsidRPr="009D565B">
        <w:rPr>
          <w:i/>
        </w:rPr>
        <w:t>euro</w:t>
      </w:r>
      <w:r w:rsidRPr="009D565B">
        <w:t xml:space="preserve"> </w:t>
      </w:r>
      <w:r>
        <w:t xml:space="preserve">vidēji uz vienu amata vietu. Kopējās vidējās biroja preču izmaksas uz vienu amata vietu ministrijām ir 147 </w:t>
      </w:r>
      <w:r w:rsidRPr="00932828">
        <w:rPr>
          <w:i/>
        </w:rPr>
        <w:t>euro</w:t>
      </w:r>
      <w:r>
        <w:t xml:space="preserve">. Veikto aprēķinu rezultātā iegūtais potenciālais finansiālais ieguvums, kas būtu novirzāms prioritārākām aktivitātēm, </w:t>
      </w:r>
      <w:r w:rsidR="00224DD6">
        <w:t xml:space="preserve">2018.gadā </w:t>
      </w:r>
      <w:r>
        <w:t xml:space="preserve">veido </w:t>
      </w:r>
      <w:r w:rsidR="00BE390D" w:rsidRPr="005D75BC">
        <w:t>183</w:t>
      </w:r>
      <w:r w:rsidR="00224DD6">
        <w:t xml:space="preserve"> 802</w:t>
      </w:r>
      <w:r w:rsidRPr="005D75BC">
        <w:t xml:space="preserve"> </w:t>
      </w:r>
      <w:r w:rsidRPr="005D75BC">
        <w:rPr>
          <w:i/>
        </w:rPr>
        <w:t>euro</w:t>
      </w:r>
      <w:r w:rsidRPr="005D75BC">
        <w:t>.</w:t>
      </w:r>
    </w:p>
    <w:p w:rsidR="005D01B2" w:rsidRDefault="005D01B2"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Default="00213133" w:rsidP="005D01B2">
      <w:pPr>
        <w:ind w:firstLine="720"/>
        <w:jc w:val="both"/>
      </w:pPr>
    </w:p>
    <w:p w:rsidR="008D72EC" w:rsidRDefault="008D72EC" w:rsidP="005D01B2">
      <w:pPr>
        <w:ind w:firstLine="720"/>
        <w:jc w:val="both"/>
      </w:pPr>
    </w:p>
    <w:p w:rsidR="008D72EC" w:rsidRDefault="008D72EC"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Default="00213133" w:rsidP="005D01B2">
      <w:pPr>
        <w:ind w:firstLine="720"/>
        <w:jc w:val="both"/>
      </w:pPr>
    </w:p>
    <w:p w:rsidR="00213133" w:rsidRPr="001A2D49" w:rsidRDefault="00213133" w:rsidP="005D01B2">
      <w:pPr>
        <w:ind w:firstLine="720"/>
        <w:jc w:val="both"/>
      </w:pPr>
    </w:p>
    <w:p w:rsidR="005D01B2" w:rsidRDefault="005D01B2" w:rsidP="005D01B2">
      <w:pPr>
        <w:rPr>
          <w:b/>
          <w:u w:val="single"/>
        </w:rPr>
      </w:pPr>
      <w:r w:rsidRPr="00D86F8C">
        <w:rPr>
          <w:b/>
          <w:u w:val="single"/>
        </w:rPr>
        <w:lastRenderedPageBreak/>
        <w:t>Izdevumi iestādes administratīvās darbības nodrošināšanai</w:t>
      </w:r>
    </w:p>
    <w:p w:rsidR="005D01B2" w:rsidRDefault="005D01B2" w:rsidP="005D01B2">
      <w:pPr>
        <w:rPr>
          <w:b/>
          <w:u w:val="single"/>
        </w:rPr>
      </w:pPr>
    </w:p>
    <w:p w:rsidR="005D01B2" w:rsidRPr="00161C88" w:rsidRDefault="005D01B2" w:rsidP="005D01B2">
      <w:r>
        <w:rPr>
          <w:noProof/>
          <w:lang w:eastAsia="lv-LV"/>
        </w:rPr>
        <w:drawing>
          <wp:inline distT="0" distB="0" distL="0" distR="0" wp14:anchorId="68D45661" wp14:editId="3502B7B5">
            <wp:extent cx="5941060" cy="6200775"/>
            <wp:effectExtent l="0" t="0" r="2540" b="9525"/>
            <wp:docPr id="161" name="Chart 1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5D01B2" w:rsidRPr="001D4485" w:rsidRDefault="001D4485" w:rsidP="001D4485">
      <w:pPr>
        <w:ind w:firstLine="720"/>
        <w:jc w:val="center"/>
        <w:rPr>
          <w:b/>
          <w:sz w:val="22"/>
        </w:rPr>
      </w:pPr>
      <w:r w:rsidRPr="001D4485">
        <w:rPr>
          <w:i/>
          <w:sz w:val="22"/>
        </w:rPr>
        <w:t>3.46</w:t>
      </w:r>
      <w:r w:rsidR="005D01B2" w:rsidRPr="001D4485">
        <w:rPr>
          <w:i/>
          <w:sz w:val="22"/>
        </w:rPr>
        <w:t xml:space="preserve">.att. </w:t>
      </w:r>
      <w:r w:rsidR="005D01B2" w:rsidRPr="001D4485">
        <w:rPr>
          <w:b/>
          <w:sz w:val="22"/>
        </w:rPr>
        <w:t xml:space="preserve">Izdevumi iestādes administratīvās darbības nodrošināšanai, </w:t>
      </w:r>
      <w:r w:rsidR="005D01B2" w:rsidRPr="001D4485">
        <w:rPr>
          <w:b/>
          <w:i/>
          <w:sz w:val="22"/>
        </w:rPr>
        <w:t>euro</w:t>
      </w:r>
      <w:r w:rsidR="005D01B2" w:rsidRPr="001D4485">
        <w:rPr>
          <w:b/>
          <w:sz w:val="22"/>
        </w:rPr>
        <w:t xml:space="preserve"> uz vienu amata vietu</w:t>
      </w:r>
    </w:p>
    <w:p w:rsidR="005D01B2" w:rsidRPr="00B91793" w:rsidRDefault="005D01B2" w:rsidP="001D4485">
      <w:pPr>
        <w:spacing w:before="120"/>
        <w:jc w:val="both"/>
        <w:rPr>
          <w:b/>
        </w:rPr>
      </w:pPr>
      <w:r>
        <w:tab/>
        <w:t xml:space="preserve">Uz citu ministriju fona krasi atšķiras VPK ar 2 567 </w:t>
      </w:r>
      <w:r>
        <w:rPr>
          <w:i/>
        </w:rPr>
        <w:t xml:space="preserve">euro </w:t>
      </w:r>
      <w:r>
        <w:t xml:space="preserve">izdevumiem </w:t>
      </w:r>
      <w:r w:rsidRPr="00B647DE">
        <w:t xml:space="preserve">iestādes administratīvās darbības nodrošināšanai </w:t>
      </w:r>
      <w:r>
        <w:t>vi</w:t>
      </w:r>
      <w:r w:rsidR="001D4485">
        <w:t>dēji uz vienu amata vietu (skat.</w:t>
      </w:r>
      <w:r>
        <w:t xml:space="preserve"> </w:t>
      </w:r>
      <w:r w:rsidR="001D4485">
        <w:t>3.46</w:t>
      </w:r>
      <w:r>
        <w:t xml:space="preserve">.attēlu), kur citām iestādēm šie izdevumi svārstās tikai no 5 </w:t>
      </w:r>
      <w:r>
        <w:rPr>
          <w:i/>
        </w:rPr>
        <w:t xml:space="preserve">euro </w:t>
      </w:r>
      <w:r>
        <w:t xml:space="preserve">līdz 311 </w:t>
      </w:r>
      <w:r>
        <w:rPr>
          <w:i/>
        </w:rPr>
        <w:t>euro</w:t>
      </w:r>
      <w:r>
        <w:t xml:space="preserve">. Tas skaidrojams ar to, ka VPK ir galvenā valsts pārvaldes institūcija, kas nodrošina </w:t>
      </w:r>
      <w:r w:rsidRPr="00CD1828">
        <w:t xml:space="preserve">dažādu ar valsts budžeta iestādes darbību saistītu semināru, konferenču, lietišķu tikšanos organizēšanu </w:t>
      </w:r>
      <w:r>
        <w:t>ar</w:t>
      </w:r>
      <w:r w:rsidRPr="00CD1828">
        <w:t xml:space="preserve"> ārvalstu, nevalstisko organizāciju un citiem sadarbības partneriem, </w:t>
      </w:r>
      <w:r w:rsidRPr="00554F41">
        <w:t>ar mērķi paaugstināt valsts pr</w:t>
      </w:r>
      <w:r>
        <w:t xml:space="preserve">estižu. Kopējās vidējās izdevumu </w:t>
      </w:r>
      <w:r w:rsidRPr="001921BA">
        <w:t>iestādes administratīvās darbības nodrošināšanai</w:t>
      </w:r>
      <w:r>
        <w:t xml:space="preserve"> izmaksas uz vienu amata vietu ministrijām ir 57 </w:t>
      </w:r>
      <w:r w:rsidRPr="00932828">
        <w:rPr>
          <w:i/>
        </w:rPr>
        <w:t>euro</w:t>
      </w:r>
      <w:r w:rsidRPr="00932828">
        <w:t>, aprēķinos</w:t>
      </w:r>
      <w:r>
        <w:t xml:space="preserve"> </w:t>
      </w:r>
      <w:r w:rsidRPr="00932828">
        <w:t>netika iekļaut</w:t>
      </w:r>
      <w:r>
        <w:t>a galējā vērtība –</w:t>
      </w:r>
      <w:r w:rsidRPr="00932828">
        <w:t xml:space="preserve"> </w:t>
      </w:r>
      <w:r>
        <w:t>VPK izdevumi.</w:t>
      </w:r>
      <w:r w:rsidRPr="00AC0D5E">
        <w:t xml:space="preserve"> </w:t>
      </w:r>
      <w:r>
        <w:t>A</w:t>
      </w:r>
      <w:r w:rsidRPr="00AC0D5E">
        <w:t>k</w:t>
      </w:r>
      <w:r>
        <w:t xml:space="preserve">tuālākām valsts prioritātēm </w:t>
      </w:r>
      <w:r w:rsidR="00224DD6">
        <w:t xml:space="preserve">2018.gadā </w:t>
      </w:r>
      <w:r>
        <w:t>novirzāmie</w:t>
      </w:r>
      <w:r w:rsidRPr="00AC0D5E">
        <w:t xml:space="preserve"> </w:t>
      </w:r>
      <w:r>
        <w:t>potenciālie papildus finanšu resursi</w:t>
      </w:r>
      <w:r w:rsidRPr="00AC0D5E">
        <w:t xml:space="preserve"> veido</w:t>
      </w:r>
      <w:r>
        <w:t xml:space="preserve"> </w:t>
      </w:r>
      <w:r w:rsidR="00FA7FE3" w:rsidRPr="005D75BC">
        <w:t>51</w:t>
      </w:r>
      <w:r w:rsidR="00224DD6">
        <w:t xml:space="preserve"> 133</w:t>
      </w:r>
      <w:r w:rsidRPr="005D75BC">
        <w:t xml:space="preserve"> </w:t>
      </w:r>
      <w:r w:rsidRPr="005D75BC">
        <w:rPr>
          <w:i/>
        </w:rPr>
        <w:t>euro</w:t>
      </w:r>
      <w:r w:rsidRPr="005D75BC">
        <w:t>.</w:t>
      </w:r>
    </w:p>
    <w:p w:rsidR="005D01B2" w:rsidRDefault="005D01B2" w:rsidP="005D01B2">
      <w:pPr>
        <w:rPr>
          <w:b/>
          <w:u w:val="single"/>
        </w:rPr>
      </w:pPr>
    </w:p>
    <w:p w:rsidR="00213133" w:rsidRDefault="00213133" w:rsidP="005D01B2">
      <w:pPr>
        <w:rPr>
          <w:b/>
          <w:u w:val="single"/>
        </w:rPr>
      </w:pPr>
    </w:p>
    <w:p w:rsidR="005D01B2" w:rsidRDefault="005D01B2" w:rsidP="005D01B2">
      <w:pPr>
        <w:rPr>
          <w:b/>
          <w:u w:val="single"/>
        </w:rPr>
      </w:pPr>
      <w:r w:rsidRPr="00177AD3">
        <w:rPr>
          <w:b/>
          <w:u w:val="single"/>
        </w:rPr>
        <w:lastRenderedPageBreak/>
        <w:t>Bankas komisija, pakalpojumi</w:t>
      </w:r>
    </w:p>
    <w:p w:rsidR="005D01B2" w:rsidRDefault="005D01B2" w:rsidP="005D01B2">
      <w:pPr>
        <w:rPr>
          <w:b/>
          <w:u w:val="single"/>
        </w:rPr>
      </w:pPr>
    </w:p>
    <w:p w:rsidR="005D01B2" w:rsidRDefault="005D01B2" w:rsidP="005D01B2">
      <w:pPr>
        <w:rPr>
          <w:b/>
          <w:u w:val="single"/>
        </w:rPr>
      </w:pPr>
      <w:r>
        <w:rPr>
          <w:noProof/>
          <w:lang w:eastAsia="lv-LV"/>
        </w:rPr>
        <w:drawing>
          <wp:inline distT="0" distB="0" distL="0" distR="0" wp14:anchorId="444E66E2" wp14:editId="0ECDB490">
            <wp:extent cx="5941060" cy="5153025"/>
            <wp:effectExtent l="0" t="0" r="2540" b="9525"/>
            <wp:docPr id="162" name="Chart 1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5D01B2" w:rsidRPr="001D4485" w:rsidRDefault="001D4485" w:rsidP="001D4485">
      <w:pPr>
        <w:ind w:firstLine="720"/>
        <w:jc w:val="center"/>
        <w:rPr>
          <w:b/>
          <w:sz w:val="22"/>
        </w:rPr>
      </w:pPr>
      <w:r w:rsidRPr="001D4485">
        <w:rPr>
          <w:i/>
          <w:sz w:val="22"/>
        </w:rPr>
        <w:t>3.47</w:t>
      </w:r>
      <w:r w:rsidR="005D01B2" w:rsidRPr="001D4485">
        <w:rPr>
          <w:i/>
          <w:sz w:val="22"/>
        </w:rPr>
        <w:t xml:space="preserve">.att. </w:t>
      </w:r>
      <w:r w:rsidR="005D01B2" w:rsidRPr="001D4485">
        <w:rPr>
          <w:b/>
          <w:sz w:val="22"/>
        </w:rPr>
        <w:t xml:space="preserve">Bankas komisija un pakalpojumi, </w:t>
      </w:r>
      <w:r w:rsidR="005D01B2" w:rsidRPr="001D4485">
        <w:rPr>
          <w:b/>
          <w:i/>
          <w:sz w:val="22"/>
        </w:rPr>
        <w:t>euro</w:t>
      </w:r>
      <w:r w:rsidR="005D01B2" w:rsidRPr="001D4485">
        <w:rPr>
          <w:b/>
          <w:sz w:val="22"/>
        </w:rPr>
        <w:t xml:space="preserve"> uz vienu amata vietu</w:t>
      </w:r>
    </w:p>
    <w:p w:rsidR="005D01B2" w:rsidRDefault="005D01B2" w:rsidP="005D01B2">
      <w:pPr>
        <w:ind w:firstLine="720"/>
        <w:rPr>
          <w:b/>
          <w:sz w:val="22"/>
        </w:rPr>
      </w:pPr>
    </w:p>
    <w:p w:rsidR="005D01B2" w:rsidRPr="00626D6C" w:rsidRDefault="001D4485" w:rsidP="005D01B2">
      <w:pPr>
        <w:ind w:firstLine="720"/>
        <w:jc w:val="both"/>
      </w:pPr>
      <w:r>
        <w:t>3.47.at</w:t>
      </w:r>
      <w:r w:rsidR="005D01B2">
        <w:t xml:space="preserve">tēlā uzskatāmi redzams, ka šajā administratīvo izdevumu pozīcijā vislielākais izdevumu īpatsvars ir ĀM 149 </w:t>
      </w:r>
      <w:r w:rsidR="005D01B2">
        <w:rPr>
          <w:i/>
        </w:rPr>
        <w:t xml:space="preserve">euro </w:t>
      </w:r>
      <w:r w:rsidR="005D01B2">
        <w:t xml:space="preserve">un FM 117 </w:t>
      </w:r>
      <w:r w:rsidR="005D01B2">
        <w:rPr>
          <w:i/>
        </w:rPr>
        <w:t>euro</w:t>
      </w:r>
      <w:r w:rsidR="005D01B2" w:rsidRPr="00632C67">
        <w:t xml:space="preserve"> vidēji uz vienu amata vietu</w:t>
      </w:r>
      <w:r w:rsidR="005D01B2">
        <w:t>, kas ir skaidrojams ar šīm institūcijām noteikto funkciju īstenošanu</w:t>
      </w:r>
      <w:r w:rsidR="00307E00">
        <w:t>, piemēram, FM valsts parāda vadības apkalpošanas ietvaros izdevumi banku komisijām</w:t>
      </w:r>
      <w:r w:rsidR="005D01B2">
        <w:t xml:space="preserve">. </w:t>
      </w:r>
      <w:r w:rsidR="005D01B2" w:rsidRPr="00AC0D5E">
        <w:t xml:space="preserve">Pārējo </w:t>
      </w:r>
      <w:r w:rsidR="005D01B2">
        <w:t>ministriju</w:t>
      </w:r>
      <w:r w:rsidR="005D01B2" w:rsidRPr="00AC0D5E">
        <w:t xml:space="preserve"> attiecīgie izdevumi uz vienu amata vietu svārstās no </w:t>
      </w:r>
      <w:r w:rsidR="005D01B2">
        <w:t>1</w:t>
      </w:r>
      <w:r w:rsidR="005D01B2" w:rsidRPr="00AC0D5E">
        <w:t xml:space="preserve"> </w:t>
      </w:r>
      <w:r w:rsidR="005D01B2">
        <w:rPr>
          <w:i/>
        </w:rPr>
        <w:t>euro</w:t>
      </w:r>
      <w:r w:rsidR="005D01B2" w:rsidRPr="00AC0D5E">
        <w:t xml:space="preserve"> līdz</w:t>
      </w:r>
      <w:r w:rsidR="005D01B2">
        <w:t xml:space="preserve"> 10 </w:t>
      </w:r>
      <w:r w:rsidR="005D01B2">
        <w:rPr>
          <w:i/>
        </w:rPr>
        <w:t>euro</w:t>
      </w:r>
      <w:r w:rsidR="005D01B2">
        <w:t>. Kopējās vidējās b</w:t>
      </w:r>
      <w:r w:rsidR="005D01B2" w:rsidRPr="00626D6C">
        <w:t>ankas komisija</w:t>
      </w:r>
      <w:r w:rsidR="005D01B2">
        <w:t>s un</w:t>
      </w:r>
      <w:r w:rsidR="005D01B2" w:rsidRPr="00626D6C">
        <w:t xml:space="preserve"> pakalpojum</w:t>
      </w:r>
      <w:r w:rsidR="005D01B2">
        <w:t xml:space="preserve">u izmaksas uz vienu amata vietu ministrijām ir 2 </w:t>
      </w:r>
      <w:r w:rsidR="005D01B2" w:rsidRPr="00932828">
        <w:rPr>
          <w:i/>
        </w:rPr>
        <w:t>euro</w:t>
      </w:r>
      <w:r w:rsidR="005D01B2" w:rsidRPr="00932828">
        <w:t>, aprēķinos</w:t>
      </w:r>
      <w:r w:rsidR="005D01B2">
        <w:t xml:space="preserve"> </w:t>
      </w:r>
      <w:r w:rsidR="005D01B2" w:rsidRPr="00932828">
        <w:t>netika iekļaut</w:t>
      </w:r>
      <w:r w:rsidR="005D01B2">
        <w:t>as galējās vērtības –</w:t>
      </w:r>
      <w:r w:rsidR="005D01B2" w:rsidRPr="00932828">
        <w:t xml:space="preserve"> </w:t>
      </w:r>
      <w:r w:rsidR="005D01B2">
        <w:t>ĀM un FM izdevumi. Piemērojot koeficientu 0,1 tā</w:t>
      </w:r>
      <w:r w:rsidR="005D01B2" w:rsidRPr="00AC0D5E">
        <w:t xml:space="preserve">m </w:t>
      </w:r>
      <w:r w:rsidR="005D01B2">
        <w:t>ministrijām, kurā</w:t>
      </w:r>
      <w:r w:rsidR="005D01B2" w:rsidRPr="00AC0D5E">
        <w:t xml:space="preserve">m šie izdevumi pārsniedz aprēķināto vidējo izdevumu </w:t>
      </w:r>
      <w:r w:rsidR="005D01B2">
        <w:t>rādītāju</w:t>
      </w:r>
      <w:r w:rsidR="005D01B2" w:rsidRPr="00AC0D5E">
        <w:t>, ak</w:t>
      </w:r>
      <w:r w:rsidR="005D01B2">
        <w:t>tuālākām valsts prioritātēm novirzāmie</w:t>
      </w:r>
      <w:r w:rsidR="005D01B2" w:rsidRPr="00AC0D5E">
        <w:t xml:space="preserve"> </w:t>
      </w:r>
      <w:r w:rsidR="005D01B2">
        <w:t>potenciālie papildus finanšu resursi</w:t>
      </w:r>
      <w:r w:rsidR="005D01B2" w:rsidRPr="00AC0D5E">
        <w:t xml:space="preserve"> </w:t>
      </w:r>
      <w:r w:rsidR="00224DD6">
        <w:t xml:space="preserve">2018.gadā </w:t>
      </w:r>
      <w:r w:rsidR="005D01B2" w:rsidRPr="00AC0D5E">
        <w:t xml:space="preserve">veido </w:t>
      </w:r>
      <w:r w:rsidR="00BE1D38" w:rsidRPr="005D75BC">
        <w:t>68</w:t>
      </w:r>
      <w:r w:rsidR="00224DD6">
        <w:t xml:space="preserve"> 690</w:t>
      </w:r>
      <w:r w:rsidR="005D01B2" w:rsidRPr="005D75BC">
        <w:t xml:space="preserve"> </w:t>
      </w:r>
      <w:r w:rsidR="005D01B2" w:rsidRPr="005D75BC">
        <w:rPr>
          <w:i/>
        </w:rPr>
        <w:t>euro</w:t>
      </w:r>
      <w:r w:rsidR="005D01B2" w:rsidRPr="005D75BC">
        <w:t>.</w:t>
      </w:r>
    </w:p>
    <w:p w:rsidR="005D01B2" w:rsidRDefault="005D01B2" w:rsidP="005D01B2">
      <w:pPr>
        <w:rPr>
          <w:b/>
          <w:u w:val="single"/>
        </w:rPr>
      </w:pPr>
    </w:p>
    <w:p w:rsidR="00213133" w:rsidRDefault="00213133" w:rsidP="005D01B2">
      <w:pPr>
        <w:rPr>
          <w:b/>
          <w:u w:val="single"/>
        </w:rPr>
      </w:pPr>
    </w:p>
    <w:p w:rsidR="00213133" w:rsidRDefault="00213133" w:rsidP="005D01B2">
      <w:pPr>
        <w:rPr>
          <w:b/>
          <w:u w:val="single"/>
        </w:rPr>
      </w:pPr>
    </w:p>
    <w:p w:rsidR="00213133" w:rsidRDefault="00213133" w:rsidP="005D01B2">
      <w:pPr>
        <w:rPr>
          <w:b/>
          <w:u w:val="single"/>
        </w:rPr>
      </w:pPr>
    </w:p>
    <w:p w:rsidR="00213133" w:rsidRDefault="00213133" w:rsidP="005D01B2">
      <w:pPr>
        <w:rPr>
          <w:b/>
          <w:u w:val="single"/>
        </w:rPr>
      </w:pPr>
    </w:p>
    <w:p w:rsidR="00213133" w:rsidRDefault="00213133" w:rsidP="005D01B2">
      <w:pPr>
        <w:rPr>
          <w:b/>
          <w:u w:val="single"/>
        </w:rPr>
      </w:pPr>
    </w:p>
    <w:p w:rsidR="00213133" w:rsidRDefault="00213133" w:rsidP="005D01B2">
      <w:pPr>
        <w:rPr>
          <w:b/>
          <w:u w:val="single"/>
        </w:rPr>
      </w:pPr>
    </w:p>
    <w:p w:rsidR="00213133" w:rsidRDefault="00213133" w:rsidP="005D01B2">
      <w:pPr>
        <w:rPr>
          <w:b/>
          <w:u w:val="single"/>
        </w:rPr>
      </w:pPr>
    </w:p>
    <w:p w:rsidR="00213133" w:rsidRDefault="00213133" w:rsidP="005D01B2">
      <w:pPr>
        <w:rPr>
          <w:b/>
          <w:u w:val="single"/>
        </w:rPr>
      </w:pPr>
    </w:p>
    <w:p w:rsidR="005D01B2" w:rsidRDefault="005D01B2" w:rsidP="005D01B2">
      <w:pPr>
        <w:rPr>
          <w:b/>
          <w:u w:val="single"/>
        </w:rPr>
      </w:pPr>
      <w:r w:rsidRPr="00186764">
        <w:rPr>
          <w:b/>
          <w:u w:val="single"/>
        </w:rPr>
        <w:lastRenderedPageBreak/>
        <w:t>Izdevumi periodikas iegādei</w:t>
      </w:r>
    </w:p>
    <w:p w:rsidR="005D01B2" w:rsidRDefault="005D01B2" w:rsidP="005D01B2"/>
    <w:p w:rsidR="005D01B2" w:rsidRDefault="005D01B2" w:rsidP="005D01B2">
      <w:pPr>
        <w:rPr>
          <w:b/>
          <w:u w:val="single"/>
        </w:rPr>
      </w:pPr>
      <w:r>
        <w:rPr>
          <w:noProof/>
          <w:lang w:eastAsia="lv-LV"/>
        </w:rPr>
        <w:drawing>
          <wp:inline distT="0" distB="0" distL="0" distR="0" wp14:anchorId="04949E3B" wp14:editId="5486ED76">
            <wp:extent cx="5941060" cy="3667125"/>
            <wp:effectExtent l="0" t="0" r="2540" b="9525"/>
            <wp:docPr id="163" name="Chart 1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5D01B2" w:rsidRPr="006B5BE2" w:rsidRDefault="006B5BE2" w:rsidP="006B5BE2">
      <w:pPr>
        <w:ind w:firstLine="720"/>
        <w:jc w:val="center"/>
        <w:rPr>
          <w:b/>
          <w:sz w:val="22"/>
        </w:rPr>
      </w:pPr>
      <w:r w:rsidRPr="006B5BE2">
        <w:rPr>
          <w:i/>
          <w:sz w:val="22"/>
        </w:rPr>
        <w:t>3.48</w:t>
      </w:r>
      <w:r w:rsidR="005D01B2" w:rsidRPr="006B5BE2">
        <w:rPr>
          <w:i/>
          <w:sz w:val="22"/>
        </w:rPr>
        <w:t xml:space="preserve">.att. </w:t>
      </w:r>
      <w:r w:rsidR="005D01B2" w:rsidRPr="006B5BE2">
        <w:rPr>
          <w:b/>
          <w:sz w:val="22"/>
        </w:rPr>
        <w:t xml:space="preserve">Izdevumi periodikas iegādei, </w:t>
      </w:r>
      <w:r w:rsidR="005D01B2" w:rsidRPr="006B5BE2">
        <w:rPr>
          <w:b/>
          <w:i/>
          <w:sz w:val="22"/>
        </w:rPr>
        <w:t>euro</w:t>
      </w:r>
      <w:r w:rsidR="005D01B2" w:rsidRPr="006B5BE2">
        <w:rPr>
          <w:b/>
          <w:sz w:val="22"/>
        </w:rPr>
        <w:t xml:space="preserve"> uz vienu amata vietu</w:t>
      </w:r>
    </w:p>
    <w:p w:rsidR="005D01B2" w:rsidRDefault="005D01B2" w:rsidP="005D01B2">
      <w:pPr>
        <w:ind w:firstLine="720"/>
        <w:rPr>
          <w:b/>
          <w:sz w:val="22"/>
        </w:rPr>
      </w:pPr>
    </w:p>
    <w:p w:rsidR="005D01B2" w:rsidRDefault="005D01B2" w:rsidP="005D01B2">
      <w:pPr>
        <w:jc w:val="both"/>
      </w:pPr>
      <w:r>
        <w:tab/>
        <w:t xml:space="preserve">Pēc </w:t>
      </w:r>
      <w:r w:rsidR="006B5BE2">
        <w:t>3.48</w:t>
      </w:r>
      <w:r>
        <w:t xml:space="preserve">.attēla secināms, ka izdevumi periodikas iegādei ir plānoti salīdzinoši nedaudzām ministrijām. Vislielākais vidējais periodikas izdevumu īpatsvars uz vienu amata vietu ir Saeimai 28 </w:t>
      </w:r>
      <w:r w:rsidRPr="001115B9">
        <w:rPr>
          <w:i/>
        </w:rPr>
        <w:t>euro</w:t>
      </w:r>
      <w:r>
        <w:t xml:space="preserve">, AT 25 </w:t>
      </w:r>
      <w:r w:rsidRPr="001115B9">
        <w:rPr>
          <w:i/>
        </w:rPr>
        <w:t>euro</w:t>
      </w:r>
      <w:r>
        <w:t xml:space="preserve"> un KM 20 </w:t>
      </w:r>
      <w:r w:rsidRPr="001115B9">
        <w:rPr>
          <w:i/>
        </w:rPr>
        <w:t>euro</w:t>
      </w:r>
      <w:r>
        <w:t xml:space="preserve">. Pēc veiktajiem aprēķiniem </w:t>
      </w:r>
      <w:r w:rsidRPr="001115B9">
        <w:t xml:space="preserve">aktuālākām </w:t>
      </w:r>
      <w:r>
        <w:t xml:space="preserve">valsts </w:t>
      </w:r>
      <w:r w:rsidRPr="001115B9">
        <w:t>p</w:t>
      </w:r>
      <w:r>
        <w:t>rioritātēm novirzāmais potenciālais</w:t>
      </w:r>
      <w:r w:rsidRPr="001115B9">
        <w:t xml:space="preserve"> papildu</w:t>
      </w:r>
      <w:r>
        <w:t>s</w:t>
      </w:r>
      <w:r w:rsidRPr="001115B9">
        <w:t xml:space="preserve"> f</w:t>
      </w:r>
      <w:r>
        <w:t>inansējums</w:t>
      </w:r>
      <w:r w:rsidRPr="001115B9">
        <w:t xml:space="preserve"> </w:t>
      </w:r>
      <w:r w:rsidR="00224DD6">
        <w:t xml:space="preserve">2018.gadā </w:t>
      </w:r>
      <w:r>
        <w:t>būtu</w:t>
      </w:r>
      <w:r w:rsidRPr="001115B9">
        <w:t xml:space="preserve"> </w:t>
      </w:r>
      <w:r w:rsidR="005D75BC" w:rsidRPr="005D75BC">
        <w:t>10</w:t>
      </w:r>
      <w:r w:rsidRPr="005D75BC">
        <w:t xml:space="preserve"> </w:t>
      </w:r>
      <w:r w:rsidR="00224DD6">
        <w:t>130</w:t>
      </w:r>
      <w:r w:rsidRPr="005D75BC">
        <w:t xml:space="preserve"> </w:t>
      </w:r>
      <w:r w:rsidRPr="005D75BC">
        <w:rPr>
          <w:i/>
        </w:rPr>
        <w:t>euro</w:t>
      </w:r>
      <w:r w:rsidRPr="005D75BC">
        <w:t>.</w:t>
      </w:r>
    </w:p>
    <w:p w:rsidR="00A17725" w:rsidRPr="00697EA2" w:rsidRDefault="005D01B2" w:rsidP="00224DD6">
      <w:pPr>
        <w:jc w:val="both"/>
        <w:rPr>
          <w:highlight w:val="yellow"/>
        </w:rPr>
      </w:pPr>
      <w:r>
        <w:tab/>
        <w:t>A</w:t>
      </w:r>
      <w:r w:rsidRPr="00461E37">
        <w:t>dministratīvo izdevumu pārskatīšana</w:t>
      </w:r>
      <w:r>
        <w:t>s procesa rezultātā secināms, ka,</w:t>
      </w:r>
      <w:r w:rsidRPr="00461E37">
        <w:t xml:space="preserve"> </w:t>
      </w:r>
      <w:r w:rsidRPr="00B144B4">
        <w:t>ja būtu nepieciešams nodrošināt horizontāli optimizējamus resursus aktuālo valsts prioritāšu finansēšanai</w:t>
      </w:r>
      <w:r>
        <w:t>,</w:t>
      </w:r>
      <w:r w:rsidRPr="00B144B4">
        <w:t xml:space="preserve"> </w:t>
      </w:r>
      <w:r>
        <w:t>kopumā no nosacīti z</w:t>
      </w:r>
      <w:r w:rsidRPr="00B144B4">
        <w:t>emākās pri</w:t>
      </w:r>
      <w:r>
        <w:t xml:space="preserve">oritātes administratīvajiem izdevumiem </w:t>
      </w:r>
      <w:r w:rsidRPr="002511A0">
        <w:t xml:space="preserve">potenciāli </w:t>
      </w:r>
      <w:r>
        <w:t>novirzāmais</w:t>
      </w:r>
      <w:r w:rsidRPr="00B144B4">
        <w:t xml:space="preserve"> </w:t>
      </w:r>
      <w:r>
        <w:t xml:space="preserve">finansējums </w:t>
      </w:r>
      <w:r w:rsidR="00224DD6">
        <w:t>2018.gadā ir 1 419 88</w:t>
      </w:r>
      <w:r w:rsidR="0019350A">
        <w:t>2</w:t>
      </w:r>
      <w:r w:rsidRPr="004A0ADB">
        <w:rPr>
          <w:b/>
        </w:rPr>
        <w:t xml:space="preserve"> </w:t>
      </w:r>
      <w:r w:rsidRPr="00224DD6">
        <w:rPr>
          <w:i/>
        </w:rPr>
        <w:t>euro</w:t>
      </w:r>
      <w:r w:rsidR="00224DD6">
        <w:t xml:space="preserve"> apmērā, 2019. un 2020.gadā ik gadu 1 418 690</w:t>
      </w:r>
      <w:r w:rsidR="00224DD6" w:rsidRPr="00224DD6">
        <w:rPr>
          <w:i/>
        </w:rPr>
        <w:t xml:space="preserve"> euro</w:t>
      </w:r>
      <w:r w:rsidR="00224DD6">
        <w:t xml:space="preserve"> apmērā (2020.gads pielīdzināts 2019.gada datiem).</w:t>
      </w:r>
      <w:r>
        <w:tab/>
      </w:r>
    </w:p>
    <w:p w:rsidR="00CE590F" w:rsidRPr="00950F5A" w:rsidRDefault="009A5DC2" w:rsidP="00697EA2">
      <w:pPr>
        <w:pStyle w:val="Heading3"/>
        <w:spacing w:before="240" w:after="240"/>
        <w:jc w:val="center"/>
        <w:rPr>
          <w:rFonts w:ascii="Times New Roman" w:hAnsi="Times New Roman" w:cs="Times New Roman"/>
          <w:color w:val="auto"/>
          <w:sz w:val="28"/>
          <w:szCs w:val="28"/>
        </w:rPr>
      </w:pPr>
      <w:bookmarkStart w:id="25" w:name="_Toc487036809"/>
      <w:r w:rsidRPr="00C90316">
        <w:rPr>
          <w:rFonts w:ascii="Times New Roman" w:hAnsi="Times New Roman" w:cs="Times New Roman"/>
          <w:color w:val="auto"/>
          <w:sz w:val="28"/>
          <w:szCs w:val="28"/>
        </w:rPr>
        <w:t>3.4.</w:t>
      </w:r>
      <w:r w:rsidR="00F052B3">
        <w:rPr>
          <w:rFonts w:ascii="Times New Roman" w:hAnsi="Times New Roman" w:cs="Times New Roman"/>
          <w:color w:val="auto"/>
          <w:sz w:val="28"/>
          <w:szCs w:val="28"/>
        </w:rPr>
        <w:t>4</w:t>
      </w:r>
      <w:r w:rsidRPr="00C90316">
        <w:rPr>
          <w:rFonts w:ascii="Times New Roman" w:hAnsi="Times New Roman" w:cs="Times New Roman"/>
          <w:color w:val="auto"/>
          <w:sz w:val="28"/>
          <w:szCs w:val="28"/>
        </w:rPr>
        <w:t>. Līdzšinēji piešķirtā finansējuma prioritārajiem pasākumiem pārskatīšana</w:t>
      </w:r>
      <w:bookmarkEnd w:id="25"/>
    </w:p>
    <w:p w:rsidR="00E9262B" w:rsidRDefault="00C82087" w:rsidP="00EB3105">
      <w:pPr>
        <w:spacing w:after="120"/>
        <w:jc w:val="both"/>
      </w:pPr>
      <w:r>
        <w:tab/>
        <w:t>Lai rastu papildu līdzekļus aktuālu prioritāro pasākumu finansēšan</w:t>
      </w:r>
      <w:r w:rsidR="00854B11">
        <w:t>ai 2018., 2019. un 2020.gadam, veikta</w:t>
      </w:r>
      <w:r>
        <w:t xml:space="preserve"> iepriekš piešķirtā finansējuma</w:t>
      </w:r>
      <w:r w:rsidR="0097049E">
        <w:t xml:space="preserve"> prioritārajiem pasākumiem</w:t>
      </w:r>
      <w:r w:rsidR="000C63CE">
        <w:rPr>
          <w:rStyle w:val="FootnoteReference"/>
        </w:rPr>
        <w:footnoteReference w:id="79"/>
      </w:r>
      <w:r w:rsidR="00854B11">
        <w:t xml:space="preserve"> pārskatīšana, izvērtējot prioritāro pasākumu aktualitāti, sasniegto rezultātu un efektivitāti</w:t>
      </w:r>
      <w:r w:rsidR="0097049E">
        <w:t xml:space="preserve">. </w:t>
      </w:r>
    </w:p>
    <w:p w:rsidR="0097049E" w:rsidRDefault="001E3716" w:rsidP="00EB3105">
      <w:pPr>
        <w:spacing w:after="120"/>
        <w:jc w:val="both"/>
      </w:pPr>
      <w:r>
        <w:tab/>
        <w:t>Izdevumu pārskatīšanai tika</w:t>
      </w:r>
      <w:r w:rsidR="0097049E">
        <w:t xml:space="preserve"> pakļauti trīs prioritāro pasākumu ietvari:</w:t>
      </w:r>
    </w:p>
    <w:p w:rsidR="00810F4D" w:rsidRDefault="0097049E" w:rsidP="00810F4D">
      <w:pPr>
        <w:pStyle w:val="ListParagraph"/>
        <w:numPr>
          <w:ilvl w:val="0"/>
          <w:numId w:val="3"/>
        </w:numPr>
        <w:tabs>
          <w:tab w:val="left" w:pos="1560"/>
        </w:tabs>
        <w:spacing w:after="120"/>
        <w:jc w:val="both"/>
      </w:pPr>
      <w:r>
        <w:t>2014-2016 – bāzes izdevumi 2018., 2019. un 2020.gadam;</w:t>
      </w:r>
    </w:p>
    <w:p w:rsidR="00810F4D" w:rsidRDefault="0097049E" w:rsidP="00810F4D">
      <w:pPr>
        <w:pStyle w:val="ListParagraph"/>
        <w:numPr>
          <w:ilvl w:val="0"/>
          <w:numId w:val="3"/>
        </w:numPr>
        <w:tabs>
          <w:tab w:val="left" w:pos="1560"/>
        </w:tabs>
        <w:spacing w:after="120"/>
        <w:jc w:val="both"/>
      </w:pPr>
      <w:r>
        <w:t>2015-2017 – bāzes izdevumi 2018., 2019. un 2020.gadam;</w:t>
      </w:r>
    </w:p>
    <w:p w:rsidR="0097049E" w:rsidRDefault="0097049E" w:rsidP="00810F4D">
      <w:pPr>
        <w:pStyle w:val="ListParagraph"/>
        <w:numPr>
          <w:ilvl w:val="0"/>
          <w:numId w:val="3"/>
        </w:numPr>
        <w:tabs>
          <w:tab w:val="left" w:pos="1560"/>
        </w:tabs>
        <w:spacing w:after="120"/>
        <w:jc w:val="both"/>
      </w:pPr>
      <w:r>
        <w:t>2016-2018 – attīstības daļa 2018.gadam un bāzes izdevumi 2019. un 2020.gadam.</w:t>
      </w:r>
    </w:p>
    <w:p w:rsidR="003A1F97" w:rsidRDefault="00FC3E09" w:rsidP="00C5594B">
      <w:pPr>
        <w:spacing w:after="240"/>
        <w:ind w:firstLine="709"/>
        <w:jc w:val="both"/>
      </w:pPr>
      <w:r>
        <w:lastRenderedPageBreak/>
        <w:t>I</w:t>
      </w:r>
      <w:r w:rsidR="001E3716">
        <w:t>zdevumu pārskatīšanai netika</w:t>
      </w:r>
      <w:r w:rsidR="0097049E">
        <w:t xml:space="preserve"> pakļauts ietvars 2013-2015, jo par šiem prioritārajiem pasākumiem ir pieejama ierobežota analītiskā informācija, kā arī ietvars 2017-2019, jo pieņemtie lēmumi attiecībā uz prioritārajiem pasākumiem </w:t>
      </w:r>
      <w:r w:rsidR="0097049E" w:rsidRPr="006B5BE2">
        <w:t xml:space="preserve">ir </w:t>
      </w:r>
      <w:r w:rsidR="00EB3105" w:rsidRPr="006B5BE2">
        <w:t>aktuāli</w:t>
      </w:r>
      <w:r w:rsidR="00854B11" w:rsidRPr="006B5BE2">
        <w:t xml:space="preserve"> (skat. attēlu Nr.</w:t>
      </w:r>
      <w:r w:rsidR="006B5BE2" w:rsidRPr="006B5BE2">
        <w:t>3.49</w:t>
      </w:r>
      <w:r w:rsidR="00854B11" w:rsidRPr="006B5BE2">
        <w:t>)</w:t>
      </w:r>
      <w:r w:rsidR="00EB3105" w:rsidRPr="006B5BE2">
        <w:t>.</w:t>
      </w:r>
    </w:p>
    <w:p w:rsidR="006D27D1" w:rsidRPr="006D27D1" w:rsidRDefault="009421BF" w:rsidP="006D27D1">
      <w:pPr>
        <w:jc w:val="center"/>
        <w:rPr>
          <w:i/>
          <w:sz w:val="4"/>
          <w:szCs w:val="4"/>
        </w:rPr>
      </w:pPr>
      <w:r w:rsidRPr="009421BF">
        <w:rPr>
          <w:b/>
          <w:noProof/>
          <w:bdr w:val="single" w:sz="4" w:space="0" w:color="BFBFBF" w:themeColor="background1" w:themeShade="BF"/>
          <w:lang w:eastAsia="lv-LV"/>
        </w:rPr>
        <w:drawing>
          <wp:inline distT="0" distB="0" distL="0" distR="0" wp14:anchorId="6F327564">
            <wp:extent cx="5936987" cy="2981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52318" cy="2989024"/>
                    </a:xfrm>
                    <a:prstGeom prst="rect">
                      <a:avLst/>
                    </a:prstGeom>
                    <a:noFill/>
                  </pic:spPr>
                </pic:pic>
              </a:graphicData>
            </a:graphic>
          </wp:inline>
        </w:drawing>
      </w:r>
    </w:p>
    <w:p w:rsidR="00AB06F9" w:rsidRPr="00C5594B" w:rsidRDefault="006B5BE2" w:rsidP="00C5594B">
      <w:pPr>
        <w:spacing w:before="120" w:after="240"/>
        <w:jc w:val="center"/>
        <w:rPr>
          <w:i/>
          <w:sz w:val="22"/>
        </w:rPr>
      </w:pPr>
      <w:r w:rsidRPr="006B5BE2">
        <w:rPr>
          <w:i/>
          <w:sz w:val="22"/>
        </w:rPr>
        <w:t>3.49</w:t>
      </w:r>
      <w:r w:rsidR="001B112E" w:rsidRPr="006B5BE2">
        <w:rPr>
          <w:i/>
          <w:sz w:val="22"/>
        </w:rPr>
        <w:t>.</w:t>
      </w:r>
      <w:r w:rsidR="00CE590F" w:rsidRPr="006B5BE2">
        <w:rPr>
          <w:i/>
          <w:sz w:val="22"/>
        </w:rPr>
        <w:t xml:space="preserve"> att</w:t>
      </w:r>
      <w:r w:rsidR="00CE590F" w:rsidRPr="006B5BE2">
        <w:rPr>
          <w:sz w:val="22"/>
        </w:rPr>
        <w:t xml:space="preserve">. </w:t>
      </w:r>
      <w:r w:rsidR="00CE590F" w:rsidRPr="006B5BE2">
        <w:rPr>
          <w:b/>
          <w:sz w:val="22"/>
        </w:rPr>
        <w:t>Līdzšinēji piešķirtā finansējuma prioritārajiem pasākumiem pārskatīšanas pārklājums</w:t>
      </w:r>
    </w:p>
    <w:p w:rsidR="00591F31" w:rsidRDefault="00854B11" w:rsidP="0043186E">
      <w:pPr>
        <w:spacing w:after="120"/>
        <w:jc w:val="both"/>
      </w:pPr>
      <w:r w:rsidRPr="00854B11">
        <w:tab/>
      </w:r>
      <w:r w:rsidR="00037D49">
        <w:t xml:space="preserve">Izdevumu pārskatīšanai pakļauto prioritāro pasākumu ietvaru kopsumma </w:t>
      </w:r>
      <w:r w:rsidR="001B112E">
        <w:t>veido</w:t>
      </w:r>
      <w:r w:rsidR="00037D49">
        <w:t xml:space="preserve"> 1 073,8 </w:t>
      </w:r>
      <w:r w:rsidR="00037D49" w:rsidRPr="006B5BE2">
        <w:t xml:space="preserve">milj. </w:t>
      </w:r>
      <w:r w:rsidR="00037D49" w:rsidRPr="006B5BE2">
        <w:rPr>
          <w:i/>
        </w:rPr>
        <w:t>euro</w:t>
      </w:r>
      <w:r w:rsidR="00037D49" w:rsidRPr="006B5BE2">
        <w:t xml:space="preserve"> jeb 12% no valsts budžeta 2018.gada ietvara izdevumiem (skat. </w:t>
      </w:r>
      <w:r w:rsidR="006B5BE2" w:rsidRPr="006B5BE2">
        <w:t>3.50</w:t>
      </w:r>
      <w:r w:rsidR="006B5BE2">
        <w:t>.attēlu</w:t>
      </w:r>
      <w:r w:rsidR="00037D49" w:rsidRPr="006B5BE2">
        <w:t>).</w:t>
      </w:r>
    </w:p>
    <w:p w:rsidR="003937FE" w:rsidRDefault="003937FE" w:rsidP="003937FE">
      <w:pPr>
        <w:spacing w:after="120"/>
        <w:jc w:val="both"/>
      </w:pPr>
      <w:r>
        <w:rPr>
          <w:noProof/>
          <w:lang w:eastAsia="lv-LV"/>
        </w:rPr>
        <w:drawing>
          <wp:inline distT="0" distB="0" distL="0" distR="0" wp14:anchorId="4A267DC5" wp14:editId="1854E4D7">
            <wp:extent cx="5857875" cy="3091815"/>
            <wp:effectExtent l="0" t="0" r="9525" b="1333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3937FE" w:rsidRPr="006D27D1" w:rsidRDefault="006B5BE2" w:rsidP="003937FE">
      <w:pPr>
        <w:jc w:val="center"/>
        <w:rPr>
          <w:i/>
          <w:sz w:val="22"/>
        </w:rPr>
      </w:pPr>
      <w:r w:rsidRPr="006B5BE2">
        <w:rPr>
          <w:i/>
          <w:sz w:val="22"/>
        </w:rPr>
        <w:t>3.50.</w:t>
      </w:r>
      <w:r w:rsidR="003937FE" w:rsidRPr="006B5BE2">
        <w:rPr>
          <w:i/>
          <w:sz w:val="22"/>
        </w:rPr>
        <w:t xml:space="preserve"> att</w:t>
      </w:r>
      <w:r w:rsidR="003937FE" w:rsidRPr="006B5BE2">
        <w:rPr>
          <w:sz w:val="22"/>
        </w:rPr>
        <w:t xml:space="preserve">. </w:t>
      </w:r>
      <w:r w:rsidR="003937FE" w:rsidRPr="006B5BE2">
        <w:rPr>
          <w:b/>
          <w:sz w:val="22"/>
        </w:rPr>
        <w:t>V</w:t>
      </w:r>
      <w:r w:rsidR="007F4F25" w:rsidRPr="006B5BE2">
        <w:rPr>
          <w:b/>
          <w:sz w:val="22"/>
        </w:rPr>
        <w:t>alsts budžeta 2018.gada ietvara</w:t>
      </w:r>
      <w:r w:rsidR="003937FE" w:rsidRPr="006B5BE2">
        <w:rPr>
          <w:b/>
          <w:sz w:val="22"/>
        </w:rPr>
        <w:t xml:space="preserve"> izdevumu </w:t>
      </w:r>
      <w:r w:rsidR="007F4F25" w:rsidRPr="006B5BE2">
        <w:rPr>
          <w:b/>
          <w:sz w:val="22"/>
        </w:rPr>
        <w:t xml:space="preserve">sadalījums, % un milj. </w:t>
      </w:r>
      <w:r w:rsidR="007F4F25" w:rsidRPr="006B5BE2">
        <w:rPr>
          <w:b/>
          <w:i/>
          <w:sz w:val="22"/>
        </w:rPr>
        <w:t>euro</w:t>
      </w:r>
    </w:p>
    <w:p w:rsidR="003937FE" w:rsidRDefault="003937FE" w:rsidP="007F4F25">
      <w:pPr>
        <w:ind w:firstLine="709"/>
        <w:jc w:val="both"/>
      </w:pPr>
    </w:p>
    <w:p w:rsidR="00854B11" w:rsidRDefault="00854B11" w:rsidP="003937FE">
      <w:pPr>
        <w:spacing w:after="120"/>
        <w:ind w:firstLine="709"/>
        <w:jc w:val="both"/>
      </w:pPr>
      <w:r w:rsidRPr="00854B11">
        <w:t xml:space="preserve">Lai </w:t>
      </w:r>
      <w:r>
        <w:t>varētu uzsākt prioritāro pasākumu pārskatīšanu, tika veikts sākotnējais novērtējums par pārskatīšanai pakļautajos ietvaros piešķirtā finansējuma prioritārajiem pasākumiem ietekmi uz bāzes izdevumiem.</w:t>
      </w:r>
      <w:r w:rsidR="00B75B07">
        <w:t xml:space="preserve"> Secināts, ka 401 prioritārais pasākums jeb 76,5% pāriet kā bāzes izdevumi</w:t>
      </w:r>
      <w:r w:rsidR="00A92CD0">
        <w:t>, savukārt 123 prioritārie pasākumi jeb 23,5% nepāriet kā bāzes izdevumi – vienreizēji</w:t>
      </w:r>
      <w:r w:rsidR="0043186E">
        <w:t>e</w:t>
      </w:r>
      <w:r w:rsidR="00A92CD0">
        <w:t xml:space="preserve"> </w:t>
      </w:r>
      <w:r w:rsidR="00A92CD0" w:rsidRPr="006B5BE2">
        <w:t>pasākumi</w:t>
      </w:r>
      <w:r w:rsidR="00626F73" w:rsidRPr="006B5BE2">
        <w:t xml:space="preserve"> (skat</w:t>
      </w:r>
      <w:r w:rsidR="006B5BE2" w:rsidRPr="006B5BE2">
        <w:t>.</w:t>
      </w:r>
      <w:r w:rsidR="00626F73" w:rsidRPr="006B5BE2">
        <w:t xml:space="preserve"> </w:t>
      </w:r>
      <w:r w:rsidR="006B5BE2" w:rsidRPr="006B5BE2">
        <w:t>3.51</w:t>
      </w:r>
      <w:r w:rsidR="006B5BE2">
        <w:t>.</w:t>
      </w:r>
      <w:r w:rsidR="00626F73" w:rsidRPr="006B5BE2">
        <w:t>attēlu)</w:t>
      </w:r>
      <w:r w:rsidR="00A92CD0" w:rsidRPr="006B5BE2">
        <w:t>.</w:t>
      </w:r>
    </w:p>
    <w:p w:rsidR="003937FE" w:rsidRDefault="003937FE" w:rsidP="003937FE">
      <w:pPr>
        <w:ind w:firstLine="709"/>
        <w:jc w:val="both"/>
      </w:pPr>
    </w:p>
    <w:p w:rsidR="00CC6220" w:rsidRDefault="00810F4D" w:rsidP="00810F4D">
      <w:pPr>
        <w:jc w:val="both"/>
        <w:rPr>
          <w:noProof/>
          <w:lang w:eastAsia="lv-LV"/>
        </w:rPr>
      </w:pPr>
      <w:r>
        <w:rPr>
          <w:noProof/>
          <w:lang w:eastAsia="lv-LV"/>
        </w:rPr>
        <mc:AlternateContent>
          <mc:Choice Requires="wps">
            <w:drawing>
              <wp:anchor distT="0" distB="0" distL="114300" distR="114300" simplePos="0" relativeHeight="251659264" behindDoc="0" locked="0" layoutInCell="1" allowOverlap="1" wp14:anchorId="43EB759B" wp14:editId="3B0BA46F">
                <wp:simplePos x="0" y="0"/>
                <wp:positionH relativeFrom="column">
                  <wp:posOffset>-48895</wp:posOffset>
                </wp:positionH>
                <wp:positionV relativeFrom="paragraph">
                  <wp:posOffset>2451100</wp:posOffset>
                </wp:positionV>
                <wp:extent cx="2333625" cy="428625"/>
                <wp:effectExtent l="0" t="0" r="0" b="0"/>
                <wp:wrapNone/>
                <wp:docPr id="7" name="Text Box 7"/>
                <wp:cNvGraphicFramePr/>
                <a:graphic xmlns:a="http://schemas.openxmlformats.org/drawingml/2006/main">
                  <a:graphicData uri="http://schemas.microsoft.com/office/word/2010/wordprocessingShape">
                    <wps:wsp>
                      <wps:cNvSpPr txBox="1"/>
                      <wps:spPr>
                        <a:xfrm>
                          <a:off x="0" y="0"/>
                          <a:ext cx="2333625" cy="428625"/>
                        </a:xfrm>
                        <a:prstGeom prst="rect">
                          <a:avLst/>
                        </a:prstGeom>
                        <a:noFill/>
                        <a:ln w="6350">
                          <a:noFill/>
                        </a:ln>
                      </wps:spPr>
                      <wps:txbx>
                        <w:txbxContent>
                          <w:p w:rsidR="00F16784" w:rsidRDefault="00F16784" w:rsidP="00CC6220">
                            <w:pPr>
                              <w:jc w:val="center"/>
                            </w:pPr>
                            <w:r w:rsidRPr="006B5BE2">
                              <w:rPr>
                                <w:i/>
                                <w:sz w:val="22"/>
                              </w:rPr>
                              <w:t>3.51.att</w:t>
                            </w:r>
                            <w:r>
                              <w:rPr>
                                <w:i/>
                                <w:sz w:val="22"/>
                              </w:rPr>
                              <w:t>.</w:t>
                            </w:r>
                            <w:r>
                              <w:rPr>
                                <w:b/>
                                <w:sz w:val="22"/>
                              </w:rPr>
                              <w:t xml:space="preserve"> Prioritāro pasākumu ietekme uz bāzes izdevumiem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B759B" id="_x0000_t202" coordsize="21600,21600" o:spt="202" path="m,l,21600r21600,l21600,xe">
                <v:stroke joinstyle="miter"/>
                <v:path gradientshapeok="t" o:connecttype="rect"/>
              </v:shapetype>
              <v:shape id="Text Box 7" o:spid="_x0000_s1063" type="#_x0000_t202" style="position:absolute;left:0;text-align:left;margin-left:-3.85pt;margin-top:193pt;width:183.75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" filled="f" stroked="f" strokeweight=".5pt">
                <v:textbox>
                  <w:txbxContent>
                    <w:p w:rsidR="00F16784" w:rsidRDefault="00F16784" w:rsidP="00CC6220">
                      <w:pPr>
                        <w:jc w:val="center"/>
                      </w:pPr>
                      <w:r w:rsidRPr="006B5BE2">
                        <w:rPr>
                          <w:i/>
                          <w:sz w:val="22"/>
                        </w:rPr>
                        <w:t>3.51.att</w:t>
                      </w:r>
                      <w:r>
                        <w:rPr>
                          <w:i/>
                          <w:sz w:val="22"/>
                        </w:rPr>
                        <w:t>.</w:t>
                      </w:r>
                      <w:r>
                        <w:rPr>
                          <w:b/>
                          <w:sz w:val="22"/>
                        </w:rPr>
                        <w:t xml:space="preserve"> Prioritāro pasākumu ietekme uz bāzes izdevumiem</w:t>
                      </w:r>
                    </w:p>
                  </w:txbxContent>
                </v:textbox>
              </v:shape>
            </w:pict>
          </mc:Fallback>
        </mc:AlternateContent>
      </w:r>
      <w:r w:rsidR="00F45D2F" w:rsidRPr="00F45D2F">
        <w:rPr>
          <w:noProof/>
          <w:lang w:eastAsia="lv-LV"/>
        </w:rPr>
        <w:drawing>
          <wp:inline distT="0" distB="0" distL="0" distR="0" wp14:anchorId="3444F078" wp14:editId="53C9F7F2">
            <wp:extent cx="2266950" cy="223837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r w:rsidRPr="000044AC">
        <w:rPr>
          <w:noProof/>
          <w:lang w:eastAsia="lv-LV"/>
        </w:rPr>
        <w:drawing>
          <wp:inline distT="0" distB="0" distL="0" distR="0" wp14:anchorId="182A7A9E" wp14:editId="30AEC2D6">
            <wp:extent cx="3448050" cy="22383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CC6220" w:rsidRDefault="00810F4D" w:rsidP="00A92CD0">
      <w:pPr>
        <w:jc w:val="both"/>
        <w:rPr>
          <w:noProof/>
          <w:lang w:eastAsia="lv-LV"/>
        </w:rPr>
      </w:pPr>
      <w:r>
        <w:rPr>
          <w:noProof/>
          <w:lang w:eastAsia="lv-LV"/>
        </w:rPr>
        <mc:AlternateContent>
          <mc:Choice Requires="wps">
            <w:drawing>
              <wp:anchor distT="0" distB="0" distL="114300" distR="114300" simplePos="0" relativeHeight="251661312" behindDoc="0" locked="0" layoutInCell="1" allowOverlap="1" wp14:anchorId="16EB94DF" wp14:editId="66BAF7FD">
                <wp:simplePos x="0" y="0"/>
                <wp:positionH relativeFrom="margin">
                  <wp:posOffset>2266950</wp:posOffset>
                </wp:positionH>
                <wp:positionV relativeFrom="paragraph">
                  <wp:posOffset>153670</wp:posOffset>
                </wp:positionV>
                <wp:extent cx="3533775" cy="428625"/>
                <wp:effectExtent l="0" t="0" r="0" b="0"/>
                <wp:wrapNone/>
                <wp:docPr id="8" name="Text Box 8"/>
                <wp:cNvGraphicFramePr/>
                <a:graphic xmlns:a="http://schemas.openxmlformats.org/drawingml/2006/main">
                  <a:graphicData uri="http://schemas.microsoft.com/office/word/2010/wordprocessingShape">
                    <wps:wsp>
                      <wps:cNvSpPr txBox="1"/>
                      <wps:spPr>
                        <a:xfrm>
                          <a:off x="0" y="0"/>
                          <a:ext cx="3533775" cy="428625"/>
                        </a:xfrm>
                        <a:prstGeom prst="rect">
                          <a:avLst/>
                        </a:prstGeom>
                        <a:noFill/>
                        <a:ln w="6350">
                          <a:noFill/>
                        </a:ln>
                      </wps:spPr>
                      <wps:txbx>
                        <w:txbxContent>
                          <w:p w:rsidR="00F16784" w:rsidRDefault="00F16784" w:rsidP="00F3359C">
                            <w:pPr>
                              <w:jc w:val="center"/>
                            </w:pPr>
                            <w:r w:rsidRPr="006B5BE2">
                              <w:rPr>
                                <w:i/>
                                <w:sz w:val="22"/>
                              </w:rPr>
                              <w:t>3.52.att.</w:t>
                            </w:r>
                            <w:r>
                              <w:rPr>
                                <w:b/>
                                <w:sz w:val="22"/>
                              </w:rPr>
                              <w:t xml:space="preserve"> Pārskatāmo ietvaru izdevumu prioritārajiem pasākumiem sadalījums, milj. </w:t>
                            </w:r>
                            <w:r w:rsidRPr="00F3359C">
                              <w:rPr>
                                <w:b/>
                                <w:i/>
                                <w:sz w:val="22"/>
                              </w:rPr>
                              <w:t>euro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B94DF" id="Text Box 8" o:spid="_x0000_s1064" type="#_x0000_t202" style="position:absolute;left:0;text-align:left;margin-left:178.5pt;margin-top:12.1pt;width:278.25pt;height:3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" filled="f" stroked="f" strokeweight=".5pt">
                <v:textbox>
                  <w:txbxContent>
                    <w:p w:rsidR="00F16784" w:rsidRDefault="00F16784" w:rsidP="00F3359C">
                      <w:pPr>
                        <w:jc w:val="center"/>
                      </w:pPr>
                      <w:r w:rsidRPr="006B5BE2">
                        <w:rPr>
                          <w:i/>
                          <w:sz w:val="22"/>
                        </w:rPr>
                        <w:t>3.52.att.</w:t>
                      </w:r>
                      <w:r>
                        <w:rPr>
                          <w:b/>
                          <w:sz w:val="22"/>
                        </w:rPr>
                        <w:t xml:space="preserve"> Pārskatāmo ietvaru izdevumu prioritārajiem pasākumiem sadalījums, milj. </w:t>
                      </w:r>
                      <w:r w:rsidRPr="00F3359C">
                        <w:rPr>
                          <w:b/>
                          <w:i/>
                          <w:sz w:val="22"/>
                        </w:rPr>
                        <w:t>euro</w:t>
                      </w:r>
                    </w:p>
                  </w:txbxContent>
                </v:textbox>
                <w10:wrap anchorx="margin"/>
              </v:shape>
            </w:pict>
          </mc:Fallback>
        </mc:AlternateContent>
      </w:r>
    </w:p>
    <w:p w:rsidR="00CC6220" w:rsidRDefault="00CC6220" w:rsidP="00A92CD0">
      <w:pPr>
        <w:jc w:val="both"/>
        <w:rPr>
          <w:noProof/>
          <w:lang w:eastAsia="lv-LV"/>
        </w:rPr>
      </w:pPr>
    </w:p>
    <w:p w:rsidR="00CC6220" w:rsidRDefault="00CC6220" w:rsidP="00A92CD0">
      <w:pPr>
        <w:jc w:val="both"/>
        <w:rPr>
          <w:noProof/>
          <w:lang w:eastAsia="lv-LV"/>
        </w:rPr>
      </w:pPr>
    </w:p>
    <w:p w:rsidR="00810F4D" w:rsidRDefault="00810F4D" w:rsidP="006B5BE2">
      <w:pPr>
        <w:spacing w:after="120"/>
        <w:ind w:firstLine="720"/>
        <w:jc w:val="both"/>
      </w:pPr>
    </w:p>
    <w:p w:rsidR="006B5BE2" w:rsidRDefault="006B5BE2" w:rsidP="006B5BE2">
      <w:pPr>
        <w:spacing w:after="120"/>
        <w:ind w:firstLine="720"/>
        <w:jc w:val="both"/>
      </w:pPr>
      <w:r>
        <w:t>Kā redzams 3.</w:t>
      </w:r>
      <w:r w:rsidRPr="006B5BE2">
        <w:t>52.attēlā</w:t>
      </w:r>
      <w:r>
        <w:t xml:space="preserve"> pārskatāmo ietvaru prioritārie pasākumi 2014., 2015. un 2016.gadā ir kā attīstības daļas izdevumi, 2017. un 2018.gadā gan kā attīstības, gan bāzes daļas izdevumi, savukārt no 2019.gada tikai kā bāzes daļas izdevumi.</w:t>
      </w:r>
    </w:p>
    <w:p w:rsidR="00262593" w:rsidRDefault="0096216C" w:rsidP="00BE406F">
      <w:pPr>
        <w:spacing w:after="120"/>
        <w:ind w:firstLine="720"/>
        <w:jc w:val="both"/>
      </w:pPr>
      <w:r>
        <w:t>Izdevumu pārskatīšanai netiek pakļauti visi pārskatīšanai pakļauto ietvaru 2018., 2019., 2020.gada izdevumi prioritārajiem pasākumiem</w:t>
      </w:r>
      <w:r w:rsidR="003E12A4">
        <w:t xml:space="preserve"> </w:t>
      </w:r>
      <w:r w:rsidR="003E12A4" w:rsidRPr="006B5BE2">
        <w:t xml:space="preserve">(skat. </w:t>
      </w:r>
      <w:r w:rsidR="006B5BE2" w:rsidRPr="006B5BE2">
        <w:t>3.53.</w:t>
      </w:r>
      <w:r w:rsidR="003E12A4" w:rsidRPr="006B5BE2">
        <w:t>attēlu)</w:t>
      </w:r>
      <w:r w:rsidRPr="006B5BE2">
        <w:t>.</w:t>
      </w:r>
      <w:r>
        <w:t xml:space="preserve"> Pārskatīšanai </w:t>
      </w:r>
      <w:r w:rsidR="00585B4B">
        <w:t xml:space="preserve">netiek </w:t>
      </w:r>
      <w:r>
        <w:t>pak</w:t>
      </w:r>
      <w:r w:rsidR="00585B4B">
        <w:t>ļauti</w:t>
      </w:r>
      <w:r>
        <w:t xml:space="preserve"> </w:t>
      </w:r>
      <w:r w:rsidR="001E3716">
        <w:t xml:space="preserve">prioritārie pasākumi </w:t>
      </w:r>
      <w:r w:rsidR="00585B4B">
        <w:t>minimālās mēneša darba algas paaugstināšanai un mēneša darba algas izlīdzināšanai</w:t>
      </w:r>
      <w:r w:rsidR="00A82DD2">
        <w:t xml:space="preserve"> (2018., 2019. un 2020.gadam 60,7 milj. </w:t>
      </w:r>
      <w:r w:rsidR="00A82DD2" w:rsidRPr="003E12A4">
        <w:rPr>
          <w:i/>
        </w:rPr>
        <w:t>euro</w:t>
      </w:r>
      <w:r w:rsidR="00A82DD2">
        <w:t xml:space="preserve"> ik gadu)</w:t>
      </w:r>
      <w:r w:rsidR="00585B4B">
        <w:t xml:space="preserve">, kā arī </w:t>
      </w:r>
      <w:r w:rsidR="003F193E">
        <w:t>AiM</w:t>
      </w:r>
      <w:r w:rsidR="001E3716">
        <w:t xml:space="preserve"> prioritārie pasākumi</w:t>
      </w:r>
      <w:r>
        <w:t xml:space="preserve"> </w:t>
      </w:r>
      <w:r w:rsidR="003E12A4">
        <w:t>(2018.gadam 55</w:t>
      </w:r>
      <w:r w:rsidR="004F4C0C">
        <w:t>2,9</w:t>
      </w:r>
      <w:r w:rsidR="003E12A4">
        <w:t xml:space="preserve"> milj. </w:t>
      </w:r>
      <w:r w:rsidR="003E12A4" w:rsidRPr="003E12A4">
        <w:rPr>
          <w:i/>
        </w:rPr>
        <w:t>euro</w:t>
      </w:r>
      <w:r w:rsidR="003E12A4">
        <w:t>, 2019.gadam 55</w:t>
      </w:r>
      <w:r w:rsidR="004F4C0C">
        <w:t>1,3</w:t>
      </w:r>
      <w:r w:rsidR="003E12A4">
        <w:t xml:space="preserve"> milj. </w:t>
      </w:r>
      <w:r w:rsidR="003E12A4" w:rsidRPr="003E12A4">
        <w:rPr>
          <w:i/>
        </w:rPr>
        <w:t>euro</w:t>
      </w:r>
      <w:r w:rsidR="003E12A4">
        <w:t xml:space="preserve"> un 2020.gadam 466,</w:t>
      </w:r>
      <w:r w:rsidR="004F4C0C">
        <w:t>0</w:t>
      </w:r>
      <w:r w:rsidR="004C14E7">
        <w:t xml:space="preserve"> </w:t>
      </w:r>
      <w:r w:rsidR="003E12A4">
        <w:t xml:space="preserve">milj. </w:t>
      </w:r>
      <w:r w:rsidR="003E12A4" w:rsidRPr="003E12A4">
        <w:rPr>
          <w:i/>
        </w:rPr>
        <w:t>euro</w:t>
      </w:r>
      <w:r w:rsidR="003E12A4">
        <w:t>)</w:t>
      </w:r>
      <w:r w:rsidR="004F4C0C">
        <w:t>, izņemot JPI “</w:t>
      </w:r>
      <w:r w:rsidR="004F4C0C" w:rsidRPr="004F4C0C">
        <w:t>Elektrības un komunālo maksājumu sadārdzinājuma kompensēšana</w:t>
      </w:r>
      <w:r w:rsidR="00BE406F">
        <w:t>”.</w:t>
      </w:r>
    </w:p>
    <w:p w:rsidR="009421BF" w:rsidRDefault="00BE406F" w:rsidP="003F193E">
      <w:pPr>
        <w:spacing w:after="240"/>
        <w:ind w:firstLine="720"/>
        <w:jc w:val="both"/>
      </w:pPr>
      <w:r>
        <w:t>AiM prioritārie pasākumi netiek pārskatīti, jo AiM</w:t>
      </w:r>
      <w:r w:rsidRPr="00BE406F">
        <w:t xml:space="preserve">, periodiski pārskatot </w:t>
      </w:r>
      <w:r>
        <w:t xml:space="preserve">savas </w:t>
      </w:r>
      <w:r w:rsidRPr="00BE406F">
        <w:t xml:space="preserve">aktualitātes, ir veikusi piešķirtā finansējuma pārdali starp </w:t>
      </w:r>
      <w:r>
        <w:t>prioritārajiem pasākumiem</w:t>
      </w:r>
      <w:r w:rsidRPr="00BE406F">
        <w:t xml:space="preserve">. Pamatojoties uz </w:t>
      </w:r>
      <w:r w:rsidR="003F193E">
        <w:t>MK</w:t>
      </w:r>
      <w:r w:rsidRPr="00BE406F">
        <w:t xml:space="preserve"> 2016.gada 29.novembrī apstiprināto Nacionālo bruņo</w:t>
      </w:r>
      <w:r>
        <w:t>to spēku attīstības plānu 2016.</w:t>
      </w:r>
      <w:r>
        <w:noBreakHyphen/>
      </w:r>
      <w:r w:rsidRPr="00BE406F">
        <w:t xml:space="preserve">2028.gadam, kurā tika ietverta Nacionālo bruņoto spēku kopējā kapacitāte sadalījumā pa spējām, </w:t>
      </w:r>
      <w:r>
        <w:t>AiM</w:t>
      </w:r>
      <w:r w:rsidRPr="00BE406F">
        <w:t xml:space="preserve"> pēdējo finansējuma pārdali </w:t>
      </w:r>
      <w:r>
        <w:t>starp prioritārajiem pasākumiem</w:t>
      </w:r>
      <w:r w:rsidRPr="00BE406F">
        <w:t xml:space="preserve"> ir veikusi</w:t>
      </w:r>
      <w:r>
        <w:t xml:space="preserve"> šī gada 29.martā</w:t>
      </w:r>
      <w:r w:rsidR="003F193E">
        <w:t xml:space="preserve"> (MK </w:t>
      </w:r>
      <w:r w:rsidRPr="00BE406F">
        <w:t>2017.</w:t>
      </w:r>
      <w:r w:rsidR="003F193E">
        <w:t>gada 29.marta</w:t>
      </w:r>
      <w:r w:rsidRPr="00BE406F">
        <w:t xml:space="preserve"> rīkojums Nr.162).</w:t>
      </w:r>
    </w:p>
    <w:p w:rsidR="00854B11" w:rsidRDefault="00752D54" w:rsidP="006D75CD">
      <w:r>
        <w:rPr>
          <w:noProof/>
          <w:lang w:eastAsia="lv-LV"/>
        </w:rPr>
        <mc:AlternateContent>
          <mc:Choice Requires="wps">
            <w:drawing>
              <wp:anchor distT="0" distB="0" distL="114300" distR="114300" simplePos="0" relativeHeight="251658240" behindDoc="0" locked="0" layoutInCell="1" allowOverlap="1">
                <wp:simplePos x="0" y="0"/>
                <wp:positionH relativeFrom="column">
                  <wp:posOffset>870557</wp:posOffset>
                </wp:positionH>
                <wp:positionV relativeFrom="paragraph">
                  <wp:posOffset>70153</wp:posOffset>
                </wp:positionV>
                <wp:extent cx="990600" cy="27622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990600" cy="276225"/>
                        </a:xfrm>
                        <a:prstGeom prst="rect">
                          <a:avLst/>
                        </a:prstGeom>
                        <a:noFill/>
                        <a:ln w="6350">
                          <a:noFill/>
                        </a:ln>
                      </wps:spPr>
                      <wps:txbx>
                        <w:txbxContent>
                          <w:p w:rsidR="00F16784" w:rsidRDefault="00F16784">
                            <w:r>
                              <w:rPr>
                                <w:rFonts w:cs="Times New Roman"/>
                              </w:rPr>
                              <w:t>∑</w:t>
                            </w:r>
                            <w:r>
                              <w:t>= 1 073,8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65" type="#_x0000_t202" style="position:absolute;margin-left:68.55pt;margin-top:5.5pt;width:78pt;height:2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" filled="f" stroked="f" strokeweight=".5pt">
                <v:textbox>
                  <w:txbxContent>
                    <w:p w:rsidR="00F16784" w:rsidRDefault="00F16784">
                      <w:r>
                        <w:rPr>
                          <w:rFonts w:cs="Times New Roman"/>
                        </w:rPr>
                        <w:t>∑</w:t>
                      </w:r>
                      <w:r>
                        <w:t>= 1 073,8</w:t>
                      </w:r>
                    </w:p>
                  </w:txbxContent>
                </v:textbox>
              </v:shape>
            </w:pict>
          </mc:Fallback>
        </mc:AlternateContent>
      </w:r>
      <w:r w:rsidR="00DA4746">
        <w:rPr>
          <w:noProof/>
          <w:lang w:eastAsia="lv-LV"/>
        </w:rPr>
        <w:drawing>
          <wp:inline distT="0" distB="0" distL="0" distR="0" wp14:anchorId="6FFCD4D7" wp14:editId="47E038C9">
            <wp:extent cx="5756745" cy="2361537"/>
            <wp:effectExtent l="0" t="0" r="15875" b="127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854B11" w:rsidRPr="003F193E" w:rsidRDefault="006B5BE2" w:rsidP="00213133">
      <w:pPr>
        <w:spacing w:before="40" w:after="240"/>
        <w:jc w:val="center"/>
        <w:rPr>
          <w:i/>
          <w:sz w:val="22"/>
        </w:rPr>
      </w:pPr>
      <w:r w:rsidRPr="006B5BE2">
        <w:rPr>
          <w:i/>
          <w:sz w:val="22"/>
        </w:rPr>
        <w:t>3.53</w:t>
      </w:r>
      <w:r w:rsidR="00752D54" w:rsidRPr="006B5BE2">
        <w:rPr>
          <w:i/>
          <w:sz w:val="22"/>
        </w:rPr>
        <w:t>. att</w:t>
      </w:r>
      <w:r w:rsidR="00752D54" w:rsidRPr="006B5BE2">
        <w:rPr>
          <w:sz w:val="22"/>
        </w:rPr>
        <w:t xml:space="preserve">. </w:t>
      </w:r>
      <w:r w:rsidR="00752D54" w:rsidRPr="006B5BE2">
        <w:rPr>
          <w:b/>
          <w:sz w:val="22"/>
        </w:rPr>
        <w:t xml:space="preserve">Pārskatīšanai pakļautie un nepakļautie </w:t>
      </w:r>
      <w:r w:rsidR="0096216C" w:rsidRPr="006B5BE2">
        <w:rPr>
          <w:b/>
          <w:sz w:val="22"/>
        </w:rPr>
        <w:t xml:space="preserve">izdevumi </w:t>
      </w:r>
      <w:r w:rsidR="00752D54" w:rsidRPr="006B5BE2">
        <w:rPr>
          <w:b/>
          <w:sz w:val="22"/>
        </w:rPr>
        <w:t>priorit</w:t>
      </w:r>
      <w:r w:rsidR="0096216C" w:rsidRPr="006B5BE2">
        <w:rPr>
          <w:b/>
          <w:sz w:val="22"/>
        </w:rPr>
        <w:t>ārajiem pasākumiem</w:t>
      </w:r>
      <w:r w:rsidR="00752D54" w:rsidRPr="006B5BE2">
        <w:rPr>
          <w:b/>
          <w:sz w:val="22"/>
        </w:rPr>
        <w:t xml:space="preserve"> 2018.,</w:t>
      </w:r>
      <w:r w:rsidR="00752D54">
        <w:rPr>
          <w:b/>
          <w:sz w:val="22"/>
        </w:rPr>
        <w:t xml:space="preserve"> 2019. un 2020.gadam, milj. </w:t>
      </w:r>
      <w:r w:rsidR="00752D54" w:rsidRPr="00752D54">
        <w:rPr>
          <w:b/>
          <w:i/>
          <w:sz w:val="22"/>
        </w:rPr>
        <w:t>euro</w:t>
      </w:r>
    </w:p>
    <w:p w:rsidR="00CB660D" w:rsidRPr="00170FC0" w:rsidRDefault="00D75671" w:rsidP="006242D6">
      <w:pPr>
        <w:jc w:val="both"/>
      </w:pPr>
      <w:r>
        <w:lastRenderedPageBreak/>
        <w:tab/>
        <w:t xml:space="preserve">Kā </w:t>
      </w:r>
      <w:r w:rsidRPr="006B5BE2">
        <w:t xml:space="preserve">redzams </w:t>
      </w:r>
      <w:r w:rsidR="006B5BE2" w:rsidRPr="006B5BE2">
        <w:t>3.53.attēlā</w:t>
      </w:r>
      <w:r w:rsidRPr="006B5BE2">
        <w:t>, pārskatīšanai</w:t>
      </w:r>
      <w:r>
        <w:t xml:space="preserve"> tiek pakļauti izdevumi prioritārajiem pasākumiem 2018.gadam </w:t>
      </w:r>
      <w:r w:rsidR="006242D6">
        <w:t>460,</w:t>
      </w:r>
      <w:r w:rsidR="004C14E7">
        <w:t>2</w:t>
      </w:r>
      <w:r w:rsidR="006242D6">
        <w:t xml:space="preserve"> milj. </w:t>
      </w:r>
      <w:r w:rsidR="006242D6" w:rsidRPr="00CB660D">
        <w:rPr>
          <w:i/>
        </w:rPr>
        <w:t>euro</w:t>
      </w:r>
      <w:r w:rsidR="006242D6">
        <w:t xml:space="preserve"> apmērā, 2019.gadam 423,</w:t>
      </w:r>
      <w:r w:rsidR="004C14E7">
        <w:t>3</w:t>
      </w:r>
      <w:r w:rsidR="006242D6">
        <w:t xml:space="preserve"> milj. </w:t>
      </w:r>
      <w:r w:rsidR="006242D6" w:rsidRPr="00CB660D">
        <w:rPr>
          <w:i/>
        </w:rPr>
        <w:t>euro</w:t>
      </w:r>
      <w:r w:rsidR="006242D6">
        <w:t xml:space="preserve"> apmērā un 2020.gadam 419,</w:t>
      </w:r>
      <w:r w:rsidR="004C14E7">
        <w:t>3</w:t>
      </w:r>
      <w:r w:rsidR="00CB660D">
        <w:t xml:space="preserve"> milj. </w:t>
      </w:r>
      <w:r w:rsidR="00CB660D" w:rsidRPr="00CB660D">
        <w:rPr>
          <w:i/>
        </w:rPr>
        <w:t>euro</w:t>
      </w:r>
      <w:r w:rsidR="00CB660D">
        <w:t xml:space="preserve"> apmērā. Pārskatīšanai </w:t>
      </w:r>
      <w:r w:rsidR="00CB660D" w:rsidRPr="00170FC0">
        <w:t>pakļauto izdevumu prioritārajiem pasākumiem apmērs sadalījumā pa ministrijām ir apkopots tabulā Nr</w:t>
      </w:r>
      <w:r w:rsidR="003A7699" w:rsidRPr="00170FC0">
        <w:t>.</w:t>
      </w:r>
      <w:r w:rsidR="00170FC0" w:rsidRPr="00170FC0">
        <w:t>3.33</w:t>
      </w:r>
      <w:r w:rsidR="00CB660D" w:rsidRPr="00170FC0">
        <w:t>.</w:t>
      </w:r>
    </w:p>
    <w:p w:rsidR="00CB660D" w:rsidRDefault="00CB660D" w:rsidP="00CB660D">
      <w:pPr>
        <w:ind w:firstLine="720"/>
        <w:jc w:val="right"/>
        <w:rPr>
          <w:szCs w:val="24"/>
        </w:rPr>
      </w:pPr>
      <w:r w:rsidRPr="00170FC0">
        <w:rPr>
          <w:szCs w:val="24"/>
        </w:rPr>
        <w:t>Tabula Nr.</w:t>
      </w:r>
      <w:r w:rsidR="00170FC0" w:rsidRPr="00170FC0">
        <w:rPr>
          <w:szCs w:val="24"/>
        </w:rPr>
        <w:t>3.33</w:t>
      </w:r>
      <w:r w:rsidR="00213133">
        <w:rPr>
          <w:szCs w:val="24"/>
        </w:rPr>
        <w:t>.</w:t>
      </w:r>
    </w:p>
    <w:p w:rsidR="00CB660D" w:rsidRPr="007E498E" w:rsidRDefault="00CB660D" w:rsidP="00CB660D">
      <w:pPr>
        <w:spacing w:before="120" w:after="120"/>
        <w:jc w:val="center"/>
        <w:rPr>
          <w:b/>
          <w:szCs w:val="24"/>
        </w:rPr>
      </w:pPr>
      <w:r w:rsidRPr="00CB660D">
        <w:rPr>
          <w:b/>
          <w:szCs w:val="24"/>
        </w:rPr>
        <w:t>Pārskatīšanai pakļauto izdevumu prioritārajiem pasākumiem apmērs sadalījumā pa ministrijām</w:t>
      </w:r>
      <w:r>
        <w:rPr>
          <w:b/>
          <w:szCs w:val="24"/>
        </w:rPr>
        <w:t xml:space="preserve">, </w:t>
      </w:r>
      <w:r w:rsidRPr="00704989">
        <w:rPr>
          <w:b/>
          <w:i/>
          <w:szCs w:val="24"/>
        </w:rPr>
        <w:t>euro</w:t>
      </w:r>
    </w:p>
    <w:tbl>
      <w:tblPr>
        <w:tblStyle w:val="TableGrid"/>
        <w:tblW w:w="9351" w:type="dxa"/>
        <w:tblLook w:val="04A0" w:firstRow="1" w:lastRow="0" w:firstColumn="1" w:lastColumn="0" w:noHBand="0" w:noVBand="1"/>
      </w:tblPr>
      <w:tblGrid>
        <w:gridCol w:w="2972"/>
        <w:gridCol w:w="2126"/>
        <w:gridCol w:w="2127"/>
        <w:gridCol w:w="2126"/>
      </w:tblGrid>
      <w:tr w:rsidR="00CB660D" w:rsidRPr="004C14E7" w:rsidTr="0040301F">
        <w:trPr>
          <w:trHeight w:val="227"/>
          <w:tblHeader/>
        </w:trPr>
        <w:tc>
          <w:tcPr>
            <w:tcW w:w="2972" w:type="dxa"/>
            <w:shd w:val="clear" w:color="auto" w:fill="C5E0B3" w:themeFill="accent6" w:themeFillTint="66"/>
            <w:noWrap/>
            <w:hideMark/>
          </w:tcPr>
          <w:p w:rsidR="00CB660D" w:rsidRPr="004C14E7" w:rsidRDefault="00CB660D" w:rsidP="00CB660D">
            <w:pPr>
              <w:jc w:val="center"/>
              <w:rPr>
                <w:rFonts w:cs="Times New Roman"/>
                <w:b/>
                <w:bCs/>
                <w:sz w:val="22"/>
              </w:rPr>
            </w:pPr>
            <w:r w:rsidRPr="004C14E7">
              <w:rPr>
                <w:rFonts w:cs="Times New Roman"/>
                <w:b/>
                <w:bCs/>
                <w:sz w:val="22"/>
              </w:rPr>
              <w:t>Resora nosaukums</w:t>
            </w:r>
          </w:p>
        </w:tc>
        <w:tc>
          <w:tcPr>
            <w:tcW w:w="2126" w:type="dxa"/>
            <w:shd w:val="clear" w:color="auto" w:fill="C5E0B3" w:themeFill="accent6" w:themeFillTint="66"/>
            <w:noWrap/>
            <w:hideMark/>
          </w:tcPr>
          <w:p w:rsidR="00CB660D" w:rsidRPr="004C14E7" w:rsidRDefault="00CB660D" w:rsidP="00CB660D">
            <w:pPr>
              <w:jc w:val="center"/>
              <w:rPr>
                <w:rFonts w:cs="Times New Roman"/>
                <w:b/>
                <w:bCs/>
                <w:sz w:val="22"/>
              </w:rPr>
            </w:pPr>
            <w:r w:rsidRPr="004C14E7">
              <w:rPr>
                <w:rFonts w:cs="Times New Roman"/>
                <w:b/>
                <w:bCs/>
                <w:sz w:val="22"/>
              </w:rPr>
              <w:t>2018</w:t>
            </w:r>
          </w:p>
        </w:tc>
        <w:tc>
          <w:tcPr>
            <w:tcW w:w="2127" w:type="dxa"/>
            <w:shd w:val="clear" w:color="auto" w:fill="C5E0B3" w:themeFill="accent6" w:themeFillTint="66"/>
            <w:noWrap/>
            <w:hideMark/>
          </w:tcPr>
          <w:p w:rsidR="00CB660D" w:rsidRPr="004C14E7" w:rsidRDefault="00CB660D" w:rsidP="00CB660D">
            <w:pPr>
              <w:jc w:val="center"/>
              <w:rPr>
                <w:rFonts w:cs="Times New Roman"/>
                <w:b/>
                <w:bCs/>
                <w:sz w:val="22"/>
              </w:rPr>
            </w:pPr>
            <w:r w:rsidRPr="004C14E7">
              <w:rPr>
                <w:rFonts w:cs="Times New Roman"/>
                <w:b/>
                <w:bCs/>
                <w:sz w:val="22"/>
              </w:rPr>
              <w:t>2019</w:t>
            </w:r>
          </w:p>
        </w:tc>
        <w:tc>
          <w:tcPr>
            <w:tcW w:w="2126" w:type="dxa"/>
            <w:shd w:val="clear" w:color="auto" w:fill="C5E0B3" w:themeFill="accent6" w:themeFillTint="66"/>
            <w:noWrap/>
            <w:hideMark/>
          </w:tcPr>
          <w:p w:rsidR="00CB660D" w:rsidRPr="004C14E7" w:rsidRDefault="00CB660D" w:rsidP="00CB660D">
            <w:pPr>
              <w:jc w:val="center"/>
              <w:rPr>
                <w:rFonts w:cs="Times New Roman"/>
                <w:b/>
                <w:bCs/>
                <w:sz w:val="22"/>
              </w:rPr>
            </w:pPr>
            <w:r w:rsidRPr="004C14E7">
              <w:rPr>
                <w:rFonts w:cs="Times New Roman"/>
                <w:b/>
                <w:bCs/>
                <w:sz w:val="22"/>
              </w:rPr>
              <w:t>2020</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SM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81 990 447</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81 990 447</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81 990 447</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IeM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68 479 491</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53 205 801</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50 187 682</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VM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66 942 764</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66 942 764</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66 942 764</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LM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55 863 406</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55 863 406</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55 863 406</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IZM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49 223 701</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49 128 317</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49 128 317</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KM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37 097 831</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27 038 541</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27 038 541</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FM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22 535 176</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13 465 002</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12 319 589</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TM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22 106 177</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22 656 257</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22 656 257</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62.resors</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19 821 733</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19 821 733</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19 821 733</w:t>
            </w:r>
          </w:p>
        </w:tc>
      </w:tr>
      <w:tr w:rsidR="004C14E7" w:rsidRPr="004C14E7" w:rsidTr="0040301F">
        <w:trPr>
          <w:trHeight w:val="227"/>
        </w:trPr>
        <w:tc>
          <w:tcPr>
            <w:tcW w:w="2972" w:type="dxa"/>
            <w:noWrap/>
            <w:hideMark/>
          </w:tcPr>
          <w:p w:rsidR="004C14E7" w:rsidRPr="0040301F" w:rsidRDefault="00945C85" w:rsidP="0040301F">
            <w:pPr>
              <w:jc w:val="center"/>
              <w:rPr>
                <w:rFonts w:cs="Times New Roman"/>
                <w:b/>
                <w:sz w:val="22"/>
              </w:rPr>
            </w:pPr>
            <w:r w:rsidRPr="0040301F">
              <w:rPr>
                <w:rFonts w:cs="Times New Roman"/>
                <w:b/>
                <w:sz w:val="22"/>
              </w:rPr>
              <w:t>VARAM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13 074 490</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11 061 804</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11 012 804</w:t>
            </w:r>
          </w:p>
        </w:tc>
      </w:tr>
      <w:tr w:rsidR="004C14E7" w:rsidRPr="004C14E7" w:rsidTr="0040301F">
        <w:trPr>
          <w:trHeight w:val="227"/>
        </w:trPr>
        <w:tc>
          <w:tcPr>
            <w:tcW w:w="2972" w:type="dxa"/>
            <w:noWrap/>
            <w:hideMark/>
          </w:tcPr>
          <w:p w:rsidR="004C14E7" w:rsidRPr="0040301F" w:rsidRDefault="00CD664F" w:rsidP="0040301F">
            <w:pPr>
              <w:jc w:val="center"/>
              <w:rPr>
                <w:rFonts w:cs="Times New Roman"/>
                <w:b/>
                <w:sz w:val="22"/>
              </w:rPr>
            </w:pPr>
            <w:r w:rsidRPr="0040301F">
              <w:rPr>
                <w:rFonts w:cs="Times New Roman"/>
                <w:b/>
                <w:sz w:val="22"/>
              </w:rPr>
              <w:t>ĀM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5 900 923</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5 750 923</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5 750 923</w:t>
            </w:r>
          </w:p>
        </w:tc>
      </w:tr>
      <w:tr w:rsidR="004C14E7" w:rsidRPr="004C14E7" w:rsidTr="0040301F">
        <w:trPr>
          <w:trHeight w:val="227"/>
        </w:trPr>
        <w:tc>
          <w:tcPr>
            <w:tcW w:w="2972" w:type="dxa"/>
            <w:noWrap/>
            <w:hideMark/>
          </w:tcPr>
          <w:p w:rsidR="004C14E7" w:rsidRPr="0040301F" w:rsidRDefault="00CD664F" w:rsidP="0040301F">
            <w:pPr>
              <w:jc w:val="center"/>
              <w:rPr>
                <w:rFonts w:cs="Times New Roman"/>
                <w:b/>
                <w:sz w:val="22"/>
              </w:rPr>
            </w:pPr>
            <w:r w:rsidRPr="0040301F">
              <w:rPr>
                <w:rFonts w:cs="Times New Roman"/>
                <w:b/>
                <w:sz w:val="22"/>
              </w:rPr>
              <w:t>EM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4 337 098</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4 335 618</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4 525 333</w:t>
            </w:r>
          </w:p>
        </w:tc>
      </w:tr>
      <w:tr w:rsidR="004C14E7" w:rsidRPr="004C14E7" w:rsidTr="0040301F">
        <w:trPr>
          <w:trHeight w:val="227"/>
        </w:trPr>
        <w:tc>
          <w:tcPr>
            <w:tcW w:w="2972" w:type="dxa"/>
            <w:noWrap/>
            <w:hideMark/>
          </w:tcPr>
          <w:p w:rsidR="004C14E7" w:rsidRPr="0040301F" w:rsidRDefault="00CD664F" w:rsidP="0040301F">
            <w:pPr>
              <w:jc w:val="center"/>
              <w:rPr>
                <w:rFonts w:cs="Times New Roman"/>
                <w:b/>
                <w:sz w:val="22"/>
              </w:rPr>
            </w:pPr>
            <w:r w:rsidRPr="0040301F">
              <w:rPr>
                <w:rFonts w:cs="Times New Roman"/>
                <w:b/>
                <w:sz w:val="22"/>
              </w:rPr>
              <w:t>RTV</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3 836 774</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3 299 578</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3 299 578</w:t>
            </w:r>
          </w:p>
        </w:tc>
      </w:tr>
      <w:tr w:rsidR="004C14E7" w:rsidRPr="004C14E7" w:rsidTr="0040301F">
        <w:trPr>
          <w:trHeight w:val="227"/>
        </w:trPr>
        <w:tc>
          <w:tcPr>
            <w:tcW w:w="2972" w:type="dxa"/>
            <w:noWrap/>
            <w:hideMark/>
          </w:tcPr>
          <w:p w:rsidR="004C14E7" w:rsidRPr="0040301F" w:rsidRDefault="00CD664F" w:rsidP="0040301F">
            <w:pPr>
              <w:jc w:val="center"/>
              <w:rPr>
                <w:rFonts w:cs="Times New Roman"/>
                <w:b/>
                <w:sz w:val="22"/>
              </w:rPr>
            </w:pPr>
            <w:r w:rsidRPr="0040301F">
              <w:rPr>
                <w:rFonts w:cs="Times New Roman"/>
                <w:b/>
                <w:sz w:val="22"/>
              </w:rPr>
              <w:t>ZM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2 685 676</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2 685 676</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2 685 676</w:t>
            </w:r>
          </w:p>
        </w:tc>
      </w:tr>
      <w:tr w:rsidR="004C14E7" w:rsidRPr="004C14E7" w:rsidTr="0040301F">
        <w:trPr>
          <w:trHeight w:val="227"/>
        </w:trPr>
        <w:tc>
          <w:tcPr>
            <w:tcW w:w="2972" w:type="dxa"/>
            <w:noWrap/>
            <w:hideMark/>
          </w:tcPr>
          <w:p w:rsidR="004C14E7" w:rsidRPr="0040301F" w:rsidRDefault="004C14E7" w:rsidP="0040301F">
            <w:pPr>
              <w:jc w:val="center"/>
              <w:rPr>
                <w:rFonts w:cs="Times New Roman"/>
                <w:b/>
                <w:sz w:val="22"/>
              </w:rPr>
            </w:pPr>
            <w:r w:rsidRPr="0040301F">
              <w:rPr>
                <w:rFonts w:cs="Times New Roman"/>
                <w:b/>
                <w:sz w:val="22"/>
              </w:rPr>
              <w:t>Prokuratūra</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1 870 178</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1 870 178</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1 870 178</w:t>
            </w:r>
          </w:p>
        </w:tc>
      </w:tr>
      <w:tr w:rsidR="004C14E7" w:rsidRPr="004C14E7" w:rsidTr="0040301F">
        <w:trPr>
          <w:trHeight w:val="227"/>
        </w:trPr>
        <w:tc>
          <w:tcPr>
            <w:tcW w:w="2972" w:type="dxa"/>
            <w:noWrap/>
            <w:hideMark/>
          </w:tcPr>
          <w:p w:rsidR="004C14E7" w:rsidRPr="0040301F" w:rsidRDefault="00CD664F" w:rsidP="0040301F">
            <w:pPr>
              <w:jc w:val="center"/>
              <w:rPr>
                <w:rFonts w:cs="Times New Roman"/>
                <w:b/>
                <w:sz w:val="22"/>
              </w:rPr>
            </w:pPr>
            <w:r w:rsidRPr="0040301F">
              <w:rPr>
                <w:rFonts w:cs="Times New Roman"/>
                <w:b/>
                <w:sz w:val="22"/>
              </w:rPr>
              <w:t>VKo</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1 822 536</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1 822 536</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1 822 536</w:t>
            </w:r>
          </w:p>
        </w:tc>
      </w:tr>
      <w:tr w:rsidR="004C14E7" w:rsidRPr="004C14E7" w:rsidTr="0040301F">
        <w:trPr>
          <w:trHeight w:val="227"/>
        </w:trPr>
        <w:tc>
          <w:tcPr>
            <w:tcW w:w="2972" w:type="dxa"/>
            <w:noWrap/>
            <w:hideMark/>
          </w:tcPr>
          <w:p w:rsidR="004C14E7" w:rsidRPr="0040301F" w:rsidRDefault="00CD664F" w:rsidP="0040301F">
            <w:pPr>
              <w:jc w:val="center"/>
              <w:rPr>
                <w:rFonts w:cs="Times New Roman"/>
                <w:b/>
                <w:sz w:val="22"/>
              </w:rPr>
            </w:pPr>
            <w:r w:rsidRPr="0040301F">
              <w:rPr>
                <w:rFonts w:cs="Times New Roman"/>
                <w:b/>
                <w:sz w:val="22"/>
              </w:rPr>
              <w:t>MK</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708 770</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627 570</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627 570</w:t>
            </w:r>
          </w:p>
        </w:tc>
      </w:tr>
      <w:tr w:rsidR="004C14E7" w:rsidRPr="004C14E7" w:rsidTr="0040301F">
        <w:trPr>
          <w:trHeight w:val="227"/>
        </w:trPr>
        <w:tc>
          <w:tcPr>
            <w:tcW w:w="2972" w:type="dxa"/>
            <w:noWrap/>
            <w:hideMark/>
          </w:tcPr>
          <w:p w:rsidR="004C14E7" w:rsidRPr="0040301F" w:rsidRDefault="00DA3F4B" w:rsidP="0040301F">
            <w:pPr>
              <w:jc w:val="center"/>
              <w:rPr>
                <w:rFonts w:cs="Times New Roman"/>
                <w:b/>
                <w:sz w:val="22"/>
              </w:rPr>
            </w:pPr>
            <w:r w:rsidRPr="0040301F">
              <w:rPr>
                <w:rFonts w:cs="Times New Roman"/>
                <w:b/>
                <w:sz w:val="22"/>
              </w:rPr>
              <w:t>AiM</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648 033</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648 033</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648 033</w:t>
            </w:r>
          </w:p>
        </w:tc>
      </w:tr>
      <w:tr w:rsidR="004C14E7" w:rsidRPr="004C14E7" w:rsidTr="0040301F">
        <w:trPr>
          <w:trHeight w:val="227"/>
        </w:trPr>
        <w:tc>
          <w:tcPr>
            <w:tcW w:w="2972" w:type="dxa"/>
            <w:noWrap/>
            <w:hideMark/>
          </w:tcPr>
          <w:p w:rsidR="004C14E7" w:rsidRPr="0040301F" w:rsidRDefault="00DA3F4B" w:rsidP="0040301F">
            <w:pPr>
              <w:jc w:val="center"/>
              <w:rPr>
                <w:rFonts w:cs="Times New Roman"/>
                <w:b/>
                <w:sz w:val="22"/>
              </w:rPr>
            </w:pPr>
            <w:r w:rsidRPr="0040301F">
              <w:rPr>
                <w:rFonts w:cs="Times New Roman"/>
                <w:b/>
                <w:sz w:val="22"/>
              </w:rPr>
              <w:t>AT</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401 357</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401 357</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401 357</w:t>
            </w:r>
          </w:p>
        </w:tc>
      </w:tr>
      <w:tr w:rsidR="004C14E7" w:rsidRPr="004C14E7" w:rsidTr="0040301F">
        <w:trPr>
          <w:trHeight w:val="227"/>
        </w:trPr>
        <w:tc>
          <w:tcPr>
            <w:tcW w:w="2972" w:type="dxa"/>
            <w:noWrap/>
            <w:hideMark/>
          </w:tcPr>
          <w:p w:rsidR="004C14E7" w:rsidRPr="0040301F" w:rsidRDefault="00DA3F4B" w:rsidP="0040301F">
            <w:pPr>
              <w:jc w:val="center"/>
              <w:rPr>
                <w:rFonts w:cs="Times New Roman"/>
                <w:b/>
                <w:sz w:val="22"/>
              </w:rPr>
            </w:pPr>
            <w:r w:rsidRPr="0040301F">
              <w:rPr>
                <w:rFonts w:cs="Times New Roman"/>
                <w:b/>
                <w:sz w:val="22"/>
              </w:rPr>
              <w:t>KNAB</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196 844</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196 844</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196 844</w:t>
            </w:r>
          </w:p>
        </w:tc>
      </w:tr>
      <w:tr w:rsidR="004C14E7" w:rsidRPr="004C14E7" w:rsidTr="0040301F">
        <w:trPr>
          <w:trHeight w:val="227"/>
        </w:trPr>
        <w:tc>
          <w:tcPr>
            <w:tcW w:w="2972" w:type="dxa"/>
            <w:noWrap/>
            <w:hideMark/>
          </w:tcPr>
          <w:p w:rsidR="004C14E7" w:rsidRPr="0040301F" w:rsidRDefault="00DA3F4B" w:rsidP="0040301F">
            <w:pPr>
              <w:jc w:val="center"/>
              <w:rPr>
                <w:rFonts w:cs="Times New Roman"/>
                <w:b/>
                <w:sz w:val="22"/>
              </w:rPr>
            </w:pPr>
            <w:r w:rsidRPr="0040301F">
              <w:rPr>
                <w:rFonts w:cs="Times New Roman"/>
                <w:b/>
                <w:sz w:val="22"/>
              </w:rPr>
              <w:t>ST</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194 957</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194 957</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194 957</w:t>
            </w:r>
          </w:p>
        </w:tc>
      </w:tr>
      <w:tr w:rsidR="004C14E7" w:rsidRPr="004C14E7" w:rsidTr="0040301F">
        <w:trPr>
          <w:trHeight w:val="227"/>
        </w:trPr>
        <w:tc>
          <w:tcPr>
            <w:tcW w:w="2972" w:type="dxa"/>
            <w:noWrap/>
            <w:hideMark/>
          </w:tcPr>
          <w:p w:rsidR="004C14E7" w:rsidRPr="0040301F" w:rsidRDefault="00DA3F4B" w:rsidP="0040301F">
            <w:pPr>
              <w:jc w:val="center"/>
              <w:rPr>
                <w:rFonts w:cs="Times New Roman"/>
                <w:b/>
                <w:sz w:val="22"/>
              </w:rPr>
            </w:pPr>
            <w:r w:rsidRPr="0040301F">
              <w:rPr>
                <w:rFonts w:cs="Times New Roman"/>
                <w:b/>
                <w:sz w:val="22"/>
              </w:rPr>
              <w:t>TB</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168 965</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168 965</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168 965</w:t>
            </w:r>
          </w:p>
        </w:tc>
      </w:tr>
      <w:tr w:rsidR="004C14E7" w:rsidRPr="004C14E7" w:rsidTr="0040301F">
        <w:trPr>
          <w:trHeight w:val="227"/>
        </w:trPr>
        <w:tc>
          <w:tcPr>
            <w:tcW w:w="2972" w:type="dxa"/>
            <w:noWrap/>
            <w:hideMark/>
          </w:tcPr>
          <w:p w:rsidR="004C14E7" w:rsidRPr="0040301F" w:rsidRDefault="00DA3F4B" w:rsidP="0040301F">
            <w:pPr>
              <w:jc w:val="center"/>
              <w:rPr>
                <w:rFonts w:cs="Times New Roman"/>
                <w:b/>
                <w:sz w:val="22"/>
              </w:rPr>
            </w:pPr>
            <w:r w:rsidRPr="0040301F">
              <w:rPr>
                <w:rFonts w:cs="Times New Roman"/>
                <w:b/>
                <w:sz w:val="22"/>
              </w:rPr>
              <w:t>SIF</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131 443</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539</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539</w:t>
            </w:r>
          </w:p>
        </w:tc>
      </w:tr>
      <w:tr w:rsidR="004C14E7" w:rsidRPr="004C14E7" w:rsidTr="0040301F">
        <w:trPr>
          <w:trHeight w:val="227"/>
        </w:trPr>
        <w:tc>
          <w:tcPr>
            <w:tcW w:w="2972" w:type="dxa"/>
            <w:noWrap/>
            <w:hideMark/>
          </w:tcPr>
          <w:p w:rsidR="004C14E7" w:rsidRPr="0040301F" w:rsidRDefault="00DA3F4B" w:rsidP="0040301F">
            <w:pPr>
              <w:jc w:val="center"/>
              <w:rPr>
                <w:rFonts w:cs="Times New Roman"/>
                <w:b/>
                <w:sz w:val="22"/>
              </w:rPr>
            </w:pPr>
            <w:r w:rsidRPr="0040301F">
              <w:rPr>
                <w:rFonts w:cs="Times New Roman"/>
                <w:b/>
                <w:sz w:val="22"/>
              </w:rPr>
              <w:t>PKC</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76 324</w:t>
            </w:r>
          </w:p>
        </w:tc>
        <w:tc>
          <w:tcPr>
            <w:tcW w:w="2127" w:type="dxa"/>
            <w:noWrap/>
            <w:hideMark/>
          </w:tcPr>
          <w:p w:rsidR="004C14E7" w:rsidRPr="004C14E7" w:rsidRDefault="004C14E7" w:rsidP="004C14E7">
            <w:pPr>
              <w:jc w:val="center"/>
              <w:rPr>
                <w:rFonts w:cs="Times New Roman"/>
                <w:sz w:val="22"/>
              </w:rPr>
            </w:pPr>
            <w:r w:rsidRPr="004C14E7">
              <w:rPr>
                <w:rFonts w:cs="Times New Roman"/>
                <w:sz w:val="22"/>
              </w:rPr>
              <w:t>76 324</w:t>
            </w:r>
          </w:p>
        </w:tc>
        <w:tc>
          <w:tcPr>
            <w:tcW w:w="2126" w:type="dxa"/>
            <w:noWrap/>
            <w:hideMark/>
          </w:tcPr>
          <w:p w:rsidR="004C14E7" w:rsidRPr="004C14E7" w:rsidRDefault="004C14E7" w:rsidP="004C14E7">
            <w:pPr>
              <w:jc w:val="center"/>
              <w:rPr>
                <w:rFonts w:cs="Times New Roman"/>
                <w:sz w:val="22"/>
              </w:rPr>
            </w:pPr>
            <w:r w:rsidRPr="004C14E7">
              <w:rPr>
                <w:rFonts w:cs="Times New Roman"/>
                <w:sz w:val="22"/>
              </w:rPr>
              <w:t>76 324</w:t>
            </w:r>
          </w:p>
        </w:tc>
      </w:tr>
      <w:tr w:rsidR="004C14E7" w:rsidRPr="004C14E7" w:rsidTr="0040301F">
        <w:trPr>
          <w:trHeight w:val="227"/>
        </w:trPr>
        <w:tc>
          <w:tcPr>
            <w:tcW w:w="2972" w:type="dxa"/>
            <w:noWrap/>
          </w:tcPr>
          <w:p w:rsidR="004C14E7" w:rsidRPr="0040301F" w:rsidRDefault="00DA3F4B" w:rsidP="0040301F">
            <w:pPr>
              <w:jc w:val="center"/>
              <w:rPr>
                <w:rFonts w:cs="Times New Roman"/>
                <w:b/>
                <w:sz w:val="22"/>
              </w:rPr>
            </w:pPr>
            <w:r w:rsidRPr="0040301F">
              <w:rPr>
                <w:rFonts w:cs="Times New Roman"/>
                <w:b/>
                <w:sz w:val="22"/>
              </w:rPr>
              <w:t>CVK</w:t>
            </w:r>
          </w:p>
        </w:tc>
        <w:tc>
          <w:tcPr>
            <w:tcW w:w="2126" w:type="dxa"/>
            <w:noWrap/>
          </w:tcPr>
          <w:p w:rsidR="004C14E7" w:rsidRPr="004C14E7" w:rsidRDefault="004C14E7" w:rsidP="004C14E7">
            <w:pPr>
              <w:jc w:val="center"/>
              <w:rPr>
                <w:rFonts w:cs="Times New Roman"/>
                <w:sz w:val="22"/>
              </w:rPr>
            </w:pPr>
            <w:r w:rsidRPr="004C14E7">
              <w:rPr>
                <w:rFonts w:cs="Times New Roman"/>
                <w:sz w:val="22"/>
              </w:rPr>
              <w:t>43 150</w:t>
            </w:r>
          </w:p>
        </w:tc>
        <w:tc>
          <w:tcPr>
            <w:tcW w:w="2127" w:type="dxa"/>
            <w:noWrap/>
          </w:tcPr>
          <w:p w:rsidR="004C14E7" w:rsidRPr="004C14E7" w:rsidRDefault="004C14E7" w:rsidP="004C14E7">
            <w:pPr>
              <w:jc w:val="center"/>
              <w:rPr>
                <w:rFonts w:cs="Times New Roman"/>
                <w:sz w:val="22"/>
              </w:rPr>
            </w:pPr>
            <w:r w:rsidRPr="004C14E7">
              <w:rPr>
                <w:rFonts w:cs="Times New Roman"/>
                <w:sz w:val="22"/>
              </w:rPr>
              <w:t>43 150</w:t>
            </w:r>
          </w:p>
        </w:tc>
        <w:tc>
          <w:tcPr>
            <w:tcW w:w="2126" w:type="dxa"/>
            <w:noWrap/>
          </w:tcPr>
          <w:p w:rsidR="004C14E7" w:rsidRPr="004C14E7" w:rsidRDefault="004C14E7" w:rsidP="004C14E7">
            <w:pPr>
              <w:jc w:val="center"/>
              <w:rPr>
                <w:rFonts w:cs="Times New Roman"/>
                <w:sz w:val="22"/>
              </w:rPr>
            </w:pPr>
            <w:r w:rsidRPr="004C14E7">
              <w:rPr>
                <w:rFonts w:cs="Times New Roman"/>
                <w:sz w:val="22"/>
              </w:rPr>
              <w:t>43 150</w:t>
            </w:r>
          </w:p>
        </w:tc>
      </w:tr>
      <w:tr w:rsidR="004C14E7" w:rsidRPr="004C14E7" w:rsidTr="0040301F">
        <w:trPr>
          <w:trHeight w:val="227"/>
        </w:trPr>
        <w:tc>
          <w:tcPr>
            <w:tcW w:w="2972" w:type="dxa"/>
            <w:noWrap/>
            <w:hideMark/>
          </w:tcPr>
          <w:p w:rsidR="004C14E7" w:rsidRPr="004C14E7" w:rsidRDefault="004C14E7" w:rsidP="004C14E7">
            <w:pPr>
              <w:jc w:val="right"/>
              <w:rPr>
                <w:rFonts w:cs="Times New Roman"/>
                <w:b/>
                <w:bCs/>
                <w:sz w:val="22"/>
              </w:rPr>
            </w:pPr>
            <w:r w:rsidRPr="004C14E7">
              <w:rPr>
                <w:rFonts w:cs="Times New Roman"/>
                <w:b/>
                <w:bCs/>
                <w:sz w:val="22"/>
              </w:rPr>
              <w:t>Kopā:</w:t>
            </w:r>
          </w:p>
        </w:tc>
        <w:tc>
          <w:tcPr>
            <w:tcW w:w="2126" w:type="dxa"/>
            <w:noWrap/>
            <w:hideMark/>
          </w:tcPr>
          <w:p w:rsidR="004C14E7" w:rsidRPr="004C14E7" w:rsidRDefault="004C14E7" w:rsidP="004C14E7">
            <w:pPr>
              <w:jc w:val="center"/>
              <w:rPr>
                <w:rFonts w:cs="Times New Roman"/>
                <w:b/>
                <w:sz w:val="22"/>
              </w:rPr>
            </w:pPr>
            <w:r w:rsidRPr="004C14E7">
              <w:rPr>
                <w:rFonts w:cs="Times New Roman"/>
                <w:b/>
                <w:sz w:val="22"/>
              </w:rPr>
              <w:t>460 158 244</w:t>
            </w:r>
          </w:p>
        </w:tc>
        <w:tc>
          <w:tcPr>
            <w:tcW w:w="2127" w:type="dxa"/>
            <w:noWrap/>
            <w:hideMark/>
          </w:tcPr>
          <w:p w:rsidR="004C14E7" w:rsidRPr="004C14E7" w:rsidRDefault="004C14E7" w:rsidP="004C14E7">
            <w:pPr>
              <w:jc w:val="center"/>
              <w:rPr>
                <w:rFonts w:cs="Times New Roman"/>
                <w:b/>
                <w:sz w:val="22"/>
              </w:rPr>
            </w:pPr>
            <w:r w:rsidRPr="004C14E7">
              <w:rPr>
                <w:rFonts w:cs="Times New Roman"/>
                <w:b/>
                <w:sz w:val="22"/>
              </w:rPr>
              <w:t>423 296 320</w:t>
            </w:r>
          </w:p>
        </w:tc>
        <w:tc>
          <w:tcPr>
            <w:tcW w:w="2126" w:type="dxa"/>
            <w:noWrap/>
            <w:hideMark/>
          </w:tcPr>
          <w:p w:rsidR="004C14E7" w:rsidRPr="004C14E7" w:rsidRDefault="004C14E7" w:rsidP="004C14E7">
            <w:pPr>
              <w:jc w:val="center"/>
              <w:rPr>
                <w:rFonts w:cs="Times New Roman"/>
                <w:b/>
                <w:sz w:val="22"/>
              </w:rPr>
            </w:pPr>
            <w:r w:rsidRPr="004C14E7">
              <w:rPr>
                <w:rFonts w:cs="Times New Roman"/>
                <w:b/>
                <w:sz w:val="22"/>
              </w:rPr>
              <w:t>419 273 503</w:t>
            </w:r>
          </w:p>
        </w:tc>
      </w:tr>
    </w:tbl>
    <w:p w:rsidR="00CB660D" w:rsidRDefault="00CB660D" w:rsidP="006242D6">
      <w:pPr>
        <w:jc w:val="both"/>
      </w:pPr>
    </w:p>
    <w:p w:rsidR="001D5D47" w:rsidRDefault="003A7699" w:rsidP="001D5D47">
      <w:pPr>
        <w:spacing w:after="120"/>
        <w:contextualSpacing/>
        <w:jc w:val="both"/>
      </w:pPr>
      <w:r>
        <w:tab/>
      </w:r>
      <w:r w:rsidR="001D5D47">
        <w:t xml:space="preserve">Prioritāro pasākumu pārskatīšana tika balstīta uz </w:t>
      </w:r>
      <w:r w:rsidR="00810F4D">
        <w:t>šādiem</w:t>
      </w:r>
      <w:r w:rsidR="001D5D47">
        <w:t xml:space="preserve"> galvenajiem kritērijiem:</w:t>
      </w:r>
    </w:p>
    <w:p w:rsidR="001D5D47" w:rsidRDefault="001D5D47" w:rsidP="00810F4D">
      <w:pPr>
        <w:pStyle w:val="ListParagraph"/>
        <w:numPr>
          <w:ilvl w:val="0"/>
          <w:numId w:val="4"/>
        </w:numPr>
        <w:spacing w:after="120"/>
        <w:jc w:val="both"/>
      </w:pPr>
      <w:r>
        <w:t>aktualitāti zaudējušo prioritāro pasākumu identificēšana;</w:t>
      </w:r>
    </w:p>
    <w:p w:rsidR="001D5D47" w:rsidRDefault="001D5D47" w:rsidP="00810F4D">
      <w:pPr>
        <w:pStyle w:val="ListParagraph"/>
        <w:numPr>
          <w:ilvl w:val="0"/>
          <w:numId w:val="4"/>
        </w:numPr>
        <w:spacing w:after="120"/>
        <w:jc w:val="both"/>
      </w:pPr>
      <w:r>
        <w:t>prioritāro pasākumu</w:t>
      </w:r>
      <w:r w:rsidRPr="001D5D47">
        <w:t>, kas nesasniedz gaidīto rezultātu, nav efektīvi</w:t>
      </w:r>
      <w:r w:rsidR="00810F4D">
        <w:t>, pārskatīšana;</w:t>
      </w:r>
    </w:p>
    <w:p w:rsidR="00810F4D" w:rsidRDefault="00810F4D" w:rsidP="00810F4D">
      <w:pPr>
        <w:pStyle w:val="ListParagraph"/>
        <w:numPr>
          <w:ilvl w:val="0"/>
          <w:numId w:val="4"/>
        </w:numPr>
        <w:spacing w:after="120"/>
        <w:jc w:val="both"/>
      </w:pPr>
      <w:r w:rsidRPr="00810F4D">
        <w:t>prioritāro pasākumu ietvaros nepilnīgas finansējuma apguves identificēšana</w:t>
      </w:r>
      <w:r>
        <w:t>.</w:t>
      </w:r>
    </w:p>
    <w:p w:rsidR="002A1AA0" w:rsidRDefault="00786A89" w:rsidP="002044A9">
      <w:pPr>
        <w:spacing w:before="120" w:after="120"/>
        <w:jc w:val="both"/>
        <w:rPr>
          <w:b/>
        </w:rPr>
      </w:pPr>
      <w:r>
        <w:rPr>
          <w:b/>
        </w:rPr>
        <w:t xml:space="preserve">Horizontālais pasākums - </w:t>
      </w:r>
      <w:r w:rsidR="002A1AA0" w:rsidRPr="002A1AA0">
        <w:rPr>
          <w:b/>
        </w:rPr>
        <w:t>Elektrības un komunālo maksājumu sadārdzinājuma kompensēšana</w:t>
      </w:r>
    </w:p>
    <w:p w:rsidR="00126EB8" w:rsidRDefault="00126EB8" w:rsidP="00126EB8">
      <w:pPr>
        <w:spacing w:after="120"/>
        <w:ind w:firstLine="720"/>
        <w:jc w:val="both"/>
        <w:rPr>
          <w:rFonts w:cs="Times New Roman"/>
        </w:rPr>
      </w:pPr>
      <w:r>
        <w:t>MK</w:t>
      </w:r>
      <w:r w:rsidR="00507537">
        <w:t xml:space="preserve"> </w:t>
      </w:r>
      <w:r w:rsidR="00507537" w:rsidRPr="00507537">
        <w:t>2013.gada</w:t>
      </w:r>
      <w:r w:rsidR="00507537">
        <w:t xml:space="preserve"> 30.jūlijā sēdē (prot. Nr.41 87.</w:t>
      </w:r>
      <w:r w:rsidR="00507537">
        <w:rPr>
          <w:rFonts w:cs="Times New Roman"/>
        </w:rPr>
        <w:t>§) tika izskatīts informatīvais ziņojums “</w:t>
      </w:r>
      <w:r w:rsidR="00507537" w:rsidRPr="00507537">
        <w:rPr>
          <w:rFonts w:cs="Times New Roman"/>
        </w:rPr>
        <w:t>Par iespējamiem risinājumiem saistībā ar elektrības un ko</w:t>
      </w:r>
      <w:r w:rsidR="00507537">
        <w:rPr>
          <w:rFonts w:cs="Times New Roman"/>
        </w:rPr>
        <w:t>munālo maksājumu sadārdzinājumu”, kur</w:t>
      </w:r>
      <w:r w:rsidR="00F86C7B">
        <w:rPr>
          <w:rFonts w:cs="Times New Roman"/>
        </w:rPr>
        <w:t>a ietvaros veikts aprēķins par ministrijām nepieciešamo papildu finansējumu elektrības un komunālo maksājumu sadārdzinājuma kompensēšanai</w:t>
      </w:r>
      <w:r>
        <w:rPr>
          <w:rFonts w:cs="Times New Roman"/>
        </w:rPr>
        <w:t>. Atbilstoši MK sēdes protokolam nolemts j</w:t>
      </w:r>
      <w:r w:rsidRPr="00126EB8">
        <w:rPr>
          <w:rFonts w:cs="Times New Roman"/>
        </w:rPr>
        <w:t xml:space="preserve">autājumu par iespējamo elektrības un komunālo maksājumu sadārdzinājuma kompensēšanu izskatīt </w:t>
      </w:r>
      <w:r w:rsidR="004913FD">
        <w:rPr>
          <w:rFonts w:cs="Times New Roman"/>
        </w:rPr>
        <w:t>MK</w:t>
      </w:r>
      <w:r>
        <w:rPr>
          <w:rFonts w:cs="Times New Roman"/>
        </w:rPr>
        <w:t xml:space="preserve"> likumprojekta “Par valsts budžetu 2014.gadam”</w:t>
      </w:r>
      <w:r w:rsidRPr="00126EB8">
        <w:rPr>
          <w:rFonts w:cs="Times New Roman"/>
        </w:rPr>
        <w:t xml:space="preserve"> un lik</w:t>
      </w:r>
      <w:r>
        <w:rPr>
          <w:rFonts w:cs="Times New Roman"/>
        </w:rPr>
        <w:t>umprojekta “</w:t>
      </w:r>
      <w:r w:rsidRPr="00126EB8">
        <w:rPr>
          <w:rFonts w:cs="Times New Roman"/>
        </w:rPr>
        <w:t>Par vidēja termiņa budžeta iet</w:t>
      </w:r>
      <w:r>
        <w:rPr>
          <w:rFonts w:cs="Times New Roman"/>
        </w:rPr>
        <w:t>varu 2014., 2015. un 2016.gadam”</w:t>
      </w:r>
      <w:r w:rsidRPr="00126EB8">
        <w:rPr>
          <w:rFonts w:cs="Times New Roman"/>
        </w:rPr>
        <w:t xml:space="preserve"> sagatavošanas un izskatīšanas procesā kopā ar visu ministriju un centrālo valsts iestāžu priekšlikumiem </w:t>
      </w:r>
      <w:r w:rsidR="00EA0136">
        <w:rPr>
          <w:rFonts w:cs="Times New Roman"/>
        </w:rPr>
        <w:t>JPI</w:t>
      </w:r>
      <w:r w:rsidRPr="00126EB8">
        <w:rPr>
          <w:rFonts w:cs="Times New Roman"/>
        </w:rPr>
        <w:t xml:space="preserve"> un iesniegtajiem papildu finansējuma pieprasījumiem</w:t>
      </w:r>
      <w:r>
        <w:rPr>
          <w:rFonts w:cs="Times New Roman"/>
        </w:rPr>
        <w:t>.</w:t>
      </w:r>
    </w:p>
    <w:p w:rsidR="00126EB8" w:rsidRDefault="004913FD" w:rsidP="00507537">
      <w:pPr>
        <w:ind w:firstLine="720"/>
        <w:jc w:val="both"/>
        <w:rPr>
          <w:rFonts w:cs="Times New Roman"/>
        </w:rPr>
      </w:pPr>
      <w:r>
        <w:rPr>
          <w:rFonts w:cs="Times New Roman"/>
        </w:rPr>
        <w:lastRenderedPageBreak/>
        <w:t xml:space="preserve">Papildu finansējums </w:t>
      </w:r>
      <w:r w:rsidR="00EA0136">
        <w:rPr>
          <w:rFonts w:cs="Times New Roman"/>
        </w:rPr>
        <w:t xml:space="preserve">JPI ietvaros </w:t>
      </w:r>
      <w:r w:rsidR="00126EB8">
        <w:rPr>
          <w:rFonts w:cs="Times New Roman"/>
        </w:rPr>
        <w:t xml:space="preserve">piešķirts </w:t>
      </w:r>
      <w:r w:rsidR="006F1A6F">
        <w:rPr>
          <w:rFonts w:cs="Times New Roman"/>
        </w:rPr>
        <w:t xml:space="preserve">4,6 milj. </w:t>
      </w:r>
      <w:r w:rsidR="006F1A6F" w:rsidRPr="006F1A6F">
        <w:rPr>
          <w:rFonts w:cs="Times New Roman"/>
          <w:i/>
        </w:rPr>
        <w:t>euro</w:t>
      </w:r>
      <w:r w:rsidR="00126EB8" w:rsidRPr="00126EB8">
        <w:rPr>
          <w:rFonts w:cs="Times New Roman"/>
        </w:rPr>
        <w:t xml:space="preserve"> </w:t>
      </w:r>
      <w:r w:rsidR="006F1A6F">
        <w:rPr>
          <w:rFonts w:cs="Times New Roman"/>
        </w:rPr>
        <w:t xml:space="preserve">apmērā 2014. un turpmākajiem gadiem ik gadu sadalījumā pa </w:t>
      </w:r>
      <w:r w:rsidR="00126EB8">
        <w:rPr>
          <w:rFonts w:cs="Times New Roman"/>
        </w:rPr>
        <w:t>š</w:t>
      </w:r>
      <w:r w:rsidR="006F1A6F">
        <w:rPr>
          <w:rFonts w:cs="Times New Roman"/>
        </w:rPr>
        <w:t>ādiem</w:t>
      </w:r>
      <w:r w:rsidR="00126EB8">
        <w:rPr>
          <w:rFonts w:cs="Times New Roman"/>
        </w:rPr>
        <w:t xml:space="preserve"> EKK</w:t>
      </w:r>
      <w:r w:rsidR="00170FC0">
        <w:rPr>
          <w:rFonts w:cs="Times New Roman"/>
        </w:rPr>
        <w:t xml:space="preserve"> (skat. 3.54.attēlu)</w:t>
      </w:r>
      <w:r w:rsidR="00126EB8">
        <w:rPr>
          <w:rFonts w:cs="Times New Roman"/>
        </w:rPr>
        <w:t>:</w:t>
      </w:r>
    </w:p>
    <w:p w:rsidR="00896F18" w:rsidRPr="00896F18" w:rsidRDefault="00126EB8" w:rsidP="00B127E1">
      <w:pPr>
        <w:pStyle w:val="ListParagraph"/>
        <w:numPr>
          <w:ilvl w:val="0"/>
          <w:numId w:val="2"/>
        </w:numPr>
        <w:ind w:left="1276" w:hanging="283"/>
        <w:jc w:val="both"/>
      </w:pPr>
      <w:r w:rsidRPr="00126EB8">
        <w:rPr>
          <w:rFonts w:cs="Times New Roman"/>
        </w:rPr>
        <w:t>22</w:t>
      </w:r>
      <w:r w:rsidR="006F1A6F">
        <w:rPr>
          <w:rFonts w:cs="Times New Roman"/>
        </w:rPr>
        <w:t xml:space="preserve">23 </w:t>
      </w:r>
      <w:r w:rsidR="006F1A6F" w:rsidRPr="006F1A6F">
        <w:rPr>
          <w:rFonts w:cs="Times New Roman"/>
          <w:i/>
        </w:rPr>
        <w:t>Izdevumi par elektroenerģiju</w:t>
      </w:r>
      <w:r w:rsidR="006F1A6F">
        <w:rPr>
          <w:rFonts w:cs="Times New Roman"/>
        </w:rPr>
        <w:t>;</w:t>
      </w:r>
      <w:r w:rsidR="00CE590F" w:rsidRPr="00CE590F">
        <w:rPr>
          <w:rFonts w:cs="Times New Roman"/>
        </w:rPr>
        <w:t xml:space="preserve"> </w:t>
      </w:r>
    </w:p>
    <w:p w:rsidR="00CE590F" w:rsidRPr="006F1A6F" w:rsidRDefault="00CE590F" w:rsidP="00B127E1">
      <w:pPr>
        <w:pStyle w:val="ListParagraph"/>
        <w:numPr>
          <w:ilvl w:val="0"/>
          <w:numId w:val="2"/>
        </w:numPr>
        <w:ind w:left="1276" w:hanging="283"/>
        <w:jc w:val="both"/>
      </w:pPr>
      <w:r>
        <w:rPr>
          <w:rFonts w:cs="Times New Roman"/>
        </w:rPr>
        <w:t xml:space="preserve">2221 </w:t>
      </w:r>
      <w:r w:rsidRPr="006F1A6F">
        <w:rPr>
          <w:rFonts w:cs="Times New Roman"/>
          <w:i/>
        </w:rPr>
        <w:t>Izdevumi par apkuri</w:t>
      </w:r>
      <w:r>
        <w:rPr>
          <w:rFonts w:cs="Times New Roman"/>
        </w:rPr>
        <w:t>;</w:t>
      </w:r>
    </w:p>
    <w:p w:rsidR="006F1A6F" w:rsidRPr="006F1A6F" w:rsidRDefault="00CE590F" w:rsidP="00B127E1">
      <w:pPr>
        <w:pStyle w:val="ListParagraph"/>
        <w:numPr>
          <w:ilvl w:val="0"/>
          <w:numId w:val="2"/>
        </w:numPr>
        <w:ind w:left="1276" w:hanging="283"/>
        <w:jc w:val="both"/>
      </w:pPr>
      <w:r w:rsidRPr="00126EB8">
        <w:rPr>
          <w:rFonts w:cs="Times New Roman"/>
        </w:rPr>
        <w:t xml:space="preserve">2222 </w:t>
      </w:r>
      <w:r w:rsidRPr="006F1A6F">
        <w:rPr>
          <w:rFonts w:cs="Times New Roman"/>
          <w:i/>
        </w:rPr>
        <w:t>Izdevumi par ūdeni un kanalizāciju</w:t>
      </w:r>
      <w:r>
        <w:rPr>
          <w:rFonts w:cs="Times New Roman"/>
        </w:rPr>
        <w:t>;</w:t>
      </w:r>
    </w:p>
    <w:p w:rsidR="002A1AA0" w:rsidRPr="006F1A6F" w:rsidRDefault="00126EB8" w:rsidP="00B127E1">
      <w:pPr>
        <w:pStyle w:val="ListParagraph"/>
        <w:numPr>
          <w:ilvl w:val="0"/>
          <w:numId w:val="2"/>
        </w:numPr>
        <w:ind w:left="1276" w:hanging="283"/>
        <w:jc w:val="both"/>
      </w:pPr>
      <w:r w:rsidRPr="00126EB8">
        <w:rPr>
          <w:rFonts w:cs="Times New Roman"/>
        </w:rPr>
        <w:t xml:space="preserve">2229 </w:t>
      </w:r>
      <w:r w:rsidRPr="006F1A6F">
        <w:rPr>
          <w:rFonts w:cs="Times New Roman"/>
          <w:i/>
        </w:rPr>
        <w:t>Izdevumi par pārējiem komunālajiem pakalpojumiem</w:t>
      </w:r>
      <w:r w:rsidR="006F1A6F">
        <w:rPr>
          <w:rFonts w:cs="Times New Roman"/>
        </w:rPr>
        <w:t>;</w:t>
      </w:r>
    </w:p>
    <w:p w:rsidR="006F1A6F" w:rsidRDefault="006F1A6F" w:rsidP="00B127E1">
      <w:pPr>
        <w:pStyle w:val="ListParagraph"/>
        <w:numPr>
          <w:ilvl w:val="0"/>
          <w:numId w:val="2"/>
        </w:numPr>
        <w:tabs>
          <w:tab w:val="left" w:pos="1276"/>
        </w:tabs>
        <w:ind w:firstLine="273"/>
        <w:jc w:val="both"/>
      </w:pPr>
      <w:r w:rsidRPr="006F1A6F">
        <w:t xml:space="preserve">2244 </w:t>
      </w:r>
      <w:r w:rsidRPr="006F1A6F">
        <w:rPr>
          <w:i/>
        </w:rPr>
        <w:t>Ēku, būvju un telpu uzturēšana</w:t>
      </w:r>
      <w:r>
        <w:t>;</w:t>
      </w:r>
    </w:p>
    <w:p w:rsidR="006F1A6F" w:rsidRDefault="006F1A6F" w:rsidP="00B127E1">
      <w:pPr>
        <w:pStyle w:val="ListParagraph"/>
        <w:numPr>
          <w:ilvl w:val="0"/>
          <w:numId w:val="2"/>
        </w:numPr>
        <w:tabs>
          <w:tab w:val="left" w:pos="1276"/>
        </w:tabs>
        <w:ind w:firstLine="273"/>
        <w:jc w:val="both"/>
      </w:pPr>
      <w:r w:rsidRPr="006F1A6F">
        <w:t xml:space="preserve">2249 </w:t>
      </w:r>
      <w:r w:rsidRPr="006F1A6F">
        <w:rPr>
          <w:i/>
        </w:rPr>
        <w:t>Pārējie remontdarbu un iestāžu uzturēšanas pakalpojumi</w:t>
      </w:r>
      <w:r>
        <w:t>;</w:t>
      </w:r>
    </w:p>
    <w:p w:rsidR="006F1A6F" w:rsidRDefault="006F1A6F" w:rsidP="00B127E1">
      <w:pPr>
        <w:pStyle w:val="ListParagraph"/>
        <w:numPr>
          <w:ilvl w:val="0"/>
          <w:numId w:val="2"/>
        </w:numPr>
        <w:tabs>
          <w:tab w:val="left" w:pos="1276"/>
        </w:tabs>
        <w:ind w:firstLine="273"/>
        <w:jc w:val="both"/>
      </w:pPr>
      <w:r w:rsidRPr="006F1A6F">
        <w:t xml:space="preserve">2261 </w:t>
      </w:r>
      <w:r w:rsidRPr="006F1A6F">
        <w:rPr>
          <w:i/>
        </w:rPr>
        <w:t>Ēku, telpu īre un noma</w:t>
      </w:r>
      <w:r>
        <w:t>;</w:t>
      </w:r>
    </w:p>
    <w:p w:rsidR="00EA0136" w:rsidRDefault="006F1A6F" w:rsidP="003E138A">
      <w:pPr>
        <w:pStyle w:val="ListParagraph"/>
        <w:numPr>
          <w:ilvl w:val="0"/>
          <w:numId w:val="2"/>
        </w:numPr>
        <w:tabs>
          <w:tab w:val="left" w:pos="1276"/>
        </w:tabs>
        <w:spacing w:after="240"/>
        <w:ind w:firstLine="272"/>
        <w:contextualSpacing w:val="0"/>
        <w:jc w:val="both"/>
      </w:pPr>
      <w:r w:rsidRPr="006F1A6F">
        <w:t xml:space="preserve">2321 </w:t>
      </w:r>
      <w:r w:rsidRPr="006F1A6F">
        <w:rPr>
          <w:i/>
        </w:rPr>
        <w:t>Kurināmais</w:t>
      </w:r>
      <w:r>
        <w:t>.</w:t>
      </w:r>
    </w:p>
    <w:p w:rsidR="00EA0136" w:rsidRPr="006F1A6F" w:rsidRDefault="00E51B6A" w:rsidP="00EA0136">
      <w:pPr>
        <w:tabs>
          <w:tab w:val="left" w:pos="1276"/>
        </w:tabs>
        <w:spacing w:after="120"/>
        <w:jc w:val="both"/>
      </w:pPr>
      <w:r>
        <w:rPr>
          <w:noProof/>
          <w:lang w:eastAsia="lv-LV"/>
        </w:rPr>
        <w:drawing>
          <wp:inline distT="0" distB="0" distL="0" distR="0" wp14:anchorId="023F65FA" wp14:editId="131CBE65">
            <wp:extent cx="5939790" cy="3171825"/>
            <wp:effectExtent l="0" t="0" r="381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E51B6A" w:rsidRPr="00A30893" w:rsidRDefault="00170FC0" w:rsidP="003E138A">
      <w:pPr>
        <w:spacing w:before="120" w:after="240"/>
        <w:jc w:val="center"/>
        <w:rPr>
          <w:i/>
          <w:sz w:val="22"/>
        </w:rPr>
      </w:pPr>
      <w:r w:rsidRPr="00170FC0">
        <w:rPr>
          <w:i/>
          <w:sz w:val="22"/>
        </w:rPr>
        <w:t>3.54.</w:t>
      </w:r>
      <w:r w:rsidR="00E51B6A" w:rsidRPr="00170FC0">
        <w:rPr>
          <w:i/>
          <w:sz w:val="22"/>
        </w:rPr>
        <w:t>att</w:t>
      </w:r>
      <w:r w:rsidR="00E51B6A" w:rsidRPr="00170FC0">
        <w:rPr>
          <w:sz w:val="22"/>
        </w:rPr>
        <w:t xml:space="preserve">. </w:t>
      </w:r>
      <w:r w:rsidR="00E51B6A" w:rsidRPr="00170FC0">
        <w:rPr>
          <w:b/>
          <w:sz w:val="22"/>
        </w:rPr>
        <w:t xml:space="preserve">Ministrijām piešķirtā finansējuma JPI – </w:t>
      </w:r>
      <w:r w:rsidR="00E51B6A" w:rsidRPr="00170FC0">
        <w:rPr>
          <w:b/>
          <w:i/>
          <w:sz w:val="22"/>
        </w:rPr>
        <w:t>Elektrības un komunālo maksājumu</w:t>
      </w:r>
      <w:r w:rsidR="00E51B6A" w:rsidRPr="00E65903">
        <w:rPr>
          <w:b/>
          <w:i/>
          <w:sz w:val="22"/>
        </w:rPr>
        <w:t xml:space="preserve"> sadārdzinājuma kompensēšana</w:t>
      </w:r>
      <w:r w:rsidR="00E51B6A" w:rsidRPr="00E65903">
        <w:rPr>
          <w:b/>
          <w:sz w:val="22"/>
        </w:rPr>
        <w:t xml:space="preserve"> </w:t>
      </w:r>
      <w:r w:rsidR="00E51B6A">
        <w:rPr>
          <w:b/>
          <w:sz w:val="22"/>
        </w:rPr>
        <w:t>sadalījums par EKK, %</w:t>
      </w:r>
    </w:p>
    <w:p w:rsidR="00746596" w:rsidRDefault="00BD0445" w:rsidP="00BD0445">
      <w:pPr>
        <w:spacing w:before="120" w:after="120"/>
        <w:ind w:firstLine="709"/>
        <w:jc w:val="both"/>
      </w:pPr>
      <w:r>
        <w:t xml:space="preserve">Izdevumu analīze liecina, ka </w:t>
      </w:r>
      <w:r w:rsidR="00A069DA">
        <w:t>ministriju, kurām</w:t>
      </w:r>
      <w:r w:rsidR="00A069DA" w:rsidRPr="00A069DA">
        <w:t xml:space="preserve"> piešķirts finansējums </w:t>
      </w:r>
      <w:r w:rsidR="00A069DA">
        <w:t>e</w:t>
      </w:r>
      <w:r w:rsidR="00A069DA" w:rsidRPr="00A069DA">
        <w:t>lektrības un komunālo maksājumu sadārdzinājuma kompensēšana</w:t>
      </w:r>
      <w:r w:rsidR="003A0E17">
        <w:t xml:space="preserve">i iepriekš minētajos EKK, </w:t>
      </w:r>
      <w:r w:rsidR="00A069DA">
        <w:t>2014., 2015. un 2016.gada izpilde</w:t>
      </w:r>
      <w:r w:rsidR="00EA0136">
        <w:t xml:space="preserve"> ir būtiski zemāka nekā plāns. </w:t>
      </w:r>
      <w:r w:rsidR="00166F95">
        <w:t>No tā izriet, ka ministrijas</w:t>
      </w:r>
      <w:r w:rsidR="00837A93">
        <w:t>, veicot papildu nepieciešamā finansējuma aprēķinus, ir pārvērtējušas nepieciešamību pēc papildu finansējuma e</w:t>
      </w:r>
      <w:r w:rsidR="00837A93" w:rsidRPr="00837A93">
        <w:t>lektrības un komunālo maksājumu sadārdzinājuma kompensēšana</w:t>
      </w:r>
      <w:r w:rsidR="00837A93">
        <w:t>i. Atbilstoši aktuālajai situācijai n</w:t>
      </w:r>
      <w:r w:rsidR="00A069DA">
        <w:t>epieciešamie izdevumi tiek nodrošināti ar jau bāzē iekļauto finansējumu</w:t>
      </w:r>
      <w:r w:rsidR="00EA0136">
        <w:t xml:space="preserve">, </w:t>
      </w:r>
      <w:r w:rsidR="00EA0136" w:rsidRPr="003A0E17">
        <w:t>neizmantojot papildu piešķirto</w:t>
      </w:r>
      <w:r w:rsidRPr="003A0E17">
        <w:t xml:space="preserve"> finansējumu</w:t>
      </w:r>
      <w:r w:rsidR="00837A93" w:rsidRPr="003A0E17">
        <w:t xml:space="preserve"> </w:t>
      </w:r>
      <w:r w:rsidR="003A0E17">
        <w:t>(skat.</w:t>
      </w:r>
      <w:r w:rsidR="00A069DA" w:rsidRPr="003A0E17">
        <w:t xml:space="preserve"> </w:t>
      </w:r>
      <w:r w:rsidR="003A0E17" w:rsidRPr="003A0E17">
        <w:t>3.55</w:t>
      </w:r>
      <w:r w:rsidR="003A0E17">
        <w:t>.</w:t>
      </w:r>
      <w:r w:rsidR="00A069DA" w:rsidRPr="003A0E17">
        <w:t>attēlu)</w:t>
      </w:r>
      <w:r w:rsidR="00837A93" w:rsidRPr="003A0E17">
        <w:t>.</w:t>
      </w:r>
    </w:p>
    <w:p w:rsidR="00A069DA" w:rsidRDefault="00A069DA" w:rsidP="00A069DA">
      <w:pPr>
        <w:pStyle w:val="ListParagraph"/>
        <w:ind w:left="1069"/>
        <w:jc w:val="both"/>
      </w:pPr>
    </w:p>
    <w:p w:rsidR="002A1AA0" w:rsidRDefault="007B041A" w:rsidP="00E51B6A">
      <w:pPr>
        <w:spacing w:after="120"/>
        <w:rPr>
          <w:highlight w:val="yellow"/>
        </w:rPr>
      </w:pPr>
      <w:r>
        <w:rPr>
          <w:noProof/>
          <w:lang w:eastAsia="lv-LV"/>
        </w:rPr>
        <w:lastRenderedPageBreak/>
        <w:drawing>
          <wp:inline distT="0" distB="0" distL="0" distR="0" wp14:anchorId="7CDBB10B" wp14:editId="7AB5D940">
            <wp:extent cx="5939790" cy="2952750"/>
            <wp:effectExtent l="0" t="0" r="381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2A1AA0" w:rsidRDefault="003A0E17" w:rsidP="003A0E17">
      <w:pPr>
        <w:spacing w:before="120"/>
        <w:jc w:val="center"/>
        <w:rPr>
          <w:i/>
          <w:sz w:val="22"/>
        </w:rPr>
      </w:pPr>
      <w:r w:rsidRPr="003A0E17">
        <w:rPr>
          <w:i/>
          <w:sz w:val="22"/>
        </w:rPr>
        <w:t>3.55</w:t>
      </w:r>
      <w:r w:rsidR="003E138A" w:rsidRPr="003A0E17">
        <w:rPr>
          <w:i/>
          <w:sz w:val="22"/>
        </w:rPr>
        <w:t>.</w:t>
      </w:r>
      <w:r w:rsidR="002A1AA0" w:rsidRPr="003A0E17">
        <w:rPr>
          <w:i/>
          <w:sz w:val="22"/>
        </w:rPr>
        <w:t>att</w:t>
      </w:r>
      <w:r w:rsidR="002A1AA0" w:rsidRPr="003A0E17">
        <w:rPr>
          <w:sz w:val="22"/>
        </w:rPr>
        <w:t xml:space="preserve">. </w:t>
      </w:r>
      <w:r w:rsidR="002A1AA0" w:rsidRPr="003A0E17">
        <w:rPr>
          <w:b/>
          <w:sz w:val="22"/>
        </w:rPr>
        <w:t xml:space="preserve">Ministriju, kurām piešķirts finansējums </w:t>
      </w:r>
      <w:r w:rsidR="00E51B6A" w:rsidRPr="003A0E17">
        <w:rPr>
          <w:b/>
          <w:sz w:val="22"/>
        </w:rPr>
        <w:t>JPI</w:t>
      </w:r>
      <w:r w:rsidR="002A1AA0" w:rsidRPr="003A0E17">
        <w:rPr>
          <w:b/>
          <w:sz w:val="22"/>
        </w:rPr>
        <w:t xml:space="preserve"> – </w:t>
      </w:r>
      <w:r w:rsidR="002A1AA0" w:rsidRPr="003A0E17">
        <w:rPr>
          <w:b/>
          <w:i/>
          <w:sz w:val="22"/>
        </w:rPr>
        <w:t>Elektrības un komunālo maksājumu sadārdzinājuma kompensēšana</w:t>
      </w:r>
      <w:r w:rsidR="002A1AA0" w:rsidRPr="003A0E17">
        <w:rPr>
          <w:b/>
          <w:sz w:val="22"/>
        </w:rPr>
        <w:t>, atbilstošo EKK izdevumu plāns u</w:t>
      </w:r>
      <w:r w:rsidR="003E1C31">
        <w:rPr>
          <w:b/>
          <w:sz w:val="22"/>
        </w:rPr>
        <w:t>n</w:t>
      </w:r>
      <w:r w:rsidR="002A1AA0" w:rsidRPr="003A0E17">
        <w:rPr>
          <w:b/>
          <w:sz w:val="22"/>
        </w:rPr>
        <w:t xml:space="preserve"> izpilde, milj. </w:t>
      </w:r>
      <w:r w:rsidR="002A1AA0" w:rsidRPr="003A0E17">
        <w:rPr>
          <w:b/>
          <w:i/>
          <w:sz w:val="22"/>
        </w:rPr>
        <w:t>euro</w:t>
      </w:r>
    </w:p>
    <w:p w:rsidR="00EA0136" w:rsidRDefault="00EA0136">
      <w:pPr>
        <w:rPr>
          <w:highlight w:val="yellow"/>
        </w:rPr>
      </w:pPr>
    </w:p>
    <w:p w:rsidR="00167B7E" w:rsidRDefault="00BD0445" w:rsidP="00F54B2C">
      <w:pPr>
        <w:ind w:firstLine="709"/>
        <w:jc w:val="both"/>
      </w:pPr>
      <w:r w:rsidRPr="00BD0445">
        <w:t>Ņe</w:t>
      </w:r>
      <w:r w:rsidR="007D4B9F">
        <w:t>mot vērā, ka liela</w:t>
      </w:r>
      <w:r>
        <w:t xml:space="preserve"> JPI finansējuma daļa tika piešķirta </w:t>
      </w:r>
      <w:r w:rsidR="00F54B2C">
        <w:t>izdevumiem par siltumenerģiju, svarīgi aplūk</w:t>
      </w:r>
      <w:r w:rsidR="00167B7E">
        <w:t>ot siltumener</w:t>
      </w:r>
      <w:r w:rsidR="00CA6C79">
        <w:t>ģijas cenu indeksus</w:t>
      </w:r>
      <w:r w:rsidR="007D4B9F">
        <w:t xml:space="preserve"> kopā ar izdevumiem EKK </w:t>
      </w:r>
      <w:r w:rsidR="007D4B9F" w:rsidRPr="007D4B9F">
        <w:t xml:space="preserve">2221 </w:t>
      </w:r>
      <w:r w:rsidR="007D4B9F" w:rsidRPr="007D4B9F">
        <w:rPr>
          <w:i/>
        </w:rPr>
        <w:t>Izdevumi par apkuri</w:t>
      </w:r>
      <w:r w:rsidR="007D4B9F">
        <w:t xml:space="preserve"> visām </w:t>
      </w:r>
      <w:r w:rsidR="007D4B9F" w:rsidRPr="003A0E17">
        <w:t xml:space="preserve">ministrijām </w:t>
      </w:r>
      <w:r w:rsidR="00CA6C79" w:rsidRPr="003A0E17">
        <w:t xml:space="preserve">(skatīt </w:t>
      </w:r>
      <w:r w:rsidR="003A0E17" w:rsidRPr="003A0E17">
        <w:t>3.56.</w:t>
      </w:r>
      <w:r w:rsidR="00CA6C79" w:rsidRPr="003A0E17">
        <w:t>attēlu).</w:t>
      </w:r>
    </w:p>
    <w:p w:rsidR="00CA6C79" w:rsidRDefault="00CA6C79" w:rsidP="00F54B2C">
      <w:pPr>
        <w:ind w:firstLine="709"/>
        <w:jc w:val="both"/>
      </w:pPr>
    </w:p>
    <w:p w:rsidR="00CA6C79" w:rsidRDefault="007D4B9F" w:rsidP="007D4B9F">
      <w:pPr>
        <w:spacing w:after="60"/>
        <w:jc w:val="both"/>
        <w:rPr>
          <w:highlight w:val="yellow"/>
        </w:rPr>
      </w:pPr>
      <w:r>
        <w:rPr>
          <w:noProof/>
          <w:lang w:eastAsia="lv-LV"/>
        </w:rPr>
        <w:drawing>
          <wp:inline distT="0" distB="0" distL="0" distR="0" wp14:anchorId="65662E08" wp14:editId="785BE1BC">
            <wp:extent cx="5939790" cy="2743200"/>
            <wp:effectExtent l="0" t="0" r="381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CA6C79" w:rsidRPr="00CA6C79" w:rsidRDefault="003A0E17" w:rsidP="00840D9F">
      <w:pPr>
        <w:spacing w:before="120"/>
        <w:jc w:val="center"/>
        <w:rPr>
          <w:i/>
          <w:sz w:val="22"/>
        </w:rPr>
      </w:pPr>
      <w:r w:rsidRPr="003A0E17">
        <w:rPr>
          <w:i/>
          <w:sz w:val="22"/>
        </w:rPr>
        <w:t>3.56</w:t>
      </w:r>
      <w:r w:rsidR="00CA6C79" w:rsidRPr="003A0E17">
        <w:rPr>
          <w:i/>
          <w:sz w:val="22"/>
        </w:rPr>
        <w:t>.att</w:t>
      </w:r>
      <w:r w:rsidR="00CA6C79" w:rsidRPr="003A0E17">
        <w:rPr>
          <w:sz w:val="22"/>
        </w:rPr>
        <w:t xml:space="preserve">. </w:t>
      </w:r>
      <w:r w:rsidR="00BA3BB4" w:rsidRPr="003A0E17">
        <w:rPr>
          <w:b/>
          <w:sz w:val="22"/>
        </w:rPr>
        <w:t>S</w:t>
      </w:r>
      <w:r w:rsidR="00CA6C79" w:rsidRPr="003A0E17">
        <w:rPr>
          <w:b/>
          <w:sz w:val="22"/>
        </w:rPr>
        <w:t>iltumenerģijas cenu indeksa izmaiņas pret bāzes 2010.gadu (2010=100)</w:t>
      </w:r>
      <w:r w:rsidR="00BA3BB4" w:rsidRPr="003A0E17">
        <w:rPr>
          <w:b/>
          <w:sz w:val="22"/>
        </w:rPr>
        <w:t xml:space="preserve"> un izdevumi</w:t>
      </w:r>
      <w:r w:rsidR="00BA3BB4">
        <w:rPr>
          <w:b/>
          <w:sz w:val="22"/>
        </w:rPr>
        <w:t xml:space="preserve"> EKK</w:t>
      </w:r>
      <w:r w:rsidR="00CA6C79" w:rsidRPr="00CA6C79">
        <w:rPr>
          <w:sz w:val="22"/>
        </w:rPr>
        <w:t xml:space="preserve"> </w:t>
      </w:r>
      <w:r w:rsidR="00BA3BB4" w:rsidRPr="00BA3BB4">
        <w:rPr>
          <w:b/>
        </w:rPr>
        <w:t xml:space="preserve">2221 </w:t>
      </w:r>
      <w:r w:rsidR="00BA3BB4" w:rsidRPr="00BA3BB4">
        <w:rPr>
          <w:b/>
          <w:i/>
        </w:rPr>
        <w:t>Izdevumi par apkuri</w:t>
      </w:r>
      <w:r w:rsidR="00A861BB">
        <w:rPr>
          <w:b/>
        </w:rPr>
        <w:t xml:space="preserve">, milj. </w:t>
      </w:r>
      <w:r w:rsidR="00A861BB" w:rsidRPr="00A861BB">
        <w:rPr>
          <w:b/>
          <w:i/>
        </w:rPr>
        <w:t>euro</w:t>
      </w:r>
      <w:r w:rsidR="00BA3BB4">
        <w:t xml:space="preserve">  </w:t>
      </w:r>
      <w:r w:rsidR="00840D9F">
        <w:rPr>
          <w:sz w:val="22"/>
        </w:rPr>
        <w:t>(Avots: CSP)</w:t>
      </w:r>
    </w:p>
    <w:p w:rsidR="00DA6A8E" w:rsidRDefault="00CA6C79" w:rsidP="00260DA5">
      <w:pPr>
        <w:spacing w:before="200"/>
        <w:ind w:firstLine="709"/>
        <w:jc w:val="both"/>
      </w:pPr>
      <w:r w:rsidRPr="00CA6C79">
        <w:t xml:space="preserve">Aplūkojot </w:t>
      </w:r>
      <w:r w:rsidR="00A72322">
        <w:t>3.56.</w:t>
      </w:r>
      <w:r w:rsidR="006E5748" w:rsidRPr="00A72322">
        <w:t>attēlu</w:t>
      </w:r>
      <w:r w:rsidRPr="00A72322">
        <w:t>,</w:t>
      </w:r>
      <w:r>
        <w:t xml:space="preserve"> secināms, ka siltumenerģijas cenu indekss pret bāzes 2010.gadu, sākot no 2</w:t>
      </w:r>
      <w:r w:rsidR="00DA6A8E">
        <w:t>012.gadu, ir pakāpeniski samazinājies</w:t>
      </w:r>
      <w:r w:rsidR="00C25BE0">
        <w:t xml:space="preserve">, savukārt izdevumi EKK </w:t>
      </w:r>
      <w:r w:rsidR="00C25BE0" w:rsidRPr="007D4B9F">
        <w:rPr>
          <w:i/>
        </w:rPr>
        <w:t>Izdevumi par apkuri</w:t>
      </w:r>
      <w:r w:rsidR="00C25BE0">
        <w:t xml:space="preserve"> būtiski ir samazinājušies 2014.gadā, saglabājot zemu izdevumu līmeni arī turpmākajos gados. Svarīgi norādīt, ka</w:t>
      </w:r>
      <w:r w:rsidR="004E4FA4">
        <w:t xml:space="preserve"> samazinājusies arī siltumenerģijas vidējā cena gala patērēt</w:t>
      </w:r>
      <w:r w:rsidR="00714B9C">
        <w:t>ājiem, kas saskaņā ar CSP datiem</w:t>
      </w:r>
      <w:r w:rsidR="004E4FA4">
        <w:t xml:space="preserve"> 2015.gadā, salīdzinot ar 2012.gadu, ir samazinājusies par 24%.</w:t>
      </w:r>
      <w:r w:rsidR="00C25BE0">
        <w:t xml:space="preserve"> Pieņemot, ka pašreizējās tendences attiecībā uz siltumenerģiju saglabāsies ar</w:t>
      </w:r>
      <w:r w:rsidR="006E5748">
        <w:t>ī</w:t>
      </w:r>
      <w:r w:rsidR="00C25BE0">
        <w:t xml:space="preserve"> turpmākajos gados, secināms, ka ministrijām nebūs nepieciešams papildu piešķirtais finansējumu, kā ar</w:t>
      </w:r>
      <w:r w:rsidR="00BA3BB4">
        <w:t xml:space="preserve">ī veidosies </w:t>
      </w:r>
      <w:r w:rsidR="00C25BE0">
        <w:t xml:space="preserve">ietaupījums </w:t>
      </w:r>
      <w:r w:rsidR="00BA3BB4">
        <w:t>bāzes izdevumos.</w:t>
      </w:r>
    </w:p>
    <w:p w:rsidR="00A861BB" w:rsidRPr="006E5748" w:rsidRDefault="00CE0613" w:rsidP="006E5748">
      <w:pPr>
        <w:spacing w:before="120" w:after="120"/>
        <w:ind w:firstLine="709"/>
        <w:jc w:val="both"/>
      </w:pPr>
      <w:r>
        <w:lastRenderedPageBreak/>
        <w:t>V</w:t>
      </w:r>
      <w:r w:rsidR="00DA6A8E">
        <w:t xml:space="preserve">ēl viens svarīgs aspekts ir energoefektivitāte. </w:t>
      </w:r>
      <w:r w:rsidR="00E371BE" w:rsidRPr="00840D9F">
        <w:t xml:space="preserve">Kā </w:t>
      </w:r>
      <w:r w:rsidR="00E371BE">
        <w:t xml:space="preserve">redzams </w:t>
      </w:r>
      <w:r w:rsidR="00A72322">
        <w:t>3.57.</w:t>
      </w:r>
      <w:r w:rsidR="00E371BE">
        <w:t>attēlā gan abonentiem piegādātā siltumenerģija, gan elektroenerģijas patēriņš būtiski samazinās</w:t>
      </w:r>
      <w:r w:rsidR="004913FD">
        <w:t>,</w:t>
      </w:r>
      <w:r w:rsidR="00E371BE">
        <w:t xml:space="preserve"> sākot </w:t>
      </w:r>
      <w:r w:rsidR="004913FD">
        <w:t>ar 2013.gadu</w:t>
      </w:r>
      <w:r w:rsidR="00E371BE">
        <w:t xml:space="preserve">. </w:t>
      </w:r>
      <w:r w:rsidR="00DA6A8E">
        <w:t>Attiecībā uz siltumenerģiju siltumenerģijas ražošanas uzņēmumi regulāri veic dažādu</w:t>
      </w:r>
      <w:r w:rsidR="00840D9F">
        <w:t>s</w:t>
      </w:r>
      <w:r w:rsidR="00DA6A8E">
        <w:t xml:space="preserve"> energoefektivitātes paaugstināšanas pasākumus, tostarp modernizējot gan ražošanas iekārtas, gan veicot uzlabojumus siltumapgādes trasēs</w:t>
      </w:r>
      <w:r w:rsidR="00B77E6A">
        <w:t xml:space="preserve">, </w:t>
      </w:r>
      <w:r>
        <w:t>kuru rezultātā</w:t>
      </w:r>
      <w:r w:rsidR="00B77E6A">
        <w:t xml:space="preserve"> </w:t>
      </w:r>
      <w:r>
        <w:t>rodas iespēja samazināt</w:t>
      </w:r>
      <w:r w:rsidR="00B77E6A">
        <w:t xml:space="preserve"> siltumenerģijas tarifus</w:t>
      </w:r>
      <w:r>
        <w:t xml:space="preserve">. Savukārt </w:t>
      </w:r>
      <w:r w:rsidR="00E371BE">
        <w:t>elektroenerģijas patēriņa samazināšanās saistīta</w:t>
      </w:r>
      <w:r>
        <w:t xml:space="preserve"> ar to, ka elektrotehnikas iekārtas kļūst arvien ener</w:t>
      </w:r>
      <w:r w:rsidR="00B06D26">
        <w:t>g</w:t>
      </w:r>
      <w:r>
        <w:t>o</w:t>
      </w:r>
      <w:r w:rsidR="00B06D26">
        <w:t>e</w:t>
      </w:r>
      <w:r>
        <w:t>fektīvākas</w:t>
      </w:r>
      <w:r w:rsidR="00E371BE">
        <w:t>.</w:t>
      </w:r>
      <w:r w:rsidR="006E5748">
        <w:t xml:space="preserve"> </w:t>
      </w:r>
    </w:p>
    <w:p w:rsidR="00B06D26" w:rsidRDefault="00E371BE" w:rsidP="00840D9F">
      <w:pPr>
        <w:spacing w:before="120"/>
        <w:jc w:val="both"/>
      </w:pPr>
      <w:r>
        <w:rPr>
          <w:noProof/>
          <w:lang w:eastAsia="lv-LV"/>
        </w:rPr>
        <w:drawing>
          <wp:inline distT="0" distB="0" distL="0" distR="0" wp14:anchorId="790F798F" wp14:editId="7D76C4A2">
            <wp:extent cx="5934075" cy="2662733"/>
            <wp:effectExtent l="0" t="0" r="9525" b="44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E6335A" w:rsidRPr="006E5748" w:rsidRDefault="00A72322" w:rsidP="006E5748">
      <w:pPr>
        <w:spacing w:before="120"/>
        <w:jc w:val="center"/>
        <w:rPr>
          <w:sz w:val="22"/>
        </w:rPr>
      </w:pPr>
      <w:r w:rsidRPr="00A72322">
        <w:rPr>
          <w:i/>
          <w:sz w:val="22"/>
        </w:rPr>
        <w:t>3.57</w:t>
      </w:r>
      <w:r w:rsidR="00840D9F" w:rsidRPr="00A72322">
        <w:rPr>
          <w:i/>
          <w:sz w:val="22"/>
        </w:rPr>
        <w:t>. att</w:t>
      </w:r>
      <w:r w:rsidR="00840D9F" w:rsidRPr="00A72322">
        <w:rPr>
          <w:sz w:val="22"/>
        </w:rPr>
        <w:t xml:space="preserve">. </w:t>
      </w:r>
      <w:r w:rsidR="00E371BE" w:rsidRPr="00A72322">
        <w:rPr>
          <w:b/>
          <w:sz w:val="22"/>
        </w:rPr>
        <w:t>E</w:t>
      </w:r>
      <w:r w:rsidR="00840D9F" w:rsidRPr="00A72322">
        <w:rPr>
          <w:b/>
          <w:sz w:val="22"/>
        </w:rPr>
        <w:t>le</w:t>
      </w:r>
      <w:r w:rsidR="00E371BE" w:rsidRPr="00A72322">
        <w:rPr>
          <w:b/>
          <w:sz w:val="22"/>
        </w:rPr>
        <w:t>ktroenerģijas</w:t>
      </w:r>
      <w:r w:rsidR="00E371BE">
        <w:rPr>
          <w:b/>
          <w:sz w:val="22"/>
        </w:rPr>
        <w:t xml:space="preserve"> kopējais patēriņš teradžoulos un abonentiem piegādātā siltumenerģija GWh </w:t>
      </w:r>
      <w:r w:rsidR="006E5748">
        <w:rPr>
          <w:sz w:val="22"/>
        </w:rPr>
        <w:t>(Avots: CSP)</w:t>
      </w:r>
    </w:p>
    <w:p w:rsidR="001D789A" w:rsidRPr="00A72322" w:rsidRDefault="00E6335A" w:rsidP="006E5748">
      <w:pPr>
        <w:spacing w:before="240"/>
        <w:ind w:firstLine="720"/>
        <w:jc w:val="both"/>
        <w:rPr>
          <w:szCs w:val="24"/>
        </w:rPr>
      </w:pPr>
      <w:r w:rsidRPr="00E6335A">
        <w:rPr>
          <w:szCs w:val="24"/>
        </w:rPr>
        <w:t xml:space="preserve">Ņemot vērā iepriekš minēto, </w:t>
      </w:r>
      <w:r w:rsidR="00A861BB">
        <w:t xml:space="preserve">kā arī ka </w:t>
      </w:r>
      <w:r w:rsidR="00A861BB" w:rsidRPr="001405C1">
        <w:t xml:space="preserve">no budžeta politikas viedokļa arī valsts pārvaldei ir jānodrošina atbilstība elektroenerģijas patēriņa </w:t>
      </w:r>
      <w:r w:rsidR="00A861BB">
        <w:t xml:space="preserve">un </w:t>
      </w:r>
      <w:r w:rsidR="00A861BB" w:rsidRPr="001405C1">
        <w:t>siltumapgādes izmaksu tendencēm</w:t>
      </w:r>
      <w:r w:rsidR="00A861BB">
        <w:rPr>
          <w:szCs w:val="24"/>
        </w:rPr>
        <w:t xml:space="preserve">, </w:t>
      </w:r>
      <w:r w:rsidRPr="00E6335A">
        <w:rPr>
          <w:szCs w:val="24"/>
        </w:rPr>
        <w:t>JPI piešķirto finansējumu elektrības un komunālo maksājumu sadārdzinājuma kompensēšanai</w:t>
      </w:r>
      <w:r>
        <w:rPr>
          <w:szCs w:val="24"/>
        </w:rPr>
        <w:t xml:space="preserve"> 4,</w:t>
      </w:r>
      <w:r w:rsidR="009069C6">
        <w:rPr>
          <w:szCs w:val="24"/>
        </w:rPr>
        <w:t>6</w:t>
      </w:r>
      <w:r>
        <w:rPr>
          <w:szCs w:val="24"/>
        </w:rPr>
        <w:t xml:space="preserve"> milj. </w:t>
      </w:r>
      <w:r w:rsidRPr="00E6335A">
        <w:rPr>
          <w:i/>
          <w:szCs w:val="24"/>
        </w:rPr>
        <w:t>euro</w:t>
      </w:r>
      <w:r>
        <w:rPr>
          <w:szCs w:val="24"/>
        </w:rPr>
        <w:t xml:space="preserve"> apmērā</w:t>
      </w:r>
      <w:r w:rsidRPr="00E6335A">
        <w:rPr>
          <w:szCs w:val="24"/>
        </w:rPr>
        <w:t xml:space="preserve"> </w:t>
      </w:r>
      <w:r>
        <w:rPr>
          <w:szCs w:val="24"/>
        </w:rPr>
        <w:t xml:space="preserve">2018., 2019. un 2020.gadam ik gadu </w:t>
      </w:r>
      <w:r w:rsidRPr="00E6335A">
        <w:rPr>
          <w:szCs w:val="24"/>
        </w:rPr>
        <w:t>iespējam</w:t>
      </w:r>
      <w:r>
        <w:rPr>
          <w:szCs w:val="24"/>
        </w:rPr>
        <w:t xml:space="preserve">s novirzīt aktuālākām </w:t>
      </w:r>
      <w:r w:rsidR="00A861BB">
        <w:rPr>
          <w:szCs w:val="24"/>
        </w:rPr>
        <w:t xml:space="preserve">valsts </w:t>
      </w:r>
      <w:r w:rsidR="00A861BB" w:rsidRPr="00A72322">
        <w:rPr>
          <w:szCs w:val="24"/>
        </w:rPr>
        <w:t xml:space="preserve">nozīmes </w:t>
      </w:r>
      <w:r w:rsidRPr="00A72322">
        <w:rPr>
          <w:szCs w:val="24"/>
        </w:rPr>
        <w:t>prioritātēm</w:t>
      </w:r>
      <w:r w:rsidR="00274719" w:rsidRPr="00A72322">
        <w:rPr>
          <w:szCs w:val="24"/>
        </w:rPr>
        <w:t xml:space="preserve"> (</w:t>
      </w:r>
      <w:r w:rsidR="00A72322" w:rsidRPr="00A72322">
        <w:rPr>
          <w:szCs w:val="24"/>
        </w:rPr>
        <w:t>skat.</w:t>
      </w:r>
      <w:r w:rsidR="00274719" w:rsidRPr="00A72322">
        <w:rPr>
          <w:szCs w:val="24"/>
        </w:rPr>
        <w:t xml:space="preserve"> tabulu Nr.</w:t>
      </w:r>
      <w:r w:rsidR="00A72322" w:rsidRPr="00A72322">
        <w:rPr>
          <w:szCs w:val="24"/>
        </w:rPr>
        <w:t>3.34</w:t>
      </w:r>
      <w:r w:rsidR="00D86274">
        <w:rPr>
          <w:szCs w:val="24"/>
        </w:rPr>
        <w:t>.</w:t>
      </w:r>
      <w:r w:rsidR="00274719" w:rsidRPr="00A72322">
        <w:rPr>
          <w:szCs w:val="24"/>
        </w:rPr>
        <w:t>)</w:t>
      </w:r>
      <w:r w:rsidRPr="00A72322">
        <w:rPr>
          <w:szCs w:val="24"/>
        </w:rPr>
        <w:t>.</w:t>
      </w:r>
    </w:p>
    <w:p w:rsidR="001D789A" w:rsidRPr="00A72322" w:rsidRDefault="00A72322" w:rsidP="001D789A">
      <w:pPr>
        <w:ind w:firstLine="720"/>
        <w:jc w:val="right"/>
        <w:rPr>
          <w:szCs w:val="24"/>
        </w:rPr>
      </w:pPr>
      <w:r w:rsidRPr="00A72322">
        <w:rPr>
          <w:szCs w:val="24"/>
        </w:rPr>
        <w:t>Tabula Nr.3.34</w:t>
      </w:r>
      <w:r w:rsidR="00D86274">
        <w:rPr>
          <w:szCs w:val="24"/>
        </w:rPr>
        <w:t>.</w:t>
      </w:r>
    </w:p>
    <w:p w:rsidR="001D789A" w:rsidRPr="007E498E" w:rsidRDefault="004913FD" w:rsidP="00260DA5">
      <w:pPr>
        <w:spacing w:before="120" w:after="120"/>
        <w:jc w:val="center"/>
        <w:rPr>
          <w:b/>
          <w:szCs w:val="24"/>
        </w:rPr>
      </w:pPr>
      <w:r w:rsidRPr="00A72322">
        <w:rPr>
          <w:b/>
          <w:szCs w:val="24"/>
        </w:rPr>
        <w:t>Papildu</w:t>
      </w:r>
      <w:r w:rsidR="00704989" w:rsidRPr="00A72322">
        <w:rPr>
          <w:b/>
          <w:szCs w:val="24"/>
        </w:rPr>
        <w:t xml:space="preserve"> piešķirtais un </w:t>
      </w:r>
      <w:r w:rsidR="001D789A" w:rsidRPr="00A72322">
        <w:rPr>
          <w:b/>
          <w:szCs w:val="24"/>
        </w:rPr>
        <w:t xml:space="preserve">prioritātēm </w:t>
      </w:r>
      <w:r w:rsidR="00501247" w:rsidRPr="00A72322">
        <w:rPr>
          <w:b/>
          <w:szCs w:val="24"/>
        </w:rPr>
        <w:t>potenciāli pieejamais</w:t>
      </w:r>
      <w:r w:rsidR="001D789A" w:rsidRPr="00A72322">
        <w:rPr>
          <w:b/>
          <w:szCs w:val="24"/>
        </w:rPr>
        <w:t xml:space="preserve"> finansējums</w:t>
      </w:r>
      <w:r w:rsidR="00704989" w:rsidRPr="00A72322">
        <w:rPr>
          <w:b/>
          <w:szCs w:val="24"/>
        </w:rPr>
        <w:t xml:space="preserve">, </w:t>
      </w:r>
      <w:r w:rsidR="00704989" w:rsidRPr="00A72322">
        <w:rPr>
          <w:b/>
          <w:i/>
          <w:szCs w:val="24"/>
        </w:rPr>
        <w:t>euro</w:t>
      </w:r>
    </w:p>
    <w:tbl>
      <w:tblPr>
        <w:tblStyle w:val="TableGrid"/>
        <w:tblW w:w="0" w:type="auto"/>
        <w:tblLook w:val="04A0" w:firstRow="1" w:lastRow="0" w:firstColumn="1" w:lastColumn="0" w:noHBand="0" w:noVBand="1"/>
      </w:tblPr>
      <w:tblGrid>
        <w:gridCol w:w="2753"/>
        <w:gridCol w:w="3157"/>
        <w:gridCol w:w="3151"/>
      </w:tblGrid>
      <w:tr w:rsidR="007E498E" w:rsidRPr="00A861BB" w:rsidTr="00611CA9">
        <w:trPr>
          <w:tblHeader/>
        </w:trPr>
        <w:tc>
          <w:tcPr>
            <w:tcW w:w="2830" w:type="dxa"/>
            <w:shd w:val="clear" w:color="auto" w:fill="C5E0B3" w:themeFill="accent6" w:themeFillTint="66"/>
            <w:vAlign w:val="center"/>
          </w:tcPr>
          <w:p w:rsidR="007E498E" w:rsidRPr="00A861BB" w:rsidRDefault="00704989" w:rsidP="00704989">
            <w:pPr>
              <w:jc w:val="center"/>
              <w:rPr>
                <w:rFonts w:cs="Times New Roman"/>
                <w:b/>
                <w:sz w:val="22"/>
              </w:rPr>
            </w:pPr>
            <w:r w:rsidRPr="00A861BB">
              <w:rPr>
                <w:rFonts w:cs="Times New Roman"/>
                <w:b/>
                <w:sz w:val="22"/>
              </w:rPr>
              <w:t>Resora nosaukums</w:t>
            </w:r>
          </w:p>
        </w:tc>
        <w:tc>
          <w:tcPr>
            <w:tcW w:w="3261" w:type="dxa"/>
            <w:shd w:val="clear" w:color="auto" w:fill="C5E0B3" w:themeFill="accent6" w:themeFillTint="66"/>
            <w:vAlign w:val="center"/>
          </w:tcPr>
          <w:p w:rsidR="007E498E" w:rsidRPr="00A861BB" w:rsidRDefault="00704989" w:rsidP="00704989">
            <w:pPr>
              <w:jc w:val="center"/>
              <w:rPr>
                <w:rFonts w:cs="Times New Roman"/>
                <w:b/>
                <w:sz w:val="22"/>
              </w:rPr>
            </w:pPr>
            <w:r w:rsidRPr="00A861BB">
              <w:rPr>
                <w:rFonts w:cs="Times New Roman"/>
                <w:b/>
                <w:sz w:val="22"/>
              </w:rPr>
              <w:t>Papildu piešķirtais finansējums</w:t>
            </w:r>
            <w:r w:rsidR="00A861BB" w:rsidRPr="00A861BB">
              <w:rPr>
                <w:rFonts w:cs="Times New Roman"/>
                <w:b/>
                <w:sz w:val="22"/>
              </w:rPr>
              <w:t xml:space="preserve"> no 2014.gada ik gadu</w:t>
            </w:r>
          </w:p>
        </w:tc>
        <w:tc>
          <w:tcPr>
            <w:tcW w:w="3253" w:type="dxa"/>
            <w:shd w:val="clear" w:color="auto" w:fill="C5E0B3" w:themeFill="accent6" w:themeFillTint="66"/>
            <w:vAlign w:val="center"/>
          </w:tcPr>
          <w:p w:rsidR="007E498E" w:rsidRPr="00A861BB" w:rsidRDefault="00704989" w:rsidP="00704989">
            <w:pPr>
              <w:jc w:val="center"/>
              <w:rPr>
                <w:rFonts w:cs="Times New Roman"/>
                <w:b/>
                <w:sz w:val="22"/>
              </w:rPr>
            </w:pPr>
            <w:r w:rsidRPr="00A861BB">
              <w:rPr>
                <w:rFonts w:cs="Times New Roman"/>
                <w:b/>
                <w:sz w:val="22"/>
              </w:rPr>
              <w:t>Aktuālākām prioritātēm novirzāmais finansējums</w:t>
            </w:r>
            <w:r w:rsidR="00A861BB" w:rsidRPr="00A861BB">
              <w:rPr>
                <w:rFonts w:cs="Times New Roman"/>
                <w:b/>
                <w:sz w:val="22"/>
              </w:rPr>
              <w:t xml:space="preserve"> no 2018.gada ik gadu</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IeM</w:t>
            </w:r>
          </w:p>
        </w:tc>
        <w:tc>
          <w:tcPr>
            <w:tcW w:w="3261" w:type="dxa"/>
          </w:tcPr>
          <w:p w:rsidR="00A861BB" w:rsidRPr="00A861BB" w:rsidRDefault="00A861BB" w:rsidP="00611CA9">
            <w:pPr>
              <w:jc w:val="center"/>
              <w:rPr>
                <w:rFonts w:cs="Times New Roman"/>
                <w:sz w:val="22"/>
              </w:rPr>
            </w:pPr>
            <w:r w:rsidRPr="00A861BB">
              <w:rPr>
                <w:rFonts w:cs="Times New Roman"/>
                <w:sz w:val="22"/>
              </w:rPr>
              <w:t>1 022 427</w:t>
            </w:r>
          </w:p>
        </w:tc>
        <w:tc>
          <w:tcPr>
            <w:tcW w:w="3253" w:type="dxa"/>
          </w:tcPr>
          <w:p w:rsidR="00A861BB" w:rsidRPr="00A861BB" w:rsidRDefault="00A861BB" w:rsidP="00611CA9">
            <w:pPr>
              <w:jc w:val="center"/>
              <w:rPr>
                <w:rFonts w:cs="Times New Roman"/>
                <w:sz w:val="22"/>
              </w:rPr>
            </w:pPr>
            <w:r w:rsidRPr="00A861BB">
              <w:rPr>
                <w:rFonts w:cs="Times New Roman"/>
                <w:sz w:val="22"/>
              </w:rPr>
              <w:t>1 022 427</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IZM</w:t>
            </w:r>
          </w:p>
        </w:tc>
        <w:tc>
          <w:tcPr>
            <w:tcW w:w="3261" w:type="dxa"/>
          </w:tcPr>
          <w:p w:rsidR="00A861BB" w:rsidRPr="00A861BB" w:rsidRDefault="00A861BB" w:rsidP="00611CA9">
            <w:pPr>
              <w:jc w:val="center"/>
              <w:rPr>
                <w:rFonts w:cs="Times New Roman"/>
                <w:sz w:val="22"/>
              </w:rPr>
            </w:pPr>
            <w:r w:rsidRPr="00A861BB">
              <w:rPr>
                <w:rFonts w:cs="Times New Roman"/>
                <w:sz w:val="22"/>
              </w:rPr>
              <w:t>664 286</w:t>
            </w:r>
          </w:p>
        </w:tc>
        <w:tc>
          <w:tcPr>
            <w:tcW w:w="3253" w:type="dxa"/>
          </w:tcPr>
          <w:p w:rsidR="00A861BB" w:rsidRPr="00A861BB" w:rsidRDefault="00A861BB" w:rsidP="00611CA9">
            <w:pPr>
              <w:jc w:val="center"/>
              <w:rPr>
                <w:rFonts w:cs="Times New Roman"/>
                <w:sz w:val="22"/>
              </w:rPr>
            </w:pPr>
            <w:r w:rsidRPr="00A861BB">
              <w:rPr>
                <w:rFonts w:cs="Times New Roman"/>
                <w:sz w:val="22"/>
              </w:rPr>
              <w:t>664 286</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AiM</w:t>
            </w:r>
          </w:p>
        </w:tc>
        <w:tc>
          <w:tcPr>
            <w:tcW w:w="3261" w:type="dxa"/>
          </w:tcPr>
          <w:p w:rsidR="00A861BB" w:rsidRPr="00A861BB" w:rsidRDefault="00A861BB" w:rsidP="00611CA9">
            <w:pPr>
              <w:jc w:val="center"/>
              <w:rPr>
                <w:rFonts w:cs="Times New Roman"/>
                <w:sz w:val="22"/>
              </w:rPr>
            </w:pPr>
            <w:r w:rsidRPr="00A861BB">
              <w:rPr>
                <w:rFonts w:cs="Times New Roman"/>
                <w:sz w:val="22"/>
              </w:rPr>
              <w:t>648 033</w:t>
            </w:r>
          </w:p>
        </w:tc>
        <w:tc>
          <w:tcPr>
            <w:tcW w:w="3253" w:type="dxa"/>
          </w:tcPr>
          <w:p w:rsidR="00A861BB" w:rsidRPr="00A861BB" w:rsidRDefault="00A861BB" w:rsidP="00611CA9">
            <w:pPr>
              <w:jc w:val="center"/>
              <w:rPr>
                <w:rFonts w:cs="Times New Roman"/>
                <w:sz w:val="22"/>
              </w:rPr>
            </w:pPr>
            <w:r w:rsidRPr="00A861BB">
              <w:rPr>
                <w:rFonts w:cs="Times New Roman"/>
                <w:sz w:val="22"/>
              </w:rPr>
              <w:t>648 033</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LM</w:t>
            </w:r>
          </w:p>
        </w:tc>
        <w:tc>
          <w:tcPr>
            <w:tcW w:w="3261" w:type="dxa"/>
          </w:tcPr>
          <w:p w:rsidR="00A861BB" w:rsidRPr="00A861BB" w:rsidRDefault="00A861BB" w:rsidP="00611CA9">
            <w:pPr>
              <w:jc w:val="center"/>
              <w:rPr>
                <w:rFonts w:cs="Times New Roman"/>
                <w:sz w:val="22"/>
              </w:rPr>
            </w:pPr>
            <w:r w:rsidRPr="00A861BB">
              <w:rPr>
                <w:rFonts w:cs="Times New Roman"/>
                <w:sz w:val="22"/>
              </w:rPr>
              <w:t>495 555</w:t>
            </w:r>
          </w:p>
        </w:tc>
        <w:tc>
          <w:tcPr>
            <w:tcW w:w="3253" w:type="dxa"/>
          </w:tcPr>
          <w:p w:rsidR="00A861BB" w:rsidRPr="00A861BB" w:rsidRDefault="00A861BB" w:rsidP="00611CA9">
            <w:pPr>
              <w:jc w:val="center"/>
              <w:rPr>
                <w:rFonts w:cs="Times New Roman"/>
                <w:sz w:val="22"/>
              </w:rPr>
            </w:pPr>
            <w:r w:rsidRPr="00A861BB">
              <w:rPr>
                <w:rFonts w:cs="Times New Roman"/>
                <w:sz w:val="22"/>
              </w:rPr>
              <w:t>495 555</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KM</w:t>
            </w:r>
          </w:p>
        </w:tc>
        <w:tc>
          <w:tcPr>
            <w:tcW w:w="3261" w:type="dxa"/>
          </w:tcPr>
          <w:p w:rsidR="00A861BB" w:rsidRPr="00A861BB" w:rsidRDefault="00A861BB" w:rsidP="00611CA9">
            <w:pPr>
              <w:jc w:val="center"/>
              <w:rPr>
                <w:rFonts w:cs="Times New Roman"/>
                <w:sz w:val="22"/>
              </w:rPr>
            </w:pPr>
            <w:r w:rsidRPr="00A861BB">
              <w:rPr>
                <w:rFonts w:cs="Times New Roman"/>
                <w:sz w:val="22"/>
              </w:rPr>
              <w:t>454 768</w:t>
            </w:r>
          </w:p>
        </w:tc>
        <w:tc>
          <w:tcPr>
            <w:tcW w:w="3253" w:type="dxa"/>
          </w:tcPr>
          <w:p w:rsidR="00A861BB" w:rsidRPr="00A861BB" w:rsidRDefault="00A861BB" w:rsidP="00611CA9">
            <w:pPr>
              <w:jc w:val="center"/>
              <w:rPr>
                <w:rFonts w:cs="Times New Roman"/>
                <w:sz w:val="22"/>
              </w:rPr>
            </w:pPr>
            <w:r w:rsidRPr="00A861BB">
              <w:rPr>
                <w:rFonts w:cs="Times New Roman"/>
                <w:sz w:val="22"/>
              </w:rPr>
              <w:t>454 768</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TM</w:t>
            </w:r>
          </w:p>
        </w:tc>
        <w:tc>
          <w:tcPr>
            <w:tcW w:w="3261" w:type="dxa"/>
          </w:tcPr>
          <w:p w:rsidR="00A861BB" w:rsidRPr="00A861BB" w:rsidRDefault="00A861BB" w:rsidP="00611CA9">
            <w:pPr>
              <w:jc w:val="center"/>
              <w:rPr>
                <w:rFonts w:cs="Times New Roman"/>
                <w:sz w:val="22"/>
              </w:rPr>
            </w:pPr>
            <w:r w:rsidRPr="00A861BB">
              <w:rPr>
                <w:rFonts w:cs="Times New Roman"/>
                <w:sz w:val="22"/>
              </w:rPr>
              <w:t>380 203</w:t>
            </w:r>
          </w:p>
        </w:tc>
        <w:tc>
          <w:tcPr>
            <w:tcW w:w="3253" w:type="dxa"/>
          </w:tcPr>
          <w:p w:rsidR="00A861BB" w:rsidRPr="00A861BB" w:rsidRDefault="00A861BB" w:rsidP="00611CA9">
            <w:pPr>
              <w:jc w:val="center"/>
              <w:rPr>
                <w:rFonts w:cs="Times New Roman"/>
                <w:sz w:val="22"/>
              </w:rPr>
            </w:pPr>
            <w:r w:rsidRPr="00A861BB">
              <w:rPr>
                <w:rFonts w:cs="Times New Roman"/>
                <w:sz w:val="22"/>
              </w:rPr>
              <w:t>380 203</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FM</w:t>
            </w:r>
          </w:p>
        </w:tc>
        <w:tc>
          <w:tcPr>
            <w:tcW w:w="3261" w:type="dxa"/>
          </w:tcPr>
          <w:p w:rsidR="00A861BB" w:rsidRPr="00A861BB" w:rsidRDefault="00A861BB" w:rsidP="00611CA9">
            <w:pPr>
              <w:jc w:val="center"/>
              <w:rPr>
                <w:rFonts w:cs="Times New Roman"/>
                <w:sz w:val="22"/>
              </w:rPr>
            </w:pPr>
            <w:r w:rsidRPr="00A861BB">
              <w:rPr>
                <w:rFonts w:cs="Times New Roman"/>
                <w:sz w:val="22"/>
              </w:rPr>
              <w:t>259 001</w:t>
            </w:r>
          </w:p>
        </w:tc>
        <w:tc>
          <w:tcPr>
            <w:tcW w:w="3253" w:type="dxa"/>
          </w:tcPr>
          <w:p w:rsidR="00A861BB" w:rsidRPr="00A861BB" w:rsidRDefault="00A861BB" w:rsidP="00611CA9">
            <w:pPr>
              <w:jc w:val="center"/>
              <w:rPr>
                <w:rFonts w:cs="Times New Roman"/>
                <w:sz w:val="22"/>
              </w:rPr>
            </w:pPr>
            <w:r w:rsidRPr="00A861BB">
              <w:rPr>
                <w:rFonts w:cs="Times New Roman"/>
                <w:sz w:val="22"/>
              </w:rPr>
              <w:t>259 001</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VM</w:t>
            </w:r>
          </w:p>
        </w:tc>
        <w:tc>
          <w:tcPr>
            <w:tcW w:w="3261" w:type="dxa"/>
          </w:tcPr>
          <w:p w:rsidR="00A861BB" w:rsidRPr="00A861BB" w:rsidRDefault="00A861BB" w:rsidP="00611CA9">
            <w:pPr>
              <w:jc w:val="center"/>
              <w:rPr>
                <w:rFonts w:cs="Times New Roman"/>
                <w:sz w:val="22"/>
              </w:rPr>
            </w:pPr>
            <w:r w:rsidRPr="00A861BB">
              <w:rPr>
                <w:rFonts w:cs="Times New Roman"/>
                <w:sz w:val="22"/>
              </w:rPr>
              <w:t>211 846</w:t>
            </w:r>
          </w:p>
        </w:tc>
        <w:tc>
          <w:tcPr>
            <w:tcW w:w="3253" w:type="dxa"/>
          </w:tcPr>
          <w:p w:rsidR="00A861BB" w:rsidRPr="00A861BB" w:rsidRDefault="00A861BB" w:rsidP="00611CA9">
            <w:pPr>
              <w:jc w:val="center"/>
              <w:rPr>
                <w:rFonts w:cs="Times New Roman"/>
                <w:sz w:val="22"/>
              </w:rPr>
            </w:pPr>
            <w:r w:rsidRPr="00A861BB">
              <w:rPr>
                <w:rFonts w:cs="Times New Roman"/>
                <w:sz w:val="22"/>
              </w:rPr>
              <w:t>211 846</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ĀM</w:t>
            </w:r>
          </w:p>
        </w:tc>
        <w:tc>
          <w:tcPr>
            <w:tcW w:w="3261" w:type="dxa"/>
          </w:tcPr>
          <w:p w:rsidR="00A861BB" w:rsidRPr="00A861BB" w:rsidRDefault="00A861BB" w:rsidP="00611CA9">
            <w:pPr>
              <w:jc w:val="center"/>
              <w:rPr>
                <w:rFonts w:cs="Times New Roman"/>
                <w:sz w:val="22"/>
              </w:rPr>
            </w:pPr>
            <w:r w:rsidRPr="00A861BB">
              <w:rPr>
                <w:rFonts w:cs="Times New Roman"/>
                <w:sz w:val="22"/>
              </w:rPr>
              <w:t>101 394</w:t>
            </w:r>
          </w:p>
        </w:tc>
        <w:tc>
          <w:tcPr>
            <w:tcW w:w="3253" w:type="dxa"/>
          </w:tcPr>
          <w:p w:rsidR="00A861BB" w:rsidRPr="00A861BB" w:rsidRDefault="00A861BB" w:rsidP="00611CA9">
            <w:pPr>
              <w:jc w:val="center"/>
              <w:rPr>
                <w:rFonts w:cs="Times New Roman"/>
                <w:sz w:val="22"/>
              </w:rPr>
            </w:pPr>
            <w:r w:rsidRPr="00A861BB">
              <w:rPr>
                <w:rFonts w:cs="Times New Roman"/>
                <w:sz w:val="22"/>
              </w:rPr>
              <w:t>101 394</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EM</w:t>
            </w:r>
          </w:p>
        </w:tc>
        <w:tc>
          <w:tcPr>
            <w:tcW w:w="3261" w:type="dxa"/>
          </w:tcPr>
          <w:p w:rsidR="00A861BB" w:rsidRPr="00A861BB" w:rsidRDefault="00A861BB" w:rsidP="00611CA9">
            <w:pPr>
              <w:jc w:val="center"/>
              <w:rPr>
                <w:rFonts w:cs="Times New Roman"/>
                <w:sz w:val="22"/>
              </w:rPr>
            </w:pPr>
            <w:r w:rsidRPr="00A861BB">
              <w:rPr>
                <w:rFonts w:cs="Times New Roman"/>
                <w:sz w:val="22"/>
              </w:rPr>
              <w:t>93 345</w:t>
            </w:r>
          </w:p>
        </w:tc>
        <w:tc>
          <w:tcPr>
            <w:tcW w:w="3253" w:type="dxa"/>
          </w:tcPr>
          <w:p w:rsidR="00A861BB" w:rsidRPr="00A861BB" w:rsidRDefault="00A861BB" w:rsidP="00611CA9">
            <w:pPr>
              <w:jc w:val="center"/>
              <w:rPr>
                <w:rFonts w:cs="Times New Roman"/>
                <w:sz w:val="22"/>
              </w:rPr>
            </w:pPr>
            <w:r w:rsidRPr="00A861BB">
              <w:rPr>
                <w:rFonts w:cs="Times New Roman"/>
                <w:sz w:val="22"/>
              </w:rPr>
              <w:t>93 345</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ZM</w:t>
            </w:r>
          </w:p>
        </w:tc>
        <w:tc>
          <w:tcPr>
            <w:tcW w:w="3261" w:type="dxa"/>
          </w:tcPr>
          <w:p w:rsidR="00A861BB" w:rsidRPr="00A861BB" w:rsidRDefault="00A861BB" w:rsidP="00611CA9">
            <w:pPr>
              <w:jc w:val="center"/>
              <w:rPr>
                <w:rFonts w:cs="Times New Roman"/>
                <w:sz w:val="22"/>
              </w:rPr>
            </w:pPr>
            <w:r w:rsidRPr="00A861BB">
              <w:rPr>
                <w:rFonts w:cs="Times New Roman"/>
                <w:sz w:val="22"/>
              </w:rPr>
              <w:t>75 351</w:t>
            </w:r>
          </w:p>
        </w:tc>
        <w:tc>
          <w:tcPr>
            <w:tcW w:w="3253" w:type="dxa"/>
          </w:tcPr>
          <w:p w:rsidR="00A861BB" w:rsidRPr="00A861BB" w:rsidRDefault="00A861BB" w:rsidP="00611CA9">
            <w:pPr>
              <w:jc w:val="center"/>
              <w:rPr>
                <w:rFonts w:cs="Times New Roman"/>
                <w:sz w:val="22"/>
              </w:rPr>
            </w:pPr>
            <w:r w:rsidRPr="00A861BB">
              <w:rPr>
                <w:rFonts w:cs="Times New Roman"/>
                <w:sz w:val="22"/>
              </w:rPr>
              <w:t>75 351</w:t>
            </w:r>
          </w:p>
        </w:tc>
      </w:tr>
      <w:tr w:rsidR="00A861BB" w:rsidRPr="00A861BB" w:rsidTr="00611CA9">
        <w:trPr>
          <w:trHeight w:val="264"/>
        </w:trPr>
        <w:tc>
          <w:tcPr>
            <w:tcW w:w="2830" w:type="dxa"/>
          </w:tcPr>
          <w:p w:rsidR="00A861BB" w:rsidRPr="000E0B01" w:rsidRDefault="00A861BB" w:rsidP="00611CA9">
            <w:pPr>
              <w:jc w:val="center"/>
              <w:rPr>
                <w:rFonts w:cs="Times New Roman"/>
                <w:b/>
                <w:sz w:val="22"/>
              </w:rPr>
            </w:pPr>
            <w:r w:rsidRPr="000E0B01">
              <w:rPr>
                <w:rFonts w:cs="Times New Roman"/>
                <w:b/>
                <w:sz w:val="22"/>
              </w:rPr>
              <w:t>VARAM</w:t>
            </w:r>
          </w:p>
        </w:tc>
        <w:tc>
          <w:tcPr>
            <w:tcW w:w="3261" w:type="dxa"/>
          </w:tcPr>
          <w:p w:rsidR="00A861BB" w:rsidRPr="00A861BB" w:rsidRDefault="00A861BB" w:rsidP="00611CA9">
            <w:pPr>
              <w:jc w:val="center"/>
              <w:rPr>
                <w:rFonts w:cs="Times New Roman"/>
                <w:sz w:val="22"/>
              </w:rPr>
            </w:pPr>
            <w:r w:rsidRPr="00A861BB">
              <w:rPr>
                <w:rFonts w:cs="Times New Roman"/>
                <w:sz w:val="22"/>
              </w:rPr>
              <w:t>70 276</w:t>
            </w:r>
          </w:p>
        </w:tc>
        <w:tc>
          <w:tcPr>
            <w:tcW w:w="3253" w:type="dxa"/>
          </w:tcPr>
          <w:p w:rsidR="00A861BB" w:rsidRPr="00A861BB" w:rsidRDefault="00A861BB" w:rsidP="00611CA9">
            <w:pPr>
              <w:jc w:val="center"/>
              <w:rPr>
                <w:rFonts w:cs="Times New Roman"/>
                <w:sz w:val="22"/>
              </w:rPr>
            </w:pPr>
            <w:r w:rsidRPr="00A861BB">
              <w:rPr>
                <w:rFonts w:cs="Times New Roman"/>
                <w:sz w:val="22"/>
              </w:rPr>
              <w:t>70 276</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SM</w:t>
            </w:r>
          </w:p>
        </w:tc>
        <w:tc>
          <w:tcPr>
            <w:tcW w:w="3261" w:type="dxa"/>
          </w:tcPr>
          <w:p w:rsidR="00A861BB" w:rsidRPr="00A861BB" w:rsidRDefault="00A861BB" w:rsidP="00611CA9">
            <w:pPr>
              <w:jc w:val="center"/>
              <w:rPr>
                <w:rFonts w:cs="Times New Roman"/>
                <w:sz w:val="22"/>
              </w:rPr>
            </w:pPr>
            <w:r w:rsidRPr="00A861BB">
              <w:rPr>
                <w:rFonts w:cs="Times New Roman"/>
                <w:sz w:val="22"/>
              </w:rPr>
              <w:t>60 082</w:t>
            </w:r>
          </w:p>
        </w:tc>
        <w:tc>
          <w:tcPr>
            <w:tcW w:w="3253" w:type="dxa"/>
          </w:tcPr>
          <w:p w:rsidR="00A861BB" w:rsidRPr="00A861BB" w:rsidRDefault="00A861BB" w:rsidP="00611CA9">
            <w:pPr>
              <w:jc w:val="center"/>
              <w:rPr>
                <w:rFonts w:cs="Times New Roman"/>
                <w:sz w:val="22"/>
              </w:rPr>
            </w:pPr>
            <w:r w:rsidRPr="00A861BB">
              <w:rPr>
                <w:rFonts w:cs="Times New Roman"/>
                <w:sz w:val="22"/>
              </w:rPr>
              <w:t>60 082</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MK</w:t>
            </w:r>
          </w:p>
        </w:tc>
        <w:tc>
          <w:tcPr>
            <w:tcW w:w="3261" w:type="dxa"/>
          </w:tcPr>
          <w:p w:rsidR="00A861BB" w:rsidRPr="00A861BB" w:rsidRDefault="00A861BB" w:rsidP="00611CA9">
            <w:pPr>
              <w:jc w:val="center"/>
              <w:rPr>
                <w:rFonts w:cs="Times New Roman"/>
                <w:sz w:val="22"/>
              </w:rPr>
            </w:pPr>
            <w:r w:rsidRPr="00A861BB">
              <w:rPr>
                <w:rFonts w:cs="Times New Roman"/>
                <w:sz w:val="22"/>
              </w:rPr>
              <w:t>50 353</w:t>
            </w:r>
          </w:p>
        </w:tc>
        <w:tc>
          <w:tcPr>
            <w:tcW w:w="3253" w:type="dxa"/>
          </w:tcPr>
          <w:p w:rsidR="00A861BB" w:rsidRPr="00A861BB" w:rsidRDefault="00A861BB" w:rsidP="00611CA9">
            <w:pPr>
              <w:jc w:val="center"/>
              <w:rPr>
                <w:rFonts w:cs="Times New Roman"/>
                <w:sz w:val="22"/>
              </w:rPr>
            </w:pPr>
            <w:r w:rsidRPr="00A861BB">
              <w:rPr>
                <w:rFonts w:cs="Times New Roman"/>
                <w:sz w:val="22"/>
              </w:rPr>
              <w:t>50 353</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Prokuratūra</w:t>
            </w:r>
          </w:p>
        </w:tc>
        <w:tc>
          <w:tcPr>
            <w:tcW w:w="3261" w:type="dxa"/>
          </w:tcPr>
          <w:p w:rsidR="00A861BB" w:rsidRPr="00A861BB" w:rsidRDefault="00A861BB" w:rsidP="00611CA9">
            <w:pPr>
              <w:jc w:val="center"/>
              <w:rPr>
                <w:rFonts w:cs="Times New Roman"/>
                <w:sz w:val="22"/>
              </w:rPr>
            </w:pPr>
            <w:r w:rsidRPr="00A861BB">
              <w:rPr>
                <w:rFonts w:cs="Times New Roman"/>
                <w:sz w:val="22"/>
              </w:rPr>
              <w:t>45 735</w:t>
            </w:r>
          </w:p>
        </w:tc>
        <w:tc>
          <w:tcPr>
            <w:tcW w:w="3253" w:type="dxa"/>
          </w:tcPr>
          <w:p w:rsidR="00A861BB" w:rsidRPr="00A861BB" w:rsidRDefault="00A861BB" w:rsidP="00611CA9">
            <w:pPr>
              <w:jc w:val="center"/>
              <w:rPr>
                <w:rFonts w:cs="Times New Roman"/>
                <w:sz w:val="22"/>
              </w:rPr>
            </w:pPr>
            <w:r w:rsidRPr="00A861BB">
              <w:rPr>
                <w:rFonts w:cs="Times New Roman"/>
                <w:sz w:val="22"/>
              </w:rPr>
              <w:t>45 735</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lastRenderedPageBreak/>
              <w:t>TB</w:t>
            </w:r>
          </w:p>
        </w:tc>
        <w:tc>
          <w:tcPr>
            <w:tcW w:w="3261" w:type="dxa"/>
          </w:tcPr>
          <w:p w:rsidR="00A861BB" w:rsidRPr="00A861BB" w:rsidRDefault="00A861BB" w:rsidP="00611CA9">
            <w:pPr>
              <w:jc w:val="center"/>
              <w:rPr>
                <w:rFonts w:cs="Times New Roman"/>
                <w:sz w:val="22"/>
              </w:rPr>
            </w:pPr>
            <w:r w:rsidRPr="00A861BB">
              <w:rPr>
                <w:rFonts w:cs="Times New Roman"/>
                <w:sz w:val="22"/>
              </w:rPr>
              <w:t>4 778</w:t>
            </w:r>
          </w:p>
        </w:tc>
        <w:tc>
          <w:tcPr>
            <w:tcW w:w="3253" w:type="dxa"/>
          </w:tcPr>
          <w:p w:rsidR="00A861BB" w:rsidRPr="00A861BB" w:rsidRDefault="00A861BB" w:rsidP="00611CA9">
            <w:pPr>
              <w:jc w:val="center"/>
              <w:rPr>
                <w:rFonts w:cs="Times New Roman"/>
                <w:sz w:val="22"/>
              </w:rPr>
            </w:pPr>
            <w:r w:rsidRPr="00A861BB">
              <w:rPr>
                <w:rFonts w:cs="Times New Roman"/>
                <w:sz w:val="22"/>
              </w:rPr>
              <w:t>4 778</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KNAB</w:t>
            </w:r>
          </w:p>
        </w:tc>
        <w:tc>
          <w:tcPr>
            <w:tcW w:w="3261" w:type="dxa"/>
          </w:tcPr>
          <w:p w:rsidR="00A861BB" w:rsidRPr="00A861BB" w:rsidRDefault="00A861BB" w:rsidP="00611CA9">
            <w:pPr>
              <w:jc w:val="center"/>
              <w:rPr>
                <w:rFonts w:cs="Times New Roman"/>
                <w:sz w:val="22"/>
              </w:rPr>
            </w:pPr>
            <w:r w:rsidRPr="00A861BB">
              <w:rPr>
                <w:rFonts w:cs="Times New Roman"/>
                <w:sz w:val="22"/>
              </w:rPr>
              <w:t>4 747</w:t>
            </w:r>
          </w:p>
        </w:tc>
        <w:tc>
          <w:tcPr>
            <w:tcW w:w="3253" w:type="dxa"/>
          </w:tcPr>
          <w:p w:rsidR="00A861BB" w:rsidRPr="00A861BB" w:rsidRDefault="00A861BB" w:rsidP="00611CA9">
            <w:pPr>
              <w:jc w:val="center"/>
              <w:rPr>
                <w:rFonts w:cs="Times New Roman"/>
                <w:sz w:val="22"/>
              </w:rPr>
            </w:pPr>
            <w:r w:rsidRPr="00A861BB">
              <w:rPr>
                <w:rFonts w:cs="Times New Roman"/>
                <w:sz w:val="22"/>
              </w:rPr>
              <w:t>4 747</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ST</w:t>
            </w:r>
          </w:p>
        </w:tc>
        <w:tc>
          <w:tcPr>
            <w:tcW w:w="3261" w:type="dxa"/>
          </w:tcPr>
          <w:p w:rsidR="00A861BB" w:rsidRPr="00A861BB" w:rsidRDefault="00A861BB" w:rsidP="00611CA9">
            <w:pPr>
              <w:jc w:val="center"/>
              <w:rPr>
                <w:rFonts w:cs="Times New Roman"/>
                <w:sz w:val="22"/>
              </w:rPr>
            </w:pPr>
            <w:r w:rsidRPr="00A861BB">
              <w:rPr>
                <w:rFonts w:cs="Times New Roman"/>
                <w:sz w:val="22"/>
              </w:rPr>
              <w:t>2 378</w:t>
            </w:r>
          </w:p>
        </w:tc>
        <w:tc>
          <w:tcPr>
            <w:tcW w:w="3253" w:type="dxa"/>
          </w:tcPr>
          <w:p w:rsidR="00A861BB" w:rsidRPr="00A861BB" w:rsidRDefault="00A861BB" w:rsidP="00611CA9">
            <w:pPr>
              <w:jc w:val="center"/>
              <w:rPr>
                <w:rFonts w:cs="Times New Roman"/>
                <w:sz w:val="22"/>
              </w:rPr>
            </w:pPr>
            <w:r w:rsidRPr="00A861BB">
              <w:rPr>
                <w:rFonts w:cs="Times New Roman"/>
                <w:sz w:val="22"/>
              </w:rPr>
              <w:t>2 378</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CVK</w:t>
            </w:r>
          </w:p>
        </w:tc>
        <w:tc>
          <w:tcPr>
            <w:tcW w:w="3261" w:type="dxa"/>
          </w:tcPr>
          <w:p w:rsidR="00A861BB" w:rsidRPr="00A861BB" w:rsidRDefault="00A861BB" w:rsidP="00611CA9">
            <w:pPr>
              <w:jc w:val="center"/>
              <w:rPr>
                <w:rFonts w:cs="Times New Roman"/>
                <w:sz w:val="22"/>
              </w:rPr>
            </w:pPr>
            <w:r w:rsidRPr="00A861BB">
              <w:rPr>
                <w:rFonts w:cs="Times New Roman"/>
                <w:sz w:val="22"/>
              </w:rPr>
              <w:t>1 345</w:t>
            </w:r>
          </w:p>
        </w:tc>
        <w:tc>
          <w:tcPr>
            <w:tcW w:w="3253" w:type="dxa"/>
          </w:tcPr>
          <w:p w:rsidR="00A861BB" w:rsidRPr="00A861BB" w:rsidRDefault="00A861BB" w:rsidP="00611CA9">
            <w:pPr>
              <w:jc w:val="center"/>
              <w:rPr>
                <w:rFonts w:cs="Times New Roman"/>
                <w:sz w:val="22"/>
              </w:rPr>
            </w:pPr>
            <w:r w:rsidRPr="00A861BB">
              <w:rPr>
                <w:rFonts w:cs="Times New Roman"/>
                <w:sz w:val="22"/>
              </w:rPr>
              <w:t>1 345</w:t>
            </w:r>
          </w:p>
        </w:tc>
      </w:tr>
      <w:tr w:rsidR="00A861BB" w:rsidRPr="00A861BB" w:rsidTr="00611CA9">
        <w:tc>
          <w:tcPr>
            <w:tcW w:w="2830" w:type="dxa"/>
          </w:tcPr>
          <w:p w:rsidR="00A861BB" w:rsidRPr="000E0B01" w:rsidRDefault="00A861BB" w:rsidP="00611CA9">
            <w:pPr>
              <w:jc w:val="center"/>
              <w:rPr>
                <w:rFonts w:cs="Times New Roman"/>
                <w:b/>
                <w:sz w:val="22"/>
              </w:rPr>
            </w:pPr>
            <w:r w:rsidRPr="000E0B01">
              <w:rPr>
                <w:rFonts w:cs="Times New Roman"/>
                <w:b/>
                <w:sz w:val="22"/>
              </w:rPr>
              <w:t>SIF</w:t>
            </w:r>
          </w:p>
        </w:tc>
        <w:tc>
          <w:tcPr>
            <w:tcW w:w="3261" w:type="dxa"/>
          </w:tcPr>
          <w:p w:rsidR="00A861BB" w:rsidRPr="00A861BB" w:rsidRDefault="00A861BB" w:rsidP="00611CA9">
            <w:pPr>
              <w:jc w:val="center"/>
              <w:rPr>
                <w:rFonts w:cs="Times New Roman"/>
                <w:sz w:val="22"/>
              </w:rPr>
            </w:pPr>
            <w:r w:rsidRPr="00A861BB">
              <w:rPr>
                <w:rFonts w:cs="Times New Roman"/>
                <w:sz w:val="22"/>
              </w:rPr>
              <w:t>539</w:t>
            </w:r>
          </w:p>
        </w:tc>
        <w:tc>
          <w:tcPr>
            <w:tcW w:w="3253" w:type="dxa"/>
          </w:tcPr>
          <w:p w:rsidR="00A861BB" w:rsidRPr="00A861BB" w:rsidRDefault="00A861BB" w:rsidP="00611CA9">
            <w:pPr>
              <w:jc w:val="center"/>
              <w:rPr>
                <w:rFonts w:cs="Times New Roman"/>
                <w:sz w:val="22"/>
              </w:rPr>
            </w:pPr>
            <w:r w:rsidRPr="00A861BB">
              <w:rPr>
                <w:rFonts w:cs="Times New Roman"/>
                <w:sz w:val="22"/>
              </w:rPr>
              <w:t>539</w:t>
            </w:r>
          </w:p>
        </w:tc>
      </w:tr>
      <w:tr w:rsidR="00611CA9" w:rsidRPr="00A861BB" w:rsidTr="00611CA9">
        <w:tc>
          <w:tcPr>
            <w:tcW w:w="2830" w:type="dxa"/>
          </w:tcPr>
          <w:p w:rsidR="00611CA9" w:rsidRPr="00A861BB" w:rsidRDefault="00611CA9" w:rsidP="00611CA9">
            <w:pPr>
              <w:jc w:val="right"/>
              <w:rPr>
                <w:rFonts w:cs="Times New Roman"/>
                <w:b/>
                <w:sz w:val="22"/>
              </w:rPr>
            </w:pPr>
            <w:r w:rsidRPr="00A861BB">
              <w:rPr>
                <w:rFonts w:cs="Times New Roman"/>
                <w:b/>
                <w:sz w:val="22"/>
              </w:rPr>
              <w:t>Kopā:</w:t>
            </w:r>
          </w:p>
        </w:tc>
        <w:tc>
          <w:tcPr>
            <w:tcW w:w="3261" w:type="dxa"/>
            <w:vAlign w:val="center"/>
          </w:tcPr>
          <w:p w:rsidR="00611CA9" w:rsidRPr="00611CA9" w:rsidRDefault="00611CA9" w:rsidP="00611CA9">
            <w:pPr>
              <w:jc w:val="center"/>
              <w:rPr>
                <w:b/>
                <w:sz w:val="22"/>
              </w:rPr>
            </w:pPr>
            <w:r w:rsidRPr="00611CA9">
              <w:rPr>
                <w:b/>
                <w:sz w:val="22"/>
              </w:rPr>
              <w:t>4 646 442</w:t>
            </w:r>
          </w:p>
        </w:tc>
        <w:tc>
          <w:tcPr>
            <w:tcW w:w="3253" w:type="dxa"/>
            <w:vAlign w:val="center"/>
          </w:tcPr>
          <w:p w:rsidR="00611CA9" w:rsidRPr="00611CA9" w:rsidRDefault="00611CA9" w:rsidP="00611CA9">
            <w:pPr>
              <w:jc w:val="center"/>
              <w:rPr>
                <w:b/>
                <w:sz w:val="22"/>
              </w:rPr>
            </w:pPr>
            <w:r w:rsidRPr="00611CA9">
              <w:rPr>
                <w:b/>
                <w:sz w:val="22"/>
              </w:rPr>
              <w:t>4 646 442</w:t>
            </w:r>
          </w:p>
        </w:tc>
      </w:tr>
    </w:tbl>
    <w:p w:rsidR="00386FBB" w:rsidRDefault="00F208B8" w:rsidP="00F208B8">
      <w:pPr>
        <w:spacing w:before="120" w:after="120"/>
        <w:ind w:firstLine="720"/>
        <w:jc w:val="both"/>
        <w:rPr>
          <w:szCs w:val="24"/>
        </w:rPr>
      </w:pPr>
      <w:r>
        <w:rPr>
          <w:rFonts w:cs="Times New Roman"/>
          <w:szCs w:val="24"/>
        </w:rPr>
        <w:t>V</w:t>
      </w:r>
      <w:r w:rsidR="00D52B96">
        <w:rPr>
          <w:rFonts w:cs="Times New Roman"/>
          <w:szCs w:val="24"/>
        </w:rPr>
        <w:t xml:space="preserve">aldība </w:t>
      </w:r>
      <w:r w:rsidR="001D2687">
        <w:rPr>
          <w:rFonts w:cs="Times New Roman"/>
          <w:szCs w:val="24"/>
        </w:rPr>
        <w:t xml:space="preserve">ar 2016.gada 1.novembra rīkojumu Nr.663 “Par konceptuālo ziņojumu “Par Latvijas veselības aprūpes sistēmas finansēšanas modeļa maiņu”” </w:t>
      </w:r>
      <w:r w:rsidR="00D52B96">
        <w:rPr>
          <w:rFonts w:cs="Times New Roman"/>
          <w:szCs w:val="24"/>
        </w:rPr>
        <w:t>ir noteikusi</w:t>
      </w:r>
      <w:r w:rsidR="001D2687">
        <w:rPr>
          <w:rFonts w:cs="Times New Roman"/>
          <w:szCs w:val="24"/>
        </w:rPr>
        <w:t>, ka</w:t>
      </w:r>
      <w:r w:rsidR="00D52B96">
        <w:rPr>
          <w:rFonts w:cs="Times New Roman"/>
          <w:szCs w:val="24"/>
        </w:rPr>
        <w:t xml:space="preserve"> </w:t>
      </w:r>
      <w:r w:rsidR="001D2687">
        <w:rPr>
          <w:rFonts w:cs="Times New Roman"/>
          <w:szCs w:val="24"/>
        </w:rPr>
        <w:t>sagatavojot likumprojektu “Par valsts budžetu 2018. gadam” un likumprojektu “</w:t>
      </w:r>
      <w:r w:rsidR="001D2687" w:rsidRPr="001D2687">
        <w:rPr>
          <w:rFonts w:cs="Times New Roman"/>
          <w:szCs w:val="24"/>
        </w:rPr>
        <w:t>Par vidēja termiņa budžeta ietv</w:t>
      </w:r>
      <w:r w:rsidR="001D2687">
        <w:rPr>
          <w:rFonts w:cs="Times New Roman"/>
          <w:szCs w:val="24"/>
        </w:rPr>
        <w:t>aru 2018., 2019. un 2020. gadam</w:t>
      </w:r>
      <w:r>
        <w:rPr>
          <w:rFonts w:cs="Times New Roman"/>
          <w:szCs w:val="24"/>
        </w:rPr>
        <w:t>”</w:t>
      </w:r>
      <w:r w:rsidR="001D2687" w:rsidRPr="001D2687">
        <w:rPr>
          <w:rFonts w:cs="Times New Roman"/>
          <w:szCs w:val="24"/>
        </w:rPr>
        <w:t>, veselības aprūpi uzskata par prioritāro nozari</w:t>
      </w:r>
      <w:r w:rsidR="00A26E5A">
        <w:rPr>
          <w:szCs w:val="24"/>
        </w:rPr>
        <w:t>.</w:t>
      </w:r>
      <w:r w:rsidR="00166F95">
        <w:rPr>
          <w:szCs w:val="24"/>
        </w:rPr>
        <w:t xml:space="preserve"> </w:t>
      </w:r>
      <w:r w:rsidR="00A26E5A">
        <w:rPr>
          <w:szCs w:val="24"/>
        </w:rPr>
        <w:t>Pēdējos gados viens no aktuālākajiem jautājumiem veselības nozarē ir nepietiekamais finansējums onkoloģisku saslimšanu diagnostikai un ār</w:t>
      </w:r>
      <w:r w:rsidR="00345224">
        <w:rPr>
          <w:szCs w:val="24"/>
        </w:rPr>
        <w:t>s</w:t>
      </w:r>
      <w:r w:rsidR="00A26E5A">
        <w:rPr>
          <w:szCs w:val="24"/>
        </w:rPr>
        <w:t>tēšanai.</w:t>
      </w:r>
      <w:r w:rsidR="00345224">
        <w:rPr>
          <w:szCs w:val="24"/>
        </w:rPr>
        <w:t xml:space="preserve"> Kā liecina statistikas dati, mirstība no onkoloģiskām saslimšanās </w:t>
      </w:r>
      <w:r w:rsidR="005E6D17">
        <w:rPr>
          <w:szCs w:val="24"/>
        </w:rPr>
        <w:t>ir</w:t>
      </w:r>
      <w:r w:rsidR="00345224">
        <w:rPr>
          <w:szCs w:val="24"/>
        </w:rPr>
        <w:t xml:space="preserve"> vairāk nekā 20% no kopējā gadā mirušo skaita.</w:t>
      </w:r>
      <w:r w:rsidR="00FC7A2B">
        <w:rPr>
          <w:szCs w:val="24"/>
        </w:rPr>
        <w:t xml:space="preserve"> Līdz ar to, lai samazinātu no onkoloģiskajām saslimšanām mirušo skaitu</w:t>
      </w:r>
      <w:r w:rsidR="004913FD">
        <w:rPr>
          <w:szCs w:val="24"/>
        </w:rPr>
        <w:t>,</w:t>
      </w:r>
      <w:r w:rsidR="0000504B">
        <w:rPr>
          <w:szCs w:val="24"/>
        </w:rPr>
        <w:t xml:space="preserve"> nepieciešams </w:t>
      </w:r>
      <w:r w:rsidR="00FC7A2B">
        <w:rPr>
          <w:szCs w:val="24"/>
        </w:rPr>
        <w:t>papildu finansējums gan savlaicīgai diagnostikai, gan turpmākai ārstēšanai.</w:t>
      </w:r>
    </w:p>
    <w:p w:rsidR="00D52B96" w:rsidRDefault="00386FBB" w:rsidP="00386FBB">
      <w:pPr>
        <w:jc w:val="both"/>
        <w:rPr>
          <w:szCs w:val="24"/>
        </w:rPr>
      </w:pPr>
      <w:r>
        <w:rPr>
          <w:rFonts w:cs="Times New Roman"/>
          <w:noProof/>
          <w:szCs w:val="24"/>
          <w:lang w:eastAsia="lv-LV"/>
        </w:rPr>
        <w:drawing>
          <wp:inline distT="0" distB="0" distL="0" distR="0" wp14:anchorId="52C33E45" wp14:editId="2738B87B">
            <wp:extent cx="5895975" cy="2905125"/>
            <wp:effectExtent l="0" t="38100" r="0" b="4762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p w:rsidR="00FC7A2B" w:rsidRPr="00A72322" w:rsidRDefault="00A72322" w:rsidP="00F45846">
      <w:pPr>
        <w:spacing w:before="120" w:after="360"/>
        <w:jc w:val="center"/>
        <w:rPr>
          <w:b/>
          <w:sz w:val="22"/>
        </w:rPr>
      </w:pPr>
      <w:r w:rsidRPr="00A72322">
        <w:rPr>
          <w:i/>
          <w:sz w:val="22"/>
        </w:rPr>
        <w:t>3.58</w:t>
      </w:r>
      <w:r w:rsidR="00FC7A2B" w:rsidRPr="00A72322">
        <w:rPr>
          <w:i/>
          <w:sz w:val="22"/>
        </w:rPr>
        <w:t>.att</w:t>
      </w:r>
      <w:r w:rsidR="00FC7A2B" w:rsidRPr="00A72322">
        <w:rPr>
          <w:sz w:val="22"/>
        </w:rPr>
        <w:t xml:space="preserve">. </w:t>
      </w:r>
      <w:r w:rsidR="00FC7A2B" w:rsidRPr="00A72322">
        <w:rPr>
          <w:b/>
          <w:sz w:val="22"/>
        </w:rPr>
        <w:t>Ieguvumi, ja papildu piešķirtais finansējums elektrības un komunālo maksājumu sadārdzinājuma kompensēšanai tiktu novirzīts onkoloģijai</w:t>
      </w:r>
    </w:p>
    <w:p w:rsidR="007939F3" w:rsidRDefault="00FC7A2B" w:rsidP="00B6792D">
      <w:pPr>
        <w:ind w:firstLine="709"/>
        <w:jc w:val="both"/>
      </w:pPr>
      <w:r w:rsidRPr="00A72322">
        <w:t>Ja papildu piešķirtais finansējums elektrības un komunālo maksājumu sadārdzinājuma kompensēšanai tiktu novirzīts onkoloģijai (</w:t>
      </w:r>
      <w:r w:rsidR="00A72322" w:rsidRPr="00A72322">
        <w:t>skat.</w:t>
      </w:r>
      <w:r w:rsidRPr="00A72322">
        <w:t xml:space="preserve"> </w:t>
      </w:r>
      <w:r w:rsidR="00A72322" w:rsidRPr="00A72322">
        <w:t>3.58.</w:t>
      </w:r>
      <w:r w:rsidRPr="00A72322">
        <w:t xml:space="preserve">attēlu), tad </w:t>
      </w:r>
      <w:r w:rsidR="00A760B9" w:rsidRPr="00A72322">
        <w:t>papildu 6 285 pacientiem tiktu nodrošināti diagnostiskie izmeklējumi onkoloģijā sekundārajā ambulatorajā veselības aprūpē, papildu 1 399 onkoloģiskie pacienti tiktu ārstēti stacionārā un papildu 2 172 no jauna atklāti onkoloģiskie pacienti tiktu nodrošināti ar valsts kompensējamiem medikamentiem ambulatorai</w:t>
      </w:r>
      <w:r w:rsidR="00A760B9">
        <w:t xml:space="preserve"> ārstēšanai.</w:t>
      </w:r>
    </w:p>
    <w:p w:rsidR="00AC6BF5" w:rsidRPr="00AC6BF5" w:rsidRDefault="00AC6BF5" w:rsidP="00AC6BF5">
      <w:pPr>
        <w:spacing w:before="120" w:after="120"/>
        <w:jc w:val="both"/>
        <w:rPr>
          <w:b/>
        </w:rPr>
      </w:pPr>
      <w:r w:rsidRPr="00AC6BF5">
        <w:rPr>
          <w:b/>
        </w:rPr>
        <w:t>TM viedoklis:</w:t>
      </w:r>
    </w:p>
    <w:p w:rsidR="00AC6BF5" w:rsidRDefault="00AC6BF5" w:rsidP="00AC6BF5">
      <w:pPr>
        <w:ind w:firstLine="709"/>
        <w:jc w:val="both"/>
        <w:rPr>
          <w:rFonts w:cs="Times New Roman"/>
          <w:szCs w:val="24"/>
        </w:rPr>
      </w:pPr>
      <w:r>
        <w:rPr>
          <w:rFonts w:cs="Times New Roman"/>
          <w:szCs w:val="24"/>
        </w:rPr>
        <w:t>2014.gada JPI “</w:t>
      </w:r>
      <w:r w:rsidRPr="00AC6BF5">
        <w:rPr>
          <w:rFonts w:cs="Times New Roman"/>
          <w:szCs w:val="24"/>
        </w:rPr>
        <w:t>Elektrības un komunālo maksāj</w:t>
      </w:r>
      <w:r>
        <w:rPr>
          <w:rFonts w:cs="Times New Roman"/>
          <w:szCs w:val="24"/>
        </w:rPr>
        <w:t>umu sadārdzinājuma kompensēšana”</w:t>
      </w:r>
      <w:r w:rsidRPr="00AC6BF5">
        <w:rPr>
          <w:rFonts w:cs="Times New Roman"/>
          <w:szCs w:val="24"/>
        </w:rPr>
        <w:t xml:space="preserve"> 3 TM iestādēm un centrālajam aparātam kopumā tika piešķirti 380 203 </w:t>
      </w:r>
      <w:r w:rsidRPr="00AC6BF5">
        <w:rPr>
          <w:rFonts w:cs="Times New Roman"/>
          <w:i/>
          <w:szCs w:val="24"/>
        </w:rPr>
        <w:t>euro</w:t>
      </w:r>
      <w:r w:rsidRPr="00AC6BF5">
        <w:rPr>
          <w:rFonts w:cs="Times New Roman"/>
          <w:szCs w:val="24"/>
        </w:rPr>
        <w:t xml:space="preserve">, no kuriem būtiski lielākā daļa IeVP – 313 328 </w:t>
      </w:r>
      <w:r w:rsidRPr="00AC6BF5">
        <w:rPr>
          <w:rFonts w:cs="Times New Roman"/>
          <w:i/>
          <w:szCs w:val="24"/>
        </w:rPr>
        <w:t>euro</w:t>
      </w:r>
      <w:r w:rsidRPr="00AC6BF5">
        <w:rPr>
          <w:rFonts w:cs="Times New Roman"/>
          <w:szCs w:val="24"/>
        </w:rPr>
        <w:t xml:space="preserve">. Iestādēm, kam piešķirtā finansējuma apmērs nav liels, energoresursu cenai stabilizējoties un pat samazinoties šis papildus finansējums sākot ar </w:t>
      </w:r>
      <w:r w:rsidRPr="00AC6BF5">
        <w:rPr>
          <w:rFonts w:cs="Times New Roman"/>
          <w:szCs w:val="24"/>
        </w:rPr>
        <w:lastRenderedPageBreak/>
        <w:t xml:space="preserve">2017.gadu finansējums tiek novirzīts citu, pieaugošo izmaksu segšanai (piemēram </w:t>
      </w:r>
      <w:r>
        <w:rPr>
          <w:rFonts w:cs="Times New Roman"/>
          <w:szCs w:val="24"/>
        </w:rPr>
        <w:t>–</w:t>
      </w:r>
      <w:r w:rsidRPr="00AC6BF5">
        <w:rPr>
          <w:rFonts w:cs="Times New Roman"/>
          <w:szCs w:val="24"/>
        </w:rPr>
        <w:t xml:space="preserve"> biroja tehnikas darbības nodrošināšanai, IT sistēmu uzturēšanai u</w:t>
      </w:r>
      <w:r w:rsidR="00A72322">
        <w:rPr>
          <w:rFonts w:cs="Times New Roman"/>
          <w:szCs w:val="24"/>
        </w:rPr>
        <w:t>.</w:t>
      </w:r>
      <w:r w:rsidRPr="00AC6BF5">
        <w:rPr>
          <w:rFonts w:cs="Times New Roman"/>
          <w:szCs w:val="24"/>
        </w:rPr>
        <w:t xml:space="preserve">tml.), savukārt IeVP sākot ar 2017.gadu šo finansējumu 313 000 </w:t>
      </w:r>
      <w:r w:rsidRPr="00AC6BF5">
        <w:rPr>
          <w:rFonts w:cs="Times New Roman"/>
          <w:i/>
          <w:szCs w:val="24"/>
        </w:rPr>
        <w:t>euro</w:t>
      </w:r>
      <w:r w:rsidRPr="00AC6BF5">
        <w:rPr>
          <w:rFonts w:cs="Times New Roman"/>
          <w:szCs w:val="24"/>
        </w:rPr>
        <w:t xml:space="preserve"> apmērā ir pārdalījusi, lai nodrošinātu daļēju finansējumu 2017.gada JPI "Ieslodzīto resocializācijas programmu īstenošana Olaines cietuma Atkarīgo centrā", samazinot papildus no valsts budžeta nepieciešamā finansējuma apmēru. </w:t>
      </w:r>
      <w:r w:rsidR="00F208B8">
        <w:rPr>
          <w:rFonts w:cs="Times New Roman"/>
          <w:szCs w:val="24"/>
        </w:rPr>
        <w:t>A</w:t>
      </w:r>
      <w:r w:rsidRPr="00AC6BF5">
        <w:rPr>
          <w:rFonts w:cs="Times New Roman"/>
          <w:szCs w:val="24"/>
        </w:rPr>
        <w:t>rī b</w:t>
      </w:r>
      <w:r>
        <w:rPr>
          <w:rFonts w:cs="Times New Roman"/>
          <w:szCs w:val="24"/>
        </w:rPr>
        <w:t>udžeta apakšprogrammā 03.02.00 “</w:t>
      </w:r>
      <w:r w:rsidRPr="00AC6BF5">
        <w:rPr>
          <w:rFonts w:cs="Times New Roman"/>
          <w:szCs w:val="24"/>
        </w:rPr>
        <w:t>Apgabaltie</w:t>
      </w:r>
      <w:r>
        <w:rPr>
          <w:rFonts w:cs="Times New Roman"/>
          <w:szCs w:val="24"/>
        </w:rPr>
        <w:t>sas un rajona (pilsētas) tiesas”</w:t>
      </w:r>
      <w:r w:rsidRPr="00AC6BF5">
        <w:rPr>
          <w:rFonts w:cs="Times New Roman"/>
          <w:szCs w:val="24"/>
        </w:rPr>
        <w:t xml:space="preserve"> uz 2017.gadu </w:t>
      </w:r>
      <w:r w:rsidR="00F208B8">
        <w:rPr>
          <w:rFonts w:cs="Times New Roman"/>
          <w:szCs w:val="24"/>
        </w:rPr>
        <w:t xml:space="preserve">TM </w:t>
      </w:r>
      <w:r w:rsidRPr="00AC6BF5">
        <w:rPr>
          <w:rFonts w:cs="Times New Roman"/>
          <w:szCs w:val="24"/>
        </w:rPr>
        <w:t>veik</w:t>
      </w:r>
      <w:r w:rsidR="00F208B8">
        <w:rPr>
          <w:rFonts w:cs="Times New Roman"/>
          <w:szCs w:val="24"/>
        </w:rPr>
        <w:t>usi finansējuma pārdali</w:t>
      </w:r>
      <w:r w:rsidRPr="00AC6BF5">
        <w:rPr>
          <w:rFonts w:cs="Times New Roman"/>
          <w:szCs w:val="24"/>
        </w:rPr>
        <w:t xml:space="preserve"> 70 000 </w:t>
      </w:r>
      <w:r w:rsidRPr="00AC6BF5">
        <w:rPr>
          <w:rFonts w:cs="Times New Roman"/>
          <w:i/>
          <w:szCs w:val="24"/>
        </w:rPr>
        <w:t>euro</w:t>
      </w:r>
      <w:r w:rsidRPr="00AC6BF5">
        <w:rPr>
          <w:rFonts w:cs="Times New Roman"/>
          <w:szCs w:val="24"/>
        </w:rPr>
        <w:t xml:space="preserve"> apmērā 2017.gada JPI “Tiesu sistēmas darbinieku mēnešalgu paaugstināšana” daļējai finansēšanai, sakarā ar prognozēto degvielas un</w:t>
      </w:r>
      <w:r>
        <w:rPr>
          <w:rFonts w:cs="Times New Roman"/>
          <w:szCs w:val="24"/>
        </w:rPr>
        <w:t xml:space="preserve"> apkures izdevumu samazinājumu.</w:t>
      </w:r>
      <w:r w:rsidR="00F208B8">
        <w:rPr>
          <w:rFonts w:cs="Times New Roman"/>
          <w:szCs w:val="24"/>
        </w:rPr>
        <w:t xml:space="preserve"> </w:t>
      </w:r>
      <w:r w:rsidRPr="00AC6BF5">
        <w:rPr>
          <w:rFonts w:cs="Times New Roman"/>
          <w:szCs w:val="24"/>
        </w:rPr>
        <w:t>Līdz ar to</w:t>
      </w:r>
      <w:r w:rsidR="00F208B8">
        <w:rPr>
          <w:rFonts w:cs="Times New Roman"/>
          <w:szCs w:val="24"/>
        </w:rPr>
        <w:t>,</w:t>
      </w:r>
      <w:r w:rsidRPr="00AC6BF5">
        <w:rPr>
          <w:rFonts w:cs="Times New Roman"/>
          <w:szCs w:val="24"/>
        </w:rPr>
        <w:t xml:space="preserve"> TM šo finansējumu jau ir novirzījis aktuālu prioritāšu finansēšanai 2</w:t>
      </w:r>
      <w:r>
        <w:rPr>
          <w:rFonts w:cs="Times New Roman"/>
          <w:szCs w:val="24"/>
        </w:rPr>
        <w:t>017.gadam un turpmākiem gadiem.</w:t>
      </w:r>
    </w:p>
    <w:p w:rsidR="00215B5D" w:rsidRPr="00215B5D" w:rsidRDefault="00215B5D" w:rsidP="00F45846">
      <w:pPr>
        <w:spacing w:before="240" w:after="240"/>
        <w:jc w:val="both"/>
        <w:rPr>
          <w:b/>
        </w:rPr>
      </w:pPr>
      <w:r>
        <w:rPr>
          <w:b/>
        </w:rPr>
        <w:t>MK</w:t>
      </w:r>
      <w:r w:rsidRPr="00215B5D">
        <w:rPr>
          <w:b/>
        </w:rPr>
        <w:t xml:space="preserve"> – Augstākā līmeņa vadītāju atklāta un vienota atlases procesa īstenošanai, kā arī efektīvas novērtēšanas procesa nodrošināšanai</w:t>
      </w:r>
    </w:p>
    <w:p w:rsidR="00215B5D" w:rsidRPr="00215B5D" w:rsidRDefault="00215B5D" w:rsidP="00215B5D">
      <w:pPr>
        <w:spacing w:after="120"/>
        <w:ind w:firstLine="709"/>
        <w:jc w:val="both"/>
        <w:rPr>
          <w:rFonts w:cs="Times New Roman"/>
        </w:rPr>
      </w:pPr>
      <w:r>
        <w:rPr>
          <w:rFonts w:cs="Times New Roman"/>
        </w:rPr>
        <w:t>MK</w:t>
      </w:r>
      <w:r w:rsidRPr="00215B5D">
        <w:rPr>
          <w:rFonts w:cs="Times New Roman"/>
        </w:rPr>
        <w:t xml:space="preserve"> programmā 01.00.00 “Ministru kabineta darbības nodrošināšana, valsts pārvaldes politika” 2014.-2016.gada ietvarā piešķirts finansējums </w:t>
      </w:r>
      <w:r>
        <w:rPr>
          <w:rFonts w:cs="Times New Roman"/>
        </w:rPr>
        <w:t>JPI</w:t>
      </w:r>
      <w:r w:rsidRPr="00215B5D">
        <w:rPr>
          <w:rFonts w:cs="Times New Roman"/>
        </w:rPr>
        <w:t xml:space="preserve"> “Augstākā līmeņa vadītāju atklāta un vienota atlases procesa īstenošanai, kā arī efektīvas novērtēšanas procesa nodrošināšanai” 2014.gadam 92 148 </w:t>
      </w:r>
      <w:r w:rsidRPr="00215B5D">
        <w:rPr>
          <w:rFonts w:cs="Times New Roman"/>
          <w:i/>
        </w:rPr>
        <w:t>euro</w:t>
      </w:r>
      <w:r w:rsidRPr="00215B5D">
        <w:rPr>
          <w:rFonts w:cs="Times New Roman"/>
        </w:rPr>
        <w:t xml:space="preserve"> apmērā, 2015.gadam 197 071 </w:t>
      </w:r>
      <w:r w:rsidRPr="00215B5D">
        <w:rPr>
          <w:rFonts w:cs="Times New Roman"/>
          <w:i/>
        </w:rPr>
        <w:t>euro</w:t>
      </w:r>
      <w:r w:rsidR="00C71689">
        <w:rPr>
          <w:rFonts w:cs="Times New Roman"/>
        </w:rPr>
        <w:t xml:space="preserve"> un</w:t>
      </w:r>
      <w:r w:rsidRPr="00215B5D">
        <w:rPr>
          <w:rFonts w:cs="Times New Roman"/>
        </w:rPr>
        <w:t xml:space="preserve"> 2016.gadam 113 106 </w:t>
      </w:r>
      <w:r w:rsidRPr="00215B5D">
        <w:rPr>
          <w:rFonts w:cs="Times New Roman"/>
          <w:i/>
        </w:rPr>
        <w:t xml:space="preserve">euro, </w:t>
      </w:r>
      <w:r w:rsidRPr="00215B5D">
        <w:t xml:space="preserve">kas šādā apmērā ir paredzēts </w:t>
      </w:r>
      <w:r>
        <w:t>MK</w:t>
      </w:r>
      <w:r w:rsidR="0052750E">
        <w:t xml:space="preserve"> budžetā arī 2017.gadam un turpmākajiem gadiem</w:t>
      </w:r>
      <w:r w:rsidRPr="00215B5D">
        <w:rPr>
          <w:rFonts w:cs="Times New Roman"/>
        </w:rPr>
        <w:t>.</w:t>
      </w:r>
    </w:p>
    <w:p w:rsidR="00215B5D" w:rsidRPr="00215B5D" w:rsidRDefault="00215B5D" w:rsidP="00215B5D">
      <w:pPr>
        <w:spacing w:after="120"/>
        <w:ind w:firstLine="709"/>
        <w:jc w:val="both"/>
        <w:rPr>
          <w:rFonts w:cs="Times New Roman"/>
        </w:rPr>
      </w:pPr>
      <w:r w:rsidRPr="00215B5D">
        <w:rPr>
          <w:rFonts w:cs="Times New Roman"/>
        </w:rPr>
        <w:t>Piešķirtais finansējums 2</w:t>
      </w:r>
      <w:r w:rsidR="0052750E">
        <w:rPr>
          <w:rFonts w:cs="Times New Roman"/>
        </w:rPr>
        <w:t>016.gadam paredzēts atlīdzībai četrām</w:t>
      </w:r>
      <w:r w:rsidRPr="00215B5D">
        <w:rPr>
          <w:rFonts w:cs="Times New Roman"/>
        </w:rPr>
        <w:t xml:space="preserve"> amata vietām (95 756 </w:t>
      </w:r>
      <w:r w:rsidRPr="00215B5D">
        <w:rPr>
          <w:rFonts w:cs="Times New Roman"/>
          <w:i/>
        </w:rPr>
        <w:t>euro</w:t>
      </w:r>
      <w:r w:rsidR="0052750E">
        <w:rPr>
          <w:rFonts w:cs="Times New Roman"/>
        </w:rPr>
        <w:t>), tajā skaitā divas</w:t>
      </w:r>
      <w:r w:rsidRPr="00215B5D">
        <w:rPr>
          <w:rFonts w:cs="Times New Roman"/>
        </w:rPr>
        <w:t xml:space="preserve"> augstākā līmeņa vadītāju atklāta un vienota </w:t>
      </w:r>
      <w:r w:rsidR="0052750E">
        <w:rPr>
          <w:rFonts w:cs="Times New Roman"/>
        </w:rPr>
        <w:t>atlases procesa īstenošanai un divas</w:t>
      </w:r>
      <w:r w:rsidRPr="00215B5D">
        <w:rPr>
          <w:rFonts w:cs="Times New Roman"/>
        </w:rPr>
        <w:t xml:space="preserve"> efektīvas novē</w:t>
      </w:r>
      <w:r w:rsidR="00431FFA">
        <w:rPr>
          <w:rFonts w:cs="Times New Roman"/>
        </w:rPr>
        <w:t>rtēšanas procesa nodrošināšanai</w:t>
      </w:r>
      <w:r w:rsidR="00647367">
        <w:rPr>
          <w:rFonts w:cs="Times New Roman"/>
        </w:rPr>
        <w:t xml:space="preserve">, kā arī </w:t>
      </w:r>
      <w:r w:rsidRPr="00215B5D">
        <w:rPr>
          <w:rStyle w:val="st1"/>
          <w:rFonts w:cs="Times New Roman"/>
        </w:rPr>
        <w:t xml:space="preserve">novērtēšanas elektroniskās veidlapas informācijas </w:t>
      </w:r>
      <w:r w:rsidRPr="00215B5D">
        <w:rPr>
          <w:rStyle w:val="Emphasis"/>
          <w:rFonts w:cs="Times New Roman"/>
          <w:b w:val="0"/>
        </w:rPr>
        <w:t>sistēmas uzturēšanai</w:t>
      </w:r>
      <w:r w:rsidRPr="00215B5D">
        <w:rPr>
          <w:rStyle w:val="Emphasis"/>
          <w:rFonts w:cs="Times New Roman"/>
        </w:rPr>
        <w:t xml:space="preserve"> </w:t>
      </w:r>
      <w:r w:rsidRPr="00215B5D">
        <w:rPr>
          <w:rFonts w:cs="Times New Roman"/>
        </w:rPr>
        <w:t xml:space="preserve">(17 350 </w:t>
      </w:r>
      <w:r w:rsidRPr="00215B5D">
        <w:rPr>
          <w:rFonts w:cs="Times New Roman"/>
          <w:i/>
        </w:rPr>
        <w:t>euro</w:t>
      </w:r>
      <w:r w:rsidRPr="00215B5D">
        <w:rPr>
          <w:rFonts w:cs="Times New Roman"/>
        </w:rPr>
        <w:t>).</w:t>
      </w:r>
    </w:p>
    <w:p w:rsidR="00215B5D" w:rsidRPr="00DE6E58" w:rsidRDefault="00215B5D" w:rsidP="00DE6E58">
      <w:pPr>
        <w:spacing w:after="120"/>
        <w:ind w:firstLine="709"/>
        <w:jc w:val="both"/>
        <w:rPr>
          <w:rFonts w:cs="Times New Roman"/>
        </w:rPr>
      </w:pPr>
      <w:r w:rsidRPr="00215B5D">
        <w:rPr>
          <w:rFonts w:cs="Times New Roman"/>
        </w:rPr>
        <w:t xml:space="preserve">Atbilstoši </w:t>
      </w:r>
      <w:r>
        <w:rPr>
          <w:rFonts w:cs="Times New Roman"/>
        </w:rPr>
        <w:t>VK</w:t>
      </w:r>
      <w:r w:rsidRPr="00215B5D">
        <w:rPr>
          <w:rFonts w:cs="Times New Roman"/>
        </w:rPr>
        <w:t xml:space="preserve"> sniegtajai informācijai 2017.gadā </w:t>
      </w:r>
      <w:r w:rsidRPr="00215B5D">
        <w:rPr>
          <w:color w:val="000000"/>
        </w:rPr>
        <w:t>1 amata vieta (1,5 slodzes) un 1 amata vieta (1 slodze)</w:t>
      </w:r>
      <w:r w:rsidR="00A72322">
        <w:rPr>
          <w:color w:val="000000"/>
        </w:rPr>
        <w:t xml:space="preserve"> </w:t>
      </w:r>
      <w:r w:rsidR="00647367">
        <w:rPr>
          <w:color w:val="000000"/>
        </w:rPr>
        <w:t xml:space="preserve">novirzīta </w:t>
      </w:r>
      <w:r w:rsidRPr="00215B5D">
        <w:rPr>
          <w:color w:val="000000"/>
        </w:rPr>
        <w:t>valsts pārvaldes iestāžu nodarbināto darbības novērtēšanas sistēmai.</w:t>
      </w:r>
      <w:r w:rsidR="00A72322">
        <w:rPr>
          <w:color w:val="000000"/>
        </w:rPr>
        <w:t xml:space="preserve"> </w:t>
      </w:r>
      <w:r w:rsidRPr="00215B5D">
        <w:rPr>
          <w:color w:val="000000"/>
        </w:rPr>
        <w:t xml:space="preserve">Turklāt </w:t>
      </w:r>
      <w:r w:rsidRPr="00215B5D">
        <w:rPr>
          <w:rFonts w:cs="Times New Roman"/>
        </w:rPr>
        <w:t xml:space="preserve">augstākā līmeņa vadītāju atlasei </w:t>
      </w:r>
      <w:r w:rsidRPr="00215B5D">
        <w:rPr>
          <w:color w:val="000000"/>
        </w:rPr>
        <w:t xml:space="preserve">tika piesaistīti arī personāla atlases ārpakalpojumi, kam attiecīgi 2015.gadā </w:t>
      </w:r>
      <w:r w:rsidR="00647367" w:rsidRPr="00215B5D">
        <w:rPr>
          <w:color w:val="000000"/>
        </w:rPr>
        <w:t xml:space="preserve">izlietoti </w:t>
      </w:r>
      <w:r w:rsidRPr="00215B5D">
        <w:rPr>
          <w:color w:val="000000"/>
        </w:rPr>
        <w:t xml:space="preserve">1 177 </w:t>
      </w:r>
      <w:r w:rsidRPr="00215B5D">
        <w:rPr>
          <w:i/>
          <w:color w:val="000000"/>
        </w:rPr>
        <w:t>euro</w:t>
      </w:r>
      <w:r w:rsidRPr="00215B5D">
        <w:rPr>
          <w:color w:val="000000"/>
        </w:rPr>
        <w:t xml:space="preserve"> un 2016.gadā 10 007 </w:t>
      </w:r>
      <w:r w:rsidRPr="00215B5D">
        <w:rPr>
          <w:i/>
          <w:color w:val="000000"/>
        </w:rPr>
        <w:t>euro</w:t>
      </w:r>
      <w:r w:rsidRPr="00215B5D">
        <w:rPr>
          <w:color w:val="000000"/>
        </w:rPr>
        <w:t>.</w:t>
      </w:r>
      <w:r w:rsidRPr="00215B5D">
        <w:rPr>
          <w:rFonts w:cs="Times New Roman"/>
        </w:rPr>
        <w:t xml:space="preserve"> </w:t>
      </w:r>
      <w:r w:rsidR="00647367">
        <w:rPr>
          <w:rFonts w:cs="Times New Roman"/>
        </w:rPr>
        <w:t>Līdz ar to ņ</w:t>
      </w:r>
      <w:r w:rsidRPr="00215B5D">
        <w:rPr>
          <w:rFonts w:cs="Times New Roman"/>
        </w:rPr>
        <w:t>emot vērā, ka faktiski JPI ietvaros</w:t>
      </w:r>
      <w:r w:rsidR="00647367">
        <w:rPr>
          <w:rFonts w:cs="Times New Roman"/>
        </w:rPr>
        <w:t xml:space="preserve"> tiek nodrošinātas 2,5 slodzes, </w:t>
      </w:r>
      <w:r w:rsidRPr="00215B5D">
        <w:t xml:space="preserve">uzskatām, ka finansējums atlīdzības nodrošināšanai 1,5 slodzei (4 slodzes – 2,5 slodzes) jeb 35 908 </w:t>
      </w:r>
      <w:r w:rsidRPr="00215B5D">
        <w:rPr>
          <w:i/>
        </w:rPr>
        <w:t>euro</w:t>
      </w:r>
      <w:r w:rsidRPr="00215B5D">
        <w:t xml:space="preserve"> apmērā, sākot ar 2018.gadu, ir novirzāms aktuālāku pasākumu īstenošanai, tajā skaitā pēc nepieciešamības finansējot personāla atlases ārpakalpojumus.</w:t>
      </w:r>
    </w:p>
    <w:p w:rsidR="00215B5D" w:rsidRPr="00215B5D" w:rsidRDefault="00215B5D" w:rsidP="00F45846">
      <w:pPr>
        <w:spacing w:before="240" w:after="240"/>
        <w:rPr>
          <w:b/>
        </w:rPr>
      </w:pPr>
      <w:r>
        <w:rPr>
          <w:b/>
        </w:rPr>
        <w:t>MK</w:t>
      </w:r>
      <w:r w:rsidRPr="00215B5D">
        <w:rPr>
          <w:b/>
        </w:rPr>
        <w:t xml:space="preserve"> – Valsts pārstāvība starptautiskajos šķīrējtiesas procesos</w:t>
      </w:r>
    </w:p>
    <w:p w:rsidR="00215B5D" w:rsidRPr="00215B5D" w:rsidRDefault="00215B5D" w:rsidP="00215B5D">
      <w:pPr>
        <w:spacing w:after="120"/>
        <w:ind w:firstLine="709"/>
        <w:jc w:val="both"/>
      </w:pPr>
      <w:r>
        <w:t>MK</w:t>
      </w:r>
      <w:r w:rsidRPr="00215B5D">
        <w:t xml:space="preserve"> programmā 01.00.00 “Ministru kabineta darbības nodrošināšana, valsts pārvaldes politika” 2015.-2017.gada ietvarā piešķirts finansējums </w:t>
      </w:r>
      <w:r>
        <w:t>JPI</w:t>
      </w:r>
      <w:r w:rsidRPr="00215B5D">
        <w:t xml:space="preserve"> “Valsts pārstāvība starptautiskajos šķīrējtiesas procesos” 2015.gadam 418 790 </w:t>
      </w:r>
      <w:r w:rsidRPr="00215B5D">
        <w:rPr>
          <w:i/>
        </w:rPr>
        <w:t>euro</w:t>
      </w:r>
      <w:r w:rsidRPr="00215B5D">
        <w:t xml:space="preserve"> apmērā, 2016.gadam </w:t>
      </w:r>
      <w:r w:rsidR="00DE6E58">
        <w:t xml:space="preserve">un 2017.gadam </w:t>
      </w:r>
      <w:r w:rsidRPr="00215B5D">
        <w:t xml:space="preserve">413 886 </w:t>
      </w:r>
      <w:r w:rsidRPr="00215B5D">
        <w:rPr>
          <w:i/>
        </w:rPr>
        <w:t>euro</w:t>
      </w:r>
      <w:r w:rsidRPr="00215B5D">
        <w:t xml:space="preserve"> </w:t>
      </w:r>
      <w:r w:rsidR="001F6A3F">
        <w:t xml:space="preserve">apmērā </w:t>
      </w:r>
      <w:r w:rsidR="00DE6E58">
        <w:t>ik gadu</w:t>
      </w:r>
      <w:r w:rsidRPr="00215B5D">
        <w:rPr>
          <w:i/>
        </w:rPr>
        <w:t xml:space="preserve">, </w:t>
      </w:r>
      <w:r w:rsidRPr="00215B5D">
        <w:t>kas šādā apmērā ir paredzēts</w:t>
      </w:r>
      <w:r>
        <w:t xml:space="preserve"> MK</w:t>
      </w:r>
      <w:r w:rsidR="001F6A3F">
        <w:t xml:space="preserve"> budžetā arī 2017.gadam un turpmākajiem gadiem</w:t>
      </w:r>
      <w:r w:rsidRPr="00215B5D">
        <w:t>.</w:t>
      </w:r>
    </w:p>
    <w:p w:rsidR="00215B5D" w:rsidRPr="00215B5D" w:rsidRDefault="00215B5D" w:rsidP="00215B5D">
      <w:pPr>
        <w:spacing w:after="120"/>
        <w:ind w:firstLine="709"/>
        <w:jc w:val="both"/>
      </w:pPr>
      <w:r w:rsidRPr="00215B5D">
        <w:t>Finansējums piešķirts 2 amata vietu izveidei un darbība</w:t>
      </w:r>
      <w:r>
        <w:t>s nodrošināšanai 2015.gadam 110 </w:t>
      </w:r>
      <w:r w:rsidRPr="00215B5D">
        <w:t xml:space="preserve">179 </w:t>
      </w:r>
      <w:r w:rsidRPr="00215B5D">
        <w:rPr>
          <w:i/>
        </w:rPr>
        <w:t>euro</w:t>
      </w:r>
      <w:r w:rsidRPr="00215B5D">
        <w:t xml:space="preserve"> apmērā, 2016. un 2017.gadam 104 489 </w:t>
      </w:r>
      <w:r w:rsidRPr="00215B5D">
        <w:rPr>
          <w:i/>
        </w:rPr>
        <w:t>euro</w:t>
      </w:r>
      <w:r w:rsidRPr="00215B5D">
        <w:t xml:space="preserve"> </w:t>
      </w:r>
      <w:r w:rsidR="001F6A3F">
        <w:t xml:space="preserve">apmērā </w:t>
      </w:r>
      <w:r w:rsidRPr="00215B5D">
        <w:t xml:space="preserve">ik gadu, mēnešalgu izlīdzināšanai un piemaksu nodrošināšanai darbiniekiem, kas iesaistīti valsts pārstāvības starptautiskajos šķīrējtiesas procesos funkciju veikšanā, 219 607 </w:t>
      </w:r>
      <w:r w:rsidRPr="00215B5D">
        <w:rPr>
          <w:i/>
        </w:rPr>
        <w:t>euro</w:t>
      </w:r>
      <w:r w:rsidRPr="00215B5D">
        <w:t xml:space="preserve"> </w:t>
      </w:r>
      <w:r w:rsidR="001F6A3F">
        <w:t xml:space="preserve">apmērā </w:t>
      </w:r>
      <w:r w:rsidRPr="00215B5D">
        <w:t xml:space="preserve">ik gadu, kā arī izdevumiem komandējumiem, tulkojumu un sakaru pakalpojumu iegādei, konferencei un ekspertu piesaistei 84 100 </w:t>
      </w:r>
      <w:r w:rsidRPr="00215B5D">
        <w:rPr>
          <w:i/>
        </w:rPr>
        <w:t>euro</w:t>
      </w:r>
      <w:r w:rsidRPr="00215B5D">
        <w:t xml:space="preserve"> </w:t>
      </w:r>
      <w:r w:rsidR="001F6A3F">
        <w:t xml:space="preserve">apmērā </w:t>
      </w:r>
      <w:r w:rsidRPr="00215B5D">
        <w:t>ik gadu.</w:t>
      </w:r>
    </w:p>
    <w:p w:rsidR="000B4819" w:rsidRDefault="000B4819" w:rsidP="000B4819">
      <w:pPr>
        <w:spacing w:after="120"/>
        <w:ind w:firstLine="709"/>
        <w:jc w:val="both"/>
      </w:pPr>
      <w:r>
        <w:t>Ņemot vērā, ka ar tiesvedības procesiem saistītos izdevumus nav iespējams iepriekš precīzi paredzēt, turklāt valsts interešu pārstāvības starptautiskajos tiesvedību procesos nodrošināšanai VK tiek piešķirti līdzekļi arī no valsts budžeta programmas “Līdzekļi neparedzētiem gadījumiem”, uzskatām, ka attiecīgi atlīdzībai piešķirto līdzekļu ietvaros 329</w:t>
      </w:r>
      <w:r w:rsidR="00A72322">
        <w:t> </w:t>
      </w:r>
      <w:r>
        <w:t>786</w:t>
      </w:r>
      <w:r w:rsidR="00A72322">
        <w:t> </w:t>
      </w:r>
      <w:r>
        <w:rPr>
          <w:i/>
          <w:iCs/>
        </w:rPr>
        <w:t>euro</w:t>
      </w:r>
      <w:r>
        <w:t xml:space="preserve"> apmērā ir iespējas nodrošināt arī izdevumus komandējumiem, tulkojumu un </w:t>
      </w:r>
      <w:r>
        <w:lastRenderedPageBreak/>
        <w:t xml:space="preserve">sakaru pakalpojumu iegādei, ekspertu piesaistei. Līdz ar to uzskatām, ka finansējums 84 100 </w:t>
      </w:r>
      <w:r>
        <w:rPr>
          <w:i/>
          <w:iCs/>
        </w:rPr>
        <w:t>euro</w:t>
      </w:r>
      <w:r>
        <w:t xml:space="preserve"> apmērā, sākot ar 2018.gadu, ir novirzāms aktuālāku pasākumu īstenošanai.</w:t>
      </w:r>
    </w:p>
    <w:p w:rsidR="00D62A4B" w:rsidRDefault="006E59D2" w:rsidP="00F45846">
      <w:pPr>
        <w:spacing w:before="240" w:after="240"/>
        <w:jc w:val="both"/>
        <w:rPr>
          <w:b/>
          <w:bCs/>
        </w:rPr>
      </w:pPr>
      <w:r>
        <w:rPr>
          <w:b/>
          <w:bCs/>
        </w:rPr>
        <w:t>KNAB</w:t>
      </w:r>
      <w:r w:rsidR="00D62A4B">
        <w:rPr>
          <w:b/>
          <w:bCs/>
        </w:rPr>
        <w:t xml:space="preserve"> – Iestāša</w:t>
      </w:r>
      <w:r w:rsidR="00844086">
        <w:rPr>
          <w:b/>
          <w:bCs/>
        </w:rPr>
        <w:t>nās OECD pasākumu nodrošināšana</w:t>
      </w:r>
    </w:p>
    <w:p w:rsidR="00215B5D" w:rsidRDefault="00215B5D" w:rsidP="00215B5D">
      <w:pPr>
        <w:spacing w:after="120"/>
        <w:ind w:firstLine="709"/>
        <w:jc w:val="both"/>
      </w:pPr>
      <w:r>
        <w:t>KNAB programmā 01.00.00 “Korupcijas novēršanas un apkarošanas birojs” 2014.</w:t>
      </w:r>
      <w:r>
        <w:noBreakHyphen/>
        <w:t xml:space="preserve">2016.gada ietvarā piešķirts finansējums JPI “Iestāšanās OECD pasākumu nodrošināšana” 2014.gadam 46 036 </w:t>
      </w:r>
      <w:r>
        <w:rPr>
          <w:i/>
          <w:iCs/>
        </w:rPr>
        <w:t>euro</w:t>
      </w:r>
      <w:r>
        <w:t xml:space="preserve"> apmērā, 2015.gadam 41 192 </w:t>
      </w:r>
      <w:r>
        <w:rPr>
          <w:i/>
          <w:iCs/>
        </w:rPr>
        <w:t>euro</w:t>
      </w:r>
      <w:r>
        <w:t xml:space="preserve"> un 2016.gadam 41</w:t>
      </w:r>
      <w:r w:rsidR="00A72322">
        <w:t> </w:t>
      </w:r>
      <w:r>
        <w:t>192</w:t>
      </w:r>
      <w:r w:rsidR="00A72322">
        <w:t> </w:t>
      </w:r>
      <w:r>
        <w:rPr>
          <w:i/>
          <w:iCs/>
        </w:rPr>
        <w:t>euro</w:t>
      </w:r>
      <w:r>
        <w:t xml:space="preserve">, kas </w:t>
      </w:r>
      <w:r w:rsidRPr="00215B5D">
        <w:t>šādā apmērā ir pare</w:t>
      </w:r>
      <w:r w:rsidR="001F6A3F">
        <w:t>dzēts KNAB budžetā arī 2017.gadam un turpmākajiem gadiem</w:t>
      </w:r>
      <w:r w:rsidRPr="00215B5D">
        <w:t>.</w:t>
      </w:r>
    </w:p>
    <w:p w:rsidR="006D27D1" w:rsidRPr="006D27D1" w:rsidRDefault="00215B5D" w:rsidP="00844086">
      <w:pPr>
        <w:spacing w:after="120"/>
        <w:ind w:firstLine="709"/>
        <w:jc w:val="both"/>
      </w:pPr>
      <w:r>
        <w:t xml:space="preserve">Ņemot vērā, ka Latvija pievienojās OECD 2016.gadā 2.jūnijā, uzskatām, ka JPI mērķis ir sasniegts, līdz ar to finansējums 41 192 </w:t>
      </w:r>
      <w:r>
        <w:rPr>
          <w:i/>
          <w:iCs/>
        </w:rPr>
        <w:t>euro</w:t>
      </w:r>
      <w:r>
        <w:t xml:space="preserve"> apmērā, sākot ar 2018.gadu, ir novirzāms aktuālāku pasākumu īstenošanai.</w:t>
      </w:r>
    </w:p>
    <w:p w:rsidR="00645296" w:rsidRPr="00CC49CC" w:rsidRDefault="006E59D2" w:rsidP="00F45846">
      <w:pPr>
        <w:spacing w:before="240" w:after="240"/>
        <w:rPr>
          <w:b/>
        </w:rPr>
      </w:pPr>
      <w:r>
        <w:rPr>
          <w:b/>
        </w:rPr>
        <w:t>KNAB</w:t>
      </w:r>
      <w:r w:rsidR="00645296" w:rsidRPr="00645296">
        <w:rPr>
          <w:b/>
        </w:rPr>
        <w:t xml:space="preserve"> - Politisko partiju pārskatu sistēma</w:t>
      </w:r>
    </w:p>
    <w:p w:rsidR="00215B5D" w:rsidRPr="00215B5D" w:rsidRDefault="00215B5D" w:rsidP="00215B5D">
      <w:pPr>
        <w:spacing w:after="120"/>
        <w:ind w:firstLine="709"/>
        <w:jc w:val="both"/>
      </w:pPr>
      <w:r>
        <w:t>KNAB programmā 01.00.00 “</w:t>
      </w:r>
      <w:r w:rsidRPr="00377487">
        <w:t>Korupcijas novēršanas un apkarošanas birojs</w:t>
      </w:r>
      <w:r>
        <w:t>” 2014.</w:t>
      </w:r>
      <w:r>
        <w:noBreakHyphen/>
        <w:t>2016.</w:t>
      </w:r>
      <w:r w:rsidRPr="00215B5D">
        <w:t xml:space="preserve">gada ietvarā piešķirts finansējums JPI “Politisko partiju pārskatu sistēma” 2014. un 2015.gadam 206 601 </w:t>
      </w:r>
      <w:r w:rsidRPr="00215B5D">
        <w:rPr>
          <w:i/>
        </w:rPr>
        <w:t>euro</w:t>
      </w:r>
      <w:r w:rsidRPr="00215B5D">
        <w:t xml:space="preserve"> apmērā ik gadu sistēmas izveidei, 2016.gadam 34 433 </w:t>
      </w:r>
      <w:r w:rsidRPr="00215B5D">
        <w:rPr>
          <w:i/>
        </w:rPr>
        <w:t>euro</w:t>
      </w:r>
      <w:r w:rsidRPr="00215B5D">
        <w:t xml:space="preserve"> apmērā sistēmas uzturēšanai, kas šādā apmērā ir pare</w:t>
      </w:r>
      <w:r w:rsidR="00B3203A">
        <w:t>dzēts KNAB budžetā arī 2017.gadam</w:t>
      </w:r>
      <w:r w:rsidRPr="00215B5D">
        <w:t xml:space="preserve"> un </w:t>
      </w:r>
      <w:r w:rsidR="00B3203A">
        <w:t>turpmākajiem gadiem.</w:t>
      </w:r>
    </w:p>
    <w:p w:rsidR="00645296" w:rsidRPr="00F11457" w:rsidRDefault="00215B5D" w:rsidP="00F11457">
      <w:pPr>
        <w:spacing w:after="120"/>
        <w:ind w:firstLine="709"/>
        <w:jc w:val="both"/>
      </w:pPr>
      <w:r w:rsidRPr="00215B5D">
        <w:t>Ņemot vērā, ka sistēmas izveides faktiskās izmaksas būtiski atšķīrās no minētajam mērķim paredz</w:t>
      </w:r>
      <w:r w:rsidR="00B3203A">
        <w:t>ētā finansējuma,</w:t>
      </w:r>
      <w:r w:rsidRPr="00215B5D">
        <w:t xml:space="preserve"> 2016.gadā faktiskās uzturēšanas izmaksas bija 1 240 </w:t>
      </w:r>
      <w:r w:rsidRPr="00215B5D">
        <w:rPr>
          <w:i/>
        </w:rPr>
        <w:t>euro</w:t>
      </w:r>
      <w:r w:rsidRPr="00215B5D">
        <w:t xml:space="preserve"> no plānotajām 33 433 </w:t>
      </w:r>
      <w:r w:rsidRPr="00215B5D">
        <w:rPr>
          <w:i/>
        </w:rPr>
        <w:t>euro</w:t>
      </w:r>
      <w:r w:rsidRPr="00215B5D">
        <w:t xml:space="preserve">. Uzskatām, ka finansējums 33 193 </w:t>
      </w:r>
      <w:r w:rsidRPr="00215B5D">
        <w:rPr>
          <w:i/>
        </w:rPr>
        <w:t>euro</w:t>
      </w:r>
      <w:r w:rsidRPr="00215B5D">
        <w:t xml:space="preserve"> apmērā, sākot ar 2018.gadu, ir novirzāms aktuālāku pasākumu īstenošanai.</w:t>
      </w:r>
    </w:p>
    <w:p w:rsidR="00645296" w:rsidRPr="00CC49CC" w:rsidRDefault="00680AE7" w:rsidP="00F45846">
      <w:pPr>
        <w:spacing w:before="240" w:after="240"/>
        <w:jc w:val="both"/>
        <w:rPr>
          <w:b/>
        </w:rPr>
      </w:pPr>
      <w:r>
        <w:rPr>
          <w:b/>
        </w:rPr>
        <w:t>ĀM</w:t>
      </w:r>
      <w:r w:rsidR="00645296" w:rsidRPr="00CC49CC">
        <w:rPr>
          <w:b/>
        </w:rPr>
        <w:t xml:space="preserve"> – </w:t>
      </w:r>
      <w:r w:rsidR="006E59D2">
        <w:rPr>
          <w:b/>
        </w:rPr>
        <w:t>ĀM</w:t>
      </w:r>
      <w:r w:rsidR="00645296" w:rsidRPr="00CC49CC">
        <w:rPr>
          <w:b/>
        </w:rPr>
        <w:t xml:space="preserve"> funkciju nodrošināšana iestāšanās OECD sarunu procesā</w:t>
      </w:r>
    </w:p>
    <w:p w:rsidR="00343A77" w:rsidRPr="00343A77" w:rsidRDefault="00343A77" w:rsidP="00343A77">
      <w:pPr>
        <w:spacing w:after="120"/>
        <w:ind w:firstLine="709"/>
        <w:jc w:val="both"/>
      </w:pPr>
      <w:r w:rsidRPr="00343A77">
        <w:t xml:space="preserve">ĀM apakšprogrammā 01.04.00 “Diplomātiskās misijas ārvalstīs” un programmā 97.00.00 “Nozaru vadība un politikas plānošana” 2014.-2016.gada ietvarā piešķirts finansējums JPI “ĀM funkciju nodrošināšana iestāšanās OECD sarunu procesā” 2014., 2015. un 2016.gadam 1 045 811 </w:t>
      </w:r>
      <w:r w:rsidRPr="00343A77">
        <w:rPr>
          <w:i/>
          <w:iCs/>
        </w:rPr>
        <w:t>euro</w:t>
      </w:r>
      <w:r w:rsidRPr="00343A77">
        <w:t xml:space="preserve"> apmērā ik gadu, kas šādā apmērā ir pa</w:t>
      </w:r>
      <w:r w:rsidR="00B61ED7">
        <w:t>redzēts ĀM budžetā arī 2017.gadam</w:t>
      </w:r>
      <w:r w:rsidRPr="00343A77">
        <w:t xml:space="preserve"> un </w:t>
      </w:r>
      <w:r w:rsidR="00B61ED7">
        <w:t>turpmākajiem gadiem</w:t>
      </w:r>
      <w:r w:rsidRPr="00343A77">
        <w:t>.</w:t>
      </w:r>
    </w:p>
    <w:p w:rsidR="00343A77" w:rsidRDefault="00343A77" w:rsidP="00343A77">
      <w:pPr>
        <w:spacing w:after="120"/>
        <w:ind w:firstLine="709"/>
        <w:jc w:val="both"/>
      </w:pPr>
      <w:r w:rsidRPr="00343A77">
        <w:t xml:space="preserve">Ņemot vērā, ka Latvija pievienojās OECD 2016.gadā 2.jūnijā, uzskatām, ka JPI mērķis ir sasniegts, līdz ar to finansējums 1 045 811 </w:t>
      </w:r>
      <w:r w:rsidRPr="00343A77">
        <w:rPr>
          <w:i/>
          <w:iCs/>
        </w:rPr>
        <w:t>euro</w:t>
      </w:r>
      <w:r w:rsidRPr="00343A77">
        <w:t xml:space="preserve"> apmērā, sākot ar 2018.gadu, ir novirzāms aktuālāku pasākumu īstenošanai.</w:t>
      </w:r>
    </w:p>
    <w:p w:rsidR="00645296" w:rsidRDefault="0096665C" w:rsidP="0096665C">
      <w:pPr>
        <w:spacing w:after="120"/>
        <w:ind w:firstLine="709"/>
        <w:jc w:val="both"/>
      </w:pPr>
      <w:r>
        <w:t>Saskaņā ar ĀM sniegto informāciju ar pieejamo finansējumu tiek nodrošināta Latvijas dalība OECD.</w:t>
      </w:r>
    </w:p>
    <w:p w:rsidR="00690F63" w:rsidRPr="00690F63" w:rsidRDefault="00690F63" w:rsidP="00F45846">
      <w:pPr>
        <w:spacing w:before="240" w:after="240"/>
        <w:jc w:val="both"/>
        <w:rPr>
          <w:b/>
        </w:rPr>
      </w:pPr>
      <w:r w:rsidRPr="00690F63">
        <w:rPr>
          <w:b/>
        </w:rPr>
        <w:t>ĀM – Sadarbības ar diasporu stiprināšana, diasporas ieguldījuma Latvijas attīstībā veicināšana, vēstniecību sadarbības ar diasporu paplašināšana un Pilsonības likuma grozījumu īstenošana</w:t>
      </w:r>
    </w:p>
    <w:p w:rsidR="009D011C" w:rsidRDefault="00690F63" w:rsidP="00690F63">
      <w:pPr>
        <w:spacing w:after="120"/>
        <w:ind w:firstLine="709"/>
        <w:jc w:val="both"/>
      </w:pPr>
      <w:r w:rsidRPr="00690F63">
        <w:t xml:space="preserve">ĀM apakšprogrammā 01.04.00 “Diplomātiskās misijas ārvalstīs” un programmā 97.00.00 “Nozaru vadība un politikas plānošana” 2014.-2016.gada ietvarā piešķirts finansējums JPI “Sadarbības ar diasporu stiprināšana, diasporas ieguldījuma Latvijas attīstībā veicināšana, vēstniecību sadarbības ar diasporu paplašināšana un Pilsonības likuma grozījumu īstenošana” 2014., 2015. un 2016.gadam 682 978 </w:t>
      </w:r>
      <w:r w:rsidRPr="00690F63">
        <w:rPr>
          <w:i/>
          <w:iCs/>
        </w:rPr>
        <w:t>euro</w:t>
      </w:r>
      <w:r w:rsidRPr="00690F63">
        <w:t xml:space="preserve"> apmērā ik gadu,</w:t>
      </w:r>
      <w:r w:rsidR="009D011C" w:rsidRPr="009D011C">
        <w:t xml:space="preserve"> </w:t>
      </w:r>
      <w:r w:rsidR="009D011C" w:rsidRPr="00343A77">
        <w:t>kas šādā apmērā ir pa</w:t>
      </w:r>
      <w:r w:rsidR="009D011C">
        <w:t>redzēts ĀM budžetā arī 2017.gadam</w:t>
      </w:r>
      <w:r w:rsidR="009D011C" w:rsidRPr="00343A77">
        <w:t xml:space="preserve"> un </w:t>
      </w:r>
      <w:r w:rsidR="009D011C">
        <w:t>turpmākajiem gadiem,</w:t>
      </w:r>
      <w:r w:rsidRPr="00690F63">
        <w:t xml:space="preserve"> tajā skaitā 226 238 </w:t>
      </w:r>
      <w:r w:rsidRPr="00690F63">
        <w:rPr>
          <w:i/>
          <w:iCs/>
        </w:rPr>
        <w:t>euro</w:t>
      </w:r>
      <w:r w:rsidRPr="00690F63">
        <w:t xml:space="preserve"> pasākumu nodrošināšanai saistībā ar diasporu un 456 740 </w:t>
      </w:r>
      <w:r w:rsidRPr="00690F63">
        <w:rPr>
          <w:i/>
        </w:rPr>
        <w:t xml:space="preserve">euro </w:t>
      </w:r>
      <w:r w:rsidRPr="00690F63">
        <w:t xml:space="preserve">Pilsonības likuma grozījumu īstenošanai. </w:t>
      </w:r>
    </w:p>
    <w:p w:rsidR="00690F63" w:rsidRPr="00A129C7" w:rsidRDefault="00690F63" w:rsidP="0094321C">
      <w:pPr>
        <w:spacing w:after="240"/>
        <w:ind w:firstLine="709"/>
        <w:jc w:val="both"/>
      </w:pPr>
      <w:r w:rsidRPr="00690F63">
        <w:lastRenderedPageBreak/>
        <w:t>Ņemot vērā, ka ar MK 2011.gada 20.oktobra rīkojumu Nr.542 aps</w:t>
      </w:r>
      <w:r w:rsidR="00F208B8">
        <w:t>ti</w:t>
      </w:r>
      <w:r w:rsidRPr="00690F63">
        <w:t xml:space="preserve">prinātās Nacionālās identitātes, pilsoniskās sabiedrības un integrācijas politikas pamatnostādnes ir </w:t>
      </w:r>
      <w:r w:rsidR="00F208B8">
        <w:t xml:space="preserve">attiecināmas uz </w:t>
      </w:r>
      <w:r w:rsidRPr="00690F63">
        <w:t>2012.</w:t>
      </w:r>
      <w:r w:rsidRPr="00690F63">
        <w:noBreakHyphen/>
        <w:t>2018.gad</w:t>
      </w:r>
      <w:r w:rsidR="00F208B8">
        <w:t>u</w:t>
      </w:r>
      <w:r w:rsidRPr="00690F63">
        <w:t xml:space="preserve">, </w:t>
      </w:r>
      <w:r w:rsidR="009D011C">
        <w:t>uzskatām, ka pamatojums</w:t>
      </w:r>
      <w:r w:rsidRPr="00690F63">
        <w:t xml:space="preserve"> pasākumu īstenošanai ir līdz 2018.ga</w:t>
      </w:r>
      <w:r w:rsidR="009D011C">
        <w:t>dam, līdz ar to finansējums 226 </w:t>
      </w:r>
      <w:r w:rsidRPr="00690F63">
        <w:t xml:space="preserve">238 </w:t>
      </w:r>
      <w:r w:rsidRPr="00690F63">
        <w:rPr>
          <w:i/>
        </w:rPr>
        <w:t>euro</w:t>
      </w:r>
      <w:r w:rsidRPr="00690F63">
        <w:t xml:space="preserve"> </w:t>
      </w:r>
      <w:r w:rsidRPr="00A129C7">
        <w:t xml:space="preserve">apmērā, sākot ar 2019.gadu, ir novirzāms </w:t>
      </w:r>
      <w:r w:rsidR="0094321C">
        <w:t>aktuālāku pasākumu īstenošanai.</w:t>
      </w:r>
    </w:p>
    <w:p w:rsidR="00690F63" w:rsidRPr="00A129C7" w:rsidRDefault="00A129C7" w:rsidP="00690F63">
      <w:pPr>
        <w:spacing w:after="120"/>
        <w:jc w:val="center"/>
      </w:pPr>
      <w:r w:rsidRPr="00A129C7">
        <w:rPr>
          <w:noProof/>
          <w:lang w:eastAsia="lv-LV"/>
        </w:rPr>
        <w:drawing>
          <wp:inline distT="0" distB="0" distL="0" distR="0" wp14:anchorId="4BC9000E" wp14:editId="7913FA6A">
            <wp:extent cx="5941060" cy="2593975"/>
            <wp:effectExtent l="0" t="0" r="2540" b="1587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690F63" w:rsidRPr="00A129C7" w:rsidRDefault="00A72322" w:rsidP="00690F63">
      <w:pPr>
        <w:spacing w:after="240"/>
        <w:ind w:firstLine="709"/>
        <w:jc w:val="both"/>
        <w:rPr>
          <w:b/>
        </w:rPr>
      </w:pPr>
      <w:r>
        <w:rPr>
          <w:i/>
        </w:rPr>
        <w:t>3.59.</w:t>
      </w:r>
      <w:r w:rsidR="00690F63" w:rsidRPr="00A129C7">
        <w:rPr>
          <w:i/>
        </w:rPr>
        <w:t>att.</w:t>
      </w:r>
      <w:r w:rsidR="00690F63" w:rsidRPr="00A129C7">
        <w:rPr>
          <w:b/>
        </w:rPr>
        <w:t xml:space="preserve"> Latvijas pārstāvniecībās pieteikumu skaits pilsonības reģistrācijai</w:t>
      </w:r>
    </w:p>
    <w:p w:rsidR="00690F63" w:rsidRDefault="00D76B81" w:rsidP="00D76B81">
      <w:pPr>
        <w:spacing w:after="120"/>
        <w:ind w:firstLine="709"/>
        <w:jc w:val="both"/>
      </w:pPr>
      <w:r w:rsidRPr="00A129C7">
        <w:t>Saistībā ar 2013.gada 1.okobrī pieņemtajiem grozījumiem Pilsonības</w:t>
      </w:r>
      <w:r w:rsidRPr="00690F63">
        <w:t xml:space="preserve"> likumā JPI ietvaros piešķirts finansējums 4 amata vietu izveidei un darbības nodrošināšanai Latvijas pārstāvniecībās (ASV, Kanādā, Īrijā un Lielbritānijā), pieņemot, ka jaunu Latvijas pilsoņu reģistrāciju skaits pieaugs par 6 000 ik gadu. Ņemot vērā, ka </w:t>
      </w:r>
      <w:r>
        <w:t xml:space="preserve">2014.gadā </w:t>
      </w:r>
      <w:r w:rsidRPr="00690F63">
        <w:t>pieteikumu skaits pilsonības reģistrācijai</w:t>
      </w:r>
      <w:r>
        <w:t xml:space="preserve"> bija par 13% mazāks nekā plānots, savukārt</w:t>
      </w:r>
      <w:r w:rsidRPr="00690F63">
        <w:t xml:space="preserve"> </w:t>
      </w:r>
      <w:r w:rsidR="009D011C">
        <w:t>2015. un 2016.gadā</w:t>
      </w:r>
      <w:r>
        <w:t xml:space="preserve"> par 18%</w:t>
      </w:r>
      <w:r w:rsidR="009D011C">
        <w:t xml:space="preserve"> mazāks nekā plānots</w:t>
      </w:r>
      <w:r>
        <w:t>, turklāt pieteiku</w:t>
      </w:r>
      <w:r w:rsidR="009D011C">
        <w:t xml:space="preserve">mu skaits 2015. un 2016.gadā, </w:t>
      </w:r>
      <w:r>
        <w:t>salīdzinot ar 2014.gadu</w:t>
      </w:r>
      <w:r w:rsidR="009D011C">
        <w:t>,</w:t>
      </w:r>
      <w:r>
        <w:t xml:space="preserve"> samazinājās</w:t>
      </w:r>
      <w:r w:rsidR="00C323CD">
        <w:t xml:space="preserve"> (skat. 3.59.attēlu)</w:t>
      </w:r>
      <w:r>
        <w:t xml:space="preserve">, </w:t>
      </w:r>
      <w:r w:rsidR="009D011C">
        <w:t>līdz ar to</w:t>
      </w:r>
      <w:r w:rsidRPr="00690F63">
        <w:t xml:space="preserve"> </w:t>
      </w:r>
      <w:r>
        <w:t xml:space="preserve">arī </w:t>
      </w:r>
      <w:r w:rsidRPr="00690F63">
        <w:t>fi</w:t>
      </w:r>
      <w:r>
        <w:t>nan</w:t>
      </w:r>
      <w:r w:rsidRPr="00690F63">
        <w:t xml:space="preserve">sējuma piešķiršanas mērķa aktualitāte mazinās, kā rezultātā uzskatām, ka </w:t>
      </w:r>
      <w:r>
        <w:t xml:space="preserve">1/4 daļa no piešķirtā finansējuma jeb </w:t>
      </w:r>
      <w:r w:rsidRPr="00690F63">
        <w:t xml:space="preserve">114 185 </w:t>
      </w:r>
      <w:r w:rsidRPr="00690F63">
        <w:rPr>
          <w:i/>
        </w:rPr>
        <w:t>euro</w:t>
      </w:r>
      <w:r>
        <w:rPr>
          <w:i/>
        </w:rPr>
        <w:t xml:space="preserve"> </w:t>
      </w:r>
      <w:r>
        <w:t>apmērā</w:t>
      </w:r>
      <w:r w:rsidRPr="00690F63">
        <w:t xml:space="preserve">, sākot ar 2018.gadu, ir novirzāms aktuālāku pasākumu īstenošanai. </w:t>
      </w:r>
    </w:p>
    <w:p w:rsidR="00641697" w:rsidRPr="00690F63" w:rsidRDefault="00641697" w:rsidP="00641697">
      <w:pPr>
        <w:spacing w:after="120"/>
        <w:ind w:firstLine="709"/>
        <w:jc w:val="both"/>
      </w:pPr>
      <w:r>
        <w:t>Saskaņā ar ĀM sniegto informāciju pieejamais finansējums minētajām 4 amata vietām nodrošina visu papildu pienākumu veikšanu, kas saistīti ar pieaugošās diasporas klātbūtni rezidences valstīs un pārstāvniecību nepieciešamību nodrošināt gan nepieciešamo pakalpojumu sniegšanu, gan valstspiederīgo saites uzturēšanu ar Latviju.</w:t>
      </w:r>
    </w:p>
    <w:p w:rsidR="00690F63" w:rsidRPr="00690F63" w:rsidRDefault="00690F63" w:rsidP="00697EA2">
      <w:pPr>
        <w:spacing w:before="240" w:after="240"/>
        <w:jc w:val="both"/>
        <w:rPr>
          <w:b/>
        </w:rPr>
      </w:pPr>
      <w:r w:rsidRPr="00690F63">
        <w:rPr>
          <w:b/>
        </w:rPr>
        <w:t>ĀM – Ārpolitisko aktivitāšu uzturēšana un padziļināšana austrumu partnerības un Centrālāzijas valstu virzienā, diplomātisko aktivitāšu paplašināšanā jauno ārpolitisko izaicinājumu apstākļos</w:t>
      </w:r>
    </w:p>
    <w:p w:rsidR="00690F63" w:rsidRPr="00690F63" w:rsidRDefault="00690F63" w:rsidP="00690F63">
      <w:pPr>
        <w:spacing w:after="120"/>
        <w:ind w:firstLine="709"/>
        <w:jc w:val="both"/>
      </w:pPr>
      <w:r w:rsidRPr="00690F63">
        <w:t>ĀM apakšprogrammā 01.04.00 “Diplomātiskās misijas ārvalstīs” 2015.</w:t>
      </w:r>
      <w:r w:rsidRPr="00690F63">
        <w:noBreakHyphen/>
        <w:t xml:space="preserve">2017.gada ietvarā piešķirts finansējums JPI “Ārpolitisko aktivitāšu uzturēšana un padziļināšana austrumu partnerības un Centrālāzijas valstu virzienā, diplomātisko aktivitāšu paplašināšanā jauno ārpolitisko izaicinājumu apstākļos” 2015., 2016. un 2017.gadam 832 903 </w:t>
      </w:r>
      <w:r w:rsidRPr="00690F63">
        <w:rPr>
          <w:i/>
          <w:iCs/>
        </w:rPr>
        <w:t>euro</w:t>
      </w:r>
      <w:r w:rsidRPr="00690F63">
        <w:t xml:space="preserve"> apmērā ik gadu, izveidojot 8 amata vietas Latvijas pārstāvniecībās. Šādā apmērā finansējums ir pa</w:t>
      </w:r>
      <w:r w:rsidR="00A240A2">
        <w:t xml:space="preserve">redzēts ĀM budžetā arī 2017.gadam </w:t>
      </w:r>
      <w:r w:rsidRPr="00690F63">
        <w:t xml:space="preserve"> un turpmāk</w:t>
      </w:r>
      <w:r w:rsidR="00A240A2">
        <w:t>ajiem gadiem</w:t>
      </w:r>
      <w:r w:rsidRPr="00690F63">
        <w:t>.</w:t>
      </w:r>
    </w:p>
    <w:p w:rsidR="00A240A2" w:rsidRDefault="00D76B81" w:rsidP="00D76B81">
      <w:pPr>
        <w:spacing w:after="120"/>
        <w:ind w:firstLine="709"/>
        <w:jc w:val="both"/>
      </w:pPr>
      <w:r>
        <w:t xml:space="preserve">2014.gadā ĀM piešķirts finansējums </w:t>
      </w:r>
      <w:r w:rsidRPr="00245B16">
        <w:t xml:space="preserve">LR vēstniecības Apvienotajos Arābu Emirātos atvēršanai un darbības nodrošināšanai turpmākajos gados, </w:t>
      </w:r>
      <w:r>
        <w:t xml:space="preserve">2013.-2015.gada ietvarā piešķirts finansējums JPI “Ārlietu dienesta funkciju nodrošināšanai, OECD, EMU un ES Prezidentūras lobija trešajās valstīs nodrošināšanai un īstenošanai”, </w:t>
      </w:r>
      <w:r w:rsidRPr="00690F63">
        <w:t>2014.</w:t>
      </w:r>
      <w:r w:rsidRPr="00690F63">
        <w:noBreakHyphen/>
        <w:t xml:space="preserve">2016.gada ietvarā JPI “Latvijas </w:t>
      </w:r>
      <w:r w:rsidRPr="00690F63">
        <w:lastRenderedPageBreak/>
        <w:t>vēstniecības Indijā atvēršana un darbības nodrošināšana”, 2015.</w:t>
      </w:r>
      <w:r w:rsidRPr="00690F63">
        <w:noBreakHyphen/>
        <w:t>2017.gada ietvarā JPI “Latvijas vēstniecības Korejas Republikā atvēršana un darbības nodrošināšana” un “Latvijas pārstāvniecības Ekonomiskās sadarbības un attīstības organizācijā atvēršana, darbības nodrošināšana”</w:t>
      </w:r>
      <w:r>
        <w:t>, turklāt arī 2017.-2019.gada ietvarā “Ārpolitisko aktivitāšu realizēšana Austrumu partnerības un Centrālāzijas valstīs, diplomātisko aktivitāšu paplašināšana un ekonomisko attiecību veicināšana”.</w:t>
      </w:r>
    </w:p>
    <w:p w:rsidR="00645296" w:rsidRPr="0094321C" w:rsidRDefault="00D76B81" w:rsidP="0094321C">
      <w:pPr>
        <w:spacing w:after="120"/>
        <w:ind w:firstLine="709"/>
        <w:jc w:val="both"/>
      </w:pPr>
      <w:r w:rsidRPr="00690F63">
        <w:t xml:space="preserve">Ņemot vērā </w:t>
      </w:r>
      <w:r>
        <w:t>minēto,</w:t>
      </w:r>
      <w:r w:rsidRPr="00690F63">
        <w:t xml:space="preserve"> uzskatām, ka mērķis paplašināt ārpolitiskās aktivitātes ti</w:t>
      </w:r>
      <w:r>
        <w:t>ka</w:t>
      </w:r>
      <w:r w:rsidRPr="00690F63">
        <w:t xml:space="preserve"> nodrošināts ar </w:t>
      </w:r>
      <w:r>
        <w:t xml:space="preserve">jaunu </w:t>
      </w:r>
      <w:r w:rsidR="00A240A2">
        <w:t>Latvijas pārstāvniecību</w:t>
      </w:r>
      <w:r>
        <w:t xml:space="preserve"> atvēršanu un jaunu amata vietu izveidi esošajās</w:t>
      </w:r>
      <w:r w:rsidRPr="00690F63">
        <w:t xml:space="preserve">, tādējādi uzskatām, ka </w:t>
      </w:r>
      <w:r>
        <w:t>puse no piešķirtā finansējuma jeb</w:t>
      </w:r>
      <w:r w:rsidRPr="00690F63">
        <w:t xml:space="preserve"> </w:t>
      </w:r>
      <w:r>
        <w:t>416 452</w:t>
      </w:r>
      <w:r w:rsidRPr="00690F63">
        <w:t xml:space="preserve"> </w:t>
      </w:r>
      <w:r w:rsidRPr="00690F63">
        <w:rPr>
          <w:i/>
        </w:rPr>
        <w:t>euro</w:t>
      </w:r>
      <w:r>
        <w:rPr>
          <w:i/>
        </w:rPr>
        <w:t xml:space="preserve"> </w:t>
      </w:r>
      <w:r>
        <w:t>apmērā</w:t>
      </w:r>
      <w:r w:rsidR="00A240A2">
        <w:t xml:space="preserve"> </w:t>
      </w:r>
      <w:r w:rsidR="00A240A2" w:rsidRPr="00690F63">
        <w:t>JPI “Ārpolitisko aktivitāšu uzturēšana un padziļināšana austrumu partnerības un Centrālāzijas valstu virzienā, diplomātisko aktivitāšu paplašināšanā jauno ārpolitisko izaicinājumu apstākļos”</w:t>
      </w:r>
      <w:r w:rsidRPr="00690F63">
        <w:t>, sākot ar 2018.gadu, ir novirzāms aktuālāku pasākumu īstenošanai.</w:t>
      </w:r>
    </w:p>
    <w:p w:rsidR="00645296" w:rsidRDefault="006E59D2" w:rsidP="00697EA2">
      <w:pPr>
        <w:spacing w:before="240" w:after="240"/>
        <w:jc w:val="both"/>
      </w:pPr>
      <w:r>
        <w:rPr>
          <w:b/>
        </w:rPr>
        <w:t>ĀM</w:t>
      </w:r>
      <w:r w:rsidR="00645296" w:rsidRPr="008E2636">
        <w:rPr>
          <w:b/>
        </w:rPr>
        <w:t xml:space="preserve"> – Rīgas konferences un citu pasākumu organizēšanai</w:t>
      </w:r>
      <w:r w:rsidR="00645296" w:rsidRPr="008E2636">
        <w:t xml:space="preserve"> </w:t>
      </w:r>
    </w:p>
    <w:p w:rsidR="000E1974" w:rsidRPr="000E1974" w:rsidRDefault="000E1974" w:rsidP="000E1974">
      <w:pPr>
        <w:spacing w:after="120"/>
        <w:ind w:firstLine="709"/>
        <w:jc w:val="both"/>
      </w:pPr>
      <w:r w:rsidRPr="000E1974">
        <w:t>ĀM programmā 97.00.00 “Nozaru vadība un politikas plānošana” 2015.</w:t>
      </w:r>
      <w:r w:rsidRPr="000E1974">
        <w:noBreakHyphen/>
        <w:t xml:space="preserve">2017.gada ietvarā piešķirts finansējums JPI “Rīgas konferences un citu pasākumu organizēšanai” 2015., 2016. un 2017.gadam 148 000 </w:t>
      </w:r>
      <w:r w:rsidRPr="000E1974">
        <w:rPr>
          <w:i/>
          <w:iCs/>
        </w:rPr>
        <w:t>euro</w:t>
      </w:r>
      <w:r w:rsidRPr="000E1974">
        <w:t xml:space="preserve"> apmērā ik gadu, kas šādā apmērā ir pa</w:t>
      </w:r>
      <w:r w:rsidR="00A240A2">
        <w:t>redzēts ĀM budžetā arī 2017.gadam un turpmākajiem gadiem</w:t>
      </w:r>
      <w:r w:rsidRPr="000E1974">
        <w:t>.</w:t>
      </w:r>
    </w:p>
    <w:p w:rsidR="00645296" w:rsidRDefault="004E29C8" w:rsidP="000E1974">
      <w:pPr>
        <w:spacing w:after="120"/>
        <w:ind w:firstLine="709"/>
        <w:jc w:val="both"/>
      </w:pPr>
      <w:r w:rsidRPr="004E29C8">
        <w:t xml:space="preserve">Ņemot vērā faktisko 2015. un 2016.gada izdevumu izpildi, kas attiecīgi ir par 6 433 </w:t>
      </w:r>
      <w:r w:rsidRPr="004E29C8">
        <w:rPr>
          <w:i/>
        </w:rPr>
        <w:t>euro</w:t>
      </w:r>
      <w:r w:rsidRPr="004E29C8">
        <w:t xml:space="preserve"> un par 8 208 </w:t>
      </w:r>
      <w:r w:rsidRPr="004E29C8">
        <w:rPr>
          <w:i/>
        </w:rPr>
        <w:t>euro</w:t>
      </w:r>
      <w:r w:rsidRPr="004E29C8">
        <w:t xml:space="preserve"> mazāka nekā plānots, uzskatām, ka vidēja neizpilde jeb 7 321 </w:t>
      </w:r>
      <w:r w:rsidRPr="004E29C8">
        <w:rPr>
          <w:i/>
        </w:rPr>
        <w:t>euro</w:t>
      </w:r>
      <w:r w:rsidRPr="004E29C8">
        <w:t xml:space="preserve">, </w:t>
      </w:r>
      <w:r w:rsidR="00A240A2">
        <w:t>sākot ar 2018.gadu, ir novirzāmi</w:t>
      </w:r>
      <w:r w:rsidRPr="004E29C8">
        <w:t xml:space="preserve"> aktuālāku pasākumu īstenošanai.</w:t>
      </w:r>
    </w:p>
    <w:p w:rsidR="005826A5" w:rsidRPr="0094321C" w:rsidRDefault="0094321C" w:rsidP="0094321C">
      <w:pPr>
        <w:spacing w:after="120"/>
        <w:ind w:firstLine="709"/>
        <w:jc w:val="both"/>
      </w:pPr>
      <w:r>
        <w:t>Saskaņā ar ĀM sniegto informāciju 2018.</w:t>
      </w:r>
      <w:r w:rsidR="009C0C08">
        <w:t xml:space="preserve"> un 2019. </w:t>
      </w:r>
      <w:r>
        <w:t xml:space="preserve">gadā finansējums 9 000 </w:t>
      </w:r>
      <w:r>
        <w:rPr>
          <w:i/>
        </w:rPr>
        <w:t xml:space="preserve">euro </w:t>
      </w:r>
      <w:r>
        <w:t xml:space="preserve">apmērā tiks novirzīts Latvijas prezidentūras Baltijas jūras valstu padomē </w:t>
      </w:r>
      <w:r w:rsidR="000F049A">
        <w:t xml:space="preserve">un Baltijas ministru padomē </w:t>
      </w:r>
      <w:r>
        <w:t xml:space="preserve">nodrošināšanai. </w:t>
      </w:r>
      <w:r>
        <w:rPr>
          <w:i/>
        </w:rPr>
        <w:t xml:space="preserve"> </w:t>
      </w:r>
    </w:p>
    <w:p w:rsidR="000E1974" w:rsidRPr="0094321C" w:rsidRDefault="000E1974" w:rsidP="00F45846">
      <w:pPr>
        <w:spacing w:before="240" w:after="240"/>
        <w:rPr>
          <w:b/>
          <w:bCs/>
        </w:rPr>
      </w:pPr>
      <w:r>
        <w:rPr>
          <w:b/>
          <w:bCs/>
        </w:rPr>
        <w:t>EM</w:t>
      </w:r>
      <w:r w:rsidRPr="000E1974">
        <w:rPr>
          <w:b/>
          <w:bCs/>
        </w:rPr>
        <w:t xml:space="preserve"> - EM ekspertu dalība OECD instrumentos un pasākumos</w:t>
      </w:r>
    </w:p>
    <w:p w:rsidR="000E1974" w:rsidRPr="000E1974" w:rsidRDefault="000E1974" w:rsidP="000E1974">
      <w:pPr>
        <w:spacing w:after="120"/>
        <w:ind w:firstLine="709"/>
        <w:jc w:val="both"/>
      </w:pPr>
      <w:r>
        <w:t>EM</w:t>
      </w:r>
      <w:r w:rsidRPr="000E1974">
        <w:t xml:space="preserve"> programmā 97.00.00 “Nozaru vadība un politikas plānošana” 2014.-2016.gada ietvarā piešķirts finansējums </w:t>
      </w:r>
      <w:r>
        <w:t>JPI</w:t>
      </w:r>
      <w:r w:rsidRPr="000E1974">
        <w:t xml:space="preserve"> “EM ekspertu dalība OECD instrumentos un pasākumos” 2014.gadam 239 642 </w:t>
      </w:r>
      <w:r w:rsidRPr="000E1974">
        <w:rPr>
          <w:i/>
          <w:iCs/>
        </w:rPr>
        <w:t>euro</w:t>
      </w:r>
      <w:r w:rsidRPr="000E1974">
        <w:t xml:space="preserve"> apmērā, 2015. un 2016.gadam 236 633 </w:t>
      </w:r>
      <w:r w:rsidRPr="000E1974">
        <w:rPr>
          <w:i/>
          <w:iCs/>
        </w:rPr>
        <w:t>euro</w:t>
      </w:r>
      <w:r w:rsidRPr="000E1974">
        <w:t xml:space="preserve"> apmērā ik gadu, izveidojot 6 amata vietas, kā arī</w:t>
      </w:r>
      <w:r w:rsidR="00F04D43">
        <w:t xml:space="preserve"> apakš</w:t>
      </w:r>
      <w:r w:rsidRPr="000E1974">
        <w:t xml:space="preserve">programmā 26.02.00 “Konkurences politikas ieviešana” 2014.- 2016.gadam 29 070 </w:t>
      </w:r>
      <w:r w:rsidRPr="000E1974">
        <w:rPr>
          <w:i/>
          <w:iCs/>
        </w:rPr>
        <w:t>euro</w:t>
      </w:r>
      <w:r w:rsidR="00F04D43">
        <w:t xml:space="preserve"> apmērā ik gadu, izveidojot</w:t>
      </w:r>
      <w:r w:rsidRPr="000E1974">
        <w:t xml:space="preserve"> vienu amata vietu. Šādā apmērā finansējums ir pa</w:t>
      </w:r>
      <w:r w:rsidR="00427A03">
        <w:t>redzēts EM budžetā arī 2017.gadam un turpmākajiem gadiem</w:t>
      </w:r>
      <w:r w:rsidRPr="000E1974">
        <w:t>.</w:t>
      </w:r>
    </w:p>
    <w:p w:rsidR="000E1974" w:rsidRPr="000E1974" w:rsidRDefault="000E1974" w:rsidP="000E1974">
      <w:pPr>
        <w:spacing w:after="120"/>
        <w:ind w:firstLine="709"/>
        <w:jc w:val="both"/>
      </w:pPr>
      <w:r w:rsidRPr="000E1974">
        <w:t xml:space="preserve">Jauno amata vietu darbības nodrošināšanai piešķirtā finansējuma ietvaros tika plānoti izdevumi precēm un pakalpojumiem 110 280 </w:t>
      </w:r>
      <w:r w:rsidRPr="000E1974">
        <w:rPr>
          <w:i/>
          <w:iCs/>
        </w:rPr>
        <w:t>euro</w:t>
      </w:r>
      <w:r w:rsidRPr="000E1974">
        <w:t xml:space="preserve"> apmērā ik gadu, tajā skaitā komandējumu izmaksu segšanai ekspertu dalībai OECD komiteju un darba grupu sanāksmēs. Ņemot vērā, ka 2015.-2017.gada ietvarā </w:t>
      </w:r>
      <w:r>
        <w:t>EM</w:t>
      </w:r>
      <w:r w:rsidRPr="000E1974">
        <w:t xml:space="preserve"> piešķirts finansējums </w:t>
      </w:r>
      <w:r>
        <w:t>JPI</w:t>
      </w:r>
      <w:r w:rsidRPr="000E1974">
        <w:t xml:space="preserve"> “Ekonomikas ministrijas pārstāvības nodrošināšana tās kompetencē esošajās OECD komitejās un darba grupās” 2015.gadam 172 280 </w:t>
      </w:r>
      <w:r w:rsidRPr="000E1974">
        <w:rPr>
          <w:i/>
          <w:iCs/>
        </w:rPr>
        <w:t>euro</w:t>
      </w:r>
      <w:r w:rsidRPr="000E1974">
        <w:t xml:space="preserve"> apmērā, 2016. gadam 96 731 </w:t>
      </w:r>
      <w:r w:rsidRPr="000E1974">
        <w:rPr>
          <w:i/>
          <w:iCs/>
        </w:rPr>
        <w:t>euro</w:t>
      </w:r>
      <w:r w:rsidRPr="000E1974">
        <w:t xml:space="preserve"> apmērā un 2017.gadam 52 331 </w:t>
      </w:r>
      <w:r w:rsidRPr="000E1974">
        <w:rPr>
          <w:i/>
          <w:iCs/>
        </w:rPr>
        <w:t>euro</w:t>
      </w:r>
      <w:r w:rsidRPr="000E1974">
        <w:t xml:space="preserve"> apmērā, turklāt 2017.</w:t>
      </w:r>
      <w:r>
        <w:noBreakHyphen/>
      </w:r>
      <w:r w:rsidRPr="000E1974">
        <w:t xml:space="preserve">2019.gada ietvarā piešķirts finansējums </w:t>
      </w:r>
      <w:r>
        <w:t>JPI</w:t>
      </w:r>
      <w:r w:rsidRPr="000E1974">
        <w:t xml:space="preserve"> “Atašeju darbības nodrošināšana OECD” 2017.gadam 58 856 </w:t>
      </w:r>
      <w:r w:rsidRPr="000E1974">
        <w:rPr>
          <w:i/>
          <w:iCs/>
        </w:rPr>
        <w:t>euro</w:t>
      </w:r>
      <w:r w:rsidRPr="000E1974">
        <w:t xml:space="preserve"> apmērā, 2018. un 2019.gadam 45 970 </w:t>
      </w:r>
      <w:r w:rsidRPr="000E1974">
        <w:rPr>
          <w:i/>
          <w:iCs/>
        </w:rPr>
        <w:t>euro</w:t>
      </w:r>
      <w:r w:rsidRPr="000E1974">
        <w:t xml:space="preserve"> apmērā ik gadu, tad uzskatām, ka 2013.gadā piešķirtais finansējums komandējumu izdevumu segšanai 50% apmērā ir zaudējis savu aktualitāti un 55 140 </w:t>
      </w:r>
      <w:r w:rsidRPr="000E1974">
        <w:rPr>
          <w:i/>
          <w:iCs/>
        </w:rPr>
        <w:t>euro</w:t>
      </w:r>
      <w:r w:rsidRPr="000E1974">
        <w:t xml:space="preserve"> apmērā, sākot ar 2018.gadu, ir novirzāms aktuālāku pasākumu īstenošanai.</w:t>
      </w:r>
    </w:p>
    <w:p w:rsidR="000E1974" w:rsidRPr="007A51B4" w:rsidRDefault="007A51B4" w:rsidP="007A51B4">
      <w:pPr>
        <w:spacing w:after="120"/>
        <w:ind w:firstLine="709"/>
        <w:jc w:val="both"/>
      </w:pPr>
      <w:r w:rsidRPr="007A51B4">
        <w:t xml:space="preserve">Saskaņā ar EM sniegto informāciju piešķirtais finansējums komandējumu izdevumiem nav zaudējis savu aktualitāti un novirzāms ekspertu dalībai OECD instrumentos un pasākumos arī turpmākajos gados, ņemot vērā, ka EM un tās padotības iestāžu atbildībā ir 6 OECD komitejas, 2 darba grupas un Vietējās ekonomikas un nodarbinātības attīstība programma, turklāt tās aktīvi piedalās 17 OECD struktūrvienībās. </w:t>
      </w:r>
    </w:p>
    <w:p w:rsidR="000E1974" w:rsidRPr="007A51B4" w:rsidRDefault="000E1974" w:rsidP="00F45846">
      <w:pPr>
        <w:spacing w:before="240" w:after="240"/>
        <w:rPr>
          <w:color w:val="1F497D"/>
          <w:szCs w:val="24"/>
        </w:rPr>
      </w:pPr>
      <w:r>
        <w:rPr>
          <w:b/>
          <w:bCs/>
        </w:rPr>
        <w:lastRenderedPageBreak/>
        <w:t>EM</w:t>
      </w:r>
      <w:r w:rsidRPr="000E1974">
        <w:rPr>
          <w:b/>
          <w:bCs/>
        </w:rPr>
        <w:t xml:space="preserve"> - Būvniecības valsts kontrole</w:t>
      </w:r>
    </w:p>
    <w:p w:rsidR="000E1974" w:rsidRPr="000E1974" w:rsidRDefault="000E1974" w:rsidP="000E1974">
      <w:pPr>
        <w:spacing w:after="120"/>
        <w:ind w:firstLine="709"/>
        <w:jc w:val="both"/>
      </w:pPr>
      <w:r>
        <w:t>EM</w:t>
      </w:r>
      <w:r w:rsidRPr="000E1974">
        <w:t xml:space="preserve"> programmā 97.00.00 “Nozaru vadība un politikas plānošana” 2015.-2017.gada ietvarā piešķirts finansējums </w:t>
      </w:r>
      <w:r>
        <w:t>JPI</w:t>
      </w:r>
      <w:r w:rsidRPr="000E1974">
        <w:t xml:space="preserve"> “Būvniecības valsts kontrole” 2015.gadam 227 336 </w:t>
      </w:r>
      <w:r w:rsidRPr="000E1974">
        <w:rPr>
          <w:i/>
          <w:iCs/>
        </w:rPr>
        <w:t>euro</w:t>
      </w:r>
      <w:r w:rsidRPr="000E1974">
        <w:t xml:space="preserve">, 2016.gadam 180 946 </w:t>
      </w:r>
      <w:r w:rsidRPr="000E1974">
        <w:rPr>
          <w:i/>
          <w:iCs/>
        </w:rPr>
        <w:t>euro</w:t>
      </w:r>
      <w:r w:rsidRPr="000E1974">
        <w:t xml:space="preserve"> un 2017.gadam 180 946 </w:t>
      </w:r>
      <w:r w:rsidRPr="000E1974">
        <w:rPr>
          <w:i/>
          <w:iCs/>
        </w:rPr>
        <w:t>euro</w:t>
      </w:r>
      <w:r w:rsidRPr="000E1974">
        <w:t xml:space="preserve"> apmērā, kas šādā apmērā </w:t>
      </w:r>
      <w:r w:rsidR="00427A03">
        <w:t>ir paredzēts EM budžetā arī 2018.gadam un turpmākajiem gadiem</w:t>
      </w:r>
      <w:r w:rsidRPr="000E1974">
        <w:t xml:space="preserve">. Saskaņā ar </w:t>
      </w:r>
      <w:r>
        <w:t>MK</w:t>
      </w:r>
      <w:r w:rsidRPr="000E1974">
        <w:t xml:space="preserve"> 2014.gada 19.novembra sēdes protokola Nr.63 22.§ 3.2.punktu finansējums piešķirts 2 amata vietu izveidei valsts nodevas par būvniecības pakalpojumiem administrēšanai, būvniecības nozares standartu izstrādei un pilnveidošanai, būvkomersantu klasifikācijas sistēmas izveidei un uzturēšanai.</w:t>
      </w:r>
    </w:p>
    <w:p w:rsidR="000E1974" w:rsidRPr="000E1974" w:rsidRDefault="000E1974" w:rsidP="000E1974">
      <w:pPr>
        <w:spacing w:after="120"/>
        <w:ind w:firstLine="709"/>
        <w:jc w:val="both"/>
      </w:pPr>
      <w:r w:rsidRPr="000E1974">
        <w:t xml:space="preserve">Ņemot vērā, ka saskaņā ar </w:t>
      </w:r>
      <w:r>
        <w:t>MK</w:t>
      </w:r>
      <w:r w:rsidRPr="000E1974">
        <w:t xml:space="preserve"> 2016. gada 13.decembra noteikumu Nr.802 “Gr</w:t>
      </w:r>
      <w:r>
        <w:t>ozījumi Ministru kabineta 2014.gada 25.februāra noteikumos Nr.</w:t>
      </w:r>
      <w:r w:rsidRPr="000E1974">
        <w:t>116 “Būvkomersantu reģistrācijas noteikumi””</w:t>
      </w:r>
      <w:r w:rsidR="00427A03">
        <w:t xml:space="preserve"> </w:t>
      </w:r>
      <w:r w:rsidRPr="000E1974">
        <w:t>1.punktu Būvniecības valsts kontroles birojs veic komersantu reģistrāciju</w:t>
      </w:r>
      <w:r w:rsidRPr="000E1974">
        <w:rPr>
          <w:rFonts w:ascii="Arial" w:hAnsi="Arial" w:cs="Arial"/>
        </w:rPr>
        <w:t xml:space="preserve"> </w:t>
      </w:r>
      <w:r w:rsidRPr="000E1974">
        <w:t xml:space="preserve">būvkomersantu reģistrā, atkārtotu reģistrāciju, izslēgšanu no reģistra un reģistrā iekļautās informācijas aktualizēšanu, tad uzskatām, ka piešķirtais finansējums 2 </w:t>
      </w:r>
      <w:r w:rsidR="009E174E" w:rsidRPr="009E174E">
        <w:t xml:space="preserve">amata vietu darbības nodrošināšanai </w:t>
      </w:r>
      <w:r w:rsidRPr="000E1974">
        <w:t xml:space="preserve">62 946 </w:t>
      </w:r>
      <w:r w:rsidRPr="000E1974">
        <w:rPr>
          <w:i/>
          <w:iCs/>
        </w:rPr>
        <w:t>euro</w:t>
      </w:r>
      <w:r w:rsidRPr="000E1974">
        <w:t xml:space="preserve"> apmērā, sākot ar 2018.gadu, ir novirzāms aktuālāku pasākumu īstenošanai.</w:t>
      </w:r>
    </w:p>
    <w:p w:rsidR="000E1974" w:rsidRPr="000E1974" w:rsidRDefault="000E1974" w:rsidP="000E1974">
      <w:pPr>
        <w:spacing w:after="120"/>
        <w:ind w:firstLine="709"/>
        <w:jc w:val="both"/>
      </w:pPr>
      <w:r w:rsidRPr="000E1974">
        <w:t xml:space="preserve">2015.gadā būvkomersantu klasifikācijas sistēma netika izveidota un attiecīgi tās uzturēšanai paredzētie līdzekļi 8 000 </w:t>
      </w:r>
      <w:r w:rsidRPr="000E1974">
        <w:rPr>
          <w:i/>
        </w:rPr>
        <w:t>euro</w:t>
      </w:r>
      <w:r w:rsidRPr="000E1974">
        <w:t xml:space="preserve"> apmērā 2016.gadā netika izlietoti. Uzskatām, ka finansējums 8 000 </w:t>
      </w:r>
      <w:r w:rsidRPr="000E1974">
        <w:rPr>
          <w:i/>
        </w:rPr>
        <w:t>euro</w:t>
      </w:r>
      <w:r w:rsidRPr="000E1974">
        <w:t xml:space="preserve"> apmērā, sākot ar 2018.gadu, ir novirzāms aktuālāku pasākumu īstenošanai.</w:t>
      </w:r>
    </w:p>
    <w:p w:rsidR="000E1974" w:rsidRPr="000E1974" w:rsidRDefault="000E1974" w:rsidP="000E1974">
      <w:pPr>
        <w:spacing w:after="120"/>
        <w:ind w:firstLine="709"/>
        <w:jc w:val="both"/>
      </w:pPr>
      <w:r w:rsidRPr="000E1974">
        <w:t xml:space="preserve">Ņemot vērā faktisko 2015. un 2016.gada izdevumu izpildi būvniecības nozares standartu izstrādei un pilnveidošanai, kas attiecīgi ir par 75 035 </w:t>
      </w:r>
      <w:r w:rsidRPr="000E1974">
        <w:rPr>
          <w:i/>
          <w:iCs/>
        </w:rPr>
        <w:t>euro</w:t>
      </w:r>
      <w:r w:rsidRPr="000E1974">
        <w:t xml:space="preserve"> un par 79 020 </w:t>
      </w:r>
      <w:r w:rsidRPr="000E1974">
        <w:rPr>
          <w:i/>
          <w:iCs/>
        </w:rPr>
        <w:t>euro</w:t>
      </w:r>
      <w:r w:rsidRPr="000E1974">
        <w:t xml:space="preserve"> mazāka nekā plānots, uzskatām, ka </w:t>
      </w:r>
      <w:r w:rsidR="00B81483">
        <w:t xml:space="preserve">vidējais neizlietotais </w:t>
      </w:r>
      <w:r w:rsidRPr="000E1974">
        <w:t xml:space="preserve">finansējums 77 027 </w:t>
      </w:r>
      <w:r w:rsidRPr="000E1974">
        <w:rPr>
          <w:i/>
          <w:iCs/>
        </w:rPr>
        <w:t>euro</w:t>
      </w:r>
      <w:r w:rsidRPr="000E1974">
        <w:t xml:space="preserve"> apmērā, sākot ar 2018.gadu, ir novirzāms aktuālāku pasākumu īstenošanai.</w:t>
      </w:r>
    </w:p>
    <w:p w:rsidR="000E1974" w:rsidRPr="009E174E" w:rsidRDefault="000E1974" w:rsidP="000E1974">
      <w:pPr>
        <w:spacing w:after="120"/>
        <w:ind w:firstLine="709"/>
        <w:jc w:val="both"/>
      </w:pPr>
      <w:r w:rsidRPr="000E1974">
        <w:t>Kopā aktuālāku pasākumu īsten</w:t>
      </w:r>
      <w:r w:rsidR="00811872">
        <w:t>ošanai</w:t>
      </w:r>
      <w:r w:rsidR="00811872" w:rsidRPr="000E1974">
        <w:t>, sākot ar 2018.gadu</w:t>
      </w:r>
      <w:r w:rsidR="00811872">
        <w:t>,</w:t>
      </w:r>
      <w:r w:rsidR="00811872" w:rsidRPr="000E1974">
        <w:t xml:space="preserve"> </w:t>
      </w:r>
      <w:r w:rsidR="00811872">
        <w:t>novirzām</w:t>
      </w:r>
      <w:r w:rsidRPr="000E1974">
        <w:t>s finansējums 147</w:t>
      </w:r>
      <w:r w:rsidR="00F04D43">
        <w:t> </w:t>
      </w:r>
      <w:r w:rsidRPr="000E1974">
        <w:t>973</w:t>
      </w:r>
      <w:r w:rsidR="00F04D43">
        <w:t> </w:t>
      </w:r>
      <w:r w:rsidRPr="000E1974">
        <w:rPr>
          <w:i/>
          <w:iCs/>
        </w:rPr>
        <w:t xml:space="preserve">euro </w:t>
      </w:r>
      <w:r w:rsidRPr="009E174E">
        <w:rPr>
          <w:iCs/>
        </w:rPr>
        <w:t>apmērā.</w:t>
      </w:r>
    </w:p>
    <w:p w:rsidR="002A7EE2" w:rsidRDefault="002A7EE2" w:rsidP="002A7EE2">
      <w:pPr>
        <w:spacing w:before="240" w:after="240"/>
        <w:ind w:firstLine="720"/>
        <w:jc w:val="both"/>
      </w:pPr>
      <w:r w:rsidRPr="002A7EE2">
        <w:t xml:space="preserve">Saskaņā ar EM sniegto informāciju būvkomersantu klasifikācijas sistēma ir izveidota un atbilstoši </w:t>
      </w:r>
      <w:r>
        <w:t>MK</w:t>
      </w:r>
      <w:r w:rsidRPr="002A7EE2">
        <w:t xml:space="preserve"> 2016.g</w:t>
      </w:r>
      <w:r>
        <w:t>ada 12.aprīļa noteikumiem 2017.</w:t>
      </w:r>
      <w:r w:rsidRPr="002A7EE2">
        <w:t>gada 1.maijā ir veikta pirmreizēja būvkomersantu klasifikācija. Saistībā ar būvniecības administratīvā procesa digitalizāciju (atbilstoši Būvniecības likuma 24.panta ceturtās daļas nosacījumiem būvniecības informācijas sistēmā nodrošina būvniecības dokumentu elektronisku apriti un saskaņošanu sākot ar 2018.gada 1.janvāri), EM 2017. gadā plāno pārskatīt virkne būvnormatīvu, tai skaitā Latvijas būvnormatīvu LBN 202-15 "Būvprojekta saturs un noformēšana". Tuvākajā laikā ir jāveic vēl 30 būvnormatīvu pārskatīšana. Izveidoto 2 amata vietu darba pienākumi ir saistīti ar Būvkomersantu klasifikācijas ieviešanu, sistēmas darbības nodrošināšanu, uzturēšanu un turpmāko attīstību, kā arī Latvijas būvnormatīvu un standartu uzturēšanu un pilnveidošanu. Turklāt finansējums bija plānots ne tikai būvniecības nozares standartu izstrādei un pilnveidošanai, bet arī nozares izpētes darbiem, tādējādi EM ieskatā piešķirtais finansējums ir novirzāms tam pašam mērķim arī turpmākajos gados.</w:t>
      </w:r>
    </w:p>
    <w:p w:rsidR="000E1974" w:rsidRPr="009E174E" w:rsidRDefault="000E1974" w:rsidP="00F45846">
      <w:pPr>
        <w:spacing w:before="240" w:after="240"/>
        <w:rPr>
          <w:b/>
          <w:color w:val="1F497D"/>
          <w:szCs w:val="24"/>
        </w:rPr>
      </w:pPr>
      <w:r w:rsidRPr="000E1974">
        <w:rPr>
          <w:b/>
          <w:bCs/>
        </w:rPr>
        <w:t xml:space="preserve">EM - </w:t>
      </w:r>
      <w:r w:rsidRPr="000E1974">
        <w:rPr>
          <w:b/>
        </w:rPr>
        <w:t>Ārpustiesas patērētāju strīdus izskatīšanas mehānisma ieviešanai Latvijā</w:t>
      </w:r>
    </w:p>
    <w:p w:rsidR="000E1974" w:rsidRPr="000E1974" w:rsidRDefault="000E1974" w:rsidP="000E1974">
      <w:pPr>
        <w:spacing w:after="120"/>
        <w:ind w:firstLine="709"/>
        <w:jc w:val="both"/>
      </w:pPr>
      <w:r w:rsidRPr="000E1974">
        <w:t xml:space="preserve">EM </w:t>
      </w:r>
      <w:r w:rsidR="00F04D43">
        <w:t>apakš</w:t>
      </w:r>
      <w:r w:rsidRPr="000E1974">
        <w:t>programmā 26.01.00 “Iekšējais tirgus un patērē</w:t>
      </w:r>
      <w:r>
        <w:t>tāju tiesību aizsardzība” 2016.</w:t>
      </w:r>
      <w:r>
        <w:noBreakHyphen/>
      </w:r>
      <w:r w:rsidRPr="000E1974">
        <w:t xml:space="preserve">2018.gada ietvarā piešķirts finansējums JPI “Ārpustiesas patērētāju strīdus izskatīšanas mehānisma ieviešanai Latvijā” 2016., 2017. un 2018.gadam 175 408 </w:t>
      </w:r>
      <w:r w:rsidRPr="000E1974">
        <w:rPr>
          <w:i/>
          <w:iCs/>
        </w:rPr>
        <w:t>euro</w:t>
      </w:r>
      <w:r w:rsidR="007C3227">
        <w:t xml:space="preserve"> apmērā ik gadu, kas š</w:t>
      </w:r>
      <w:r w:rsidRPr="000E1974">
        <w:t xml:space="preserve">ādā apmērā </w:t>
      </w:r>
      <w:r w:rsidR="007C3227">
        <w:t>ir paredzēts EM budžetā arī 2019</w:t>
      </w:r>
      <w:r w:rsidR="000D0FC2">
        <w:t>.gadā un turpmākajiem gadiem</w:t>
      </w:r>
      <w:r w:rsidRPr="000E1974">
        <w:t>.</w:t>
      </w:r>
    </w:p>
    <w:p w:rsidR="000E1974" w:rsidRDefault="000E1974" w:rsidP="000E1974">
      <w:pPr>
        <w:spacing w:after="120"/>
        <w:ind w:firstLine="709"/>
        <w:jc w:val="both"/>
      </w:pPr>
      <w:r w:rsidRPr="000E1974">
        <w:t xml:space="preserve">Atbilstoši </w:t>
      </w:r>
      <w:r>
        <w:t>EM</w:t>
      </w:r>
      <w:r w:rsidRPr="000E1974">
        <w:t xml:space="preserve"> sniegtajai informācijai 2016.gada 9 mēnešos izskatīti 1 257 iesniegumu par strīdu izskatīšanu un tam faktiski izlietots finansējums 99 335 </w:t>
      </w:r>
      <w:r w:rsidRPr="000E1974">
        <w:rPr>
          <w:i/>
        </w:rPr>
        <w:t xml:space="preserve">euro </w:t>
      </w:r>
      <w:r w:rsidRPr="000E1974">
        <w:t xml:space="preserve">apmērā, tajā skaitā Patērētāju tiesību aizsardzības centra darbinieku atlīdzībai un piemaksām, kā arī piesaistīto </w:t>
      </w:r>
      <w:r w:rsidRPr="000E1974">
        <w:lastRenderedPageBreak/>
        <w:t xml:space="preserve">ekspertu un tiesnešu darba apmaksai 81 637 </w:t>
      </w:r>
      <w:r w:rsidRPr="000E1974">
        <w:rPr>
          <w:i/>
          <w:iCs/>
        </w:rPr>
        <w:t>euro</w:t>
      </w:r>
      <w:r w:rsidR="006B7491">
        <w:rPr>
          <w:iCs/>
        </w:rPr>
        <w:t xml:space="preserve"> apmērā</w:t>
      </w:r>
      <w:r w:rsidRPr="000E1974">
        <w:t xml:space="preserve">. Attiecīgi viena strīda izskatīšanā iesaistīto cilvēkresursu izmaksas bija 65 </w:t>
      </w:r>
      <w:r w:rsidRPr="000E1974">
        <w:rPr>
          <w:i/>
          <w:iCs/>
        </w:rPr>
        <w:t>euro</w:t>
      </w:r>
      <w:r w:rsidRPr="000E1974">
        <w:t xml:space="preserve">. 2017.gada 4 mēnešos saņemto iesniegumu skaits ir 492, attiecīgi var pieņemt, ka gada laikā iesniegumu skaits sasniegs 1 476, kuru izskatīšanai provizoriski nepieciešams finansējums būs 95 940 </w:t>
      </w:r>
      <w:r w:rsidRPr="000E1974">
        <w:rPr>
          <w:i/>
          <w:iCs/>
        </w:rPr>
        <w:t xml:space="preserve">euro </w:t>
      </w:r>
      <w:r w:rsidR="006B7491">
        <w:t>apmērā. Ņemot</w:t>
      </w:r>
      <w:r w:rsidRPr="000E1974">
        <w:t xml:space="preserve"> vērā minēto, uzskatām, ka finansējums 79 468 </w:t>
      </w:r>
      <w:r w:rsidRPr="000E1974">
        <w:rPr>
          <w:i/>
          <w:iCs/>
        </w:rPr>
        <w:t>euro</w:t>
      </w:r>
      <w:r w:rsidRPr="000E1974">
        <w:t xml:space="preserve"> apmērā, sākot ar 2018.gadu, ir novirzāms aktuālāku pasākumu īstenošanai.</w:t>
      </w:r>
    </w:p>
    <w:p w:rsidR="003979FF" w:rsidRPr="00256F9E" w:rsidRDefault="00256F9E" w:rsidP="00256F9E">
      <w:pPr>
        <w:spacing w:after="120"/>
        <w:ind w:firstLine="709"/>
        <w:jc w:val="both"/>
      </w:pPr>
      <w:r w:rsidRPr="00256F9E">
        <w:t>EM norāda, ka jāņem vērā, ka ārpustiesas patērētāju strīdus izskatīšanas mehānisms tika ieviests tikai 2016.gada otrajā pusē, kā arī to, ka papildus strīdu risināšanai tās ietvaros tiek arī uzraudzīti citi strīdu risinātāji, kā arī finansēta patērētāju sabiedrisko organizāciju līdzdalība strīdu risināšanā, kuras paveiktais nav iekļauts esošajos PTAC rezultatīvajos rādītājos. Ņemot vērā minēto, EM ieskatā piešķirtais finansējums ārpustiesas patērētāju strīdus izskatīšanas mehānisma ieviešanai Latvijā ir novirzāms tam pašam mērķim arī turpmākajos gados.</w:t>
      </w:r>
    </w:p>
    <w:p w:rsidR="000E1974" w:rsidRPr="00A30653" w:rsidRDefault="000E1974" w:rsidP="00A30653">
      <w:pPr>
        <w:spacing w:before="120" w:after="120"/>
        <w:jc w:val="both"/>
        <w:rPr>
          <w:szCs w:val="24"/>
          <w:highlight w:val="yellow"/>
        </w:rPr>
      </w:pPr>
      <w:r>
        <w:rPr>
          <w:b/>
          <w:bCs/>
        </w:rPr>
        <w:t>EM - Ēku energoefektivitātes uzlabošanas pārejas risinājums, nodrošinot uzsāktās aktivitātes ēku energoefektivitātes jomā starp plānošanas periodiem</w:t>
      </w:r>
    </w:p>
    <w:p w:rsidR="000E1974" w:rsidRPr="000E1974" w:rsidRDefault="000E1974" w:rsidP="00A30653">
      <w:pPr>
        <w:spacing w:after="120"/>
        <w:ind w:firstLine="709"/>
        <w:jc w:val="both"/>
      </w:pPr>
      <w:r w:rsidRPr="000E1974">
        <w:t xml:space="preserve">EM programmā 97.00.00 “Nozaru vadība un politikas plānošana” 2014.-2016.gada ietvarā piešķirts finansējums JPI “Ēku energoefektivitātes uzlabošanas pārejas risinājums, nodrošinot uzsāktās aktivitātes ēku energoefektivitātes jomā starp plānošanas periodiem” 2014.gadam 109 325 </w:t>
      </w:r>
      <w:r w:rsidRPr="000E1974">
        <w:rPr>
          <w:i/>
          <w:iCs/>
        </w:rPr>
        <w:t>euro</w:t>
      </w:r>
      <w:r w:rsidRPr="000E1974">
        <w:t xml:space="preserve"> apmērā, 2015. un 2016.gadam 103 633 </w:t>
      </w:r>
      <w:r w:rsidRPr="000E1974">
        <w:rPr>
          <w:i/>
          <w:iCs/>
        </w:rPr>
        <w:t>euro</w:t>
      </w:r>
      <w:r w:rsidRPr="000E1974">
        <w:t xml:space="preserve"> apmērā ik gadu. Šādā apmērā finansējums ir pa</w:t>
      </w:r>
      <w:r w:rsidR="009204CC">
        <w:t>redzēts EM budžetā arī 2017.gadam un turpmākajiem gadiem</w:t>
      </w:r>
      <w:r w:rsidRPr="000E1974">
        <w:t>. Saskaņā ar MK 2013.gada 8.augusta sēdes protokola Nr.43 11.§ 11.punktu finansējums piešķirts 4 amata vietu izveidei un darbības nodrošināšanai, lai mazinātu administratīvo slogu energoefektivitātes pasākumu īstenošanā</w:t>
      </w:r>
    </w:p>
    <w:p w:rsidR="00177F1C" w:rsidRDefault="000E1974" w:rsidP="00A30653">
      <w:pPr>
        <w:spacing w:after="120"/>
        <w:ind w:firstLine="709"/>
        <w:jc w:val="both"/>
      </w:pPr>
      <w:r w:rsidRPr="000E1974">
        <w:t>Ņemot vērā, ka izveidoto 4 amata vietu darba pienākumi saistīti ar energoefektivitātes politikas izstrādi, tajā skaitā ES direktīvas 2012/27/ES prasību ieviešanu nacionālajos tiesību aktos, atbilstošu politikas plānošanas dokumentu izstrādi, uzskatām, ka jaunu amata vietu izveide nenodrošināja administratīvā sloga mazināšanu, attiecīgi paredzētā mērķa sasniegšanu. Turklāt uzskatām, ka administratīvā sloga mazināšanai pēc būtības</w:t>
      </w:r>
      <w:r>
        <w:t xml:space="preserve"> ir vienreizēja pasākuma efekts. Līdz ar to finansējums 103 633 </w:t>
      </w:r>
      <w:r>
        <w:rPr>
          <w:i/>
          <w:iCs/>
        </w:rPr>
        <w:t>euro</w:t>
      </w:r>
      <w:r>
        <w:t xml:space="preserve"> apmērā, sākot ar 2018.gadu, ir novirzāms a</w:t>
      </w:r>
      <w:r w:rsidR="00A30653">
        <w:t xml:space="preserve">ktuālāku pasākumu īstenošanai. </w:t>
      </w:r>
    </w:p>
    <w:p w:rsidR="00E244D2" w:rsidRDefault="00E244D2" w:rsidP="00E244D2">
      <w:pPr>
        <w:spacing w:before="120" w:after="120"/>
        <w:ind w:firstLine="720"/>
        <w:jc w:val="both"/>
      </w:pPr>
      <w:r w:rsidRPr="00E244D2">
        <w:t>Saskaņā ar EM sniegto informāciju piešķirtais finansējums nodrošina turpmāku Energoefektivitātes likuma ietvaros noteikto funkciju izpildi - energoefektivitātes pienākumu shēmas ieviešanu, brīvprātīgo vienošanās slēgšanas sekmēšanu, energoefektivitātes monitoringa un regulāro ziņošanu, kā arī citu likuma prasību īstenošanas uzraudzību un administrēšanas nodrošināšanu. Ņemot vērā minēto, EM ieskatā piešķirtais finansējums 4 amata vietu darbības nodrošināšanai ir novirzāms nacionālo energoefektivitātes mērķu plānošanai un ieviešanai arī turpmākajos gados, lai nodrošinātu valsts saistību izpildi Direktīvas 2012/27/ES noteiktajos saistību periodos līdz 2020. un 2030.gadam.</w:t>
      </w:r>
    </w:p>
    <w:p w:rsidR="00177F1C" w:rsidRPr="00B92375" w:rsidRDefault="006E59D2" w:rsidP="00A62811">
      <w:pPr>
        <w:spacing w:before="120" w:after="120"/>
        <w:jc w:val="both"/>
        <w:rPr>
          <w:b/>
        </w:rPr>
      </w:pPr>
      <w:r>
        <w:rPr>
          <w:b/>
        </w:rPr>
        <w:t>IeM</w:t>
      </w:r>
      <w:r w:rsidR="00177F1C" w:rsidRPr="00B92375">
        <w:rPr>
          <w:b/>
        </w:rPr>
        <w:t xml:space="preserve"> - </w:t>
      </w:r>
      <w:r w:rsidR="00B92375" w:rsidRPr="00B92375">
        <w:rPr>
          <w:b/>
        </w:rPr>
        <w:t>Veselības aprūpes pakalpojumu pieejamības paaugstināšana Iekšlietu ministrijas padotības iestāžu un Ieslodzījuma vietu pārvaldes amatpersonām ar speciālajām dienesta pakāpēm</w:t>
      </w:r>
    </w:p>
    <w:p w:rsidR="00177F1C" w:rsidRDefault="006E59D2" w:rsidP="00177F1C">
      <w:pPr>
        <w:pStyle w:val="NormalWeb"/>
        <w:spacing w:before="0" w:beforeAutospacing="0" w:after="120" w:afterAutospacing="0"/>
        <w:ind w:firstLine="720"/>
        <w:jc w:val="both"/>
      </w:pPr>
      <w:r>
        <w:t>IeM</w:t>
      </w:r>
      <w:r w:rsidR="00177F1C" w:rsidRPr="00902686">
        <w:t xml:space="preserve"> 2014.-2016.gada valsts budžeta sagatavošanas procesā tika piešķirts papildu finansējums </w:t>
      </w:r>
      <w:r>
        <w:t>JPI</w:t>
      </w:r>
      <w:r w:rsidR="00177F1C" w:rsidRPr="00902686">
        <w:t xml:space="preserve"> “Veselības aprūpes pakalpojumu pieejamības paaugstināšana </w:t>
      </w:r>
      <w:r>
        <w:t>IeM</w:t>
      </w:r>
      <w:r w:rsidR="00177F1C" w:rsidRPr="00902686">
        <w:t xml:space="preserve"> padotības iestāžu un Ieslodzījuma vietu pārvaldes amatpersonām ar speciālajām dienesta pakāpēm” </w:t>
      </w:r>
      <w:r w:rsidR="00177F1C">
        <w:t xml:space="preserve">– </w:t>
      </w:r>
      <w:r w:rsidR="00177F1C" w:rsidRPr="00902686">
        <w:t>2014.gad</w:t>
      </w:r>
      <w:r w:rsidR="00177F1C">
        <w:t>ā</w:t>
      </w:r>
      <w:r w:rsidR="00177F1C" w:rsidRPr="00902686">
        <w:t xml:space="preserve"> </w:t>
      </w:r>
      <w:r w:rsidR="00177F1C">
        <w:t xml:space="preserve">0,5 milj. </w:t>
      </w:r>
      <w:r w:rsidR="00177F1C" w:rsidRPr="002B3743">
        <w:rPr>
          <w:i/>
        </w:rPr>
        <w:t>euro</w:t>
      </w:r>
      <w:r w:rsidR="00177F1C">
        <w:t xml:space="preserve"> apmērā, 2015.gadā 0,6 milj. </w:t>
      </w:r>
      <w:r w:rsidR="00177F1C" w:rsidRPr="00902686">
        <w:rPr>
          <w:i/>
        </w:rPr>
        <w:t>euro</w:t>
      </w:r>
      <w:r w:rsidR="00177F1C">
        <w:t xml:space="preserve"> apmērā un 2016.gadā 1,2 milj. </w:t>
      </w:r>
      <w:r w:rsidR="00177F1C" w:rsidRPr="00902686">
        <w:rPr>
          <w:i/>
        </w:rPr>
        <w:t>euro</w:t>
      </w:r>
      <w:r w:rsidR="00177F1C">
        <w:t xml:space="preserve"> apmērā, kas šādā apmērā ir paredzēts </w:t>
      </w:r>
      <w:r>
        <w:t>IeM</w:t>
      </w:r>
      <w:r w:rsidR="00ED4B3E">
        <w:t xml:space="preserve"> budžetā arī 2017.gadam un turpmākajiem gadiem</w:t>
      </w:r>
      <w:r w:rsidR="00177F1C">
        <w:t xml:space="preserve">. Finansējums tika piešķirts, lai </w:t>
      </w:r>
      <w:r w:rsidR="00ED4B3E">
        <w:t>IeM</w:t>
      </w:r>
      <w:r w:rsidR="00177F1C">
        <w:t xml:space="preserve"> sistēmas iestāžu amatpersonām ar speciālajām dienesta pakāpēm no 2014.gada nodrošinātu </w:t>
      </w:r>
      <w:r w:rsidR="00177F1C" w:rsidRPr="00902686">
        <w:t>plānveida operācijas, obligātās veselības pārbaudes, medicīnisk</w:t>
      </w:r>
      <w:r w:rsidR="00177F1C">
        <w:t>o</w:t>
      </w:r>
      <w:r w:rsidR="00177F1C" w:rsidRPr="00902686">
        <w:t xml:space="preserve"> rehabilitācij</w:t>
      </w:r>
      <w:r w:rsidR="00177F1C">
        <w:t xml:space="preserve">u, paaugstinātu kompensācijas par vakcināciju un </w:t>
      </w:r>
      <w:r w:rsidR="00177F1C" w:rsidRPr="00902686">
        <w:t xml:space="preserve">veselības aprūpei </w:t>
      </w:r>
      <w:r w:rsidR="00177F1C" w:rsidRPr="00902686">
        <w:lastRenderedPageBreak/>
        <w:t>izlietoto līdzekļu limit</w:t>
      </w:r>
      <w:r w:rsidR="00177F1C">
        <w:t>u un</w:t>
      </w:r>
      <w:r w:rsidR="00177F1C" w:rsidRPr="00902686">
        <w:t xml:space="preserve"> </w:t>
      </w:r>
      <w:r w:rsidR="00177F1C">
        <w:t xml:space="preserve">izveidotu </w:t>
      </w:r>
      <w:r w:rsidR="00177F1C" w:rsidRPr="00902686">
        <w:t>psiholoģiskā atbalsta dienest</w:t>
      </w:r>
      <w:r w:rsidR="00177F1C">
        <w:t>u</w:t>
      </w:r>
      <w:r w:rsidR="00177F1C" w:rsidRPr="00902686">
        <w:t xml:space="preserve">, </w:t>
      </w:r>
      <w:r w:rsidR="00177F1C">
        <w:t xml:space="preserve">un no 2016.gada nodrošinātu </w:t>
      </w:r>
      <w:r w:rsidR="00177F1C" w:rsidRPr="00902686">
        <w:t>zobārstniecīb</w:t>
      </w:r>
      <w:r w:rsidR="00177F1C">
        <w:t>u</w:t>
      </w:r>
      <w:r w:rsidR="00177F1C" w:rsidRPr="00902686">
        <w:t xml:space="preserve"> </w:t>
      </w:r>
      <w:r w:rsidR="00177F1C">
        <w:t>un</w:t>
      </w:r>
      <w:r w:rsidR="00177F1C" w:rsidRPr="00902686">
        <w:t xml:space="preserve"> medikamentu iegād</w:t>
      </w:r>
      <w:r w:rsidR="00177F1C">
        <w:t xml:space="preserve">i, kā arī nodrošinātu </w:t>
      </w:r>
      <w:r w:rsidR="00177F1C" w:rsidRPr="00902686">
        <w:t>veselības aprūp</w:t>
      </w:r>
      <w:r w:rsidR="00177F1C">
        <w:t>i</w:t>
      </w:r>
      <w:r w:rsidR="00177F1C" w:rsidRPr="00902686">
        <w:t xml:space="preserve"> bijušajām amatpersonām</w:t>
      </w:r>
      <w:r w:rsidR="00177F1C">
        <w:t xml:space="preserve">. </w:t>
      </w:r>
    </w:p>
    <w:p w:rsidR="00177F1C" w:rsidRDefault="00177F1C" w:rsidP="00FF0C7D">
      <w:pPr>
        <w:pStyle w:val="NormalWeb"/>
        <w:spacing w:before="0" w:beforeAutospacing="0" w:after="120" w:afterAutospacing="0"/>
        <w:ind w:firstLine="720"/>
        <w:jc w:val="both"/>
      </w:pPr>
      <w:r>
        <w:t xml:space="preserve">2013.gada 19.decembrī steidzamības kārtā pēc </w:t>
      </w:r>
      <w:r w:rsidR="006E59D2">
        <w:t>IeM</w:t>
      </w:r>
      <w:r>
        <w:t xml:space="preserve"> priekšlikuma tika pieņemti g</w:t>
      </w:r>
      <w:r w:rsidRPr="00A5101E">
        <w:t>rozījumi</w:t>
      </w:r>
      <w:r>
        <w:t xml:space="preserve"> </w:t>
      </w:r>
      <w:r w:rsidRPr="00A5101E">
        <w:t xml:space="preserve">Valsts un pašvaldību institūciju amatpersonu </w:t>
      </w:r>
      <w:r>
        <w:t xml:space="preserve">un darbinieku atlīdzības likumā, kas paredz sociālo garantiju (pabalstu izmaksu) un veselības aprūpes pakalpojumu klāsta un amatpersonu loka, uz kurām tie attiecas, papildināšanu. Lai nodrošinātu minētā likuma normu izpildi, ar vairākiem </w:t>
      </w:r>
      <w:r w:rsidR="00ED3062">
        <w:t>MK</w:t>
      </w:r>
      <w:r>
        <w:t xml:space="preserve"> </w:t>
      </w:r>
      <w:r w:rsidRPr="00F04D43">
        <w:t xml:space="preserve">lēmumiem </w:t>
      </w:r>
      <w:r w:rsidR="00ED3062" w:rsidRPr="00F04D43">
        <w:t>IeM</w:t>
      </w:r>
      <w:r w:rsidRPr="00F04D43">
        <w:t xml:space="preserve"> budžetā tika iekļauts papildu finansējums veselības aprūpes pakalpojumu nodrošināšanai (</w:t>
      </w:r>
      <w:r w:rsidR="00FF0C7D" w:rsidRPr="00F04D43">
        <w:t>sk</w:t>
      </w:r>
      <w:r w:rsidR="00F04D43" w:rsidRPr="00F04D43">
        <w:t>at</w:t>
      </w:r>
      <w:r w:rsidR="00FF0C7D" w:rsidRPr="00F04D43">
        <w:t>.</w:t>
      </w:r>
      <w:r w:rsidR="00F04D43" w:rsidRPr="00F04D43">
        <w:t xml:space="preserve"> 3.60</w:t>
      </w:r>
      <w:r w:rsidRPr="00F04D43">
        <w:t>.att</w:t>
      </w:r>
      <w:r w:rsidR="00F04D43" w:rsidRPr="00F04D43">
        <w:t>ēlu</w:t>
      </w:r>
      <w:r w:rsidRPr="00F04D43">
        <w:t>), sākot</w:t>
      </w:r>
      <w:r>
        <w:t xml:space="preserve"> ar 2014.gadu, palielinot kopējo </w:t>
      </w:r>
      <w:r w:rsidR="00ED3062">
        <w:t>IeM</w:t>
      </w:r>
      <w:r>
        <w:t xml:space="preserve"> papildu piešķirtā finansējuma apmēru veselības aprūpei līdz 3,5 milj. </w:t>
      </w:r>
      <w:r w:rsidRPr="00A85FFE">
        <w:rPr>
          <w:i/>
        </w:rPr>
        <w:t>euro</w:t>
      </w:r>
      <w:r w:rsidR="00FF0C7D">
        <w:t xml:space="preserve"> ik gadu. </w:t>
      </w:r>
    </w:p>
    <w:p w:rsidR="00177F1C" w:rsidRDefault="00177F1C" w:rsidP="00177F1C">
      <w:pPr>
        <w:pStyle w:val="NormalWeb"/>
        <w:spacing w:before="0" w:beforeAutospacing="0" w:after="0" w:afterAutospacing="0"/>
        <w:jc w:val="both"/>
      </w:pPr>
      <w:r>
        <w:rPr>
          <w:noProof/>
        </w:rPr>
        <w:drawing>
          <wp:inline distT="0" distB="0" distL="0" distR="0" wp14:anchorId="66763DD7" wp14:editId="00A917CA">
            <wp:extent cx="5941060" cy="3552190"/>
            <wp:effectExtent l="0" t="0" r="2540" b="1016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177F1C" w:rsidRPr="00457B39" w:rsidRDefault="00F04D43" w:rsidP="00FF0C7D">
      <w:pPr>
        <w:spacing w:before="120"/>
        <w:jc w:val="center"/>
        <w:rPr>
          <w:rFonts w:cs="Times New Roman"/>
          <w:b/>
          <w:sz w:val="22"/>
        </w:rPr>
      </w:pPr>
      <w:r w:rsidRPr="00F04D43">
        <w:rPr>
          <w:rFonts w:cs="Times New Roman"/>
          <w:i/>
          <w:sz w:val="22"/>
        </w:rPr>
        <w:t>3.60</w:t>
      </w:r>
      <w:r w:rsidR="00FF0C7D" w:rsidRPr="00F04D43">
        <w:rPr>
          <w:rFonts w:cs="Times New Roman"/>
          <w:i/>
          <w:sz w:val="22"/>
        </w:rPr>
        <w:t>.</w:t>
      </w:r>
      <w:r w:rsidR="00177F1C" w:rsidRPr="00F04D43">
        <w:rPr>
          <w:rFonts w:cs="Times New Roman"/>
          <w:i/>
          <w:sz w:val="22"/>
        </w:rPr>
        <w:t>att.</w:t>
      </w:r>
      <w:r w:rsidR="00177F1C" w:rsidRPr="00F04D43">
        <w:rPr>
          <w:rFonts w:cs="Times New Roman"/>
          <w:sz w:val="22"/>
        </w:rPr>
        <w:t xml:space="preserve"> </w:t>
      </w:r>
      <w:r w:rsidR="00177F1C" w:rsidRPr="00F04D43">
        <w:rPr>
          <w:rFonts w:cs="Times New Roman"/>
          <w:b/>
          <w:sz w:val="22"/>
        </w:rPr>
        <w:t xml:space="preserve">Veselības aprūpei papildu piešķirtais finansējums, sākot no 2014.gada (milj. </w:t>
      </w:r>
      <w:r w:rsidR="00177F1C" w:rsidRPr="00F04D43">
        <w:rPr>
          <w:rFonts w:cs="Times New Roman"/>
          <w:b/>
          <w:i/>
          <w:sz w:val="22"/>
        </w:rPr>
        <w:t>euro</w:t>
      </w:r>
      <w:r w:rsidR="00FF0C7D" w:rsidRPr="00F04D43">
        <w:rPr>
          <w:rFonts w:cs="Times New Roman"/>
          <w:b/>
          <w:sz w:val="22"/>
        </w:rPr>
        <w:t>)</w:t>
      </w:r>
    </w:p>
    <w:p w:rsidR="00177F1C" w:rsidRDefault="00177F1C" w:rsidP="00FF0C7D">
      <w:pPr>
        <w:spacing w:before="240" w:after="120"/>
        <w:ind w:firstLine="720"/>
        <w:jc w:val="both"/>
        <w:rPr>
          <w:bCs/>
        </w:rPr>
      </w:pPr>
      <w:r w:rsidRPr="000316EA">
        <w:t xml:space="preserve">Gan 2015.gadā, gan 2016.gadā </w:t>
      </w:r>
      <w:r w:rsidR="00642170">
        <w:t>IeM</w:t>
      </w:r>
      <w:r w:rsidRPr="000316EA">
        <w:t xml:space="preserve"> vairākkārt ir vērsusies </w:t>
      </w:r>
      <w:r w:rsidR="00642170">
        <w:t>MK</w:t>
      </w:r>
      <w:r w:rsidRPr="000316EA">
        <w:t xml:space="preserve">, lai saņemtu atļauju pārdalīt veselības aprūpei ietaupīto finansējumu citiem mērķiem. 2015.gadā </w:t>
      </w:r>
      <w:r w:rsidR="00642170">
        <w:t>IeM</w:t>
      </w:r>
      <w:r w:rsidRPr="000316EA">
        <w:t xml:space="preserve"> </w:t>
      </w:r>
      <w:r w:rsidRPr="000316EA">
        <w:rPr>
          <w:bCs/>
        </w:rPr>
        <w:t xml:space="preserve">pārdalīja citiem pasākumiem </w:t>
      </w:r>
      <w:r>
        <w:rPr>
          <w:bCs/>
        </w:rPr>
        <w:t xml:space="preserve">budžeta apakšprogrammā plānoto finansējumu (kas pamatā paredzēts </w:t>
      </w:r>
      <w:r w:rsidRPr="000316EA">
        <w:rPr>
          <w:bCs/>
        </w:rPr>
        <w:t>amatpersonu ar speciālajām dienesta pakāpēm sociālo garantiju uzlabošanai un veselības aprūpes pakalpojumu nodrošināšanai</w:t>
      </w:r>
      <w:r>
        <w:rPr>
          <w:bCs/>
        </w:rPr>
        <w:t>)</w:t>
      </w:r>
      <w:r w:rsidRPr="000316EA">
        <w:rPr>
          <w:bCs/>
        </w:rPr>
        <w:t xml:space="preserve"> </w:t>
      </w:r>
      <w:r>
        <w:rPr>
          <w:bCs/>
        </w:rPr>
        <w:t>1,5 milj.</w:t>
      </w:r>
      <w:r w:rsidRPr="000316EA">
        <w:rPr>
          <w:bCs/>
        </w:rPr>
        <w:t xml:space="preserve"> </w:t>
      </w:r>
      <w:r w:rsidRPr="000316EA">
        <w:rPr>
          <w:bCs/>
          <w:i/>
        </w:rPr>
        <w:t>euro</w:t>
      </w:r>
      <w:r w:rsidRPr="000316EA">
        <w:rPr>
          <w:bCs/>
        </w:rPr>
        <w:t xml:space="preserve"> apmērā. </w:t>
      </w:r>
      <w:r>
        <w:rPr>
          <w:bCs/>
        </w:rPr>
        <w:t xml:space="preserve">Arī 2016.gadā </w:t>
      </w:r>
      <w:r w:rsidR="00642170">
        <w:rPr>
          <w:bCs/>
        </w:rPr>
        <w:t>IeM</w:t>
      </w:r>
      <w:r>
        <w:rPr>
          <w:bCs/>
        </w:rPr>
        <w:t xml:space="preserve"> no minētās apakšprogrammas citiem mērķiem pārdalīja finansējumu 0,9 milj. </w:t>
      </w:r>
      <w:r w:rsidRPr="000316EA">
        <w:rPr>
          <w:bCs/>
          <w:i/>
        </w:rPr>
        <w:t>euro</w:t>
      </w:r>
      <w:r>
        <w:rPr>
          <w:bCs/>
        </w:rPr>
        <w:t xml:space="preserve"> apmērā. Līdz ar to 2015.gadā budžeta likumā sākotnēji plānotais finansējums no faktiski izlietotā finansējuma gada beigās atšķīrās par 1 505 007 </w:t>
      </w:r>
      <w:r w:rsidRPr="002B3743">
        <w:rPr>
          <w:bCs/>
          <w:i/>
        </w:rPr>
        <w:t>euro</w:t>
      </w:r>
      <w:r>
        <w:rPr>
          <w:bCs/>
        </w:rPr>
        <w:t xml:space="preserve">, savukārt 2016.gadā sākotnējā plāna un faktiski veikto izdevumu starpība bija 932 037 </w:t>
      </w:r>
      <w:r w:rsidRPr="002B3743">
        <w:rPr>
          <w:bCs/>
          <w:i/>
        </w:rPr>
        <w:t>euro</w:t>
      </w:r>
      <w:r>
        <w:rPr>
          <w:bCs/>
          <w:i/>
        </w:rPr>
        <w:t>.</w:t>
      </w:r>
    </w:p>
    <w:p w:rsidR="00177F1C" w:rsidRPr="000316EA" w:rsidRDefault="00177F1C" w:rsidP="00177F1C">
      <w:pPr>
        <w:jc w:val="both"/>
        <w:rPr>
          <w:bCs/>
        </w:rPr>
      </w:pPr>
      <w:r>
        <w:rPr>
          <w:noProof/>
          <w:lang w:eastAsia="lv-LV"/>
        </w:rPr>
        <w:lastRenderedPageBreak/>
        <w:drawing>
          <wp:inline distT="0" distB="0" distL="0" distR="0" wp14:anchorId="504A6942" wp14:editId="14A1EB32">
            <wp:extent cx="5941060" cy="3571875"/>
            <wp:effectExtent l="0" t="0" r="2540"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ED4B3E" w:rsidRPr="00ED4B3E" w:rsidRDefault="00F04D43" w:rsidP="00ED4B3E">
      <w:pPr>
        <w:spacing w:before="120" w:after="240"/>
        <w:jc w:val="center"/>
        <w:rPr>
          <w:rFonts w:cs="Times New Roman"/>
          <w:b/>
          <w:sz w:val="22"/>
        </w:rPr>
      </w:pPr>
      <w:r w:rsidRPr="00F04D43">
        <w:rPr>
          <w:rFonts w:cs="Times New Roman"/>
          <w:i/>
          <w:sz w:val="22"/>
        </w:rPr>
        <w:t>3.61</w:t>
      </w:r>
      <w:r w:rsidR="00177F1C" w:rsidRPr="00F04D43">
        <w:rPr>
          <w:rFonts w:cs="Times New Roman"/>
          <w:i/>
          <w:sz w:val="22"/>
        </w:rPr>
        <w:t>.att.</w:t>
      </w:r>
      <w:r w:rsidR="00177F1C" w:rsidRPr="00F04D43">
        <w:rPr>
          <w:rFonts w:cs="Times New Roman"/>
          <w:sz w:val="22"/>
        </w:rPr>
        <w:t xml:space="preserve"> </w:t>
      </w:r>
      <w:r w:rsidR="00576B4D" w:rsidRPr="00F04D43">
        <w:rPr>
          <w:rFonts w:cs="Times New Roman"/>
          <w:b/>
          <w:sz w:val="22"/>
        </w:rPr>
        <w:t>IeM</w:t>
      </w:r>
      <w:r w:rsidR="00177F1C" w:rsidRPr="00F04D43">
        <w:rPr>
          <w:rFonts w:cs="Times New Roman"/>
          <w:b/>
          <w:sz w:val="22"/>
        </w:rPr>
        <w:t xml:space="preserve"> budžeta apakšprogrammā 38.05.00 “Veselības aprūpe un fiziskā sagatavotība”</w:t>
      </w:r>
      <w:r w:rsidR="00177F1C">
        <w:rPr>
          <w:rFonts w:cs="Times New Roman"/>
          <w:b/>
          <w:sz w:val="22"/>
        </w:rPr>
        <w:t xml:space="preserve"> plānotais un izlietotais finansējums (</w:t>
      </w:r>
      <w:r w:rsidR="00177F1C" w:rsidRPr="00A85FFE">
        <w:rPr>
          <w:rFonts w:cs="Times New Roman"/>
          <w:b/>
          <w:i/>
          <w:sz w:val="22"/>
        </w:rPr>
        <w:t>euro</w:t>
      </w:r>
      <w:r w:rsidR="00ED4B3E">
        <w:rPr>
          <w:rFonts w:cs="Times New Roman"/>
          <w:b/>
          <w:sz w:val="22"/>
        </w:rPr>
        <w:t>)</w:t>
      </w:r>
    </w:p>
    <w:p w:rsidR="00767C65" w:rsidRPr="00FF0C7D" w:rsidRDefault="00ED4B3E" w:rsidP="00FF0C7D">
      <w:pPr>
        <w:ind w:firstLine="720"/>
        <w:jc w:val="both"/>
        <w:rPr>
          <w:bCs/>
        </w:rPr>
      </w:pPr>
      <w:r w:rsidRPr="00177F1C">
        <w:rPr>
          <w:bCs/>
        </w:rPr>
        <w:t xml:space="preserve">No iepriekš minētā secināms, ka neskatoties uz iepriekš veiktajām pārdalēm, kā rezultātā samazinājies veselības aprūpei plānotais finansējums ne tikai kārtējā gadā, bet ticis koriģēts arī turpmāko gadu plāns, un pieņemot, ka arī turpmāk faktiski veiktie izdevumi saglabāsies 2016.gada līmenī, ir paredzams veselības aprūpei plānotā finansējuma ietaupījums 431 221 </w:t>
      </w:r>
      <w:r w:rsidRPr="00177F1C">
        <w:rPr>
          <w:bCs/>
          <w:i/>
        </w:rPr>
        <w:t>euro</w:t>
      </w:r>
      <w:r w:rsidRPr="00177F1C">
        <w:rPr>
          <w:bCs/>
        </w:rPr>
        <w:t xml:space="preserve"> apmērā</w:t>
      </w:r>
      <w:r>
        <w:rPr>
          <w:bCs/>
        </w:rPr>
        <w:t>, sākot ar</w:t>
      </w:r>
      <w:r w:rsidRPr="00177F1C">
        <w:rPr>
          <w:bCs/>
        </w:rPr>
        <w:t xml:space="preserve"> 2018</w:t>
      </w:r>
      <w:r>
        <w:rPr>
          <w:bCs/>
        </w:rPr>
        <w:t>.gadu,</w:t>
      </w:r>
      <w:r w:rsidRPr="00177F1C">
        <w:rPr>
          <w:bCs/>
        </w:rPr>
        <w:t xml:space="preserve"> būtu novirzāms citiem </w:t>
      </w:r>
      <w:r>
        <w:rPr>
          <w:bCs/>
        </w:rPr>
        <w:t>IeM</w:t>
      </w:r>
      <w:r w:rsidRPr="00177F1C">
        <w:rPr>
          <w:bCs/>
        </w:rPr>
        <w:t xml:space="preserve"> priorit</w:t>
      </w:r>
      <w:r>
        <w:rPr>
          <w:bCs/>
        </w:rPr>
        <w:t xml:space="preserve">āriem pasākumiem </w:t>
      </w:r>
      <w:r w:rsidRPr="00F04D43">
        <w:rPr>
          <w:bCs/>
        </w:rPr>
        <w:t>(sk</w:t>
      </w:r>
      <w:r w:rsidR="00F04D43" w:rsidRPr="00F04D43">
        <w:rPr>
          <w:bCs/>
        </w:rPr>
        <w:t>at</w:t>
      </w:r>
      <w:r w:rsidRPr="00F04D43">
        <w:rPr>
          <w:bCs/>
        </w:rPr>
        <w:t xml:space="preserve">. </w:t>
      </w:r>
      <w:r w:rsidR="00F04D43" w:rsidRPr="00F04D43">
        <w:rPr>
          <w:bCs/>
        </w:rPr>
        <w:t>3.61</w:t>
      </w:r>
      <w:r w:rsidRPr="00F04D43">
        <w:rPr>
          <w:bCs/>
        </w:rPr>
        <w:t>.att</w:t>
      </w:r>
      <w:r w:rsidR="00F04D43" w:rsidRPr="00F04D43">
        <w:rPr>
          <w:bCs/>
        </w:rPr>
        <w:t>ēlu</w:t>
      </w:r>
      <w:r w:rsidRPr="00F04D43">
        <w:rPr>
          <w:bCs/>
        </w:rPr>
        <w:t>).</w:t>
      </w:r>
      <w:r>
        <w:rPr>
          <w:bCs/>
        </w:rPr>
        <w:t xml:space="preserve"> </w:t>
      </w:r>
    </w:p>
    <w:p w:rsidR="00767C65" w:rsidRPr="00FF0C7D" w:rsidRDefault="00767C65" w:rsidP="00FF0C7D">
      <w:pPr>
        <w:spacing w:before="120" w:after="120"/>
        <w:jc w:val="both"/>
        <w:rPr>
          <w:b/>
          <w:highlight w:val="yellow"/>
        </w:rPr>
      </w:pPr>
      <w:r w:rsidRPr="00767C65">
        <w:rPr>
          <w:b/>
        </w:rPr>
        <w:t>IeM - IT infrastruktūras pielāgošanas Latvijas prezidentūrai ES Padomē nodrošināšana</w:t>
      </w:r>
    </w:p>
    <w:p w:rsidR="00767C65" w:rsidRDefault="00767C65" w:rsidP="00EB6BE5">
      <w:pPr>
        <w:spacing w:after="120"/>
        <w:ind w:firstLine="720"/>
        <w:jc w:val="both"/>
      </w:pPr>
      <w:r>
        <w:t>IeM</w:t>
      </w:r>
      <w:r w:rsidRPr="00902686">
        <w:t xml:space="preserve"> 2014.-2016.gada valsts budžeta sagatavošanas procesā tika piešķirts papildu finansējums </w:t>
      </w:r>
      <w:r>
        <w:t xml:space="preserve">dažādiem ar Latvijas prezidentūru ES Padomē saistītiem izdevumiem, tajā skaitā IT infrastruktūras pielāgošanai, lai nodrošinātu Latvijas prezidentūru ES Padomē. IeM bāzes izdevumos arī pēc Latvijas prezidentūras ES Padomē beigām šim mērķim ir paredzēti izdevumi 10 088 </w:t>
      </w:r>
      <w:r w:rsidRPr="00FB0753">
        <w:rPr>
          <w:i/>
        </w:rPr>
        <w:t>euro</w:t>
      </w:r>
      <w:r>
        <w:t xml:space="preserve"> apmērā ik gadu. Ņemot vērā, ka Latvijas prezidentūra ES Padomē ir beigusies, šis pasākums pēc būtības ir zaudējis savu aktualitāti, </w:t>
      </w:r>
      <w:r w:rsidRPr="00767C65">
        <w:t xml:space="preserve">līdz ar to finansējums 10 088 </w:t>
      </w:r>
      <w:r w:rsidRPr="00767C65">
        <w:rPr>
          <w:i/>
        </w:rPr>
        <w:t xml:space="preserve">euro </w:t>
      </w:r>
      <w:r w:rsidRPr="00767C65">
        <w:t xml:space="preserve">apmērā, kas bija paredzēts IT infrastruktūras pielāgošanai un uzturēšanai Latvijas prezidentūras ES Padomē nodrošināšanai, būtu novirzāms citiem </w:t>
      </w:r>
      <w:r w:rsidR="00720088">
        <w:t>IeM</w:t>
      </w:r>
      <w:r w:rsidRPr="00767C65">
        <w:t xml:space="preserve"> svarīgiem un aktuālākiem pasākumiem. </w:t>
      </w:r>
    </w:p>
    <w:p w:rsidR="00767C65" w:rsidRPr="00EB6BE5" w:rsidRDefault="00767C65" w:rsidP="00EB6BE5">
      <w:pPr>
        <w:spacing w:before="120" w:after="120"/>
        <w:jc w:val="both"/>
        <w:rPr>
          <w:b/>
        </w:rPr>
      </w:pPr>
      <w:r w:rsidRPr="00767C65">
        <w:rPr>
          <w:b/>
        </w:rPr>
        <w:t>IeM - Iekšējās drošības biroja izveidošana</w:t>
      </w:r>
    </w:p>
    <w:p w:rsidR="00767C65" w:rsidRDefault="00767C65" w:rsidP="00767C65">
      <w:pPr>
        <w:spacing w:after="120"/>
        <w:ind w:firstLine="720"/>
        <w:jc w:val="both"/>
      </w:pPr>
      <w:r>
        <w:t xml:space="preserve">IeM 2014.-2016.gada budžeta sagatavošanas procesā tika pieņemts lēmums izveidot Iekšējās drošības biroju, kura darbības nodrošināšanai papildu nepieciešamais finansējums daļēji tika pārdalīts no citām iestādēm (Valsts policijas, Valsts robežsardzes un Ieslodzījuma vietu pārvaldes), bet lielākā daļa tika piešķirta, lemjot par ministriju un citu centrālo valsts iestāžu JPI 2014.-2016.gadam, paredzot IeM papildu finansējumu 2015.gadā 1 422 872 </w:t>
      </w:r>
      <w:r w:rsidRPr="00D42DEE">
        <w:rPr>
          <w:i/>
        </w:rPr>
        <w:t>euro</w:t>
      </w:r>
      <w:r>
        <w:t xml:space="preserve"> apmērā un 2016.gadā un turpmāk ik gadu 3 612 341 </w:t>
      </w:r>
      <w:r w:rsidRPr="00D42DEE">
        <w:rPr>
          <w:i/>
        </w:rPr>
        <w:t>euro</w:t>
      </w:r>
      <w:r>
        <w:t xml:space="preserve"> apmērā. </w:t>
      </w:r>
    </w:p>
    <w:p w:rsidR="00767C65" w:rsidRDefault="00767C65" w:rsidP="00767C65">
      <w:pPr>
        <w:spacing w:after="120"/>
        <w:ind w:firstLine="720"/>
        <w:jc w:val="both"/>
      </w:pPr>
      <w:r>
        <w:t xml:space="preserve">Iekšējās drošības birojs darbu uzsāka 2015.gada 1.novembrī. 2016.gada beigās ar MK lēmumu (MK 08.11.2016. rīkojums Nr.653) tika atbalstīts IeM priekšlikums pārdalīt ietaupīto finansējumu 784 523 </w:t>
      </w:r>
      <w:r w:rsidRPr="00D42DEE">
        <w:rPr>
          <w:i/>
        </w:rPr>
        <w:t>euro</w:t>
      </w:r>
      <w:r>
        <w:t xml:space="preserve"> apmērā no Iekšējās drošības biroja uz Valsts policiju, IeM informācijas centru, Valsts robežsardzi un Nodrošinājuma valsts aģentūru dažādu citu </w:t>
      </w:r>
      <w:r>
        <w:lastRenderedPageBreak/>
        <w:t>pasākumu īstenošanai (tai skaitā datortehnikas un programmatūras iegādei, Valsts robežsardzes amatpersonu prēmēšanai, dažādiem remontdarbiem un jauna stāvlaukuma izbūvei). Saskaņā ar minētā rīkojum</w:t>
      </w:r>
      <w:r w:rsidR="00F07501">
        <w:t>a anotācijā sniegto skaidrojumu</w:t>
      </w:r>
      <w:r>
        <w:t xml:space="preserve"> līdzekļu ekonomija izveidojās nenokomplektēto amata vietu dēļ (uz 2016.gada 31.augustu bija aizpildītas 70 no 97 paredzētajām amata vietām (72% no plānotā)). </w:t>
      </w:r>
    </w:p>
    <w:p w:rsidR="00767C65" w:rsidRDefault="00EB6BE5" w:rsidP="007428F9">
      <w:pPr>
        <w:spacing w:after="120"/>
        <w:ind w:firstLine="720"/>
        <w:jc w:val="both"/>
      </w:pPr>
      <w:r w:rsidRPr="00B763CA">
        <w:rPr>
          <w:noProof/>
          <w:lang w:eastAsia="lv-LV"/>
        </w:rPr>
        <mc:AlternateContent>
          <mc:Choice Requires="wpg">
            <w:drawing>
              <wp:anchor distT="0" distB="0" distL="114300" distR="114300" simplePos="0" relativeHeight="251670528" behindDoc="0" locked="0" layoutInCell="1" allowOverlap="1" wp14:anchorId="5F21A902" wp14:editId="295D8E0A">
                <wp:simplePos x="0" y="0"/>
                <wp:positionH relativeFrom="margin">
                  <wp:posOffset>8890</wp:posOffset>
                </wp:positionH>
                <wp:positionV relativeFrom="page">
                  <wp:posOffset>2663190</wp:posOffset>
                </wp:positionV>
                <wp:extent cx="5613400" cy="3532505"/>
                <wp:effectExtent l="0" t="0" r="6350" b="10795"/>
                <wp:wrapTopAndBottom/>
                <wp:docPr id="37" name="Group 13"/>
                <wp:cNvGraphicFramePr/>
                <a:graphic xmlns:a="http://schemas.openxmlformats.org/drawingml/2006/main">
                  <a:graphicData uri="http://schemas.microsoft.com/office/word/2010/wordprocessingGroup">
                    <wpg:wgp>
                      <wpg:cNvGrpSpPr/>
                      <wpg:grpSpPr>
                        <a:xfrm>
                          <a:off x="0" y="0"/>
                          <a:ext cx="5613400" cy="3532505"/>
                          <a:chOff x="0" y="0"/>
                          <a:chExt cx="5478780" cy="3829050"/>
                        </a:xfrm>
                      </wpg:grpSpPr>
                      <wpg:graphicFrame>
                        <wpg:cNvPr id="50" name="Chart 50"/>
                        <wpg:cNvFrPr/>
                        <wpg:xfrm>
                          <a:off x="0" y="0"/>
                          <a:ext cx="5478780" cy="3829050"/>
                        </wpg:xfrm>
                        <a:graphic>
                          <a:graphicData uri="http://schemas.openxmlformats.org/drawingml/2006/chart">
                            <c:chart xmlns:c="http://schemas.openxmlformats.org/drawingml/2006/chart" xmlns:r="http://schemas.openxmlformats.org/officeDocument/2006/relationships" r:id="rId118"/>
                          </a:graphicData>
                        </a:graphic>
                      </wpg:graphicFrame>
                      <wps:wsp>
                        <wps:cNvPr id="51" name="TextBox 1"/>
                        <wps:cNvSpPr txBox="1"/>
                        <wps:spPr>
                          <a:xfrm>
                            <a:off x="2962824" y="1862137"/>
                            <a:ext cx="2232660" cy="457200"/>
                          </a:xfrm>
                          <a:prstGeom prst="rect">
                            <a:avLst/>
                          </a:prstGeom>
                          <a:ln/>
                        </wps:spPr>
                        <wps:style>
                          <a:lnRef idx="1">
                            <a:schemeClr val="accent6"/>
                          </a:lnRef>
                          <a:fillRef idx="2">
                            <a:schemeClr val="accent6"/>
                          </a:fillRef>
                          <a:effectRef idx="1">
                            <a:schemeClr val="accent6"/>
                          </a:effectRef>
                          <a:fontRef idx="minor">
                            <a:schemeClr val="dk1"/>
                          </a:fontRef>
                        </wps:style>
                        <wps:txbx>
                          <w:txbxContent>
                            <w:p w:rsidR="00F16784" w:rsidRPr="0077324D" w:rsidRDefault="00F16784" w:rsidP="0077324D">
                              <w:pPr>
                                <w:pStyle w:val="NormalWeb"/>
                                <w:spacing w:before="0" w:beforeAutospacing="0" w:after="0" w:afterAutospacing="0"/>
                                <w:jc w:val="center"/>
                              </w:pPr>
                              <w:r w:rsidRPr="0077324D">
                                <w:t>Provizoriskais vajadzību līmenis (75% no plāna)</w:t>
                              </w:r>
                            </w:p>
                          </w:txbxContent>
                        </wps:txbx>
                        <wps:bodyPr wrap="square" rtlCol="0" anchor="ctr"/>
                      </wps:wsp>
                      <wps:wsp>
                        <wps:cNvPr id="52" name="Straight Arrow Connector 52"/>
                        <wps:cNvCnPr/>
                        <wps:spPr>
                          <a:xfrm flipH="1" flipV="1">
                            <a:off x="4913581" y="1392382"/>
                            <a:ext cx="246522" cy="469755"/>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F21A902" id="Group 13" o:spid="_x0000_s1066" style="position:absolute;left:0;text-align:left;margin-left:.7pt;margin-top:209.7pt;width:442pt;height:278.15pt;z-index:251670528;mso-position-horizontal-relative:margin;mso-position-vertical-relative:page;mso-width-relative:margin;mso-height-relative:margin" coordsize="54787,38290"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">
                <v:shape id="Chart 50" o:spid="_x0000_s1067" type="#_x0000_t75" style="position:absolute;left:-59;top:-66;width:54916;height:38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">
                  <v:imagedata r:id="rId119" o:title=""/>
                  <o:lock v:ext="edit" aspectratio="f"/>
                </v:shape>
                <v:shape id="TextBox 1" o:spid="_x0000_s1068" type="#_x0000_t202" style="position:absolute;left:29628;top:18621;width:22326;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" fillcolor="#9ecb81 [2169]" strokecolor="#70ad47 [3209]" strokeweight=".5pt">
                  <v:fill color2="#8ac066 [2617]" rotate="t" colors="0 #b5d5a7;.5 #aace99;1 #9cca86" focus="100%" type="gradient">
                    <o:fill v:ext="view" type="gradientUnscaled"/>
                  </v:fill>
                  <v:textbox>
                    <w:txbxContent>
                      <w:p w:rsidR="00F16784" w:rsidRPr="0077324D" w:rsidRDefault="00F16784" w:rsidP="0077324D">
                        <w:pPr>
                          <w:pStyle w:val="NormalWeb"/>
                          <w:spacing w:before="0" w:beforeAutospacing="0" w:after="0" w:afterAutospacing="0"/>
                          <w:jc w:val="center"/>
                        </w:pPr>
                        <w:r w:rsidRPr="0077324D">
                          <w:t>Provizoriskais vajadzību līmenis (75% no plāna)</w:t>
                        </w:r>
                      </w:p>
                    </w:txbxContent>
                  </v:textbox>
                </v:shape>
                <v:shapetype id="_x0000_t32" coordsize="21600,21600" o:spt="32" o:oned="t" path="m,l21600,21600e" filled="f">
                  <v:path arrowok="t" fillok="f" o:connecttype="none"/>
                  <o:lock v:ext="edit" shapetype="t"/>
                </v:shapetype>
                <v:shape id="Straight Arrow Connector 52" o:spid="_x0000_s1069" type="#_x0000_t32" style="position:absolute;left:49135;top:13923;width:2466;height:46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" strokecolor="#70ad47 [3209]" strokeweight=".5pt">
                  <v:stroke endarrow="block" joinstyle="miter"/>
                </v:shape>
                <w10:wrap type="topAndBottom" anchorx="margin" anchory="page"/>
              </v:group>
            </w:pict>
          </mc:Fallback>
        </mc:AlternateContent>
      </w:r>
      <w:r w:rsidR="00767C65">
        <w:t xml:space="preserve">Saskaņā ar Iekšējās drošības biroja elektroniski sniegto informāciju uz 2017.gada 30.aprīli (pusotru gadu kopš iestādes darbības uzsākšanas) vēl arvien aizpildītas ir 73 no 97 paredzētajām amata vietām (75% no plānotā), no kā secināms, ka 24 amata vietas ir vakantas </w:t>
      </w:r>
      <w:r w:rsidR="007428F9">
        <w:t>un tām paredzētais finansējums netiek izlietots atbilstoši mērķim.</w:t>
      </w:r>
    </w:p>
    <w:p w:rsidR="00767C65" w:rsidRPr="00B763CA" w:rsidRDefault="007428F9" w:rsidP="00697EA2">
      <w:pPr>
        <w:spacing w:before="240" w:after="120"/>
        <w:jc w:val="center"/>
      </w:pPr>
      <w:r w:rsidRPr="007428F9">
        <w:rPr>
          <w:rFonts w:cs="Times New Roman"/>
          <w:i/>
          <w:sz w:val="22"/>
        </w:rPr>
        <w:t>3.62.</w:t>
      </w:r>
      <w:r w:rsidR="00EB6BE5" w:rsidRPr="007428F9">
        <w:rPr>
          <w:rFonts w:cs="Times New Roman"/>
          <w:i/>
          <w:sz w:val="22"/>
        </w:rPr>
        <w:t xml:space="preserve"> </w:t>
      </w:r>
      <w:r w:rsidR="00767C65" w:rsidRPr="007428F9">
        <w:rPr>
          <w:rFonts w:cs="Times New Roman"/>
          <w:i/>
          <w:sz w:val="22"/>
        </w:rPr>
        <w:t>att.</w:t>
      </w:r>
      <w:r w:rsidR="00767C65" w:rsidRPr="007428F9">
        <w:rPr>
          <w:rFonts w:cs="Times New Roman"/>
          <w:sz w:val="22"/>
        </w:rPr>
        <w:t xml:space="preserve"> </w:t>
      </w:r>
      <w:r w:rsidR="0077324D" w:rsidRPr="007428F9">
        <w:rPr>
          <w:rFonts w:cs="Times New Roman"/>
          <w:b/>
          <w:sz w:val="22"/>
        </w:rPr>
        <w:t>IeM</w:t>
      </w:r>
      <w:r w:rsidR="00767C65" w:rsidRPr="007428F9">
        <w:rPr>
          <w:rFonts w:cs="Times New Roman"/>
          <w:b/>
          <w:sz w:val="22"/>
        </w:rPr>
        <w:t xml:space="preserve"> budžeta programmā 42.00.00 “Iekšējās drošības biroja darbība” atlīdzībai plānotais un izlietotais finansējums (</w:t>
      </w:r>
      <w:r w:rsidR="00767C65" w:rsidRPr="007428F9">
        <w:rPr>
          <w:rFonts w:cs="Times New Roman"/>
          <w:b/>
          <w:i/>
          <w:sz w:val="22"/>
        </w:rPr>
        <w:t>euro</w:t>
      </w:r>
      <w:r w:rsidR="00767C65" w:rsidRPr="007428F9">
        <w:rPr>
          <w:rFonts w:cs="Times New Roman"/>
          <w:b/>
          <w:sz w:val="22"/>
        </w:rPr>
        <w:t>)</w:t>
      </w:r>
    </w:p>
    <w:p w:rsidR="00767C65" w:rsidRDefault="00767C65" w:rsidP="0077324D">
      <w:pPr>
        <w:spacing w:after="120"/>
        <w:ind w:firstLine="720"/>
        <w:jc w:val="both"/>
      </w:pPr>
      <w:r>
        <w:t xml:space="preserve">Iekšējās drošības birojs darbojas kopš 2015.gada 1.novembra un pirmajā pilnajā darbības gadā tam tika noteikti 6 sasniedzamie rezultatīvie rādītāji, kuri saskaņā ar </w:t>
      </w:r>
      <w:r w:rsidR="0077324D">
        <w:t>IeM</w:t>
      </w:r>
      <w:r>
        <w:t xml:space="preserve"> sniegto informāciju (IeM 07.02.2017. vēstule Nr.1-38/306 “Par Iekšlietu ministrijas darbības rezultātu un to rezultatīvo rādītāju izpildi 2016.gadā) ir sasniegti pilnībā (minētajā atskaitē ir norādīts, ka visu rādītāju pārskata perioda izpilde ir lielāka par plānu). Līdz ar to uzskatām, ka </w:t>
      </w:r>
      <w:r w:rsidR="0077324D">
        <w:t>IeM</w:t>
      </w:r>
      <w:r>
        <w:t xml:space="preserve"> ir jāizvērtē iespējas Iekšējās drošības biroja darbību arī turpmāk nodrošināt ar mazāku amata vietu skaitu nekā tas bija sākotnēji plānots, līdz šim nenokomplektētajām amata vietām paredzēto finansējumu novirzot citiem, </w:t>
      </w:r>
      <w:r w:rsidR="0077324D">
        <w:t>IeM</w:t>
      </w:r>
      <w:r>
        <w:t xml:space="preserve"> prioritārākiem pasākumiem. </w:t>
      </w:r>
    </w:p>
    <w:p w:rsidR="00767C65" w:rsidRPr="0077324D" w:rsidRDefault="00767C65" w:rsidP="0077324D">
      <w:pPr>
        <w:spacing w:after="120"/>
        <w:ind w:firstLine="720"/>
        <w:jc w:val="both"/>
      </w:pPr>
      <w:r>
        <w:t xml:space="preserve">Saskaņā ar likumu “Par vidēja termiņa budžeta ietvaru 2017., 2018. un 2019.gadam” </w:t>
      </w:r>
      <w:r w:rsidR="0077324D">
        <w:t>IeM</w:t>
      </w:r>
      <w:r>
        <w:t xml:space="preserve"> budžeta programmā 42.00.00 “</w:t>
      </w:r>
      <w:r w:rsidRPr="00E23341">
        <w:t>Iekšējās drošības biroja darbība</w:t>
      </w:r>
      <w:r>
        <w:t xml:space="preserve">” atlīdzībai paredzēts finansējums </w:t>
      </w:r>
      <w:r w:rsidRPr="00E23341">
        <w:t>2</w:t>
      </w:r>
      <w:r>
        <w:t> </w:t>
      </w:r>
      <w:r w:rsidRPr="00E23341">
        <w:t>465</w:t>
      </w:r>
      <w:r>
        <w:t> </w:t>
      </w:r>
      <w:r w:rsidRPr="00E23341">
        <w:t>256</w:t>
      </w:r>
      <w:r>
        <w:t xml:space="preserve"> </w:t>
      </w:r>
      <w:r w:rsidRPr="00E23341">
        <w:rPr>
          <w:i/>
        </w:rPr>
        <w:t>euro</w:t>
      </w:r>
      <w:r>
        <w:t xml:space="preserve"> </w:t>
      </w:r>
      <w:r w:rsidRPr="0077324D">
        <w:t>apmērā ik gadu</w:t>
      </w:r>
      <w:r w:rsidR="007428F9">
        <w:t xml:space="preserve"> (skat. 3.62.attēlu)</w:t>
      </w:r>
      <w:r w:rsidRPr="0077324D">
        <w:t xml:space="preserve">. Pieņemot, ka šis finansējums paredzēts 97 Iekšējās drošības biroja darbinieku atlīdzības nodrošināšanai, bet faktiski ir aizpildīti 75% no kopējā amata vietu skaita, ierosinām 80% no vakantajām amata vietām paredzētā finansējuma – 487 969 </w:t>
      </w:r>
      <w:r w:rsidRPr="0077324D">
        <w:rPr>
          <w:i/>
        </w:rPr>
        <w:t>euro</w:t>
      </w:r>
      <w:r w:rsidRPr="0077324D">
        <w:t xml:space="preserve"> (2 465 256/97=25 416; 25 416*24=609 961; 609 961-20%=487 969)</w:t>
      </w:r>
      <w:r w:rsidR="00F07501">
        <w:t>, sākot no 2018.gada,</w:t>
      </w:r>
      <w:r w:rsidRPr="0077324D">
        <w:t xml:space="preserve"> novirzīt </w:t>
      </w:r>
      <w:r w:rsidR="00F07501">
        <w:t>aktuālākiem</w:t>
      </w:r>
      <w:r w:rsidRPr="0077324D">
        <w:t xml:space="preserve"> pasākumiem. </w:t>
      </w:r>
    </w:p>
    <w:p w:rsidR="00957604" w:rsidRPr="00957604" w:rsidRDefault="00C97C41" w:rsidP="00EB6BE5">
      <w:pPr>
        <w:spacing w:after="120"/>
        <w:jc w:val="both"/>
        <w:rPr>
          <w:rFonts w:cs="Times New Roman"/>
          <w:b/>
        </w:rPr>
      </w:pPr>
      <w:r>
        <w:rPr>
          <w:rFonts w:cs="Times New Roman"/>
          <w:b/>
        </w:rPr>
        <w:t>IeM</w:t>
      </w:r>
      <w:r w:rsidR="00957604" w:rsidRPr="00957604">
        <w:rPr>
          <w:rFonts w:cs="Times New Roman"/>
          <w:b/>
        </w:rPr>
        <w:t xml:space="preserve"> - Tulka pakalpojumu nodrošināšana procesuālo darbību veikšanas laikā personai, kurai ir tiesības uz aizstāvību, ja tā neprot valsts valodu</w:t>
      </w:r>
    </w:p>
    <w:p w:rsidR="00767C65" w:rsidRDefault="00957604" w:rsidP="00957604">
      <w:pPr>
        <w:spacing w:after="120"/>
        <w:ind w:firstLine="720"/>
        <w:jc w:val="both"/>
        <w:rPr>
          <w:rFonts w:cs="Times New Roman"/>
        </w:rPr>
      </w:pPr>
      <w:r>
        <w:rPr>
          <w:rFonts w:cs="Times New Roman"/>
        </w:rPr>
        <w:lastRenderedPageBreak/>
        <w:t>MK</w:t>
      </w:r>
      <w:r w:rsidR="00767C65" w:rsidRPr="00FB702F">
        <w:rPr>
          <w:rFonts w:cs="Times New Roman"/>
        </w:rPr>
        <w:t xml:space="preserve"> 2012.gada 16.augusta (MK prot.Nr.46 3.§) sēdē atbalstīja </w:t>
      </w:r>
      <w:r>
        <w:rPr>
          <w:rFonts w:cs="Times New Roman"/>
        </w:rPr>
        <w:t>TM</w:t>
      </w:r>
      <w:r w:rsidR="00767C65" w:rsidRPr="00FB702F">
        <w:rPr>
          <w:rFonts w:cs="Times New Roman"/>
        </w:rPr>
        <w:t xml:space="preserve"> izstrādāto grozījumu projektu Kriminālprocesa likumā, kas tika sagatavots ar mērķi ieviest 2010.gada 20.oktobrī </w:t>
      </w:r>
      <w:r w:rsidR="00767C65" w:rsidRPr="00FB702F">
        <w:rPr>
          <w:rFonts w:cs="Times New Roman"/>
          <w:lang w:eastAsia="lv-LV"/>
        </w:rPr>
        <w:t xml:space="preserve">pieņemtās Eiropas Parlamenta un Padomes direktīvas 2010/64/ES prasības, kas paredz tiesības uz mutisko un rakstisko tulkojumu kriminālprocesā (saskaņā ar direktīvas 9.pantu tās pārņemšanas termiņš bija 2013.gada 27.oktobris). Likums Saeimā tika pieņemts 2013.gada 23.maijā. Likumprojekta anotācijā tika sniegta informācija par to, ka praktiski visām tiesībsargājošajām iestādēm būs nepieciešami papildu valsts budžeta līdzekļi tulkojumu nodrošināšanai. Šī problēma tika aktualizēta nākamā valsts budžeta (un vidēja termiņa budžeta ietvara) projekta sagatavošanas procesā un neskatoties uz to, ka minētā likuma izpildē iesaistītās ministrijas nebija iesniegušas vienu (starpnozaru) </w:t>
      </w:r>
      <w:r w:rsidR="00C97C41">
        <w:rPr>
          <w:rFonts w:cs="Times New Roman"/>
          <w:lang w:eastAsia="lv-LV"/>
        </w:rPr>
        <w:t>JPI</w:t>
      </w:r>
      <w:r w:rsidR="00767C65" w:rsidRPr="00FB702F">
        <w:rPr>
          <w:rFonts w:cs="Times New Roman"/>
          <w:lang w:eastAsia="lv-LV"/>
        </w:rPr>
        <w:t xml:space="preserve">, tomēr </w:t>
      </w:r>
      <w:r>
        <w:rPr>
          <w:rFonts w:cs="Times New Roman"/>
          <w:lang w:eastAsia="lv-LV"/>
        </w:rPr>
        <w:t>MK</w:t>
      </w:r>
      <w:r w:rsidR="00EB6BE5">
        <w:rPr>
          <w:rFonts w:cs="Times New Roman"/>
          <w:lang w:eastAsia="lv-LV"/>
        </w:rPr>
        <w:t xml:space="preserve"> tika pieņemts lēmums (MK </w:t>
      </w:r>
      <w:r w:rsidR="00767C65" w:rsidRPr="00FB702F">
        <w:rPr>
          <w:rFonts w:cs="Times New Roman"/>
          <w:lang w:eastAsia="lv-LV"/>
        </w:rPr>
        <w:t>2013.</w:t>
      </w:r>
      <w:r w:rsidR="00EB6BE5">
        <w:rPr>
          <w:rFonts w:cs="Times New Roman"/>
          <w:lang w:eastAsia="lv-LV"/>
        </w:rPr>
        <w:t>gada 8.augusta</w:t>
      </w:r>
      <w:r w:rsidR="00767C65" w:rsidRPr="00FB702F">
        <w:rPr>
          <w:rFonts w:cs="Times New Roman"/>
          <w:lang w:eastAsia="lv-LV"/>
        </w:rPr>
        <w:t xml:space="preserve"> prot.Nr.43 11.§ 9.p.) piešķirt papildu finansējumu visām ministrijām un citām centrālajām valsts iestādēm, kurām bija nepieciešami papildu līdzekļi mutvārdu un procesuālo dokumentu tulkošanai atbilstoši Kriminālprocesa likumam (</w:t>
      </w:r>
      <w:r>
        <w:rPr>
          <w:rFonts w:cs="Times New Roman"/>
          <w:lang w:eastAsia="lv-LV"/>
        </w:rPr>
        <w:t>IeM</w:t>
      </w:r>
      <w:r w:rsidR="00767C65" w:rsidRPr="00FB702F">
        <w:rPr>
          <w:rFonts w:cs="Times New Roman"/>
          <w:lang w:eastAsia="lv-LV"/>
        </w:rPr>
        <w:t xml:space="preserve"> tika piešķirts papildu finansējums 2014.-2016.gadam 133 686 latu (190 218 </w:t>
      </w:r>
      <w:r w:rsidR="00767C65" w:rsidRPr="00FB702F">
        <w:rPr>
          <w:rFonts w:cs="Times New Roman"/>
          <w:i/>
          <w:iCs/>
          <w:lang w:eastAsia="lv-LV"/>
        </w:rPr>
        <w:t>euro)</w:t>
      </w:r>
      <w:r w:rsidR="00767C65" w:rsidRPr="00FB702F">
        <w:rPr>
          <w:rFonts w:cs="Times New Roman"/>
          <w:lang w:eastAsia="lv-LV"/>
        </w:rPr>
        <w:t xml:space="preserve"> apmērā ik gadu). Ņemot vērā, ka 2014.gadā </w:t>
      </w:r>
      <w:r>
        <w:rPr>
          <w:rFonts w:cs="Times New Roman"/>
          <w:lang w:eastAsia="lv-LV"/>
        </w:rPr>
        <w:t>IeM</w:t>
      </w:r>
      <w:r w:rsidR="00767C65" w:rsidRPr="00FB702F">
        <w:rPr>
          <w:rFonts w:cs="Times New Roman"/>
          <w:lang w:eastAsia="lv-LV"/>
        </w:rPr>
        <w:t xml:space="preserve"> faktiskie izdevumi tulkošanai bija divas reizes lielāki nekā </w:t>
      </w:r>
      <w:r>
        <w:rPr>
          <w:rFonts w:cs="Times New Roman"/>
          <w:lang w:eastAsia="lv-LV"/>
        </w:rPr>
        <w:t>IeM</w:t>
      </w:r>
      <w:r w:rsidR="00767C65" w:rsidRPr="00FB702F">
        <w:rPr>
          <w:rFonts w:cs="Times New Roman"/>
          <w:lang w:eastAsia="lv-LV"/>
        </w:rPr>
        <w:t xml:space="preserve"> budžetā šim mērķim paredzētais finansējums, kas pamatojams ar minētā pakalpojuma sadārdzinājumu (kas arī tika pamatots IeM bāzes i</w:t>
      </w:r>
      <w:r w:rsidR="00EB6BE5">
        <w:rPr>
          <w:rFonts w:cs="Times New Roman"/>
          <w:lang w:eastAsia="lv-LV"/>
        </w:rPr>
        <w:t xml:space="preserve">zdevumu pieprasījumā (IeM </w:t>
      </w:r>
      <w:r w:rsidR="00767C65" w:rsidRPr="00FB702F">
        <w:rPr>
          <w:rFonts w:cs="Times New Roman"/>
          <w:lang w:eastAsia="lv-LV"/>
        </w:rPr>
        <w:t>2015.</w:t>
      </w:r>
      <w:r w:rsidR="00EB6BE5">
        <w:rPr>
          <w:rFonts w:cs="Times New Roman"/>
          <w:lang w:eastAsia="lv-LV"/>
        </w:rPr>
        <w:t xml:space="preserve">gada 10.februāra </w:t>
      </w:r>
      <w:r w:rsidR="00767C65" w:rsidRPr="00FB702F">
        <w:rPr>
          <w:rFonts w:cs="Times New Roman"/>
          <w:lang w:eastAsia="lv-LV"/>
        </w:rPr>
        <w:t xml:space="preserve">vēstules Nr.1-40/398 70.p.)), </w:t>
      </w:r>
      <w:r>
        <w:rPr>
          <w:rFonts w:cs="Times New Roman"/>
          <w:lang w:eastAsia="lv-LV"/>
        </w:rPr>
        <w:t>IeM</w:t>
      </w:r>
      <w:r w:rsidR="00767C65" w:rsidRPr="00FB702F">
        <w:rPr>
          <w:rFonts w:cs="Times New Roman"/>
          <w:lang w:eastAsia="lv-LV"/>
        </w:rPr>
        <w:t xml:space="preserve"> iesniedza pieprasījumu palielināt bāzes izdevumu</w:t>
      </w:r>
      <w:r w:rsidR="00767C65">
        <w:rPr>
          <w:rFonts w:cs="Times New Roman"/>
          <w:lang w:eastAsia="lv-LV"/>
        </w:rPr>
        <w:t>s</w:t>
      </w:r>
      <w:r w:rsidR="00767C65" w:rsidRPr="00FB702F">
        <w:rPr>
          <w:rFonts w:cs="Times New Roman"/>
          <w:lang w:eastAsia="lv-LV"/>
        </w:rPr>
        <w:t xml:space="preserve"> tulkošanas pakalpojuma (un tādejādi Kriminālprocesa likuma normu) nepārtrauktības nodrošināšanai, pamatojoties uz kuru </w:t>
      </w:r>
      <w:r>
        <w:rPr>
          <w:rFonts w:cs="Times New Roman"/>
        </w:rPr>
        <w:t>IeM</w:t>
      </w:r>
      <w:r w:rsidR="00767C65" w:rsidRPr="00FB702F">
        <w:rPr>
          <w:rFonts w:cs="Times New Roman"/>
        </w:rPr>
        <w:t xml:space="preserve"> bāzes izdevumos 2016.-2018.gadam tika iekļauts papildu finansējums 226 648 </w:t>
      </w:r>
      <w:r w:rsidR="00767C65" w:rsidRPr="00FB702F">
        <w:rPr>
          <w:rFonts w:cs="Times New Roman"/>
          <w:i/>
        </w:rPr>
        <w:t>euro</w:t>
      </w:r>
      <w:r w:rsidR="00767C65" w:rsidRPr="00FB702F">
        <w:rPr>
          <w:rFonts w:cs="Times New Roman"/>
        </w:rPr>
        <w:t xml:space="preserve"> apmērā tulkošanas pakalpojumu sadārdzinājuma segšanai. </w:t>
      </w:r>
    </w:p>
    <w:p w:rsidR="006D05B1" w:rsidRPr="006F3B2C" w:rsidRDefault="00767C65" w:rsidP="006F3B2C">
      <w:pPr>
        <w:spacing w:after="120"/>
        <w:ind w:firstLine="720"/>
        <w:jc w:val="both"/>
        <w:rPr>
          <w:rFonts w:cs="Times New Roman"/>
          <w:lang w:eastAsia="lv-LV"/>
        </w:rPr>
      </w:pPr>
      <w:r>
        <w:rPr>
          <w:rFonts w:cs="Times New Roman"/>
        </w:rPr>
        <w:t xml:space="preserve">Saskaņā ar </w:t>
      </w:r>
      <w:r w:rsidR="00957604">
        <w:rPr>
          <w:rFonts w:cs="Times New Roman"/>
        </w:rPr>
        <w:t>IeM</w:t>
      </w:r>
      <w:r w:rsidR="00C97C41">
        <w:rPr>
          <w:rFonts w:cs="Times New Roman"/>
        </w:rPr>
        <w:t xml:space="preserve"> sniegto informāciju</w:t>
      </w:r>
      <w:r>
        <w:rPr>
          <w:rFonts w:cs="Times New Roman"/>
        </w:rPr>
        <w:t xml:space="preserve"> 2016.gadā minētajam pasākumam (JPI daļai) tika izlietots finansējums 179 737</w:t>
      </w:r>
      <w:r w:rsidRPr="00A01168">
        <w:rPr>
          <w:rFonts w:cs="Times New Roman"/>
          <w:i/>
        </w:rPr>
        <w:t xml:space="preserve"> euro</w:t>
      </w:r>
      <w:r>
        <w:rPr>
          <w:rFonts w:cs="Times New Roman"/>
        </w:rPr>
        <w:t xml:space="preserve"> apmērā, kas ir 94,4% no plānotā. Tulkošanai paredzētais finansējums pamatā tika neizlietots Valsts robežsardzē. Ņemot vērā,</w:t>
      </w:r>
      <w:r w:rsidR="00C97C41">
        <w:rPr>
          <w:rFonts w:cs="Times New Roman"/>
        </w:rPr>
        <w:t xml:space="preserve"> ka</w:t>
      </w:r>
      <w:r>
        <w:rPr>
          <w:rFonts w:cs="Times New Roman"/>
        </w:rPr>
        <w:t xml:space="preserve"> </w:t>
      </w:r>
      <w:r w:rsidR="00957604">
        <w:rPr>
          <w:rFonts w:cs="Times New Roman"/>
        </w:rPr>
        <w:t>IeM</w:t>
      </w:r>
      <w:r>
        <w:rPr>
          <w:rFonts w:cs="Times New Roman"/>
        </w:rPr>
        <w:t xml:space="preserve"> vēl papildus tika palielināti bāzes izdevumi, paredzot papildu finansējumu tulkošanas nodrošināšanai, kā arī ņemot vērā, ka Valsts robežsardzes vajadzībām tulkošanas nodrošināšana daļēji tiek segta ES fondu līdzfinansēto projektu ietvaros (saskaņā ar </w:t>
      </w:r>
      <w:r w:rsidR="00957604">
        <w:rPr>
          <w:rFonts w:cs="Times New Roman"/>
        </w:rPr>
        <w:t>IeM</w:t>
      </w:r>
      <w:r>
        <w:rPr>
          <w:rFonts w:cs="Times New Roman"/>
        </w:rPr>
        <w:t xml:space="preserve"> sniegto informāciju ap 30% no Valsts robežsardzes tulkojumiem), uzskatām, ka </w:t>
      </w:r>
      <w:r w:rsidRPr="00957604">
        <w:rPr>
          <w:rFonts w:cs="Times New Roman"/>
        </w:rPr>
        <w:t>Valsts robežsardzei tulkošanas nodrošināšanai piešķirtais finansējums ir pārskatāms,</w:t>
      </w:r>
      <w:r w:rsidR="000023E2">
        <w:rPr>
          <w:rFonts w:cs="Times New Roman"/>
        </w:rPr>
        <w:t xml:space="preserve"> izvērtējot iespējas vismaz 20%</w:t>
      </w:r>
      <w:r w:rsidRPr="00957604">
        <w:rPr>
          <w:rFonts w:cs="Times New Roman"/>
        </w:rPr>
        <w:t xml:space="preserve"> - 22 077 </w:t>
      </w:r>
      <w:r w:rsidRPr="00957604">
        <w:rPr>
          <w:rFonts w:cs="Times New Roman"/>
          <w:i/>
        </w:rPr>
        <w:t>euro</w:t>
      </w:r>
      <w:r w:rsidRPr="00957604">
        <w:rPr>
          <w:rFonts w:cs="Times New Roman"/>
        </w:rPr>
        <w:t xml:space="preserve"> (110 386*20%) novirzīt citiem </w:t>
      </w:r>
      <w:r w:rsidR="00957604">
        <w:rPr>
          <w:rFonts w:cs="Times New Roman"/>
        </w:rPr>
        <w:t>IeM</w:t>
      </w:r>
      <w:r w:rsidR="00C97C41">
        <w:rPr>
          <w:rFonts w:cs="Times New Roman"/>
        </w:rPr>
        <w:t xml:space="preserve"> aktuālākiem</w:t>
      </w:r>
      <w:r w:rsidRPr="00957604">
        <w:rPr>
          <w:rFonts w:cs="Times New Roman"/>
        </w:rPr>
        <w:t xml:space="preserve"> pasākumiem.</w:t>
      </w:r>
      <w:r>
        <w:rPr>
          <w:rFonts w:cs="Times New Roman"/>
        </w:rPr>
        <w:t xml:space="preserve"> Ņemot vērā, ka </w:t>
      </w:r>
      <w:r w:rsidR="00957604">
        <w:rPr>
          <w:rFonts w:cs="Times New Roman"/>
        </w:rPr>
        <w:t>IeM</w:t>
      </w:r>
      <w:r>
        <w:rPr>
          <w:rFonts w:cs="Times New Roman"/>
        </w:rPr>
        <w:t xml:space="preserve"> ir norādījusi, ka Valsts policijai tulkošanai paredzētais finansējums tiek izlietots pilnā apmērā un ir prognozējams, ka tas varētu pat pietrūkt, ierosinām </w:t>
      </w:r>
      <w:r w:rsidR="00957604">
        <w:rPr>
          <w:rFonts w:cs="Times New Roman"/>
        </w:rPr>
        <w:t>IeM</w:t>
      </w:r>
      <w:r>
        <w:rPr>
          <w:rFonts w:cs="Times New Roman"/>
        </w:rPr>
        <w:t xml:space="preserve"> veikt iekšēju pārdali, daļu Valsts robežsardzei tulkošanas nodrošināšanai paredzētā finansējuma pārdalot Valsts p</w:t>
      </w:r>
      <w:r w:rsidR="00957604">
        <w:rPr>
          <w:rFonts w:cs="Times New Roman"/>
        </w:rPr>
        <w:t>olicijai šī paša mērķa izpildei.</w:t>
      </w:r>
      <w:r>
        <w:rPr>
          <w:rFonts w:cs="Times New Roman"/>
        </w:rPr>
        <w:t xml:space="preserve"> </w:t>
      </w:r>
    </w:p>
    <w:p w:rsidR="006D05B1" w:rsidRDefault="00576B4D" w:rsidP="006F3B2C">
      <w:pPr>
        <w:spacing w:before="120" w:after="120"/>
        <w:jc w:val="both"/>
        <w:rPr>
          <w:b/>
        </w:rPr>
      </w:pPr>
      <w:r>
        <w:rPr>
          <w:b/>
        </w:rPr>
        <w:t>IZM</w:t>
      </w:r>
      <w:r w:rsidR="006D05B1" w:rsidRPr="005826A5">
        <w:rPr>
          <w:b/>
        </w:rPr>
        <w:t xml:space="preserve"> - </w:t>
      </w:r>
      <w:r w:rsidR="001443D1" w:rsidRPr="001443D1">
        <w:rPr>
          <w:b/>
        </w:rPr>
        <w:t>Profesionālās izglītības pievilcības un pieejamības veicināšana (audzēkņu stipendijas)</w:t>
      </w:r>
    </w:p>
    <w:p w:rsidR="006D05B1" w:rsidRPr="007139CE" w:rsidRDefault="006D05B1" w:rsidP="007139CE">
      <w:pPr>
        <w:spacing w:after="120"/>
        <w:ind w:firstLine="709"/>
        <w:jc w:val="both"/>
      </w:pPr>
      <w:r>
        <w:t xml:space="preserve">IZM </w:t>
      </w:r>
      <w:r w:rsidRPr="007375FB">
        <w:t>budžeta apakšprogrammā</w:t>
      </w:r>
      <w:r>
        <w:t xml:space="preserve"> </w:t>
      </w:r>
      <w:r w:rsidRPr="00411F0D">
        <w:t>02.01.00</w:t>
      </w:r>
      <w:r>
        <w:t xml:space="preserve"> “</w:t>
      </w:r>
      <w:r w:rsidRPr="00411F0D">
        <w:t>Profesionālās izglītības programmu īstenošana</w:t>
      </w:r>
      <w:r w:rsidR="007139CE">
        <w:t>” 2015.</w:t>
      </w:r>
      <w:r w:rsidR="007139CE">
        <w:noBreakHyphen/>
      </w:r>
      <w:r>
        <w:t>2017</w:t>
      </w:r>
      <w:r w:rsidRPr="00411F0D">
        <w:t xml:space="preserve">.gada ietvarā piešķirts finansējums </w:t>
      </w:r>
      <w:r w:rsidR="00587315">
        <w:t>JPI</w:t>
      </w:r>
      <w:r>
        <w:t xml:space="preserve"> “</w:t>
      </w:r>
      <w:r w:rsidRPr="00411F0D">
        <w:t>Profesionālās izglītības pievilcības un pieejamības veicināšana (audzēkņu stipendijas)</w:t>
      </w:r>
      <w:r>
        <w:t xml:space="preserve">” 2015.gadā </w:t>
      </w:r>
      <w:r w:rsidRPr="00411F0D">
        <w:t>2</w:t>
      </w:r>
      <w:r>
        <w:t> </w:t>
      </w:r>
      <w:r w:rsidRPr="00411F0D">
        <w:t>500</w:t>
      </w:r>
      <w:r>
        <w:t> </w:t>
      </w:r>
      <w:r w:rsidRPr="00411F0D">
        <w:t>000</w:t>
      </w:r>
      <w:r>
        <w:t xml:space="preserve"> </w:t>
      </w:r>
      <w:r w:rsidRPr="00411F0D">
        <w:rPr>
          <w:i/>
        </w:rPr>
        <w:t>euro</w:t>
      </w:r>
      <w:r>
        <w:t xml:space="preserve"> apmērā, 2016. un 2017.gadā </w:t>
      </w:r>
      <w:r w:rsidRPr="00411F0D">
        <w:t>7</w:t>
      </w:r>
      <w:r>
        <w:t> </w:t>
      </w:r>
      <w:r w:rsidRPr="00411F0D">
        <w:t>500</w:t>
      </w:r>
      <w:r>
        <w:t> </w:t>
      </w:r>
      <w:r w:rsidRPr="00411F0D">
        <w:t>000</w:t>
      </w:r>
      <w:r>
        <w:t xml:space="preserve"> </w:t>
      </w:r>
      <w:r w:rsidRPr="00411F0D">
        <w:rPr>
          <w:i/>
        </w:rPr>
        <w:t>euro</w:t>
      </w:r>
      <w:r w:rsidR="007139CE">
        <w:t xml:space="preserve"> apmērā, kas š</w:t>
      </w:r>
      <w:r w:rsidR="007139CE" w:rsidRPr="000E1974">
        <w:t xml:space="preserve">ādā apmērā </w:t>
      </w:r>
      <w:r w:rsidR="007139CE">
        <w:t>ir paredzēts IZM budžetā arī 2018</w:t>
      </w:r>
      <w:r w:rsidR="0003092D">
        <w:t>.gadam</w:t>
      </w:r>
      <w:r w:rsidR="00C87D4C">
        <w:t xml:space="preserve"> un turpmākajiem gadiem</w:t>
      </w:r>
      <w:r w:rsidR="007139CE">
        <w:t>.</w:t>
      </w:r>
    </w:p>
    <w:p w:rsidR="006D05B1" w:rsidRDefault="00587315" w:rsidP="001443D1">
      <w:pPr>
        <w:spacing w:after="120"/>
        <w:ind w:firstLine="720"/>
        <w:jc w:val="both"/>
        <w:rPr>
          <w:highlight w:val="yellow"/>
        </w:rPr>
      </w:pPr>
      <w:r>
        <w:t>JPI</w:t>
      </w:r>
      <w:r w:rsidR="006D05B1" w:rsidRPr="00B54CBF">
        <w:t xml:space="preserve"> mērķis</w:t>
      </w:r>
      <w:r w:rsidR="000D0FC2">
        <w:t xml:space="preserve"> ir</w:t>
      </w:r>
      <w:r w:rsidR="006D05B1">
        <w:t xml:space="preserve"> v</w:t>
      </w:r>
      <w:r w:rsidR="006D05B1" w:rsidRPr="00B54CBF">
        <w:t>eicināt profesionālās izglītības pievilcību jauniešu vidū, tā izlīdzinot proporciju starp vispārējās vidējās izglītības un profesionālās vidējās izglītības ieguvējiem.</w:t>
      </w:r>
    </w:p>
    <w:p w:rsidR="006D05B1" w:rsidRDefault="006D05B1" w:rsidP="00EB3DB3">
      <w:pPr>
        <w:spacing w:after="120"/>
        <w:ind w:firstLine="720"/>
        <w:jc w:val="both"/>
      </w:pPr>
      <w:r w:rsidRPr="00D83554">
        <w:t xml:space="preserve">Pēc </w:t>
      </w:r>
      <w:r>
        <w:t>KM</w:t>
      </w:r>
      <w:r w:rsidRPr="00D83554">
        <w:t xml:space="preserve"> </w:t>
      </w:r>
      <w:r>
        <w:t xml:space="preserve">elektroniski </w:t>
      </w:r>
      <w:r w:rsidRPr="00D83554">
        <w:t>sniegtās informācijas</w:t>
      </w:r>
      <w:r w:rsidR="000D0FC2">
        <w:t>,</w:t>
      </w:r>
      <w:r>
        <w:t xml:space="preserve"> </w:t>
      </w:r>
      <w:r w:rsidRPr="009D2CF9">
        <w:t xml:space="preserve">2017.gadā </w:t>
      </w:r>
      <w:r>
        <w:t>finansējums stipendijām KM</w:t>
      </w:r>
      <w:r w:rsidRPr="00122822">
        <w:t xml:space="preserve"> </w:t>
      </w:r>
      <w:r w:rsidRPr="00D83554">
        <w:t>skolās ir 449</w:t>
      </w:r>
      <w:r>
        <w:t> </w:t>
      </w:r>
      <w:r w:rsidRPr="00D83554">
        <w:t xml:space="preserve">228 </w:t>
      </w:r>
      <w:r w:rsidRPr="00122822">
        <w:rPr>
          <w:i/>
        </w:rPr>
        <w:t>euro</w:t>
      </w:r>
      <w:r w:rsidRPr="00D83554">
        <w:t xml:space="preserve">, stipendiātu skaits </w:t>
      </w:r>
      <w:r>
        <w:t>–</w:t>
      </w:r>
      <w:r w:rsidRPr="00D83554">
        <w:t xml:space="preserve"> 1</w:t>
      </w:r>
      <w:r>
        <w:t xml:space="preserve"> 607 audzēkņi.</w:t>
      </w:r>
      <w:r w:rsidRPr="00D83554">
        <w:t xml:space="preserve"> </w:t>
      </w:r>
      <w:r w:rsidR="000D0FC2">
        <w:t>Savukārt, p</w:t>
      </w:r>
      <w:r w:rsidRPr="00D83554">
        <w:t xml:space="preserve">ēc </w:t>
      </w:r>
      <w:r>
        <w:t>IZM</w:t>
      </w:r>
      <w:r w:rsidRPr="00D83554">
        <w:t xml:space="preserve"> </w:t>
      </w:r>
      <w:r>
        <w:t xml:space="preserve">elektroniski </w:t>
      </w:r>
      <w:r w:rsidRPr="00D83554">
        <w:t>sniegtās informācijas</w:t>
      </w:r>
      <w:r w:rsidR="000D0FC2">
        <w:t>,</w:t>
      </w:r>
      <w:r w:rsidRPr="00D83554">
        <w:t xml:space="preserve"> </w:t>
      </w:r>
      <w:r w:rsidRPr="009D2CF9">
        <w:t xml:space="preserve">2017.gadā </w:t>
      </w:r>
      <w:r w:rsidRPr="00D83554">
        <w:t xml:space="preserve">finansējums stipendijām </w:t>
      </w:r>
      <w:r>
        <w:t xml:space="preserve">IZM </w:t>
      </w:r>
      <w:r w:rsidRPr="00D83554">
        <w:t>skolās ir 11</w:t>
      </w:r>
      <w:r>
        <w:t xml:space="preserve"> </w:t>
      </w:r>
      <w:r w:rsidRPr="00D83554">
        <w:t>195</w:t>
      </w:r>
      <w:r>
        <w:t> </w:t>
      </w:r>
      <w:r w:rsidRPr="00D83554">
        <w:t>699</w:t>
      </w:r>
      <w:r>
        <w:t xml:space="preserve"> </w:t>
      </w:r>
      <w:r w:rsidRPr="00122822">
        <w:rPr>
          <w:i/>
        </w:rPr>
        <w:t>euro</w:t>
      </w:r>
      <w:r w:rsidRPr="00D83554">
        <w:t xml:space="preserve">, stipendiātu skaits </w:t>
      </w:r>
      <w:r w:rsidRPr="00122822">
        <w:t xml:space="preserve">– </w:t>
      </w:r>
      <w:r w:rsidRPr="00D83554">
        <w:t>18</w:t>
      </w:r>
      <w:r>
        <w:t xml:space="preserve"> </w:t>
      </w:r>
      <w:r w:rsidRPr="00D83554">
        <w:t>631 audzēknis. Tādējādi vidējā izlīdzinātā stipendija u</w:t>
      </w:r>
      <w:r>
        <w:t xml:space="preserve">z visiem </w:t>
      </w:r>
      <w:r w:rsidRPr="007428F9">
        <w:t xml:space="preserve">audzēkņiem būtu 47,95 </w:t>
      </w:r>
      <w:r w:rsidRPr="007428F9">
        <w:rPr>
          <w:i/>
        </w:rPr>
        <w:t>euro</w:t>
      </w:r>
      <w:r w:rsidRPr="007428F9">
        <w:t xml:space="preserve"> mēnesī (IZM šobrīd 50,08 </w:t>
      </w:r>
      <w:r w:rsidRPr="007428F9">
        <w:rPr>
          <w:i/>
        </w:rPr>
        <w:t>euro</w:t>
      </w:r>
      <w:r w:rsidRPr="007428F9">
        <w:t xml:space="preserve">, KM – 23,3 </w:t>
      </w:r>
      <w:r w:rsidRPr="007428F9">
        <w:rPr>
          <w:i/>
        </w:rPr>
        <w:t>euro</w:t>
      </w:r>
      <w:r w:rsidR="00EB3DB3" w:rsidRPr="007428F9">
        <w:t xml:space="preserve">) (skat. tabulu </w:t>
      </w:r>
      <w:r w:rsidR="00EB3DB3" w:rsidRPr="007428F9">
        <w:lastRenderedPageBreak/>
        <w:t>Nr.</w:t>
      </w:r>
      <w:r w:rsidR="007428F9" w:rsidRPr="007428F9">
        <w:t>3.35</w:t>
      </w:r>
      <w:r w:rsidR="00D86274">
        <w:t>.</w:t>
      </w:r>
      <w:r w:rsidR="007428F9" w:rsidRPr="007428F9">
        <w:t>)</w:t>
      </w:r>
      <w:r w:rsidRPr="007428F9">
        <w:t>. Līdz ar to IZM nepieciešamais finansējums, ņemot vērā izlīdzināto stipendiju uz</w:t>
      </w:r>
      <w:r w:rsidRPr="003C319B">
        <w:t xml:space="preserve"> visiem audzēkņiem, ir 10 720 277 </w:t>
      </w:r>
      <w:r w:rsidRPr="00453A92">
        <w:rPr>
          <w:i/>
        </w:rPr>
        <w:t>euro</w:t>
      </w:r>
      <w:r w:rsidRPr="00453A92">
        <w:t xml:space="preserve"> (skat. tabulu Nr.</w:t>
      </w:r>
      <w:r w:rsidR="00453A92" w:rsidRPr="00453A92">
        <w:t>3.36</w:t>
      </w:r>
      <w:r w:rsidR="00D86274">
        <w:t>.</w:t>
      </w:r>
      <w:r w:rsidRPr="00453A92">
        <w:t>).</w:t>
      </w:r>
      <w:r w:rsidR="00EB3DB3">
        <w:t xml:space="preserve"> </w:t>
      </w:r>
    </w:p>
    <w:p w:rsidR="006D05B1" w:rsidRPr="006D05B1" w:rsidRDefault="006D05B1" w:rsidP="006D05B1">
      <w:pPr>
        <w:ind w:firstLine="720"/>
        <w:jc w:val="right"/>
      </w:pPr>
      <w:r w:rsidRPr="007428F9">
        <w:t>Tabula Nr.</w:t>
      </w:r>
      <w:r w:rsidR="007428F9" w:rsidRPr="007428F9">
        <w:t>3.35</w:t>
      </w:r>
      <w:r w:rsidR="00D86274">
        <w:t>.</w:t>
      </w:r>
    </w:p>
    <w:p w:rsidR="006D05B1" w:rsidRDefault="006D05B1" w:rsidP="006D05B1">
      <w:pPr>
        <w:spacing w:after="120"/>
        <w:jc w:val="center"/>
        <w:rPr>
          <w:b/>
        </w:rPr>
      </w:pPr>
      <w:r w:rsidRPr="00AE5BA7">
        <w:rPr>
          <w:b/>
        </w:rPr>
        <w:t>Esošais stipendiju fonds</w:t>
      </w:r>
    </w:p>
    <w:tbl>
      <w:tblPr>
        <w:tblW w:w="9067" w:type="dxa"/>
        <w:tblLook w:val="04A0" w:firstRow="1" w:lastRow="0" w:firstColumn="1" w:lastColumn="0" w:noHBand="0" w:noVBand="1"/>
      </w:tblPr>
      <w:tblGrid>
        <w:gridCol w:w="1555"/>
        <w:gridCol w:w="2436"/>
        <w:gridCol w:w="2272"/>
        <w:gridCol w:w="1241"/>
        <w:gridCol w:w="1563"/>
      </w:tblGrid>
      <w:tr w:rsidR="006D05B1" w:rsidRPr="006D05B1" w:rsidTr="00697EA2">
        <w:trPr>
          <w:trHeight w:val="572"/>
          <w:tblHeader/>
        </w:trPr>
        <w:tc>
          <w:tcPr>
            <w:tcW w:w="1555"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6D05B1" w:rsidRPr="006D05B1" w:rsidRDefault="006D05B1" w:rsidP="006D05B1">
            <w:pPr>
              <w:jc w:val="center"/>
              <w:rPr>
                <w:rFonts w:eastAsia="Times New Roman" w:cs="Times New Roman"/>
                <w:b/>
                <w:color w:val="000000"/>
                <w:sz w:val="22"/>
                <w:lang w:eastAsia="lv-LV"/>
              </w:rPr>
            </w:pPr>
          </w:p>
        </w:tc>
        <w:tc>
          <w:tcPr>
            <w:tcW w:w="2436"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 xml:space="preserve">Finansējums stipendijām 2017.gadam, </w:t>
            </w:r>
            <w:r w:rsidRPr="006D05B1">
              <w:rPr>
                <w:rFonts w:eastAsia="Times New Roman" w:cs="Times New Roman"/>
                <w:b/>
                <w:i/>
                <w:iCs/>
                <w:color w:val="000000"/>
                <w:sz w:val="22"/>
                <w:lang w:eastAsia="lv-LV"/>
              </w:rPr>
              <w:t>euro</w:t>
            </w:r>
          </w:p>
        </w:tc>
        <w:tc>
          <w:tcPr>
            <w:tcW w:w="2272"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Stipendiātu skaits 2017.gadā</w:t>
            </w:r>
          </w:p>
        </w:tc>
        <w:tc>
          <w:tcPr>
            <w:tcW w:w="1241"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Mēneši</w:t>
            </w:r>
          </w:p>
        </w:tc>
        <w:tc>
          <w:tcPr>
            <w:tcW w:w="1563"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 xml:space="preserve">Vidējā stipendija, </w:t>
            </w:r>
            <w:r w:rsidRPr="006D05B1">
              <w:rPr>
                <w:rFonts w:eastAsia="Times New Roman" w:cs="Times New Roman"/>
                <w:b/>
                <w:i/>
                <w:iCs/>
                <w:color w:val="000000"/>
                <w:sz w:val="22"/>
                <w:lang w:eastAsia="lv-LV"/>
              </w:rPr>
              <w:t>euro</w:t>
            </w:r>
          </w:p>
        </w:tc>
      </w:tr>
      <w:tr w:rsidR="006D05B1" w:rsidRPr="006D05B1" w:rsidTr="00697EA2">
        <w:trPr>
          <w:trHeight w:val="286"/>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D05B1" w:rsidRPr="006D05B1" w:rsidRDefault="006D05B1" w:rsidP="006D05B1">
            <w:pPr>
              <w:rPr>
                <w:rFonts w:eastAsia="Times New Roman" w:cs="Times New Roman"/>
                <w:b/>
                <w:color w:val="000000"/>
                <w:sz w:val="22"/>
                <w:lang w:eastAsia="lv-LV"/>
              </w:rPr>
            </w:pPr>
            <w:r w:rsidRPr="006D05B1">
              <w:rPr>
                <w:rFonts w:eastAsia="Times New Roman" w:cs="Times New Roman"/>
                <w:b/>
                <w:color w:val="000000"/>
                <w:sz w:val="22"/>
                <w:lang w:eastAsia="lv-LV"/>
              </w:rPr>
              <w:t>IZM</w:t>
            </w:r>
          </w:p>
        </w:tc>
        <w:tc>
          <w:tcPr>
            <w:tcW w:w="2436"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11 195 699</w:t>
            </w:r>
          </w:p>
        </w:tc>
        <w:tc>
          <w:tcPr>
            <w:tcW w:w="2272"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18 631</w:t>
            </w:r>
          </w:p>
        </w:tc>
        <w:tc>
          <w:tcPr>
            <w:tcW w:w="1241"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12</w:t>
            </w:r>
          </w:p>
        </w:tc>
        <w:tc>
          <w:tcPr>
            <w:tcW w:w="1563"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50,08</w:t>
            </w:r>
          </w:p>
        </w:tc>
      </w:tr>
      <w:tr w:rsidR="006D05B1" w:rsidRPr="006D05B1" w:rsidTr="00697EA2">
        <w:trPr>
          <w:trHeight w:val="286"/>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D05B1" w:rsidRPr="006D05B1" w:rsidRDefault="006D05B1" w:rsidP="006D05B1">
            <w:pPr>
              <w:rPr>
                <w:rFonts w:eastAsia="Times New Roman" w:cs="Times New Roman"/>
                <w:b/>
                <w:color w:val="000000"/>
                <w:sz w:val="22"/>
                <w:lang w:eastAsia="lv-LV"/>
              </w:rPr>
            </w:pPr>
            <w:r w:rsidRPr="006D05B1">
              <w:rPr>
                <w:rFonts w:eastAsia="Times New Roman" w:cs="Times New Roman"/>
                <w:b/>
                <w:color w:val="000000"/>
                <w:sz w:val="22"/>
                <w:lang w:eastAsia="lv-LV"/>
              </w:rPr>
              <w:t>KM</w:t>
            </w:r>
          </w:p>
        </w:tc>
        <w:tc>
          <w:tcPr>
            <w:tcW w:w="2436"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449 228</w:t>
            </w:r>
          </w:p>
        </w:tc>
        <w:tc>
          <w:tcPr>
            <w:tcW w:w="2272"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1 607</w:t>
            </w:r>
          </w:p>
        </w:tc>
        <w:tc>
          <w:tcPr>
            <w:tcW w:w="1241"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12</w:t>
            </w:r>
          </w:p>
        </w:tc>
        <w:tc>
          <w:tcPr>
            <w:tcW w:w="1563"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23,30</w:t>
            </w:r>
          </w:p>
        </w:tc>
      </w:tr>
      <w:tr w:rsidR="006D05B1" w:rsidRPr="006D05B1" w:rsidTr="00697EA2">
        <w:trPr>
          <w:trHeight w:val="286"/>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6D05B1" w:rsidRPr="006D05B1" w:rsidRDefault="006D05B1" w:rsidP="006D05B1">
            <w:pPr>
              <w:rPr>
                <w:rFonts w:eastAsia="Times New Roman" w:cs="Times New Roman"/>
                <w:b/>
                <w:color w:val="000000"/>
                <w:sz w:val="22"/>
                <w:lang w:eastAsia="lv-LV"/>
              </w:rPr>
            </w:pPr>
            <w:r w:rsidRPr="006D05B1">
              <w:rPr>
                <w:rFonts w:eastAsia="Times New Roman" w:cs="Times New Roman"/>
                <w:b/>
                <w:color w:val="000000"/>
                <w:sz w:val="22"/>
                <w:lang w:eastAsia="lv-LV"/>
              </w:rPr>
              <w:t>Kopā</w:t>
            </w:r>
          </w:p>
        </w:tc>
        <w:tc>
          <w:tcPr>
            <w:tcW w:w="2436"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11 644 927</w:t>
            </w:r>
          </w:p>
        </w:tc>
        <w:tc>
          <w:tcPr>
            <w:tcW w:w="2272"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20 238</w:t>
            </w:r>
          </w:p>
        </w:tc>
        <w:tc>
          <w:tcPr>
            <w:tcW w:w="1241"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12</w:t>
            </w:r>
          </w:p>
        </w:tc>
        <w:tc>
          <w:tcPr>
            <w:tcW w:w="1563"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47,95</w:t>
            </w:r>
          </w:p>
        </w:tc>
      </w:tr>
    </w:tbl>
    <w:p w:rsidR="006D05B1" w:rsidRDefault="006D05B1" w:rsidP="00EB3DB3"/>
    <w:p w:rsidR="006D05B1" w:rsidRPr="005160F3" w:rsidRDefault="006D05B1" w:rsidP="006D05B1">
      <w:pPr>
        <w:ind w:firstLine="720"/>
        <w:jc w:val="right"/>
      </w:pPr>
      <w:r w:rsidRPr="00453A92">
        <w:t>Tabula Nr.</w:t>
      </w:r>
      <w:r w:rsidR="00453A92" w:rsidRPr="00453A92">
        <w:t>3.36</w:t>
      </w:r>
      <w:r w:rsidR="00D86274">
        <w:t>.</w:t>
      </w:r>
    </w:p>
    <w:p w:rsidR="006D05B1" w:rsidRDefault="006D05B1" w:rsidP="006D05B1">
      <w:pPr>
        <w:spacing w:after="120"/>
        <w:ind w:firstLine="720"/>
        <w:jc w:val="center"/>
        <w:rPr>
          <w:b/>
        </w:rPr>
      </w:pPr>
      <w:r w:rsidRPr="00FB6FD9">
        <w:rPr>
          <w:b/>
        </w:rPr>
        <w:t>Izlīdzinātais stipendiju fonds</w:t>
      </w:r>
    </w:p>
    <w:tbl>
      <w:tblPr>
        <w:tblW w:w="9067" w:type="dxa"/>
        <w:tblLook w:val="04A0" w:firstRow="1" w:lastRow="0" w:firstColumn="1" w:lastColumn="0" w:noHBand="0" w:noVBand="1"/>
      </w:tblPr>
      <w:tblGrid>
        <w:gridCol w:w="1413"/>
        <w:gridCol w:w="2428"/>
        <w:gridCol w:w="2265"/>
        <w:gridCol w:w="1237"/>
        <w:gridCol w:w="1724"/>
      </w:tblGrid>
      <w:tr w:rsidR="006D05B1" w:rsidRPr="006D05B1" w:rsidTr="00697EA2">
        <w:trPr>
          <w:trHeight w:val="655"/>
          <w:tblHeader/>
        </w:trPr>
        <w:tc>
          <w:tcPr>
            <w:tcW w:w="1413"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6D05B1" w:rsidRPr="006D05B1" w:rsidRDefault="006D05B1" w:rsidP="006D05B1">
            <w:pPr>
              <w:jc w:val="center"/>
              <w:rPr>
                <w:rFonts w:eastAsia="Times New Roman" w:cs="Times New Roman"/>
                <w:b/>
                <w:color w:val="000000"/>
                <w:sz w:val="22"/>
                <w:lang w:eastAsia="lv-LV"/>
              </w:rPr>
            </w:pPr>
          </w:p>
        </w:tc>
        <w:tc>
          <w:tcPr>
            <w:tcW w:w="2428"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 xml:space="preserve">Vidējā stipendija, </w:t>
            </w:r>
            <w:r w:rsidRPr="006D05B1">
              <w:rPr>
                <w:rFonts w:eastAsia="Times New Roman" w:cs="Times New Roman"/>
                <w:b/>
                <w:i/>
                <w:iCs/>
                <w:color w:val="000000"/>
                <w:sz w:val="22"/>
                <w:lang w:eastAsia="lv-LV"/>
              </w:rPr>
              <w:t>euro</w:t>
            </w:r>
          </w:p>
        </w:tc>
        <w:tc>
          <w:tcPr>
            <w:tcW w:w="2265"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Stipendiātu skaits</w:t>
            </w:r>
          </w:p>
        </w:tc>
        <w:tc>
          <w:tcPr>
            <w:tcW w:w="1237"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Mēneši</w:t>
            </w:r>
          </w:p>
        </w:tc>
        <w:tc>
          <w:tcPr>
            <w:tcW w:w="1724"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6D05B1" w:rsidRPr="006D05B1" w:rsidRDefault="006D05B1" w:rsidP="006D05B1">
            <w:pPr>
              <w:jc w:val="center"/>
              <w:rPr>
                <w:rFonts w:eastAsia="Times New Roman" w:cs="Times New Roman"/>
                <w:b/>
                <w:color w:val="000000"/>
                <w:sz w:val="22"/>
                <w:lang w:eastAsia="lv-LV"/>
              </w:rPr>
            </w:pPr>
            <w:r w:rsidRPr="006D05B1">
              <w:rPr>
                <w:rFonts w:eastAsia="Times New Roman" w:cs="Times New Roman"/>
                <w:b/>
                <w:color w:val="000000"/>
                <w:sz w:val="22"/>
                <w:lang w:eastAsia="lv-LV"/>
              </w:rPr>
              <w:t xml:space="preserve">Nepieciešamais finansējums, </w:t>
            </w:r>
            <w:r w:rsidRPr="006D05B1">
              <w:rPr>
                <w:rFonts w:eastAsia="Times New Roman" w:cs="Times New Roman"/>
                <w:b/>
                <w:i/>
                <w:iCs/>
                <w:color w:val="000000"/>
                <w:sz w:val="22"/>
                <w:lang w:eastAsia="lv-LV"/>
              </w:rPr>
              <w:t>euro</w:t>
            </w:r>
          </w:p>
        </w:tc>
      </w:tr>
      <w:tr w:rsidR="006D05B1" w:rsidRPr="006D05B1" w:rsidTr="00697EA2">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6D05B1" w:rsidRPr="006D05B1" w:rsidRDefault="006D05B1" w:rsidP="006D05B1">
            <w:pPr>
              <w:rPr>
                <w:rFonts w:eastAsia="Times New Roman" w:cs="Times New Roman"/>
                <w:b/>
                <w:color w:val="000000"/>
                <w:sz w:val="22"/>
                <w:lang w:eastAsia="lv-LV"/>
              </w:rPr>
            </w:pPr>
            <w:r w:rsidRPr="006D05B1">
              <w:rPr>
                <w:rFonts w:eastAsia="Times New Roman" w:cs="Times New Roman"/>
                <w:b/>
                <w:color w:val="000000"/>
                <w:sz w:val="22"/>
                <w:lang w:eastAsia="lv-LV"/>
              </w:rPr>
              <w:t>IZM</w:t>
            </w:r>
          </w:p>
        </w:tc>
        <w:tc>
          <w:tcPr>
            <w:tcW w:w="2428"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47,95</w:t>
            </w:r>
          </w:p>
        </w:tc>
        <w:tc>
          <w:tcPr>
            <w:tcW w:w="2265"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18 631</w:t>
            </w:r>
          </w:p>
        </w:tc>
        <w:tc>
          <w:tcPr>
            <w:tcW w:w="1237"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12</w:t>
            </w:r>
          </w:p>
        </w:tc>
        <w:tc>
          <w:tcPr>
            <w:tcW w:w="1724"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10 720 277</w:t>
            </w:r>
          </w:p>
        </w:tc>
      </w:tr>
      <w:tr w:rsidR="006D05B1" w:rsidRPr="006D05B1" w:rsidTr="00697EA2">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6D05B1" w:rsidRPr="006D05B1" w:rsidRDefault="006D05B1" w:rsidP="006D05B1">
            <w:pPr>
              <w:rPr>
                <w:rFonts w:eastAsia="Times New Roman" w:cs="Times New Roman"/>
                <w:b/>
                <w:color w:val="000000"/>
                <w:sz w:val="22"/>
                <w:lang w:eastAsia="lv-LV"/>
              </w:rPr>
            </w:pPr>
            <w:r w:rsidRPr="006D05B1">
              <w:rPr>
                <w:rFonts w:eastAsia="Times New Roman" w:cs="Times New Roman"/>
                <w:b/>
                <w:color w:val="000000"/>
                <w:sz w:val="22"/>
                <w:lang w:eastAsia="lv-LV"/>
              </w:rPr>
              <w:t>KM</w:t>
            </w:r>
          </w:p>
        </w:tc>
        <w:tc>
          <w:tcPr>
            <w:tcW w:w="2428"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47,95</w:t>
            </w:r>
          </w:p>
        </w:tc>
        <w:tc>
          <w:tcPr>
            <w:tcW w:w="2265"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1 607</w:t>
            </w:r>
          </w:p>
        </w:tc>
        <w:tc>
          <w:tcPr>
            <w:tcW w:w="1237"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12</w:t>
            </w:r>
          </w:p>
        </w:tc>
        <w:tc>
          <w:tcPr>
            <w:tcW w:w="1724"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924 668</w:t>
            </w:r>
          </w:p>
        </w:tc>
      </w:tr>
      <w:tr w:rsidR="006D05B1" w:rsidRPr="006D05B1" w:rsidTr="00697EA2">
        <w:trPr>
          <w:trHeight w:val="300"/>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6D05B1" w:rsidRPr="006D05B1" w:rsidRDefault="006D05B1" w:rsidP="006D05B1">
            <w:pPr>
              <w:rPr>
                <w:rFonts w:eastAsia="Times New Roman" w:cs="Times New Roman"/>
                <w:b/>
                <w:color w:val="000000"/>
                <w:sz w:val="22"/>
                <w:lang w:eastAsia="lv-LV"/>
              </w:rPr>
            </w:pPr>
            <w:r w:rsidRPr="006D05B1">
              <w:rPr>
                <w:rFonts w:eastAsia="Times New Roman" w:cs="Times New Roman"/>
                <w:b/>
                <w:color w:val="000000"/>
                <w:sz w:val="22"/>
                <w:lang w:eastAsia="lv-LV"/>
              </w:rPr>
              <w:t>Kopā</w:t>
            </w:r>
          </w:p>
        </w:tc>
        <w:tc>
          <w:tcPr>
            <w:tcW w:w="2428"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rPr>
                <w:rFonts w:eastAsia="Times New Roman" w:cs="Times New Roman"/>
                <w:color w:val="000000"/>
                <w:sz w:val="22"/>
                <w:lang w:eastAsia="lv-LV"/>
              </w:rPr>
            </w:pPr>
            <w:r w:rsidRPr="006D05B1">
              <w:rPr>
                <w:rFonts w:eastAsia="Times New Roman" w:cs="Times New Roman"/>
                <w:color w:val="000000"/>
                <w:sz w:val="22"/>
                <w:lang w:eastAsia="lv-LV"/>
              </w:rPr>
              <w:t> </w:t>
            </w:r>
          </w:p>
        </w:tc>
        <w:tc>
          <w:tcPr>
            <w:tcW w:w="2265"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20 238</w:t>
            </w:r>
          </w:p>
        </w:tc>
        <w:tc>
          <w:tcPr>
            <w:tcW w:w="1237"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p>
        </w:tc>
        <w:tc>
          <w:tcPr>
            <w:tcW w:w="1724" w:type="dxa"/>
            <w:tcBorders>
              <w:top w:val="nil"/>
              <w:left w:val="nil"/>
              <w:bottom w:val="single" w:sz="4" w:space="0" w:color="auto"/>
              <w:right w:val="single" w:sz="4" w:space="0" w:color="auto"/>
            </w:tcBorders>
            <w:shd w:val="clear" w:color="auto" w:fill="auto"/>
            <w:noWrap/>
            <w:vAlign w:val="bottom"/>
            <w:hideMark/>
          </w:tcPr>
          <w:p w:rsidR="006D05B1" w:rsidRPr="006D05B1" w:rsidRDefault="006D05B1" w:rsidP="006D05B1">
            <w:pPr>
              <w:jc w:val="right"/>
              <w:rPr>
                <w:rFonts w:eastAsia="Times New Roman" w:cs="Times New Roman"/>
                <w:color w:val="000000"/>
                <w:sz w:val="22"/>
                <w:lang w:eastAsia="lv-LV"/>
              </w:rPr>
            </w:pPr>
            <w:r w:rsidRPr="006D05B1">
              <w:rPr>
                <w:rFonts w:eastAsia="Times New Roman" w:cs="Times New Roman"/>
                <w:color w:val="000000"/>
                <w:sz w:val="22"/>
                <w:lang w:eastAsia="lv-LV"/>
              </w:rPr>
              <w:t>11 644 945</w:t>
            </w:r>
          </w:p>
        </w:tc>
      </w:tr>
    </w:tbl>
    <w:p w:rsidR="00E66F6C" w:rsidRPr="00B302A5" w:rsidRDefault="001443D1" w:rsidP="00B302A5">
      <w:pPr>
        <w:spacing w:before="120" w:after="120"/>
        <w:ind w:firstLine="720"/>
        <w:jc w:val="both"/>
      </w:pPr>
      <w:r w:rsidRPr="00411F0D">
        <w:t xml:space="preserve">Lai nodrošinātu vienotu </w:t>
      </w:r>
      <w:r w:rsidRPr="00B54CBF">
        <w:t>principu īstenošanu stipendiju</w:t>
      </w:r>
      <w:r w:rsidRPr="00411F0D">
        <w:t xml:space="preserve"> piešķiršanā dažādās profesionālās izglītības iestādēs</w:t>
      </w:r>
      <w:r>
        <w:t xml:space="preserve">, </w:t>
      </w:r>
      <w:r w:rsidRPr="00D83554">
        <w:t>IZM fina</w:t>
      </w:r>
      <w:r>
        <w:t>nsējums stipendijām ir samazinām</w:t>
      </w:r>
      <w:r w:rsidRPr="00D83554">
        <w:t xml:space="preserve">s par 475 422 </w:t>
      </w:r>
      <w:r w:rsidRPr="00F07CE7">
        <w:rPr>
          <w:i/>
        </w:rPr>
        <w:t>euro</w:t>
      </w:r>
      <w:r>
        <w:rPr>
          <w:i/>
        </w:rPr>
        <w:t xml:space="preserve"> </w:t>
      </w:r>
      <w:r w:rsidRPr="006D0499">
        <w:t xml:space="preserve">(11 195 699 </w:t>
      </w:r>
      <w:r w:rsidRPr="006D0499">
        <w:rPr>
          <w:i/>
        </w:rPr>
        <w:t>euro</w:t>
      </w:r>
      <w:r>
        <w:rPr>
          <w:i/>
        </w:rPr>
        <w:t xml:space="preserve"> </w:t>
      </w:r>
      <w:r w:rsidRPr="006D0499">
        <w:t>–</w:t>
      </w:r>
      <w:r>
        <w:t xml:space="preserve"> </w:t>
      </w:r>
      <w:r w:rsidRPr="001F43E0">
        <w:t>10 720</w:t>
      </w:r>
      <w:r>
        <w:t> </w:t>
      </w:r>
      <w:r w:rsidRPr="001F43E0">
        <w:t>277</w:t>
      </w:r>
      <w:r>
        <w:t xml:space="preserve"> </w:t>
      </w:r>
      <w:r w:rsidRPr="001F43E0">
        <w:rPr>
          <w:i/>
        </w:rPr>
        <w:t>euro</w:t>
      </w:r>
      <w:r>
        <w:rPr>
          <w:i/>
        </w:rPr>
        <w:t xml:space="preserve"> </w:t>
      </w:r>
      <w:r w:rsidRPr="006D0499">
        <w:t>= 475 422</w:t>
      </w:r>
      <w:r w:rsidRPr="006D0499">
        <w:rPr>
          <w:i/>
        </w:rPr>
        <w:t xml:space="preserve"> euro</w:t>
      </w:r>
      <w:r>
        <w:rPr>
          <w:i/>
        </w:rPr>
        <w:t>)</w:t>
      </w:r>
      <w:r w:rsidRPr="006D0499">
        <w:t>,</w:t>
      </w:r>
      <w:r w:rsidRPr="00D83554">
        <w:t xml:space="preserve"> to attiecīgi novirzot KM</w:t>
      </w:r>
      <w:r>
        <w:t>.</w:t>
      </w:r>
    </w:p>
    <w:p w:rsidR="001443D1" w:rsidRPr="00B302A5" w:rsidRDefault="00587315" w:rsidP="0099475B">
      <w:pPr>
        <w:spacing w:before="240" w:after="120"/>
        <w:jc w:val="both"/>
        <w:rPr>
          <w:b/>
        </w:rPr>
      </w:pPr>
      <w:r>
        <w:rPr>
          <w:b/>
        </w:rPr>
        <w:t>IZM</w:t>
      </w:r>
      <w:r w:rsidR="001443D1" w:rsidRPr="005826A5">
        <w:rPr>
          <w:b/>
        </w:rPr>
        <w:t xml:space="preserve"> - </w:t>
      </w:r>
      <w:r w:rsidR="00E66F6C" w:rsidRPr="00E66F6C">
        <w:rPr>
          <w:b/>
        </w:rPr>
        <w:t>Zinātniskās darbības nodrošināšanai universitāšu latviešu filoloģijas un vēstures studiju programmās</w:t>
      </w:r>
    </w:p>
    <w:p w:rsidR="001443D1" w:rsidRDefault="006D05B1" w:rsidP="001443D1">
      <w:pPr>
        <w:spacing w:after="120"/>
        <w:ind w:right="23" w:firstLine="720"/>
        <w:jc w:val="both"/>
        <w:rPr>
          <w:rFonts w:eastAsia="Times New Roman" w:cs="Times New Roman"/>
          <w:szCs w:val="24"/>
          <w:lang w:eastAsia="lv-LV" w:bidi="lv-LV"/>
        </w:rPr>
      </w:pPr>
      <w:r>
        <w:t xml:space="preserve">IZM </w:t>
      </w:r>
      <w:r w:rsidRPr="007375FB">
        <w:t>budžeta apakšprogrammā</w:t>
      </w:r>
      <w:r>
        <w:t xml:space="preserve"> </w:t>
      </w:r>
      <w:r w:rsidRPr="00AA10A7">
        <w:t>03.01.00</w:t>
      </w:r>
      <w:r>
        <w:t xml:space="preserve"> “</w:t>
      </w:r>
      <w:r w:rsidRPr="00AA10A7">
        <w:t>Augstskolas</w:t>
      </w:r>
      <w:r>
        <w:t xml:space="preserve">”, </w:t>
      </w:r>
      <w:r w:rsidRPr="007F319C">
        <w:rPr>
          <w:rFonts w:eastAsia="Times New Roman" w:cs="Times New Roman"/>
          <w:szCs w:val="24"/>
          <w:lang w:eastAsia="lv-LV" w:bidi="lv-LV"/>
        </w:rPr>
        <w:t xml:space="preserve">izskatot likumprojektu “Par vidējā termiņa budžeta </w:t>
      </w:r>
      <w:r>
        <w:rPr>
          <w:rFonts w:eastAsia="Times New Roman" w:cs="Times New Roman"/>
          <w:szCs w:val="24"/>
          <w:lang w:eastAsia="lv-LV" w:bidi="lv-LV"/>
        </w:rPr>
        <w:t>ietvaru 2014., 2015. un 2016</w:t>
      </w:r>
      <w:r w:rsidRPr="007F319C">
        <w:rPr>
          <w:rFonts w:eastAsia="Times New Roman" w:cs="Times New Roman"/>
          <w:szCs w:val="24"/>
          <w:lang w:eastAsia="lv-LV" w:bidi="lv-LV"/>
        </w:rPr>
        <w:t>.gadam” Saeimā otrajā lasījumā, tika pieņemts lēmums par papildu finansējuma piešķiršanu</w:t>
      </w:r>
      <w:r w:rsidR="001443D1">
        <w:rPr>
          <w:rFonts w:eastAsia="Times New Roman" w:cs="Times New Roman"/>
          <w:szCs w:val="24"/>
          <w:lang w:eastAsia="lv-LV" w:bidi="lv-LV"/>
        </w:rPr>
        <w:t xml:space="preserve"> pasākumam “</w:t>
      </w:r>
      <w:r w:rsidR="001443D1" w:rsidRPr="001443D1">
        <w:rPr>
          <w:rFonts w:eastAsia="Times New Roman" w:cs="Times New Roman"/>
          <w:szCs w:val="24"/>
          <w:lang w:eastAsia="lv-LV" w:bidi="lv-LV"/>
        </w:rPr>
        <w:t>Zinātniskās darbības nodrošināšanai universitāšu latviešu filoloģijas un vēstures studiju programmās</w:t>
      </w:r>
      <w:r w:rsidR="001443D1">
        <w:rPr>
          <w:rFonts w:eastAsia="Times New Roman" w:cs="Times New Roman"/>
          <w:szCs w:val="24"/>
          <w:lang w:eastAsia="lv-LV" w:bidi="lv-LV"/>
        </w:rPr>
        <w:t>”</w:t>
      </w:r>
      <w:r>
        <w:rPr>
          <w:rFonts w:eastAsia="Times New Roman" w:cs="Times New Roman"/>
          <w:szCs w:val="24"/>
          <w:lang w:eastAsia="lv-LV" w:bidi="lv-LV"/>
        </w:rPr>
        <w:t xml:space="preserve"> </w:t>
      </w:r>
      <w:r w:rsidRPr="007F319C">
        <w:rPr>
          <w:rFonts w:eastAsia="Times New Roman" w:cs="Times New Roman"/>
          <w:szCs w:val="24"/>
          <w:lang w:eastAsia="lv-LV" w:bidi="lv-LV"/>
        </w:rPr>
        <w:t xml:space="preserve">2014. – 2016.gadam 55 028 </w:t>
      </w:r>
      <w:r w:rsidRPr="007F319C">
        <w:rPr>
          <w:rFonts w:eastAsia="Times New Roman" w:cs="Times New Roman"/>
          <w:i/>
          <w:szCs w:val="24"/>
          <w:lang w:eastAsia="lv-LV" w:bidi="lv-LV"/>
        </w:rPr>
        <w:t xml:space="preserve">euro </w:t>
      </w:r>
      <w:r w:rsidR="0003092D">
        <w:rPr>
          <w:rFonts w:eastAsia="Times New Roman" w:cs="Times New Roman"/>
          <w:szCs w:val="24"/>
          <w:lang w:eastAsia="lv-LV" w:bidi="lv-LV"/>
        </w:rPr>
        <w:t xml:space="preserve">apmērā, </w:t>
      </w:r>
      <w:r w:rsidR="0003092D">
        <w:t>kas š</w:t>
      </w:r>
      <w:r w:rsidR="0003092D" w:rsidRPr="000E1974">
        <w:t xml:space="preserve">ādā apmērā </w:t>
      </w:r>
      <w:r w:rsidR="0003092D">
        <w:t>ir paredzēts IZM budžetā arī 2017.gadam un turpmākajiem gadiem</w:t>
      </w:r>
      <w:r w:rsidR="00602167">
        <w:t>.</w:t>
      </w:r>
    </w:p>
    <w:p w:rsidR="007E626E" w:rsidRDefault="006D05B1" w:rsidP="00B302A5">
      <w:pPr>
        <w:spacing w:after="120"/>
        <w:ind w:right="23" w:firstLine="720"/>
        <w:jc w:val="both"/>
        <w:rPr>
          <w:rFonts w:eastAsia="Times New Roman" w:cs="Times New Roman"/>
          <w:color w:val="000000"/>
          <w:szCs w:val="24"/>
          <w:lang w:eastAsia="lv-LV"/>
        </w:rPr>
      </w:pPr>
      <w:r w:rsidRPr="002D3403">
        <w:rPr>
          <w:rFonts w:eastAsia="Times New Roman" w:cs="Times New Roman"/>
          <w:color w:val="000000"/>
          <w:szCs w:val="24"/>
          <w:lang w:eastAsia="lv-LV"/>
        </w:rPr>
        <w:t xml:space="preserve">Ņemot vērā, ka </w:t>
      </w:r>
      <w:r w:rsidRPr="002D3403">
        <w:rPr>
          <w:rFonts w:eastAsia="Times New Roman" w:cs="Times New Roman"/>
          <w:szCs w:val="24"/>
          <w:lang w:eastAsia="lv-LV" w:bidi="lv-LV"/>
        </w:rPr>
        <w:t>piešķiramajam finansējumam zinātniskās darbība</w:t>
      </w:r>
      <w:r w:rsidRPr="00CD212E">
        <w:rPr>
          <w:rFonts w:eastAsia="Times New Roman" w:cs="Times New Roman"/>
          <w:szCs w:val="24"/>
          <w:lang w:eastAsia="lv-LV" w:bidi="lv-LV"/>
        </w:rPr>
        <w:t xml:space="preserve">s attīstībai augstskolā ir jābalstās uz vienotiem principiem visās zinātnes nozarēs, </w:t>
      </w:r>
      <w:r w:rsidRPr="00CD212E">
        <w:rPr>
          <w:rFonts w:eastAsia="Times New Roman" w:cs="Times New Roman"/>
          <w:color w:val="000000"/>
          <w:szCs w:val="24"/>
          <w:lang w:eastAsia="lv-LV"/>
        </w:rPr>
        <w:t xml:space="preserve">finansējums 55 028 </w:t>
      </w:r>
      <w:r w:rsidRPr="00CD212E">
        <w:rPr>
          <w:rFonts w:eastAsia="Times New Roman" w:cs="Times New Roman"/>
          <w:i/>
          <w:color w:val="000000"/>
          <w:szCs w:val="24"/>
          <w:lang w:eastAsia="lv-LV"/>
        </w:rPr>
        <w:t>euro</w:t>
      </w:r>
      <w:r w:rsidRPr="00CD212E">
        <w:rPr>
          <w:rFonts w:eastAsia="Times New Roman" w:cs="Times New Roman"/>
          <w:color w:val="000000"/>
          <w:szCs w:val="24"/>
          <w:lang w:eastAsia="lv-LV"/>
        </w:rPr>
        <w:t xml:space="preserve"> apmērā ir novirzāms aktuālāku pasākumu īstenošanai.</w:t>
      </w:r>
    </w:p>
    <w:p w:rsidR="00A26639" w:rsidRPr="00A26639" w:rsidRDefault="00A26639" w:rsidP="00A26639">
      <w:pPr>
        <w:spacing w:after="120"/>
        <w:ind w:right="23" w:firstLine="720"/>
        <w:jc w:val="both"/>
        <w:rPr>
          <w:rFonts w:eastAsia="Times New Roman" w:cs="Times New Roman"/>
          <w:szCs w:val="24"/>
          <w:lang w:eastAsia="lv-LV" w:bidi="lv-LV"/>
        </w:rPr>
      </w:pPr>
      <w:r w:rsidRPr="00A26639">
        <w:rPr>
          <w:rFonts w:eastAsia="Times New Roman" w:cs="Times New Roman"/>
          <w:szCs w:val="24"/>
          <w:lang w:eastAsia="lv-LV" w:bidi="lv-LV"/>
        </w:rPr>
        <w:t xml:space="preserve">Darbojoties ierobežota zinātnes finansējuma apstākļos, IZM ieskatā valsts pētījumu programmu (turpmāk – VPP) finansējums būtu novirzāms fundamentālo un lietišķo projektu  īstenošanai, lai panāktu kritisko masu zināšanu bāzei un cilvēkkapitālam, kas ir spējīgs radīt inovācijas. </w:t>
      </w:r>
    </w:p>
    <w:p w:rsidR="00A26639" w:rsidRPr="00A26639" w:rsidRDefault="00A26639" w:rsidP="00A26639">
      <w:pPr>
        <w:spacing w:after="120"/>
        <w:ind w:right="23" w:firstLine="720"/>
        <w:jc w:val="both"/>
        <w:rPr>
          <w:rFonts w:eastAsia="Times New Roman" w:cs="Times New Roman"/>
          <w:szCs w:val="24"/>
          <w:lang w:eastAsia="lv-LV" w:bidi="lv-LV"/>
        </w:rPr>
      </w:pPr>
      <w:r w:rsidRPr="00A26639">
        <w:rPr>
          <w:rFonts w:eastAsia="Times New Roman" w:cs="Times New Roman"/>
          <w:szCs w:val="24"/>
          <w:lang w:eastAsia="lv-LV" w:bidi="lv-LV"/>
        </w:rPr>
        <w:t>Savukārt VPP būtu jāveido atbilstoši katrai svarīgai tautsaimniecības nozarei, piesaistot finansējumu no nozares valsts kapitālsabiedrībām un ministrijām, piemēram:</w:t>
      </w:r>
    </w:p>
    <w:p w:rsidR="00D95925" w:rsidRDefault="00A26639" w:rsidP="008C25BB">
      <w:pPr>
        <w:pStyle w:val="ListParagraph"/>
        <w:numPr>
          <w:ilvl w:val="0"/>
          <w:numId w:val="77"/>
        </w:numPr>
        <w:spacing w:after="120"/>
        <w:ind w:right="23"/>
        <w:jc w:val="both"/>
        <w:rPr>
          <w:rFonts w:eastAsia="Times New Roman" w:cs="Times New Roman"/>
          <w:szCs w:val="24"/>
          <w:lang w:eastAsia="lv-LV" w:bidi="lv-LV"/>
        </w:rPr>
      </w:pPr>
      <w:r w:rsidRPr="00D95925">
        <w:rPr>
          <w:rFonts w:eastAsia="Times New Roman" w:cs="Times New Roman"/>
          <w:szCs w:val="24"/>
          <w:lang w:eastAsia="lv-LV" w:bidi="lv-LV"/>
        </w:rPr>
        <w:t>bioekonomika: ZM, A/S Latvijas Valsts meži, nozares uzņēmumi;</w:t>
      </w:r>
    </w:p>
    <w:p w:rsidR="00D95925" w:rsidRDefault="00A26639" w:rsidP="008C25BB">
      <w:pPr>
        <w:pStyle w:val="ListParagraph"/>
        <w:numPr>
          <w:ilvl w:val="0"/>
          <w:numId w:val="77"/>
        </w:numPr>
        <w:spacing w:after="120"/>
        <w:ind w:right="23"/>
        <w:jc w:val="both"/>
        <w:rPr>
          <w:rFonts w:eastAsia="Times New Roman" w:cs="Times New Roman"/>
          <w:szCs w:val="24"/>
          <w:lang w:eastAsia="lv-LV" w:bidi="lv-LV"/>
        </w:rPr>
      </w:pPr>
      <w:r w:rsidRPr="00D95925">
        <w:rPr>
          <w:rFonts w:eastAsia="Times New Roman" w:cs="Times New Roman"/>
          <w:szCs w:val="24"/>
          <w:lang w:eastAsia="lv-LV" w:bidi="lv-LV"/>
        </w:rPr>
        <w:t>enerģētika – EM, A/S Latvenergo, nozares uzņēmumi;</w:t>
      </w:r>
    </w:p>
    <w:p w:rsidR="00D95925" w:rsidRDefault="00A26639" w:rsidP="008C25BB">
      <w:pPr>
        <w:pStyle w:val="ListParagraph"/>
        <w:numPr>
          <w:ilvl w:val="0"/>
          <w:numId w:val="77"/>
        </w:numPr>
        <w:spacing w:after="120"/>
        <w:ind w:right="23"/>
        <w:jc w:val="both"/>
        <w:rPr>
          <w:rFonts w:eastAsia="Times New Roman" w:cs="Times New Roman"/>
          <w:szCs w:val="24"/>
          <w:lang w:eastAsia="lv-LV" w:bidi="lv-LV"/>
        </w:rPr>
      </w:pPr>
      <w:r w:rsidRPr="00D95925">
        <w:rPr>
          <w:rFonts w:eastAsia="Times New Roman" w:cs="Times New Roman"/>
          <w:szCs w:val="24"/>
          <w:lang w:eastAsia="lv-LV" w:bidi="lv-LV"/>
        </w:rPr>
        <w:t>IKT – VARAM, daļēji AiM (kiberdrošības jautājumos), A/</w:t>
      </w:r>
      <w:r w:rsidR="00D95925">
        <w:rPr>
          <w:rFonts w:eastAsia="Times New Roman" w:cs="Times New Roman"/>
          <w:szCs w:val="24"/>
          <w:lang w:eastAsia="lv-LV" w:bidi="lv-LV"/>
        </w:rPr>
        <w:t>S Lattelecom, nozares uzņēmumi;</w:t>
      </w:r>
    </w:p>
    <w:p w:rsidR="00A26639" w:rsidRPr="00D95925" w:rsidRDefault="00A26639" w:rsidP="008C25BB">
      <w:pPr>
        <w:pStyle w:val="ListParagraph"/>
        <w:numPr>
          <w:ilvl w:val="0"/>
          <w:numId w:val="77"/>
        </w:numPr>
        <w:spacing w:after="120"/>
        <w:ind w:right="23"/>
        <w:jc w:val="both"/>
        <w:rPr>
          <w:rFonts w:eastAsia="Times New Roman" w:cs="Times New Roman"/>
          <w:szCs w:val="24"/>
          <w:lang w:eastAsia="lv-LV" w:bidi="lv-LV"/>
        </w:rPr>
      </w:pPr>
      <w:r w:rsidRPr="00D95925">
        <w:rPr>
          <w:rFonts w:eastAsia="Times New Roman" w:cs="Times New Roman"/>
          <w:szCs w:val="24"/>
          <w:lang w:eastAsia="lv-LV" w:bidi="lv-LV"/>
        </w:rPr>
        <w:t>biomedicīnas, medicīnas tehnoloģijas, biofarmācijas un biotehnoloģiju jomā – VM u.c.</w:t>
      </w:r>
    </w:p>
    <w:p w:rsidR="00A26639" w:rsidRDefault="00A26639" w:rsidP="00A26639">
      <w:pPr>
        <w:spacing w:after="120"/>
        <w:ind w:right="23" w:firstLine="720"/>
        <w:jc w:val="both"/>
        <w:rPr>
          <w:rFonts w:eastAsia="Times New Roman" w:cs="Times New Roman"/>
          <w:szCs w:val="24"/>
          <w:lang w:eastAsia="lv-LV" w:bidi="lv-LV"/>
        </w:rPr>
      </w:pPr>
      <w:r w:rsidRPr="00A26639">
        <w:rPr>
          <w:rFonts w:eastAsia="Times New Roman" w:cs="Times New Roman"/>
          <w:szCs w:val="24"/>
          <w:lang w:eastAsia="lv-LV" w:bidi="lv-LV"/>
        </w:rPr>
        <w:t xml:space="preserve">IZM budžeta ietvaros būtu finansējamas VPP latviešu, latgaliešu un lībiešu valodu izpētei un attīstībai, izglītības zinātnei un sporta zinātnei. Iepriekš piešķirtais finansējums </w:t>
      </w:r>
      <w:r>
        <w:rPr>
          <w:rFonts w:eastAsia="Times New Roman" w:cs="Times New Roman"/>
          <w:szCs w:val="24"/>
          <w:lang w:eastAsia="lv-LV" w:bidi="lv-LV"/>
        </w:rPr>
        <w:t>JPI</w:t>
      </w:r>
      <w:r w:rsidRPr="00A26639">
        <w:rPr>
          <w:rFonts w:eastAsia="Times New Roman" w:cs="Times New Roman"/>
          <w:szCs w:val="24"/>
          <w:lang w:eastAsia="lv-LV" w:bidi="lv-LV"/>
        </w:rPr>
        <w:t xml:space="preserve"> </w:t>
      </w:r>
      <w:r w:rsidRPr="00A26639">
        <w:rPr>
          <w:rFonts w:eastAsia="Times New Roman" w:cs="Times New Roman"/>
          <w:szCs w:val="24"/>
          <w:lang w:eastAsia="lv-LV" w:bidi="lv-LV"/>
        </w:rPr>
        <w:lastRenderedPageBreak/>
        <w:t xml:space="preserve">“Zinātniskās darbības nodrošināšanai universitāšu latviešu filoloģijas un vēstures studiju programmās” 55 028 </w:t>
      </w:r>
      <w:r w:rsidRPr="00A26639">
        <w:rPr>
          <w:rFonts w:eastAsia="Times New Roman" w:cs="Times New Roman"/>
          <w:i/>
          <w:szCs w:val="24"/>
          <w:lang w:eastAsia="lv-LV" w:bidi="lv-LV"/>
        </w:rPr>
        <w:t>euro</w:t>
      </w:r>
      <w:r w:rsidRPr="00A26639">
        <w:rPr>
          <w:rFonts w:eastAsia="Times New Roman" w:cs="Times New Roman"/>
          <w:szCs w:val="24"/>
          <w:lang w:eastAsia="lv-LV" w:bidi="lv-LV"/>
        </w:rPr>
        <w:t xml:space="preserve"> apmērā būtu konsolidējams VPP latviešu, latgaliešu un  lībiešu valodu izpētei un attīstībai.</w:t>
      </w:r>
    </w:p>
    <w:p w:rsidR="00A26639" w:rsidRPr="00A26639" w:rsidRDefault="00A26639" w:rsidP="00A26639">
      <w:pPr>
        <w:spacing w:after="120"/>
        <w:ind w:right="23"/>
        <w:jc w:val="both"/>
        <w:rPr>
          <w:rFonts w:eastAsia="Times New Roman" w:cs="Times New Roman"/>
          <w:b/>
          <w:szCs w:val="24"/>
          <w:lang w:eastAsia="lv-LV" w:bidi="lv-LV"/>
        </w:rPr>
      </w:pPr>
      <w:r w:rsidRPr="00A26639">
        <w:rPr>
          <w:rFonts w:cs="Times New Roman"/>
          <w:b/>
          <w:szCs w:val="24"/>
        </w:rPr>
        <w:t>IZM - Par augstākās izglītības iestāžu konsolidāciju (Rīgas Pedagoģijas un izglītības vadības akadēmijas (turpmāk – RPIVA) pievienošana Latvijas Universitātei)</w:t>
      </w:r>
    </w:p>
    <w:p w:rsidR="00A26639" w:rsidRPr="00A26639" w:rsidRDefault="00A26639" w:rsidP="00A26639">
      <w:pPr>
        <w:spacing w:after="120"/>
        <w:ind w:right="23" w:firstLine="720"/>
        <w:jc w:val="both"/>
        <w:rPr>
          <w:rFonts w:eastAsia="Times New Roman" w:cs="Times New Roman"/>
          <w:szCs w:val="24"/>
          <w:lang w:eastAsia="lv-LV" w:bidi="lv-LV"/>
        </w:rPr>
      </w:pPr>
      <w:r w:rsidRPr="00A26639">
        <w:rPr>
          <w:rFonts w:eastAsia="Times New Roman" w:cs="Times New Roman"/>
          <w:szCs w:val="24"/>
          <w:lang w:eastAsia="lv-LV" w:bidi="lv-LV"/>
        </w:rPr>
        <w:t>Ir veikta augstākās izglītības iestāžu konsolidācija, kā rezultātā tika likvidēta RPIVA, to pievienojot Latvijas Universitātei.</w:t>
      </w:r>
    </w:p>
    <w:p w:rsidR="00A26639" w:rsidRPr="00A26639" w:rsidRDefault="00A26639" w:rsidP="00A26639">
      <w:pPr>
        <w:spacing w:after="120"/>
        <w:jc w:val="both"/>
        <w:rPr>
          <w:rFonts w:eastAsia="Times New Roman" w:cs="Times New Roman"/>
          <w:szCs w:val="24"/>
          <w:lang w:eastAsia="lv-LV"/>
        </w:rPr>
      </w:pPr>
      <w:r w:rsidRPr="00A26639">
        <w:rPr>
          <w:rFonts w:eastAsia="Times New Roman" w:cs="Times New Roman"/>
          <w:szCs w:val="24"/>
          <w:lang w:eastAsia="lv-LV"/>
        </w:rPr>
        <w:t>RPIVA likvidācijas rezultātā:</w:t>
      </w:r>
    </w:p>
    <w:p w:rsidR="00A26639" w:rsidRPr="00A26639" w:rsidRDefault="00A26639" w:rsidP="008C25BB">
      <w:pPr>
        <w:pStyle w:val="ListParagraph"/>
        <w:numPr>
          <w:ilvl w:val="0"/>
          <w:numId w:val="76"/>
        </w:numPr>
        <w:spacing w:after="120"/>
        <w:jc w:val="both"/>
        <w:rPr>
          <w:rFonts w:eastAsia="Times New Roman" w:cs="Times New Roman"/>
          <w:szCs w:val="24"/>
          <w:lang w:eastAsia="lv-LV"/>
        </w:rPr>
      </w:pPr>
      <w:r>
        <w:rPr>
          <w:rFonts w:eastAsia="Times New Roman" w:cs="Times New Roman"/>
          <w:szCs w:val="24"/>
          <w:lang w:eastAsia="lv-LV"/>
        </w:rPr>
        <w:t>l</w:t>
      </w:r>
      <w:r w:rsidRPr="00A26639">
        <w:rPr>
          <w:rFonts w:eastAsia="Times New Roman" w:cs="Times New Roman"/>
          <w:szCs w:val="24"/>
          <w:lang w:eastAsia="lv-LV"/>
        </w:rPr>
        <w:t>īdz 2019.gadā paredzētajai akreditācijai tiks uzsākta pašlaik sadrumstalotā programmu klāsta konsolidā</w:t>
      </w:r>
      <w:r>
        <w:rPr>
          <w:rFonts w:eastAsia="Times New Roman" w:cs="Times New Roman"/>
          <w:szCs w:val="24"/>
          <w:lang w:eastAsia="lv-LV"/>
        </w:rPr>
        <w:t>cija studiju tematiskajā grupā “</w:t>
      </w:r>
      <w:r w:rsidRPr="00A26639">
        <w:rPr>
          <w:rFonts w:eastAsia="Times New Roman" w:cs="Times New Roman"/>
          <w:szCs w:val="24"/>
          <w:lang w:eastAsia="lv-LV"/>
        </w:rPr>
        <w:t>Izglītība”, samazinot valsts dibināto augstskolu skaitu par vienu augstskolu un studiju programmu skaitu par apmēram 30%;</w:t>
      </w:r>
    </w:p>
    <w:p w:rsidR="00A26639" w:rsidRDefault="00A26639" w:rsidP="008C25BB">
      <w:pPr>
        <w:pStyle w:val="ListParagraph"/>
        <w:numPr>
          <w:ilvl w:val="0"/>
          <w:numId w:val="76"/>
        </w:numPr>
        <w:spacing w:after="120"/>
        <w:jc w:val="both"/>
        <w:rPr>
          <w:rFonts w:eastAsia="Times New Roman" w:cs="Times New Roman"/>
          <w:szCs w:val="24"/>
          <w:lang w:eastAsia="lv-LV"/>
        </w:rPr>
      </w:pPr>
      <w:r w:rsidRPr="00A26639">
        <w:rPr>
          <w:rFonts w:eastAsia="Times New Roman" w:cs="Times New Roman"/>
          <w:szCs w:val="24"/>
          <w:lang w:eastAsia="lv-LV"/>
        </w:rPr>
        <w:t>pakāpeniski tiks līdzsvarots sagatavoto speciālistu skaits ar darbam skolās nepieciešamo speciālistu skaitu, ik gadus sagatavojot apmēram 500 absolventus;</w:t>
      </w:r>
    </w:p>
    <w:p w:rsidR="00A26639" w:rsidRDefault="00A26639" w:rsidP="008C25BB">
      <w:pPr>
        <w:pStyle w:val="ListParagraph"/>
        <w:numPr>
          <w:ilvl w:val="0"/>
          <w:numId w:val="76"/>
        </w:numPr>
        <w:spacing w:after="120"/>
        <w:jc w:val="both"/>
        <w:rPr>
          <w:rFonts w:eastAsia="Times New Roman" w:cs="Times New Roman"/>
          <w:szCs w:val="24"/>
          <w:lang w:eastAsia="lv-LV"/>
        </w:rPr>
      </w:pPr>
      <w:r w:rsidRPr="00A26639">
        <w:rPr>
          <w:rFonts w:eastAsia="Times New Roman" w:cs="Times New Roman"/>
          <w:szCs w:val="24"/>
          <w:lang w:eastAsia="lv-LV"/>
        </w:rPr>
        <w:t>tiks mobilizēti pašreiz RPIVA, Latvijas Universitātes un Jāzepa Vītola Latvijas Mūzikas akadēmijas rīcībā esošie resursi (ieskaitot finanšu) un ieguldīti izglītības studiju programmu modernizācijā un izcilībai studijās un pētniecībā, t.sk. izmantojot tās iespējas, ko rada sinerģija ar saistītajām akadēmiskajām un profesionālajām jomām – mūziku, mākslu, vēsturi, dabas un sociālajām zinātnēm;</w:t>
      </w:r>
    </w:p>
    <w:p w:rsidR="00A26639" w:rsidRDefault="00A26639" w:rsidP="008C25BB">
      <w:pPr>
        <w:pStyle w:val="ListParagraph"/>
        <w:numPr>
          <w:ilvl w:val="0"/>
          <w:numId w:val="76"/>
        </w:numPr>
        <w:spacing w:after="120"/>
        <w:jc w:val="both"/>
        <w:rPr>
          <w:rFonts w:eastAsia="Times New Roman" w:cs="Times New Roman"/>
          <w:szCs w:val="24"/>
          <w:lang w:eastAsia="lv-LV"/>
        </w:rPr>
      </w:pPr>
      <w:r w:rsidRPr="00A26639">
        <w:rPr>
          <w:rFonts w:eastAsia="Times New Roman" w:cs="Times New Roman"/>
          <w:szCs w:val="24"/>
          <w:lang w:eastAsia="lv-LV"/>
        </w:rPr>
        <w:t>tiks nodrošināta kvalitatīvas un modernas izglītības un akadēmisko resursu pieejamība nepilna laika studiju programmās studējošajiem Latvijas reģionos;</w:t>
      </w:r>
    </w:p>
    <w:p w:rsidR="00A26639" w:rsidRDefault="00A26639" w:rsidP="008C25BB">
      <w:pPr>
        <w:pStyle w:val="ListParagraph"/>
        <w:numPr>
          <w:ilvl w:val="0"/>
          <w:numId w:val="76"/>
        </w:numPr>
        <w:spacing w:after="120"/>
        <w:jc w:val="both"/>
        <w:rPr>
          <w:rFonts w:eastAsia="Times New Roman" w:cs="Times New Roman"/>
          <w:szCs w:val="24"/>
          <w:lang w:eastAsia="lv-LV"/>
        </w:rPr>
      </w:pPr>
      <w:r w:rsidRPr="00A26639">
        <w:rPr>
          <w:rFonts w:eastAsia="Times New Roman" w:cs="Times New Roman"/>
          <w:szCs w:val="24"/>
          <w:lang w:eastAsia="lv-LV"/>
        </w:rPr>
        <w:t xml:space="preserve">tiks radīta iespēja izglītības studiju programmu modernizācijā, akadēmiskā personāla attīstībā, kā arī  pārvaldībā un pieejamībā reģionos ieguldīt </w:t>
      </w:r>
      <w:r>
        <w:rPr>
          <w:rFonts w:eastAsia="Times New Roman" w:cs="Times New Roman"/>
          <w:szCs w:val="24"/>
          <w:lang w:eastAsia="lv-LV"/>
        </w:rPr>
        <w:t>ES</w:t>
      </w:r>
      <w:r w:rsidRPr="00A26639">
        <w:rPr>
          <w:rFonts w:eastAsia="Times New Roman" w:cs="Times New Roman"/>
          <w:szCs w:val="24"/>
          <w:lang w:eastAsia="lv-LV"/>
        </w:rPr>
        <w:t xml:space="preserve"> struktūrfondu līdzekļus;</w:t>
      </w:r>
    </w:p>
    <w:p w:rsidR="00A26639" w:rsidRPr="00A26639" w:rsidRDefault="00A26639" w:rsidP="008C25BB">
      <w:pPr>
        <w:pStyle w:val="ListParagraph"/>
        <w:numPr>
          <w:ilvl w:val="0"/>
          <w:numId w:val="76"/>
        </w:numPr>
        <w:spacing w:after="120"/>
        <w:jc w:val="both"/>
        <w:rPr>
          <w:rFonts w:eastAsia="Times New Roman" w:cs="Times New Roman"/>
          <w:szCs w:val="24"/>
          <w:lang w:eastAsia="lv-LV"/>
        </w:rPr>
      </w:pPr>
      <w:r w:rsidRPr="00A26639">
        <w:rPr>
          <w:rFonts w:eastAsia="Times New Roman" w:cs="Times New Roman"/>
          <w:szCs w:val="24"/>
          <w:lang w:eastAsia="lv-LV"/>
        </w:rPr>
        <w:t>tiks optimizēts valsts budžeta līdzekļu izlietojums pedagoģijas studiju nodrošināšanai un līdz 2022.gadam tiks ietaupīti apmēram 5</w:t>
      </w:r>
      <w:r w:rsidR="00F34CDF">
        <w:rPr>
          <w:rFonts w:eastAsia="Times New Roman" w:cs="Times New Roman"/>
          <w:szCs w:val="24"/>
          <w:lang w:eastAsia="lv-LV"/>
        </w:rPr>
        <w:t xml:space="preserve">,8 </w:t>
      </w:r>
      <w:r w:rsidRPr="00A26639">
        <w:rPr>
          <w:rFonts w:eastAsia="Times New Roman" w:cs="Times New Roman"/>
          <w:szCs w:val="24"/>
          <w:lang w:eastAsia="lv-LV"/>
        </w:rPr>
        <w:t xml:space="preserve">milj. </w:t>
      </w:r>
      <w:r w:rsidR="00352094" w:rsidRPr="00A26639">
        <w:rPr>
          <w:rFonts w:eastAsia="Times New Roman" w:cs="Times New Roman"/>
          <w:i/>
          <w:szCs w:val="24"/>
          <w:lang w:eastAsia="lv-LV"/>
        </w:rPr>
        <w:t>euro</w:t>
      </w:r>
      <w:r w:rsidR="00352094">
        <w:rPr>
          <w:rFonts w:eastAsia="Times New Roman" w:cs="Times New Roman"/>
          <w:szCs w:val="24"/>
          <w:lang w:eastAsia="lv-LV"/>
        </w:rPr>
        <w:t xml:space="preserve"> (2018.gadā – 268 468 </w:t>
      </w:r>
      <w:r w:rsidR="00352094" w:rsidRPr="00352094">
        <w:rPr>
          <w:rFonts w:eastAsia="Times New Roman" w:cs="Times New Roman"/>
          <w:i/>
          <w:szCs w:val="24"/>
          <w:lang w:eastAsia="lv-LV"/>
        </w:rPr>
        <w:t>euro</w:t>
      </w:r>
      <w:r w:rsidR="00352094">
        <w:rPr>
          <w:rFonts w:eastAsia="Times New Roman" w:cs="Times New Roman"/>
          <w:szCs w:val="24"/>
          <w:lang w:eastAsia="lv-LV"/>
        </w:rPr>
        <w:t xml:space="preserve">, 2019.gadā – 939 366 </w:t>
      </w:r>
      <w:r w:rsidR="00352094" w:rsidRPr="00352094">
        <w:rPr>
          <w:rFonts w:eastAsia="Times New Roman" w:cs="Times New Roman"/>
          <w:i/>
          <w:szCs w:val="24"/>
          <w:lang w:eastAsia="lv-LV"/>
        </w:rPr>
        <w:t>euro</w:t>
      </w:r>
      <w:r w:rsidR="00352094">
        <w:rPr>
          <w:rFonts w:eastAsia="Times New Roman" w:cs="Times New Roman"/>
          <w:szCs w:val="24"/>
          <w:lang w:eastAsia="lv-LV"/>
        </w:rPr>
        <w:t xml:space="preserve">, 2020.gadā – 1 532 888 </w:t>
      </w:r>
      <w:r w:rsidR="00352094" w:rsidRPr="00352094">
        <w:rPr>
          <w:rFonts w:eastAsia="Times New Roman" w:cs="Times New Roman"/>
          <w:i/>
          <w:szCs w:val="24"/>
          <w:lang w:eastAsia="lv-LV"/>
        </w:rPr>
        <w:t>euro</w:t>
      </w:r>
      <w:r w:rsidR="00352094">
        <w:rPr>
          <w:rFonts w:eastAsia="Times New Roman" w:cs="Times New Roman"/>
          <w:szCs w:val="24"/>
          <w:lang w:eastAsia="lv-LV"/>
        </w:rPr>
        <w:t xml:space="preserve">, 2021.gadā – 1 532 888 </w:t>
      </w:r>
      <w:r w:rsidR="00352094" w:rsidRPr="00352094">
        <w:rPr>
          <w:rFonts w:eastAsia="Times New Roman" w:cs="Times New Roman"/>
          <w:i/>
          <w:szCs w:val="24"/>
          <w:lang w:eastAsia="lv-LV"/>
        </w:rPr>
        <w:t>euro</w:t>
      </w:r>
      <w:r w:rsidR="00352094">
        <w:rPr>
          <w:rFonts w:eastAsia="Times New Roman" w:cs="Times New Roman"/>
          <w:szCs w:val="24"/>
          <w:lang w:eastAsia="lv-LV"/>
        </w:rPr>
        <w:t xml:space="preserve">, 2022.gadā – 1 532 888 </w:t>
      </w:r>
      <w:r w:rsidR="00352094" w:rsidRPr="00C26D23">
        <w:rPr>
          <w:rFonts w:eastAsia="Times New Roman" w:cs="Times New Roman"/>
          <w:i/>
          <w:szCs w:val="24"/>
          <w:lang w:eastAsia="lv-LV"/>
        </w:rPr>
        <w:t>euro</w:t>
      </w:r>
      <w:r w:rsidR="00352094">
        <w:rPr>
          <w:rFonts w:eastAsia="Times New Roman" w:cs="Times New Roman"/>
          <w:szCs w:val="24"/>
          <w:lang w:eastAsia="lv-LV"/>
        </w:rPr>
        <w:t>)</w:t>
      </w:r>
      <w:r w:rsidRPr="00A26639">
        <w:rPr>
          <w:rFonts w:eastAsia="Times New Roman" w:cs="Times New Roman"/>
          <w:szCs w:val="24"/>
          <w:lang w:eastAsia="lv-LV"/>
        </w:rPr>
        <w:t xml:space="preserve">, kas tiks novirzīti pedagogu studiju programmu nodrošinājuma palielināšanai. </w:t>
      </w:r>
    </w:p>
    <w:p w:rsidR="004F632D" w:rsidRPr="00B302A5" w:rsidRDefault="004F632D" w:rsidP="00A26639">
      <w:pPr>
        <w:spacing w:before="240" w:after="240"/>
        <w:jc w:val="both"/>
        <w:rPr>
          <w:b/>
        </w:rPr>
      </w:pPr>
      <w:bookmarkStart w:id="26" w:name="_Toc479582096"/>
      <w:r>
        <w:rPr>
          <w:b/>
        </w:rPr>
        <w:t>ZM</w:t>
      </w:r>
      <w:r w:rsidRPr="005826A5">
        <w:rPr>
          <w:b/>
        </w:rPr>
        <w:t xml:space="preserve"> - </w:t>
      </w:r>
      <w:r w:rsidRPr="007E626E">
        <w:rPr>
          <w:b/>
        </w:rPr>
        <w:t>Kokmateriālu un koka izstrādājumu nodroši</w:t>
      </w:r>
      <w:r w:rsidR="00B302A5">
        <w:rPr>
          <w:b/>
        </w:rPr>
        <w:t>nāšana Eiropas Savienības tirgū</w:t>
      </w:r>
    </w:p>
    <w:p w:rsidR="004F632D" w:rsidRDefault="004F632D" w:rsidP="004F632D">
      <w:pPr>
        <w:ind w:firstLine="720"/>
        <w:jc w:val="both"/>
        <w:rPr>
          <w:rFonts w:cs="Times New Roman"/>
          <w:szCs w:val="24"/>
          <w:lang w:eastAsia="lv-LV"/>
        </w:rPr>
      </w:pPr>
      <w:r>
        <w:rPr>
          <w:rFonts w:cs="Times New Roman"/>
          <w:szCs w:val="24"/>
          <w:lang w:eastAsia="lv-LV"/>
        </w:rPr>
        <w:t>ZM budžeta apakšprogrammā 24</w:t>
      </w:r>
      <w:r w:rsidRPr="00831010">
        <w:rPr>
          <w:rFonts w:cs="Times New Roman"/>
          <w:szCs w:val="24"/>
          <w:lang w:eastAsia="lv-LV"/>
        </w:rPr>
        <w:t xml:space="preserve">.01.00 “Meža resursu valsts uzraudzība”, izskatot likumprojektu “Par vidējā termiņa budžeta ietvaru 2014., 2015. un 2016.gadam” Saeimā otrajā lasījumā, tika pieņemts lēmums par papildu finansējuma piešķiršanu pasākumam </w:t>
      </w:r>
      <w:r>
        <w:rPr>
          <w:rFonts w:cs="Times New Roman"/>
          <w:szCs w:val="24"/>
          <w:lang w:eastAsia="lv-LV"/>
        </w:rPr>
        <w:t>“</w:t>
      </w:r>
      <w:r w:rsidRPr="000E38C0">
        <w:rPr>
          <w:rFonts w:cs="Times New Roman"/>
          <w:szCs w:val="24"/>
          <w:lang w:eastAsia="lv-LV"/>
        </w:rPr>
        <w:t>Kokmateriālu un koka izstrādājumu nodrošināšana Eiropas Savienības tirgū</w:t>
      </w:r>
      <w:r>
        <w:rPr>
          <w:rFonts w:cs="Times New Roman"/>
          <w:szCs w:val="24"/>
          <w:lang w:eastAsia="lv-LV"/>
        </w:rPr>
        <w:t>”</w:t>
      </w:r>
      <w:r w:rsidRPr="00770C84">
        <w:t xml:space="preserve"> </w:t>
      </w:r>
      <w:r>
        <w:t xml:space="preserve">2014-2016.gadam </w:t>
      </w:r>
      <w:r w:rsidRPr="009C0E25">
        <w:rPr>
          <w:rFonts w:cs="Times New Roman"/>
          <w:szCs w:val="24"/>
          <w:lang w:eastAsia="lv-LV"/>
        </w:rPr>
        <w:t xml:space="preserve">77 147 </w:t>
      </w:r>
      <w:r w:rsidRPr="009C0E25">
        <w:rPr>
          <w:rFonts w:cs="Times New Roman"/>
          <w:i/>
          <w:szCs w:val="24"/>
          <w:lang w:eastAsia="lv-LV"/>
        </w:rPr>
        <w:t>euro</w:t>
      </w:r>
      <w:r w:rsidRPr="009C0E25">
        <w:rPr>
          <w:rFonts w:cs="Times New Roman"/>
          <w:szCs w:val="24"/>
          <w:lang w:eastAsia="lv-LV"/>
        </w:rPr>
        <w:t xml:space="preserve"> apmērā, lai 2014.gadā un turpmākajos gados nodrošinātu ar </w:t>
      </w:r>
      <w:r w:rsidR="0099475B">
        <w:rPr>
          <w:rFonts w:cs="Times New Roman"/>
          <w:szCs w:val="24"/>
          <w:lang w:eastAsia="lv-LV"/>
        </w:rPr>
        <w:t>MK</w:t>
      </w:r>
      <w:r w:rsidRPr="009C0E25">
        <w:rPr>
          <w:rFonts w:cs="Times New Roman"/>
          <w:szCs w:val="24"/>
          <w:lang w:eastAsia="lv-LV"/>
        </w:rPr>
        <w:t xml:space="preserve"> 2013.</w:t>
      </w:r>
      <w:r>
        <w:rPr>
          <w:rFonts w:cs="Times New Roman"/>
          <w:szCs w:val="24"/>
          <w:lang w:eastAsia="lv-LV"/>
        </w:rPr>
        <w:t>gada 30.jūlija</w:t>
      </w:r>
      <w:r w:rsidRPr="009C0E25">
        <w:rPr>
          <w:rFonts w:cs="Times New Roman"/>
          <w:szCs w:val="24"/>
          <w:lang w:eastAsia="lv-LV"/>
        </w:rPr>
        <w:t xml:space="preserve"> noteikumu Nr.449 “Valsts meža dienesta nolikums” un saskaņā ar ES 2010.</w:t>
      </w:r>
      <w:r>
        <w:rPr>
          <w:rFonts w:cs="Times New Roman"/>
          <w:szCs w:val="24"/>
          <w:lang w:eastAsia="lv-LV"/>
        </w:rPr>
        <w:t>gada 20.oktobra</w:t>
      </w:r>
      <w:r w:rsidRPr="009C0E25">
        <w:rPr>
          <w:rFonts w:cs="Times New Roman"/>
          <w:szCs w:val="24"/>
          <w:lang w:eastAsia="lv-LV"/>
        </w:rPr>
        <w:t xml:space="preserve"> regulu Nr.995/2010 apstiprināto to tirgus dalībnieku pārbaudi un pārraudzību, kuri laiž tirgū kokmateriālus un koka izstrādājumus. </w:t>
      </w:r>
      <w:r>
        <w:rPr>
          <w:rFonts w:cs="Times New Roman"/>
          <w:szCs w:val="24"/>
          <w:lang w:eastAsia="lv-LV"/>
        </w:rPr>
        <w:t>F</w:t>
      </w:r>
      <w:r w:rsidRPr="009C0E25">
        <w:rPr>
          <w:rFonts w:cs="Times New Roman"/>
          <w:szCs w:val="24"/>
          <w:lang w:eastAsia="lv-LV"/>
        </w:rPr>
        <w:t xml:space="preserve">inansējums paredzēts atlīdzībai 2 </w:t>
      </w:r>
      <w:r>
        <w:rPr>
          <w:rFonts w:cs="Times New Roman"/>
          <w:szCs w:val="24"/>
          <w:lang w:eastAsia="lv-LV"/>
        </w:rPr>
        <w:t xml:space="preserve">jaunām </w:t>
      </w:r>
      <w:r w:rsidRPr="009C0E25">
        <w:rPr>
          <w:rFonts w:cs="Times New Roman"/>
          <w:szCs w:val="24"/>
          <w:lang w:eastAsia="lv-LV"/>
        </w:rPr>
        <w:t>amata vietām</w:t>
      </w:r>
      <w:r>
        <w:rPr>
          <w:rFonts w:cs="Times New Roman"/>
          <w:szCs w:val="24"/>
          <w:lang w:eastAsia="lv-LV"/>
        </w:rPr>
        <w:t>, kapitālām iegādēm (</w:t>
      </w:r>
      <w:r w:rsidRPr="000E38C0">
        <w:rPr>
          <w:rFonts w:cs="Times New Roman"/>
          <w:szCs w:val="24"/>
          <w:lang w:eastAsia="lv-LV"/>
        </w:rPr>
        <w:t>2 portatīviem datoriem</w:t>
      </w:r>
      <w:r w:rsidRPr="004139C7">
        <w:rPr>
          <w:rFonts w:cs="Times New Roman"/>
          <w:szCs w:val="24"/>
          <w:lang w:eastAsia="lv-LV"/>
        </w:rPr>
        <w:t>, biroja mēbel</w:t>
      </w:r>
      <w:r w:rsidRPr="000E38C0">
        <w:rPr>
          <w:rFonts w:cs="Times New Roman"/>
          <w:szCs w:val="24"/>
          <w:lang w:eastAsia="lv-LV"/>
        </w:rPr>
        <w:t>ēm</w:t>
      </w:r>
      <w:r w:rsidRPr="004139C7">
        <w:rPr>
          <w:rFonts w:cs="Times New Roman"/>
          <w:szCs w:val="24"/>
          <w:lang w:eastAsia="lv-LV"/>
        </w:rPr>
        <w:t>, telpu kapitāla</w:t>
      </w:r>
      <w:r w:rsidRPr="000E38C0">
        <w:rPr>
          <w:rFonts w:cs="Times New Roman"/>
          <w:szCs w:val="24"/>
          <w:lang w:eastAsia="lv-LV"/>
        </w:rPr>
        <w:t>jam remontam un 1 automašīnas iegādei</w:t>
      </w:r>
      <w:r>
        <w:rPr>
          <w:rFonts w:cs="Times New Roman"/>
          <w:szCs w:val="24"/>
          <w:lang w:eastAsia="lv-LV"/>
        </w:rPr>
        <w:t xml:space="preserve">), kā arī 2 jauno amata </w:t>
      </w:r>
      <w:r w:rsidRPr="009C0E25">
        <w:rPr>
          <w:rFonts w:cs="Times New Roman"/>
          <w:szCs w:val="24"/>
          <w:lang w:eastAsia="lv-LV"/>
        </w:rPr>
        <w:t xml:space="preserve">vietu un </w:t>
      </w:r>
      <w:r>
        <w:rPr>
          <w:rFonts w:cs="Times New Roman"/>
          <w:szCs w:val="24"/>
          <w:lang w:eastAsia="lv-LV"/>
        </w:rPr>
        <w:t xml:space="preserve">plānotās iegādājamās </w:t>
      </w:r>
      <w:r w:rsidRPr="009C0E25">
        <w:rPr>
          <w:rFonts w:cs="Times New Roman"/>
          <w:szCs w:val="24"/>
          <w:lang w:eastAsia="lv-LV"/>
        </w:rPr>
        <w:t>automašīnas uzturēšanas izdevumiem</w:t>
      </w:r>
      <w:r w:rsidR="00C30F82">
        <w:rPr>
          <w:rFonts w:cs="Times New Roman"/>
          <w:szCs w:val="24"/>
          <w:lang w:eastAsia="lv-LV"/>
        </w:rPr>
        <w:t xml:space="preserve"> (skat. 3.63.attēlu)</w:t>
      </w:r>
      <w:r w:rsidRPr="004139C7">
        <w:rPr>
          <w:rFonts w:cs="Times New Roman"/>
          <w:szCs w:val="24"/>
          <w:lang w:eastAsia="lv-LV"/>
        </w:rPr>
        <w:t>.</w:t>
      </w:r>
      <w:r w:rsidR="005F396E">
        <w:rPr>
          <w:rFonts w:cs="Times New Roman"/>
          <w:szCs w:val="24"/>
          <w:lang w:eastAsia="lv-LV"/>
        </w:rPr>
        <w:t xml:space="preserve"> </w:t>
      </w:r>
    </w:p>
    <w:p w:rsidR="009859E0" w:rsidRPr="009C0E25" w:rsidRDefault="009859E0" w:rsidP="004F632D">
      <w:pPr>
        <w:ind w:firstLine="720"/>
        <w:jc w:val="both"/>
        <w:rPr>
          <w:rFonts w:cs="Times New Roman"/>
          <w:szCs w:val="24"/>
          <w:lang w:eastAsia="lv-LV"/>
        </w:rPr>
      </w:pPr>
    </w:p>
    <w:p w:rsidR="004F632D" w:rsidRDefault="004F632D" w:rsidP="004F632D">
      <w:pPr>
        <w:spacing w:after="120"/>
        <w:jc w:val="center"/>
        <w:rPr>
          <w:rFonts w:cs="Times New Roman"/>
          <w:i/>
          <w:sz w:val="22"/>
        </w:rPr>
      </w:pPr>
      <w:r>
        <w:rPr>
          <w:noProof/>
          <w:lang w:eastAsia="lv-LV"/>
        </w:rPr>
        <w:lastRenderedPageBreak/>
        <w:drawing>
          <wp:inline distT="0" distB="0" distL="0" distR="0" wp14:anchorId="0AB04E5A" wp14:editId="28BA9B14">
            <wp:extent cx="5939790" cy="3837305"/>
            <wp:effectExtent l="0" t="0" r="3810" b="10795"/>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4F632D" w:rsidRPr="00D95925" w:rsidRDefault="00453A92" w:rsidP="00D95925">
      <w:pPr>
        <w:spacing w:after="240"/>
        <w:jc w:val="center"/>
        <w:rPr>
          <w:rFonts w:cs="Times New Roman"/>
          <w:b/>
          <w:i/>
          <w:sz w:val="22"/>
        </w:rPr>
      </w:pPr>
      <w:r>
        <w:rPr>
          <w:rFonts w:cs="Times New Roman"/>
          <w:i/>
          <w:sz w:val="22"/>
        </w:rPr>
        <w:t>3.63</w:t>
      </w:r>
      <w:r w:rsidR="004F632D" w:rsidRPr="00457B39">
        <w:rPr>
          <w:rFonts w:cs="Times New Roman"/>
          <w:i/>
          <w:sz w:val="22"/>
        </w:rPr>
        <w:t>.att.</w:t>
      </w:r>
      <w:r w:rsidR="004F632D" w:rsidRPr="00457B39">
        <w:rPr>
          <w:rFonts w:cs="Times New Roman"/>
          <w:sz w:val="22"/>
        </w:rPr>
        <w:t xml:space="preserve"> </w:t>
      </w:r>
      <w:r w:rsidR="004F632D" w:rsidRPr="00B100DF">
        <w:rPr>
          <w:rFonts w:cs="Times New Roman"/>
          <w:b/>
          <w:sz w:val="22"/>
        </w:rPr>
        <w:t>Piešķirtais finansējums “</w:t>
      </w:r>
      <w:r w:rsidR="004F632D" w:rsidRPr="009D54EB">
        <w:rPr>
          <w:rFonts w:cs="Times New Roman"/>
          <w:b/>
          <w:sz w:val="22"/>
          <w:lang w:eastAsia="lv-LV"/>
        </w:rPr>
        <w:t>Kokmateriālu un koka izstrādājumu nodrošināšana Eiropas Savienības tirgū”</w:t>
      </w:r>
      <w:r w:rsidR="004F632D" w:rsidRPr="00B100DF">
        <w:rPr>
          <w:rFonts w:cs="Times New Roman"/>
          <w:b/>
          <w:sz w:val="22"/>
        </w:rPr>
        <w:t xml:space="preserve">, </w:t>
      </w:r>
      <w:r w:rsidR="004F632D" w:rsidRPr="00B100DF">
        <w:rPr>
          <w:rFonts w:cs="Times New Roman"/>
          <w:b/>
          <w:i/>
          <w:sz w:val="22"/>
        </w:rPr>
        <w:t>euro</w:t>
      </w:r>
    </w:p>
    <w:p w:rsidR="004F632D" w:rsidRDefault="004F632D" w:rsidP="004F632D">
      <w:pPr>
        <w:spacing w:after="120"/>
        <w:jc w:val="both"/>
        <w:rPr>
          <w:rFonts w:cs="Times New Roman"/>
          <w:szCs w:val="24"/>
          <w:lang w:eastAsia="lv-LV"/>
        </w:rPr>
      </w:pPr>
      <w:r>
        <w:rPr>
          <w:rFonts w:cs="Times New Roman"/>
          <w:szCs w:val="24"/>
          <w:lang w:eastAsia="lv-LV"/>
        </w:rPr>
        <w:t>Uzskatām, ka pasākumam piešķirtais f</w:t>
      </w:r>
      <w:r w:rsidRPr="009C0E25">
        <w:rPr>
          <w:rFonts w:cs="Times New Roman"/>
          <w:szCs w:val="24"/>
          <w:lang w:eastAsia="lv-LV"/>
        </w:rPr>
        <w:t xml:space="preserve">inansējums ir pārskatāms, </w:t>
      </w:r>
      <w:r>
        <w:rPr>
          <w:rFonts w:cs="Times New Roman"/>
          <w:szCs w:val="24"/>
          <w:lang w:eastAsia="lv-LV"/>
        </w:rPr>
        <w:t>jo:</w:t>
      </w:r>
    </w:p>
    <w:p w:rsidR="004F632D" w:rsidRDefault="004F632D" w:rsidP="00B127E1">
      <w:pPr>
        <w:pStyle w:val="ListParagraph"/>
        <w:numPr>
          <w:ilvl w:val="0"/>
          <w:numId w:val="6"/>
        </w:numPr>
        <w:spacing w:after="120"/>
        <w:contextualSpacing w:val="0"/>
        <w:jc w:val="both"/>
        <w:rPr>
          <w:rFonts w:cs="Times New Roman"/>
          <w:szCs w:val="24"/>
          <w:lang w:eastAsia="lv-LV"/>
        </w:rPr>
      </w:pPr>
      <w:r w:rsidRPr="00A902A9">
        <w:rPr>
          <w:rFonts w:cs="Times New Roman"/>
          <w:szCs w:val="24"/>
          <w:lang w:eastAsia="lv-LV"/>
        </w:rPr>
        <w:t>paredzētās kapitālās iegādes (</w:t>
      </w:r>
      <w:r w:rsidRPr="00693A0E">
        <w:rPr>
          <w:rFonts w:cs="Times New Roman"/>
          <w:szCs w:val="24"/>
          <w:lang w:eastAsia="lv-LV"/>
        </w:rPr>
        <w:t xml:space="preserve">2 portatīvie datori 3 557 </w:t>
      </w:r>
      <w:r w:rsidRPr="0004322C">
        <w:rPr>
          <w:rFonts w:cs="Times New Roman"/>
          <w:i/>
          <w:szCs w:val="24"/>
          <w:lang w:eastAsia="lv-LV"/>
        </w:rPr>
        <w:t>euro</w:t>
      </w:r>
      <w:r w:rsidRPr="00693A0E">
        <w:rPr>
          <w:rFonts w:cs="Times New Roman"/>
          <w:szCs w:val="24"/>
          <w:lang w:eastAsia="lv-LV"/>
        </w:rPr>
        <w:t xml:space="preserve">, biroja mēbeles 2 846 </w:t>
      </w:r>
      <w:r w:rsidRPr="0004322C">
        <w:rPr>
          <w:rFonts w:cs="Times New Roman"/>
          <w:i/>
          <w:szCs w:val="24"/>
          <w:lang w:eastAsia="lv-LV"/>
        </w:rPr>
        <w:t>euro</w:t>
      </w:r>
      <w:r w:rsidRPr="00693A0E">
        <w:rPr>
          <w:rFonts w:cs="Times New Roman"/>
          <w:szCs w:val="24"/>
          <w:lang w:eastAsia="lv-LV"/>
        </w:rPr>
        <w:t xml:space="preserve">, telpu kapitālais remonts 4 269 </w:t>
      </w:r>
      <w:r w:rsidRPr="0004322C">
        <w:rPr>
          <w:rFonts w:cs="Times New Roman"/>
          <w:i/>
          <w:szCs w:val="24"/>
          <w:lang w:eastAsia="lv-LV"/>
        </w:rPr>
        <w:t>euro</w:t>
      </w:r>
      <w:r w:rsidRPr="00693A0E">
        <w:rPr>
          <w:rFonts w:cs="Times New Roman"/>
          <w:szCs w:val="24"/>
          <w:lang w:eastAsia="lv-LV"/>
        </w:rPr>
        <w:t xml:space="preserve">, 1 automašīnas iegāde 17 786 </w:t>
      </w:r>
      <w:r w:rsidRPr="0004322C">
        <w:rPr>
          <w:rFonts w:cs="Times New Roman"/>
          <w:i/>
          <w:szCs w:val="24"/>
          <w:lang w:eastAsia="lv-LV"/>
        </w:rPr>
        <w:t>euro</w:t>
      </w:r>
      <w:r w:rsidRPr="00A902A9">
        <w:rPr>
          <w:rFonts w:cs="Times New Roman"/>
          <w:szCs w:val="24"/>
          <w:lang w:eastAsia="lv-LV"/>
        </w:rPr>
        <w:t xml:space="preserve">) pēc to būtības nav pasākumi, kas veicami ik gadu, bet ir </w:t>
      </w:r>
      <w:r w:rsidRPr="003C2611">
        <w:rPr>
          <w:rFonts w:cs="Times New Roman"/>
          <w:szCs w:val="24"/>
          <w:lang w:eastAsia="lv-LV"/>
        </w:rPr>
        <w:t xml:space="preserve">vienreizēji, kā arī plānotais finansējums kopš 2015.gada </w:t>
      </w:r>
      <w:r>
        <w:rPr>
          <w:rFonts w:cs="Times New Roman"/>
          <w:szCs w:val="24"/>
          <w:lang w:eastAsia="lv-LV"/>
        </w:rPr>
        <w:t xml:space="preserve">ir </w:t>
      </w:r>
      <w:r w:rsidRPr="003C2611">
        <w:rPr>
          <w:rFonts w:cs="Times New Roman"/>
          <w:szCs w:val="24"/>
          <w:lang w:eastAsia="lv-LV"/>
        </w:rPr>
        <w:t>novirzīts citam mērķim</w:t>
      </w:r>
      <w:r>
        <w:rPr>
          <w:rFonts w:cs="Times New Roman"/>
          <w:szCs w:val="24"/>
          <w:lang w:eastAsia="lv-LV"/>
        </w:rPr>
        <w:t xml:space="preserve"> (</w:t>
      </w:r>
      <w:r w:rsidRPr="003C2611">
        <w:rPr>
          <w:rFonts w:cs="Times New Roman"/>
          <w:szCs w:val="24"/>
          <w:lang w:eastAsia="lv-LV"/>
        </w:rPr>
        <w:t xml:space="preserve">2015.gadā, lai segtu VMD citam mērķim iegādātās vienas ugunsdzēsības autocisternas pietrūkstošo finansējuma daļu, </w:t>
      </w:r>
      <w:r w:rsidRPr="00591ABF">
        <w:rPr>
          <w:rFonts w:cs="Times New Roman"/>
          <w:szCs w:val="24"/>
          <w:lang w:eastAsia="lv-LV"/>
        </w:rPr>
        <w:t>bet 2016. un 2017. gadā daļēji sedzot nepieciešamās izmaksas specializēto vieglo kravas automašīnu atjaunošanai</w:t>
      </w:r>
      <w:r>
        <w:rPr>
          <w:rFonts w:cs="Times New Roman"/>
          <w:szCs w:val="24"/>
          <w:lang w:eastAsia="lv-LV"/>
        </w:rPr>
        <w:t>),</w:t>
      </w:r>
    </w:p>
    <w:p w:rsidR="004F632D" w:rsidRDefault="004F632D" w:rsidP="00B127E1">
      <w:pPr>
        <w:pStyle w:val="ListParagraph"/>
        <w:numPr>
          <w:ilvl w:val="0"/>
          <w:numId w:val="6"/>
        </w:numPr>
        <w:spacing w:after="120"/>
        <w:contextualSpacing w:val="0"/>
        <w:jc w:val="both"/>
        <w:rPr>
          <w:rFonts w:cs="Times New Roman"/>
          <w:szCs w:val="24"/>
          <w:lang w:eastAsia="lv-LV"/>
        </w:rPr>
      </w:pPr>
      <w:r w:rsidRPr="00A902A9">
        <w:rPr>
          <w:rFonts w:cs="Times New Roman"/>
          <w:szCs w:val="24"/>
          <w:lang w:eastAsia="lv-LV"/>
        </w:rPr>
        <w:t xml:space="preserve">plānoto 2 amata vietu vietā ir </w:t>
      </w:r>
      <w:r w:rsidRPr="003C2611">
        <w:rPr>
          <w:rFonts w:cs="Times New Roman"/>
          <w:szCs w:val="24"/>
          <w:lang w:eastAsia="lv-LV"/>
        </w:rPr>
        <w:t>izveidota tikai 1 amata vieta uz pilnu slodzi, bet otr</w:t>
      </w:r>
      <w:r w:rsidRPr="00591ABF">
        <w:rPr>
          <w:rFonts w:cs="Times New Roman"/>
          <w:szCs w:val="24"/>
          <w:lang w:eastAsia="lv-LV"/>
        </w:rPr>
        <w:t>a joprojām ir vak</w:t>
      </w:r>
      <w:r w:rsidR="00D95925">
        <w:rPr>
          <w:rFonts w:cs="Times New Roman"/>
          <w:szCs w:val="24"/>
          <w:lang w:eastAsia="lv-LV"/>
        </w:rPr>
        <w:t>anta</w:t>
      </w:r>
      <w:r w:rsidRPr="00591ABF">
        <w:rPr>
          <w:rFonts w:cs="Times New Roman"/>
          <w:szCs w:val="24"/>
          <w:lang w:eastAsia="lv-LV"/>
        </w:rPr>
        <w:t xml:space="preserve"> </w:t>
      </w:r>
      <w:r>
        <w:rPr>
          <w:rFonts w:cs="Times New Roman"/>
          <w:szCs w:val="24"/>
          <w:lang w:eastAsia="lv-LV"/>
        </w:rPr>
        <w:t>(a</w:t>
      </w:r>
      <w:r w:rsidRPr="004F2935">
        <w:rPr>
          <w:rFonts w:cs="Times New Roman"/>
          <w:szCs w:val="24"/>
          <w:lang w:eastAsia="lv-LV"/>
        </w:rPr>
        <w:t xml:space="preserve">tlīdzība 1 amata vietai 21 264 </w:t>
      </w:r>
      <w:r w:rsidRPr="0004322C">
        <w:rPr>
          <w:rFonts w:cs="Times New Roman"/>
          <w:i/>
          <w:szCs w:val="24"/>
          <w:lang w:eastAsia="lv-LV"/>
        </w:rPr>
        <w:t>euro</w:t>
      </w:r>
      <w:r>
        <w:rPr>
          <w:rFonts w:cs="Times New Roman"/>
          <w:szCs w:val="24"/>
          <w:lang w:eastAsia="lv-LV"/>
        </w:rPr>
        <w:t>)</w:t>
      </w:r>
      <w:r w:rsidRPr="004F2935">
        <w:rPr>
          <w:rFonts w:cs="Times New Roman"/>
          <w:szCs w:val="24"/>
          <w:lang w:eastAsia="lv-LV"/>
        </w:rPr>
        <w:t xml:space="preserve"> </w:t>
      </w:r>
      <w:r w:rsidRPr="00591ABF">
        <w:rPr>
          <w:rFonts w:cs="Times New Roman"/>
          <w:szCs w:val="24"/>
          <w:lang w:eastAsia="lv-LV"/>
        </w:rPr>
        <w:t xml:space="preserve">un tai paredzēto amata pienākumu pildīšanu </w:t>
      </w:r>
      <w:r>
        <w:rPr>
          <w:rFonts w:cs="Times New Roman"/>
          <w:szCs w:val="24"/>
          <w:lang w:eastAsia="lv-LV"/>
        </w:rPr>
        <w:t>–</w:t>
      </w:r>
      <w:r w:rsidRPr="00591ABF">
        <w:rPr>
          <w:rFonts w:cs="Times New Roman"/>
          <w:szCs w:val="24"/>
          <w:lang w:eastAsia="lv-LV"/>
        </w:rPr>
        <w:t xml:space="preserve"> koksnes regulas administrēšanu </w:t>
      </w:r>
      <w:r>
        <w:rPr>
          <w:rFonts w:cs="Times New Roman"/>
          <w:szCs w:val="24"/>
          <w:lang w:eastAsia="lv-LV"/>
        </w:rPr>
        <w:t xml:space="preserve">– </w:t>
      </w:r>
      <w:r w:rsidRPr="00591ABF">
        <w:rPr>
          <w:rFonts w:cs="Times New Roman"/>
          <w:szCs w:val="24"/>
          <w:lang w:eastAsia="lv-LV"/>
        </w:rPr>
        <w:t xml:space="preserve">veic </w:t>
      </w:r>
      <w:r w:rsidRPr="00693A0E">
        <w:rPr>
          <w:rFonts w:cs="Times New Roman"/>
          <w:szCs w:val="24"/>
          <w:lang w:eastAsia="lv-LV"/>
        </w:rPr>
        <w:t>ZM esoš</w:t>
      </w:r>
      <w:r>
        <w:rPr>
          <w:rFonts w:cs="Times New Roman"/>
          <w:szCs w:val="24"/>
          <w:lang w:eastAsia="lv-LV"/>
        </w:rPr>
        <w:t xml:space="preserve">ie darbinieki, proti,  </w:t>
      </w:r>
      <w:r w:rsidRPr="0018538C">
        <w:rPr>
          <w:rFonts w:cs="Times New Roman"/>
          <w:szCs w:val="24"/>
          <w:lang w:eastAsia="lv-LV"/>
        </w:rPr>
        <w:t xml:space="preserve">ģenerāldirektora vietnieks un kontroles un uzraudzības daļas vadītājs. </w:t>
      </w:r>
    </w:p>
    <w:p w:rsidR="004F632D" w:rsidRDefault="004F632D" w:rsidP="00D95925">
      <w:pPr>
        <w:ind w:firstLine="720"/>
        <w:jc w:val="both"/>
        <w:rPr>
          <w:rFonts w:cs="Times New Roman"/>
          <w:szCs w:val="24"/>
          <w:lang w:eastAsia="lv-LV"/>
        </w:rPr>
      </w:pPr>
      <w:r>
        <w:rPr>
          <w:rFonts w:cs="Times New Roman"/>
          <w:szCs w:val="24"/>
          <w:lang w:eastAsia="lv-LV"/>
        </w:rPr>
        <w:t>Ņemot vērā iepriekš minēto, i</w:t>
      </w:r>
      <w:r w:rsidRPr="003C2611">
        <w:rPr>
          <w:rFonts w:cs="Times New Roman"/>
          <w:szCs w:val="24"/>
          <w:lang w:eastAsia="lv-LV"/>
        </w:rPr>
        <w:t>erosinām</w:t>
      </w:r>
      <w:r>
        <w:rPr>
          <w:rFonts w:cs="Times New Roman"/>
          <w:szCs w:val="24"/>
          <w:lang w:eastAsia="lv-LV"/>
        </w:rPr>
        <w:t xml:space="preserve">, ka šī pasākuma ietvaros </w:t>
      </w:r>
      <w:r w:rsidRPr="003C2611">
        <w:rPr>
          <w:rFonts w:cs="Times New Roman"/>
          <w:szCs w:val="24"/>
          <w:lang w:eastAsia="lv-LV"/>
        </w:rPr>
        <w:t xml:space="preserve">49 722 </w:t>
      </w:r>
      <w:r w:rsidRPr="003C2611">
        <w:rPr>
          <w:rFonts w:cs="Times New Roman"/>
          <w:i/>
          <w:szCs w:val="24"/>
          <w:lang w:eastAsia="lv-LV"/>
        </w:rPr>
        <w:t>euro</w:t>
      </w:r>
      <w:r w:rsidRPr="003C2611">
        <w:rPr>
          <w:rFonts w:cs="Times New Roman"/>
          <w:szCs w:val="24"/>
          <w:lang w:eastAsia="lv-LV"/>
        </w:rPr>
        <w:t xml:space="preserve">, </w:t>
      </w:r>
      <w:r>
        <w:rPr>
          <w:rFonts w:cs="Times New Roman"/>
          <w:szCs w:val="24"/>
          <w:lang w:eastAsia="lv-LV"/>
        </w:rPr>
        <w:t xml:space="preserve">ko veido finansējums </w:t>
      </w:r>
      <w:r w:rsidRPr="003C2611">
        <w:rPr>
          <w:rFonts w:cs="Times New Roman"/>
          <w:szCs w:val="24"/>
          <w:lang w:eastAsia="lv-LV"/>
        </w:rPr>
        <w:t>vienreizēj</w:t>
      </w:r>
      <w:r>
        <w:rPr>
          <w:rFonts w:cs="Times New Roman"/>
          <w:szCs w:val="24"/>
          <w:lang w:eastAsia="lv-LV"/>
        </w:rPr>
        <w:t>ām kapitālām iegādēm un atlīdzība 1 amata vietai</w:t>
      </w:r>
      <w:r w:rsidRPr="003C2611">
        <w:rPr>
          <w:rFonts w:cs="Times New Roman"/>
          <w:szCs w:val="24"/>
          <w:lang w:eastAsia="lv-LV"/>
        </w:rPr>
        <w:t>,</w:t>
      </w:r>
      <w:r>
        <w:rPr>
          <w:rFonts w:cs="Times New Roman"/>
          <w:szCs w:val="24"/>
          <w:lang w:eastAsia="lv-LV"/>
        </w:rPr>
        <w:t xml:space="preserve"> </w:t>
      </w:r>
      <w:r w:rsidR="00FC6637">
        <w:rPr>
          <w:rFonts w:cs="Times New Roman"/>
          <w:szCs w:val="24"/>
          <w:lang w:eastAsia="lv-LV"/>
        </w:rPr>
        <w:t>s</w:t>
      </w:r>
      <w:r w:rsidR="009859E0">
        <w:rPr>
          <w:rFonts w:cs="Times New Roman"/>
          <w:szCs w:val="24"/>
          <w:lang w:eastAsia="lv-LV"/>
        </w:rPr>
        <w:t>ākot ar</w:t>
      </w:r>
      <w:r w:rsidR="00FC6637">
        <w:rPr>
          <w:rFonts w:cs="Times New Roman"/>
          <w:szCs w:val="24"/>
          <w:lang w:eastAsia="lv-LV"/>
        </w:rPr>
        <w:t xml:space="preserve"> 2018</w:t>
      </w:r>
      <w:r w:rsidR="009859E0">
        <w:rPr>
          <w:rFonts w:cs="Times New Roman"/>
          <w:szCs w:val="24"/>
          <w:lang w:eastAsia="lv-LV"/>
        </w:rPr>
        <w:t>.gadu</w:t>
      </w:r>
      <w:r w:rsidR="00FC6637">
        <w:rPr>
          <w:rFonts w:cs="Times New Roman"/>
          <w:szCs w:val="24"/>
          <w:lang w:eastAsia="lv-LV"/>
        </w:rPr>
        <w:t xml:space="preserve">, </w:t>
      </w:r>
      <w:r w:rsidRPr="0018538C">
        <w:rPr>
          <w:rFonts w:cs="Times New Roman"/>
          <w:szCs w:val="24"/>
          <w:lang w:eastAsia="lv-LV"/>
        </w:rPr>
        <w:t xml:space="preserve">ir </w:t>
      </w:r>
      <w:r w:rsidRPr="00AA3232">
        <w:t xml:space="preserve">novirzāms </w:t>
      </w:r>
      <w:r>
        <w:t xml:space="preserve">citu ZM </w:t>
      </w:r>
      <w:r w:rsidRPr="00AA3232">
        <w:t>aktuālāku pasākumu īstenošanai</w:t>
      </w:r>
      <w:r w:rsidRPr="003C2611">
        <w:rPr>
          <w:rFonts w:cs="Times New Roman"/>
          <w:szCs w:val="24"/>
          <w:lang w:eastAsia="lv-LV"/>
        </w:rPr>
        <w:t>.</w:t>
      </w:r>
    </w:p>
    <w:p w:rsidR="004F632D" w:rsidRPr="00D95925" w:rsidRDefault="004F632D" w:rsidP="00D95925">
      <w:pPr>
        <w:spacing w:before="120" w:after="120"/>
        <w:jc w:val="both"/>
        <w:rPr>
          <w:b/>
        </w:rPr>
      </w:pPr>
      <w:r>
        <w:rPr>
          <w:b/>
        </w:rPr>
        <w:t>ZM</w:t>
      </w:r>
      <w:r w:rsidRPr="005826A5">
        <w:rPr>
          <w:b/>
        </w:rPr>
        <w:t xml:space="preserve"> - </w:t>
      </w:r>
      <w:r w:rsidRPr="009F71CD">
        <w:rPr>
          <w:b/>
        </w:rPr>
        <w:t>Valsts uzraudzības stiprināšana pārtik</w:t>
      </w:r>
      <w:r w:rsidR="00D95925">
        <w:rPr>
          <w:b/>
        </w:rPr>
        <w:t>as aprites un veterinārajā jomā</w:t>
      </w:r>
    </w:p>
    <w:p w:rsidR="004F632D" w:rsidRDefault="004F632D" w:rsidP="009859E0">
      <w:pPr>
        <w:spacing w:after="120"/>
        <w:ind w:firstLine="720"/>
        <w:jc w:val="both"/>
        <w:rPr>
          <w:rFonts w:cs="Times New Roman"/>
          <w:szCs w:val="24"/>
          <w:lang w:eastAsia="lv-LV"/>
        </w:rPr>
      </w:pPr>
      <w:r>
        <w:rPr>
          <w:rFonts w:cs="Times New Roman"/>
          <w:szCs w:val="24"/>
          <w:lang w:eastAsia="lv-LV"/>
        </w:rPr>
        <w:t>ZM budžeta apakšprogrammā 20.01.00 “</w:t>
      </w:r>
      <w:r w:rsidRPr="00A003D2">
        <w:rPr>
          <w:rFonts w:cs="Times New Roman"/>
          <w:szCs w:val="24"/>
          <w:lang w:eastAsia="lv-LV"/>
        </w:rPr>
        <w:t>Pārtikas drošības un veterinārmedicīnas valsts uzraudzība un kontrole</w:t>
      </w:r>
      <w:r>
        <w:rPr>
          <w:rFonts w:cs="Times New Roman"/>
          <w:szCs w:val="24"/>
          <w:lang w:eastAsia="lv-LV"/>
        </w:rPr>
        <w:t>” 2014.-2016.gada ietvarā atbalstīts finansējums JPI “</w:t>
      </w:r>
      <w:r w:rsidRPr="00A003D2">
        <w:rPr>
          <w:rFonts w:cs="Times New Roman"/>
          <w:szCs w:val="24"/>
          <w:lang w:eastAsia="lv-LV"/>
        </w:rPr>
        <w:t>Valsts uzraudzības stiprināšana pārtikas aprites un veterinārajā jomā</w:t>
      </w:r>
      <w:r>
        <w:rPr>
          <w:rFonts w:cs="Times New Roman"/>
          <w:szCs w:val="24"/>
          <w:lang w:eastAsia="lv-LV"/>
        </w:rPr>
        <w:t xml:space="preserve">” 2014.gadam </w:t>
      </w:r>
      <w:r w:rsidR="009859E0">
        <w:rPr>
          <w:rFonts w:cs="Times New Roman"/>
          <w:szCs w:val="24"/>
          <w:lang w:eastAsia="lv-LV"/>
        </w:rPr>
        <w:t>–</w:t>
      </w:r>
      <w:r>
        <w:rPr>
          <w:rFonts w:cs="Times New Roman"/>
          <w:szCs w:val="24"/>
          <w:lang w:eastAsia="lv-LV"/>
        </w:rPr>
        <w:t xml:space="preserve"> </w:t>
      </w:r>
      <w:r w:rsidRPr="00A003D2">
        <w:rPr>
          <w:rFonts w:cs="Times New Roman"/>
          <w:szCs w:val="24"/>
          <w:lang w:eastAsia="lv-LV"/>
        </w:rPr>
        <w:t>463</w:t>
      </w:r>
      <w:r>
        <w:rPr>
          <w:rFonts w:cs="Times New Roman"/>
          <w:szCs w:val="24"/>
          <w:lang w:eastAsia="lv-LV"/>
        </w:rPr>
        <w:t> </w:t>
      </w:r>
      <w:r w:rsidRPr="00A003D2">
        <w:rPr>
          <w:rFonts w:cs="Times New Roman"/>
          <w:szCs w:val="24"/>
          <w:lang w:eastAsia="lv-LV"/>
        </w:rPr>
        <w:t>630</w:t>
      </w:r>
      <w:r>
        <w:rPr>
          <w:rFonts w:cs="Times New Roman"/>
          <w:szCs w:val="24"/>
          <w:lang w:eastAsia="lv-LV"/>
        </w:rPr>
        <w:t xml:space="preserve"> </w:t>
      </w:r>
      <w:r w:rsidRPr="00A003D2">
        <w:rPr>
          <w:rFonts w:cs="Times New Roman"/>
          <w:i/>
          <w:szCs w:val="24"/>
          <w:lang w:eastAsia="lv-LV"/>
        </w:rPr>
        <w:t>euro</w:t>
      </w:r>
      <w:r>
        <w:rPr>
          <w:rFonts w:cs="Times New Roman"/>
          <w:szCs w:val="24"/>
          <w:lang w:eastAsia="lv-LV"/>
        </w:rPr>
        <w:t xml:space="preserve">, 2015.gada </w:t>
      </w:r>
      <w:r w:rsidR="009859E0">
        <w:rPr>
          <w:rFonts w:cs="Times New Roman"/>
          <w:szCs w:val="24"/>
          <w:lang w:eastAsia="lv-LV"/>
        </w:rPr>
        <w:t>–</w:t>
      </w:r>
      <w:r>
        <w:rPr>
          <w:rFonts w:cs="Times New Roman"/>
          <w:szCs w:val="24"/>
          <w:lang w:eastAsia="lv-LV"/>
        </w:rPr>
        <w:t xml:space="preserve"> </w:t>
      </w:r>
      <w:r w:rsidRPr="00A003D2">
        <w:rPr>
          <w:rFonts w:cs="Times New Roman"/>
          <w:szCs w:val="24"/>
          <w:lang w:eastAsia="lv-LV"/>
        </w:rPr>
        <w:t>440</w:t>
      </w:r>
      <w:r>
        <w:rPr>
          <w:rFonts w:cs="Times New Roman"/>
          <w:szCs w:val="24"/>
          <w:lang w:eastAsia="lv-LV"/>
        </w:rPr>
        <w:t> </w:t>
      </w:r>
      <w:r w:rsidRPr="00A003D2">
        <w:rPr>
          <w:rFonts w:cs="Times New Roman"/>
          <w:szCs w:val="24"/>
          <w:lang w:eastAsia="lv-LV"/>
        </w:rPr>
        <w:t>614</w:t>
      </w:r>
      <w:r>
        <w:rPr>
          <w:rFonts w:cs="Times New Roman"/>
          <w:szCs w:val="24"/>
          <w:lang w:eastAsia="lv-LV"/>
        </w:rPr>
        <w:t xml:space="preserve"> </w:t>
      </w:r>
      <w:r w:rsidRPr="00A003D2">
        <w:rPr>
          <w:rFonts w:cs="Times New Roman"/>
          <w:i/>
          <w:szCs w:val="24"/>
          <w:lang w:eastAsia="lv-LV"/>
        </w:rPr>
        <w:t>euro</w:t>
      </w:r>
      <w:r>
        <w:rPr>
          <w:rFonts w:cs="Times New Roman"/>
          <w:szCs w:val="24"/>
          <w:lang w:eastAsia="lv-LV"/>
        </w:rPr>
        <w:t xml:space="preserve"> un 2016.gadam un turpmāk </w:t>
      </w:r>
      <w:r w:rsidR="009859E0">
        <w:rPr>
          <w:rFonts w:cs="Times New Roman"/>
          <w:szCs w:val="24"/>
          <w:lang w:eastAsia="lv-LV"/>
        </w:rPr>
        <w:t xml:space="preserve">ik gadu </w:t>
      </w:r>
      <w:r w:rsidRPr="00A003D2">
        <w:rPr>
          <w:rFonts w:cs="Times New Roman"/>
          <w:szCs w:val="24"/>
          <w:lang w:eastAsia="lv-LV"/>
        </w:rPr>
        <w:t>403</w:t>
      </w:r>
      <w:r>
        <w:rPr>
          <w:rFonts w:cs="Times New Roman"/>
          <w:szCs w:val="24"/>
          <w:lang w:eastAsia="lv-LV"/>
        </w:rPr>
        <w:t> </w:t>
      </w:r>
      <w:r w:rsidRPr="00A003D2">
        <w:rPr>
          <w:rFonts w:cs="Times New Roman"/>
          <w:szCs w:val="24"/>
          <w:lang w:eastAsia="lv-LV"/>
        </w:rPr>
        <w:t>050</w:t>
      </w:r>
      <w:r>
        <w:rPr>
          <w:rFonts w:cs="Times New Roman"/>
          <w:szCs w:val="24"/>
          <w:lang w:eastAsia="lv-LV"/>
        </w:rPr>
        <w:t xml:space="preserve"> </w:t>
      </w:r>
      <w:r w:rsidRPr="00A003D2">
        <w:rPr>
          <w:rFonts w:cs="Times New Roman"/>
          <w:i/>
          <w:szCs w:val="24"/>
          <w:lang w:eastAsia="lv-LV"/>
        </w:rPr>
        <w:t>euro</w:t>
      </w:r>
      <w:r>
        <w:rPr>
          <w:rFonts w:cs="Times New Roman"/>
          <w:szCs w:val="24"/>
          <w:lang w:eastAsia="lv-LV"/>
        </w:rPr>
        <w:t xml:space="preserve">, tā ietvaros paredzot finansējumu PVD darbinieku </w:t>
      </w:r>
      <w:r w:rsidRPr="00A003D2">
        <w:rPr>
          <w:rFonts w:cs="Times New Roman"/>
          <w:szCs w:val="24"/>
          <w:lang w:eastAsia="lv-LV"/>
        </w:rPr>
        <w:t xml:space="preserve">atlīdzībai, inspekciju aprīkojumam un robežkontroles punkta „Vientuļi” aprīkojuma iegādei, uzturēšanas un nomas maksas segšanai, </w:t>
      </w:r>
      <w:r>
        <w:rPr>
          <w:rFonts w:cs="Times New Roman"/>
          <w:szCs w:val="24"/>
          <w:lang w:eastAsia="lv-LV"/>
        </w:rPr>
        <w:t xml:space="preserve">kā arī transportlīdzekļu iegādei. </w:t>
      </w:r>
    </w:p>
    <w:p w:rsidR="004F632D" w:rsidRPr="00C30F82" w:rsidRDefault="004F632D" w:rsidP="009859E0">
      <w:pPr>
        <w:spacing w:after="120"/>
        <w:ind w:firstLine="720"/>
        <w:jc w:val="both"/>
        <w:rPr>
          <w:rFonts w:cs="Times New Roman"/>
          <w:szCs w:val="24"/>
          <w:lang w:eastAsia="lv-LV"/>
        </w:rPr>
      </w:pPr>
      <w:r>
        <w:rPr>
          <w:rFonts w:cs="Times New Roman"/>
          <w:szCs w:val="24"/>
          <w:lang w:eastAsia="lv-LV"/>
        </w:rPr>
        <w:lastRenderedPageBreak/>
        <w:t xml:space="preserve">Attiecībā uz finansējumu </w:t>
      </w:r>
      <w:r w:rsidRPr="00A003D2">
        <w:rPr>
          <w:rFonts w:cs="Times New Roman"/>
          <w:szCs w:val="24"/>
          <w:lang w:eastAsia="lv-LV"/>
        </w:rPr>
        <w:t xml:space="preserve">transportlīdzekļu </w:t>
      </w:r>
      <w:r>
        <w:rPr>
          <w:rFonts w:cs="Times New Roman"/>
          <w:szCs w:val="24"/>
          <w:lang w:eastAsia="lv-LV"/>
        </w:rPr>
        <w:t>iegādei, iesniedzot JPI pieprasījumu</w:t>
      </w:r>
      <w:r w:rsidR="009859E0">
        <w:rPr>
          <w:rFonts w:cs="Times New Roman"/>
          <w:szCs w:val="24"/>
          <w:lang w:eastAsia="lv-LV"/>
        </w:rPr>
        <w:t>,</w:t>
      </w:r>
      <w:r>
        <w:rPr>
          <w:rFonts w:cs="Times New Roman"/>
          <w:szCs w:val="24"/>
          <w:lang w:eastAsia="lv-LV"/>
        </w:rPr>
        <w:t xml:space="preserve"> tika plānots, ka </w:t>
      </w:r>
      <w:r w:rsidRPr="00A003D2">
        <w:rPr>
          <w:rFonts w:cs="Times New Roman"/>
          <w:szCs w:val="24"/>
          <w:lang w:eastAsia="lv-LV"/>
        </w:rPr>
        <w:t xml:space="preserve">PVD laika periodā no 2014. līdz 2016.gadam katru gadu iegādāsies 25 </w:t>
      </w:r>
      <w:r>
        <w:rPr>
          <w:rFonts w:cs="Times New Roman"/>
          <w:szCs w:val="24"/>
          <w:lang w:eastAsia="lv-LV"/>
        </w:rPr>
        <w:t xml:space="preserve">transportlīdzekļus, </w:t>
      </w:r>
      <w:r w:rsidRPr="00A003D2">
        <w:rPr>
          <w:rFonts w:cs="Times New Roman"/>
          <w:szCs w:val="24"/>
          <w:lang w:eastAsia="lv-LV"/>
        </w:rPr>
        <w:t>(</w:t>
      </w:r>
      <w:r>
        <w:rPr>
          <w:rFonts w:cs="Times New Roman"/>
          <w:szCs w:val="24"/>
          <w:lang w:eastAsia="lv-LV"/>
        </w:rPr>
        <w:t xml:space="preserve">plānotā </w:t>
      </w:r>
      <w:r w:rsidRPr="00A003D2">
        <w:rPr>
          <w:rFonts w:cs="Times New Roman"/>
          <w:szCs w:val="24"/>
          <w:lang w:eastAsia="lv-LV"/>
        </w:rPr>
        <w:t xml:space="preserve">cena </w:t>
      </w:r>
      <w:r>
        <w:rPr>
          <w:rFonts w:cs="Times New Roman"/>
          <w:szCs w:val="24"/>
          <w:lang w:eastAsia="lv-LV"/>
        </w:rPr>
        <w:t>par vienu vienību –</w:t>
      </w:r>
      <w:r w:rsidRPr="00A003D2">
        <w:rPr>
          <w:rFonts w:cs="Times New Roman"/>
          <w:szCs w:val="24"/>
          <w:lang w:eastAsia="lv-LV"/>
        </w:rPr>
        <w:t xml:space="preserve"> 16 652 </w:t>
      </w:r>
      <w:r w:rsidRPr="00A003D2">
        <w:rPr>
          <w:rFonts w:cs="Times New Roman"/>
          <w:i/>
          <w:szCs w:val="24"/>
          <w:lang w:eastAsia="lv-LV"/>
        </w:rPr>
        <w:t>euro</w:t>
      </w:r>
      <w:r w:rsidRPr="00A003D2">
        <w:rPr>
          <w:rFonts w:cs="Times New Roman"/>
          <w:szCs w:val="24"/>
          <w:lang w:eastAsia="lv-LV"/>
        </w:rPr>
        <w:t>), bet 2017.gadā, kas bija plānots kā noslēdzošais gads</w:t>
      </w:r>
      <w:r w:rsidR="009859E0">
        <w:rPr>
          <w:rFonts w:cs="Times New Roman"/>
          <w:szCs w:val="24"/>
          <w:lang w:eastAsia="lv-LV"/>
        </w:rPr>
        <w:t>,</w:t>
      </w:r>
      <w:r w:rsidRPr="00A003D2">
        <w:rPr>
          <w:rFonts w:cs="Times New Roman"/>
          <w:szCs w:val="24"/>
          <w:lang w:eastAsia="lv-LV"/>
        </w:rPr>
        <w:t xml:space="preserve"> </w:t>
      </w:r>
      <w:r>
        <w:rPr>
          <w:rFonts w:cs="Times New Roman"/>
          <w:szCs w:val="24"/>
          <w:lang w:eastAsia="lv-LV"/>
        </w:rPr>
        <w:t>–</w:t>
      </w:r>
      <w:r w:rsidRPr="00A003D2">
        <w:rPr>
          <w:rFonts w:cs="Times New Roman"/>
          <w:szCs w:val="24"/>
          <w:lang w:eastAsia="lv-LV"/>
        </w:rPr>
        <w:t xml:space="preserve"> 40 </w:t>
      </w:r>
      <w:r>
        <w:rPr>
          <w:rFonts w:cs="Times New Roman"/>
          <w:szCs w:val="24"/>
          <w:lang w:eastAsia="lv-LV"/>
        </w:rPr>
        <w:t>transportlīdzekļus</w:t>
      </w:r>
      <w:r w:rsidRPr="00A003D2">
        <w:rPr>
          <w:rFonts w:cs="Times New Roman"/>
          <w:szCs w:val="24"/>
          <w:lang w:eastAsia="lv-LV"/>
        </w:rPr>
        <w:t xml:space="preserve">, </w:t>
      </w:r>
      <w:r>
        <w:rPr>
          <w:rFonts w:cs="Times New Roman"/>
          <w:szCs w:val="24"/>
          <w:lang w:eastAsia="lv-LV"/>
        </w:rPr>
        <w:t xml:space="preserve">attiecīgi kopā paredzot </w:t>
      </w:r>
      <w:r w:rsidRPr="00A003D2">
        <w:rPr>
          <w:rFonts w:cs="Times New Roman"/>
          <w:szCs w:val="24"/>
          <w:lang w:eastAsia="lv-LV"/>
        </w:rPr>
        <w:t xml:space="preserve">115 </w:t>
      </w:r>
      <w:r>
        <w:rPr>
          <w:rFonts w:cs="Times New Roman"/>
          <w:szCs w:val="24"/>
          <w:lang w:eastAsia="lv-LV"/>
        </w:rPr>
        <w:t xml:space="preserve">jaunu transportlīdzekļu iegādi. Tomēr </w:t>
      </w:r>
      <w:r w:rsidRPr="00A003D2">
        <w:rPr>
          <w:rFonts w:cs="Times New Roman"/>
          <w:szCs w:val="24"/>
          <w:lang w:eastAsia="lv-LV"/>
        </w:rPr>
        <w:t xml:space="preserve">finansējums šim mērķim tika apstiprināts mazākā apmērā nekā </w:t>
      </w:r>
      <w:r w:rsidRPr="00C30F82">
        <w:rPr>
          <w:rFonts w:cs="Times New Roman"/>
          <w:szCs w:val="24"/>
          <w:lang w:eastAsia="lv-LV"/>
        </w:rPr>
        <w:t xml:space="preserve">pieprasīts, attiecīgi plānoto transportlīdzekļu skaita sasniegšanai finansējums </w:t>
      </w:r>
      <w:r w:rsidR="00C30F82" w:rsidRPr="00C30F82">
        <w:rPr>
          <w:rFonts w:cs="Times New Roman"/>
          <w:szCs w:val="24"/>
          <w:lang w:eastAsia="lv-LV"/>
        </w:rPr>
        <w:t>nepieciešams arī pēc 2017.gada (skat. tabulu Nr.3.37</w:t>
      </w:r>
      <w:r w:rsidR="00D86274">
        <w:rPr>
          <w:rFonts w:cs="Times New Roman"/>
          <w:szCs w:val="24"/>
          <w:lang w:eastAsia="lv-LV"/>
        </w:rPr>
        <w:t>.</w:t>
      </w:r>
      <w:r w:rsidR="00C30F82" w:rsidRPr="00C30F82">
        <w:rPr>
          <w:rFonts w:cs="Times New Roman"/>
          <w:szCs w:val="24"/>
          <w:lang w:eastAsia="lv-LV"/>
        </w:rPr>
        <w:t>).</w:t>
      </w:r>
    </w:p>
    <w:p w:rsidR="009859E0" w:rsidRDefault="00C30F82" w:rsidP="00697EA2">
      <w:pPr>
        <w:spacing w:before="120"/>
        <w:ind w:firstLine="720"/>
        <w:jc w:val="right"/>
        <w:rPr>
          <w:rFonts w:cs="Times New Roman"/>
          <w:szCs w:val="24"/>
          <w:lang w:eastAsia="lv-LV"/>
        </w:rPr>
      </w:pPr>
      <w:r w:rsidRPr="00C30F82">
        <w:rPr>
          <w:rFonts w:cs="Times New Roman"/>
          <w:szCs w:val="24"/>
          <w:lang w:eastAsia="lv-LV"/>
        </w:rPr>
        <w:t>Tabula Nr.3.37</w:t>
      </w:r>
      <w:r w:rsidR="00D86274">
        <w:rPr>
          <w:rFonts w:cs="Times New Roman"/>
          <w:szCs w:val="24"/>
          <w:lang w:eastAsia="lv-LV"/>
        </w:rPr>
        <w:t>.</w:t>
      </w:r>
    </w:p>
    <w:p w:rsidR="004F632D" w:rsidRPr="003E535D" w:rsidRDefault="004F632D" w:rsidP="00786AB2">
      <w:pPr>
        <w:spacing w:before="120" w:after="120"/>
        <w:jc w:val="center"/>
        <w:rPr>
          <w:rFonts w:cs="Times New Roman"/>
          <w:b/>
          <w:szCs w:val="24"/>
          <w:lang w:eastAsia="lv-LV"/>
        </w:rPr>
      </w:pPr>
      <w:r w:rsidRPr="003E535D">
        <w:rPr>
          <w:rFonts w:cs="Times New Roman"/>
          <w:b/>
          <w:szCs w:val="24"/>
          <w:lang w:eastAsia="lv-LV"/>
        </w:rPr>
        <w:t>JP</w:t>
      </w:r>
      <w:r>
        <w:rPr>
          <w:rFonts w:cs="Times New Roman"/>
          <w:b/>
          <w:szCs w:val="24"/>
          <w:lang w:eastAsia="lv-LV"/>
        </w:rPr>
        <w:t>I</w:t>
      </w:r>
      <w:r w:rsidRPr="003E535D">
        <w:rPr>
          <w:rFonts w:cs="Times New Roman"/>
          <w:b/>
          <w:szCs w:val="24"/>
          <w:lang w:eastAsia="lv-LV"/>
        </w:rPr>
        <w:t xml:space="preserve"> ietvaros kapitālām iegādēm pieejamais finansējums</w:t>
      </w:r>
      <w:r>
        <w:rPr>
          <w:rFonts w:cs="Times New Roman"/>
          <w:b/>
          <w:szCs w:val="24"/>
          <w:lang w:eastAsia="lv-LV"/>
        </w:rPr>
        <w:t xml:space="preserve"> salīdzinājumā ar pieprasīto</w:t>
      </w:r>
    </w:p>
    <w:tbl>
      <w:tblPr>
        <w:tblpPr w:leftFromText="180" w:rightFromText="180" w:vertAnchor="text" w:horzAnchor="margin" w:tblpXSpec="center" w:tblpY="110"/>
        <w:tblW w:w="9209" w:type="dxa"/>
        <w:tblLayout w:type="fixed"/>
        <w:tblLook w:val="04A0" w:firstRow="1" w:lastRow="0" w:firstColumn="1" w:lastColumn="0" w:noHBand="0" w:noVBand="1"/>
      </w:tblPr>
      <w:tblGrid>
        <w:gridCol w:w="1577"/>
        <w:gridCol w:w="828"/>
        <w:gridCol w:w="851"/>
        <w:gridCol w:w="850"/>
        <w:gridCol w:w="851"/>
        <w:gridCol w:w="850"/>
        <w:gridCol w:w="851"/>
        <w:gridCol w:w="850"/>
        <w:gridCol w:w="851"/>
        <w:gridCol w:w="850"/>
      </w:tblGrid>
      <w:tr w:rsidR="004F632D" w:rsidRPr="00140998" w:rsidTr="00E544F3">
        <w:trPr>
          <w:trHeight w:val="600"/>
        </w:trPr>
        <w:tc>
          <w:tcPr>
            <w:tcW w:w="1577"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rsidR="004F632D" w:rsidRPr="006544AC" w:rsidRDefault="004F632D" w:rsidP="009859E0">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Pozīcijas</w:t>
            </w:r>
          </w:p>
        </w:tc>
        <w:tc>
          <w:tcPr>
            <w:tcW w:w="2529" w:type="dxa"/>
            <w:gridSpan w:val="3"/>
            <w:tcBorders>
              <w:top w:val="single" w:sz="4" w:space="0" w:color="auto"/>
              <w:left w:val="nil"/>
              <w:bottom w:val="single" w:sz="4" w:space="0" w:color="auto"/>
              <w:right w:val="single" w:sz="4" w:space="0" w:color="auto"/>
            </w:tcBorders>
            <w:shd w:val="clear" w:color="000000" w:fill="C6E0B4"/>
            <w:vAlign w:val="center"/>
            <w:hideMark/>
          </w:tcPr>
          <w:p w:rsidR="004F632D" w:rsidRPr="006544AC" w:rsidRDefault="004F632D" w:rsidP="009859E0">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JPI pieprasījumā norādītās kapitālās iegādes</w:t>
            </w:r>
            <w:r>
              <w:rPr>
                <w:rFonts w:eastAsia="Times New Roman" w:cs="Times New Roman"/>
                <w:color w:val="000000"/>
                <w:sz w:val="18"/>
                <w:szCs w:val="18"/>
                <w:lang w:eastAsia="lv-LV"/>
              </w:rPr>
              <w:t xml:space="preserve">, </w:t>
            </w:r>
            <w:r w:rsidRPr="003E535D">
              <w:rPr>
                <w:rFonts w:eastAsia="Times New Roman" w:cs="Times New Roman"/>
                <w:i/>
                <w:color w:val="000000"/>
                <w:sz w:val="18"/>
                <w:szCs w:val="18"/>
                <w:lang w:eastAsia="lv-LV"/>
              </w:rPr>
              <w:t>euro</w:t>
            </w:r>
          </w:p>
        </w:tc>
        <w:tc>
          <w:tcPr>
            <w:tcW w:w="2552" w:type="dxa"/>
            <w:gridSpan w:val="3"/>
            <w:tcBorders>
              <w:top w:val="single" w:sz="4" w:space="0" w:color="auto"/>
              <w:left w:val="nil"/>
              <w:bottom w:val="single" w:sz="4" w:space="0" w:color="auto"/>
              <w:right w:val="single" w:sz="4" w:space="0" w:color="auto"/>
            </w:tcBorders>
            <w:shd w:val="clear" w:color="000000" w:fill="C6E0B4"/>
            <w:vAlign w:val="center"/>
            <w:hideMark/>
          </w:tcPr>
          <w:p w:rsidR="004F632D" w:rsidRPr="006544AC" w:rsidRDefault="004F632D" w:rsidP="009859E0">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JPI ietvaros atbalstītie pasākumi</w:t>
            </w:r>
            <w:r>
              <w:rPr>
                <w:rFonts w:eastAsia="Times New Roman" w:cs="Times New Roman"/>
                <w:color w:val="000000"/>
                <w:sz w:val="18"/>
                <w:szCs w:val="18"/>
                <w:lang w:eastAsia="lv-LV"/>
              </w:rPr>
              <w:t>, %</w:t>
            </w:r>
          </w:p>
        </w:tc>
        <w:tc>
          <w:tcPr>
            <w:tcW w:w="2551" w:type="dxa"/>
            <w:gridSpan w:val="3"/>
            <w:tcBorders>
              <w:top w:val="single" w:sz="4" w:space="0" w:color="auto"/>
              <w:left w:val="nil"/>
              <w:bottom w:val="single" w:sz="4" w:space="0" w:color="auto"/>
              <w:right w:val="single" w:sz="4" w:space="0" w:color="auto"/>
            </w:tcBorders>
            <w:shd w:val="clear" w:color="000000" w:fill="C6E0B4"/>
            <w:vAlign w:val="center"/>
            <w:hideMark/>
          </w:tcPr>
          <w:p w:rsidR="004F632D" w:rsidRPr="006544AC" w:rsidRDefault="004F632D" w:rsidP="009859E0">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JPI ietvaros atbalstītais finansējums kapitālām iegādēm</w:t>
            </w:r>
            <w:r>
              <w:rPr>
                <w:rFonts w:eastAsia="Times New Roman" w:cs="Times New Roman"/>
                <w:color w:val="000000"/>
                <w:sz w:val="18"/>
                <w:szCs w:val="18"/>
                <w:lang w:eastAsia="lv-LV"/>
              </w:rPr>
              <w:t xml:space="preserve">, </w:t>
            </w:r>
            <w:r w:rsidRPr="003E535D">
              <w:rPr>
                <w:rFonts w:eastAsia="Times New Roman" w:cs="Times New Roman"/>
                <w:i/>
                <w:color w:val="000000"/>
                <w:sz w:val="18"/>
                <w:szCs w:val="18"/>
                <w:lang w:eastAsia="lv-LV"/>
              </w:rPr>
              <w:t>euro</w:t>
            </w:r>
          </w:p>
        </w:tc>
      </w:tr>
      <w:tr w:rsidR="004F632D" w:rsidRPr="00140998" w:rsidTr="00E544F3">
        <w:trPr>
          <w:trHeight w:val="315"/>
        </w:trPr>
        <w:tc>
          <w:tcPr>
            <w:tcW w:w="1577" w:type="dxa"/>
            <w:vMerge/>
            <w:tcBorders>
              <w:top w:val="single" w:sz="4" w:space="0" w:color="auto"/>
              <w:left w:val="single" w:sz="4" w:space="0" w:color="auto"/>
              <w:bottom w:val="single" w:sz="4" w:space="0" w:color="000000"/>
              <w:right w:val="single" w:sz="4" w:space="0" w:color="auto"/>
            </w:tcBorders>
            <w:vAlign w:val="center"/>
            <w:hideMark/>
          </w:tcPr>
          <w:p w:rsidR="004F632D" w:rsidRPr="006544AC" w:rsidRDefault="004F632D" w:rsidP="00E544F3">
            <w:pPr>
              <w:rPr>
                <w:rFonts w:eastAsia="Times New Roman" w:cs="Times New Roman"/>
                <w:color w:val="000000"/>
                <w:sz w:val="18"/>
                <w:szCs w:val="18"/>
                <w:lang w:eastAsia="lv-LV"/>
              </w:rPr>
            </w:pPr>
          </w:p>
        </w:tc>
        <w:tc>
          <w:tcPr>
            <w:tcW w:w="828"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2014</w:t>
            </w:r>
          </w:p>
        </w:tc>
        <w:tc>
          <w:tcPr>
            <w:tcW w:w="851"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2015</w:t>
            </w:r>
          </w:p>
        </w:tc>
        <w:tc>
          <w:tcPr>
            <w:tcW w:w="850"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2016</w:t>
            </w:r>
          </w:p>
        </w:tc>
        <w:tc>
          <w:tcPr>
            <w:tcW w:w="851"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2014</w:t>
            </w:r>
          </w:p>
        </w:tc>
        <w:tc>
          <w:tcPr>
            <w:tcW w:w="850"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2015</w:t>
            </w:r>
          </w:p>
        </w:tc>
        <w:tc>
          <w:tcPr>
            <w:tcW w:w="851"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2016</w:t>
            </w:r>
          </w:p>
        </w:tc>
        <w:tc>
          <w:tcPr>
            <w:tcW w:w="850"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2014</w:t>
            </w:r>
          </w:p>
        </w:tc>
        <w:tc>
          <w:tcPr>
            <w:tcW w:w="851"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Pr>
                <w:rFonts w:eastAsia="Times New Roman" w:cs="Times New Roman"/>
                <w:noProof/>
                <w:color w:val="000000"/>
                <w:sz w:val="18"/>
                <w:szCs w:val="18"/>
                <w:lang w:eastAsia="lv-LV"/>
              </w:rPr>
              <mc:AlternateContent>
                <mc:Choice Requires="wps">
                  <w:drawing>
                    <wp:anchor distT="0" distB="0" distL="114300" distR="114300" simplePos="0" relativeHeight="251675648" behindDoc="0" locked="0" layoutInCell="1" allowOverlap="1" wp14:anchorId="19DC1394" wp14:editId="2AE7C8EB">
                      <wp:simplePos x="0" y="0"/>
                      <wp:positionH relativeFrom="column">
                        <wp:posOffset>-573405</wp:posOffset>
                      </wp:positionH>
                      <wp:positionV relativeFrom="paragraph">
                        <wp:posOffset>173990</wp:posOffset>
                      </wp:positionV>
                      <wp:extent cx="1533525" cy="276225"/>
                      <wp:effectExtent l="19050" t="19050" r="28575" b="28575"/>
                      <wp:wrapNone/>
                      <wp:docPr id="86" name="Rounded Rectangle 86"/>
                      <wp:cNvGraphicFramePr/>
                      <a:graphic xmlns:a="http://schemas.openxmlformats.org/drawingml/2006/main">
                        <a:graphicData uri="http://schemas.microsoft.com/office/word/2010/wordprocessingShape">
                          <wps:wsp>
                            <wps:cNvSpPr/>
                            <wps:spPr>
                              <a:xfrm>
                                <a:off x="0" y="0"/>
                                <a:ext cx="1533525" cy="276225"/>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00254A" id="Rounded Rectangle 86" o:spid="_x0000_s1026" style="position:absolute;margin-left:-45.15pt;margin-top:13.7pt;width:120.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" filled="f" strokecolor="#c00000" strokeweight="2.25pt">
                      <v:stroke joinstyle="miter"/>
                    </v:roundrect>
                  </w:pict>
                </mc:Fallback>
              </mc:AlternateContent>
            </w:r>
            <w:r w:rsidRPr="006544AC">
              <w:rPr>
                <w:rFonts w:eastAsia="Times New Roman" w:cs="Times New Roman"/>
                <w:color w:val="000000"/>
                <w:sz w:val="18"/>
                <w:szCs w:val="18"/>
                <w:lang w:eastAsia="lv-LV"/>
              </w:rPr>
              <w:t>2015</w:t>
            </w:r>
          </w:p>
        </w:tc>
        <w:tc>
          <w:tcPr>
            <w:tcW w:w="850" w:type="dxa"/>
            <w:tcBorders>
              <w:top w:val="nil"/>
              <w:left w:val="nil"/>
              <w:bottom w:val="single" w:sz="4" w:space="0" w:color="auto"/>
              <w:right w:val="single" w:sz="4" w:space="0" w:color="auto"/>
            </w:tcBorders>
            <w:shd w:val="clear" w:color="000000" w:fill="C6E0B4"/>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2016</w:t>
            </w:r>
          </w:p>
        </w:tc>
      </w:tr>
      <w:tr w:rsidR="004F632D" w:rsidRPr="00140998" w:rsidTr="00E544F3">
        <w:trPr>
          <w:trHeight w:val="315"/>
        </w:trPr>
        <w:tc>
          <w:tcPr>
            <w:tcW w:w="1577" w:type="dxa"/>
            <w:tcBorders>
              <w:top w:val="nil"/>
              <w:left w:val="single" w:sz="4" w:space="0" w:color="auto"/>
              <w:bottom w:val="single" w:sz="4" w:space="0" w:color="auto"/>
              <w:right w:val="single" w:sz="4" w:space="0" w:color="auto"/>
            </w:tcBorders>
            <w:shd w:val="clear" w:color="auto" w:fill="auto"/>
            <w:vAlign w:val="center"/>
            <w:hideMark/>
          </w:tcPr>
          <w:p w:rsidR="004F632D" w:rsidRPr="006544AC" w:rsidRDefault="004F632D" w:rsidP="00E544F3">
            <w:pPr>
              <w:rPr>
                <w:rFonts w:eastAsia="Times New Roman" w:cs="Times New Roman"/>
                <w:color w:val="000000"/>
                <w:sz w:val="18"/>
                <w:szCs w:val="18"/>
                <w:lang w:eastAsia="lv-LV"/>
              </w:rPr>
            </w:pPr>
            <w:r w:rsidRPr="006544AC">
              <w:rPr>
                <w:rFonts w:eastAsia="Times New Roman" w:cs="Times New Roman"/>
                <w:color w:val="000000"/>
                <w:sz w:val="18"/>
                <w:szCs w:val="18"/>
                <w:lang w:eastAsia="lv-LV"/>
              </w:rPr>
              <w:t>Transp</w:t>
            </w:r>
            <w:r w:rsidRPr="00140998">
              <w:rPr>
                <w:rFonts w:eastAsia="Times New Roman" w:cs="Times New Roman"/>
                <w:color w:val="000000"/>
                <w:sz w:val="18"/>
                <w:szCs w:val="18"/>
                <w:lang w:eastAsia="lv-LV"/>
              </w:rPr>
              <w:t>o</w:t>
            </w:r>
            <w:r w:rsidRPr="006544AC">
              <w:rPr>
                <w:rFonts w:eastAsia="Times New Roman" w:cs="Times New Roman"/>
                <w:color w:val="000000"/>
                <w:sz w:val="18"/>
                <w:szCs w:val="18"/>
                <w:lang w:eastAsia="lv-LV"/>
              </w:rPr>
              <w:t>rtlīdzekļu iegāde</w:t>
            </w:r>
          </w:p>
        </w:tc>
        <w:tc>
          <w:tcPr>
            <w:tcW w:w="828"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391 290</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391 290</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391 290</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786AB2" w:rsidP="00E544F3">
            <w:pPr>
              <w:jc w:val="center"/>
              <w:rPr>
                <w:rFonts w:eastAsia="Times New Roman" w:cs="Times New Roman"/>
                <w:color w:val="000000"/>
                <w:sz w:val="18"/>
                <w:szCs w:val="18"/>
                <w:lang w:eastAsia="lv-LV"/>
              </w:rPr>
            </w:pPr>
            <w:r>
              <w:rPr>
                <w:rFonts w:eastAsia="Times New Roman" w:cs="Times New Roman"/>
                <w:color w:val="000000"/>
                <w:sz w:val="18"/>
                <w:szCs w:val="18"/>
                <w:lang w:eastAsia="lv-LV"/>
              </w:rPr>
              <w:t>68,</w:t>
            </w:r>
            <w:r w:rsidR="004F632D" w:rsidRPr="006544AC">
              <w:rPr>
                <w:rFonts w:eastAsia="Times New Roman" w:cs="Times New Roman"/>
                <w:color w:val="000000"/>
                <w:sz w:val="18"/>
                <w:szCs w:val="18"/>
                <w:lang w:eastAsia="lv-LV"/>
              </w:rPr>
              <w:t>9%</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786AB2">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86</w:t>
            </w:r>
            <w:r w:rsidR="00786AB2">
              <w:rPr>
                <w:rFonts w:eastAsia="Times New Roman" w:cs="Times New Roman"/>
                <w:color w:val="000000"/>
                <w:sz w:val="18"/>
                <w:szCs w:val="18"/>
                <w:lang w:eastAsia="lv-LV"/>
              </w:rPr>
              <w:t>,</w:t>
            </w:r>
            <w:r w:rsidRPr="006544AC">
              <w:rPr>
                <w:rFonts w:eastAsia="Times New Roman" w:cs="Times New Roman"/>
                <w:color w:val="000000"/>
                <w:sz w:val="18"/>
                <w:szCs w:val="18"/>
                <w:lang w:eastAsia="lv-LV"/>
              </w:rPr>
              <w:t>8%</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9</w:t>
            </w:r>
            <w:r w:rsidR="00786AB2">
              <w:rPr>
                <w:rFonts w:eastAsia="Times New Roman" w:cs="Times New Roman"/>
                <w:color w:val="000000"/>
                <w:sz w:val="18"/>
                <w:szCs w:val="18"/>
                <w:lang w:eastAsia="lv-LV"/>
              </w:rPr>
              <w:t>6,</w:t>
            </w:r>
            <w:r w:rsidRPr="006544AC">
              <w:rPr>
                <w:rFonts w:eastAsia="Times New Roman" w:cs="Times New Roman"/>
                <w:color w:val="000000"/>
                <w:sz w:val="18"/>
                <w:szCs w:val="18"/>
                <w:lang w:eastAsia="lv-LV"/>
              </w:rPr>
              <w:t>9%</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212 905</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250 552</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279 685</w:t>
            </w:r>
          </w:p>
        </w:tc>
      </w:tr>
      <w:tr w:rsidR="004F632D" w:rsidRPr="00140998" w:rsidTr="00E544F3">
        <w:trPr>
          <w:trHeight w:val="810"/>
        </w:trPr>
        <w:tc>
          <w:tcPr>
            <w:tcW w:w="1577" w:type="dxa"/>
            <w:tcBorders>
              <w:top w:val="nil"/>
              <w:left w:val="single" w:sz="4" w:space="0" w:color="auto"/>
              <w:bottom w:val="single" w:sz="4" w:space="0" w:color="auto"/>
              <w:right w:val="single" w:sz="4" w:space="0" w:color="auto"/>
            </w:tcBorders>
            <w:shd w:val="clear" w:color="auto" w:fill="auto"/>
            <w:vAlign w:val="center"/>
            <w:hideMark/>
          </w:tcPr>
          <w:p w:rsidR="004F632D" w:rsidRPr="006544AC" w:rsidRDefault="004F632D" w:rsidP="00E544F3">
            <w:pPr>
              <w:rPr>
                <w:rFonts w:eastAsia="Times New Roman" w:cs="Times New Roman"/>
                <w:color w:val="000000"/>
                <w:sz w:val="18"/>
                <w:szCs w:val="18"/>
                <w:lang w:eastAsia="lv-LV"/>
              </w:rPr>
            </w:pPr>
            <w:r w:rsidRPr="006544AC">
              <w:rPr>
                <w:rFonts w:eastAsia="Times New Roman" w:cs="Times New Roman"/>
                <w:color w:val="000000"/>
                <w:sz w:val="18"/>
                <w:szCs w:val="18"/>
                <w:lang w:eastAsia="lv-LV"/>
              </w:rPr>
              <w:t xml:space="preserve">Inspekciju aprīkojumam un tehniskajam nodrošinājumam </w:t>
            </w:r>
          </w:p>
        </w:tc>
        <w:tc>
          <w:tcPr>
            <w:tcW w:w="828"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78 278</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59 496</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12 541</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786AB2" w:rsidP="00E544F3">
            <w:pPr>
              <w:jc w:val="center"/>
              <w:rPr>
                <w:rFonts w:eastAsia="Times New Roman" w:cs="Times New Roman"/>
                <w:color w:val="000000"/>
                <w:sz w:val="18"/>
                <w:szCs w:val="18"/>
                <w:lang w:eastAsia="lv-LV"/>
              </w:rPr>
            </w:pPr>
            <w:r>
              <w:rPr>
                <w:rFonts w:eastAsia="Times New Roman" w:cs="Times New Roman"/>
                <w:color w:val="000000"/>
                <w:sz w:val="18"/>
                <w:szCs w:val="18"/>
                <w:lang w:eastAsia="lv-LV"/>
              </w:rPr>
              <w:t>13,</w:t>
            </w:r>
            <w:r w:rsidR="004F632D" w:rsidRPr="006544AC">
              <w:rPr>
                <w:rFonts w:eastAsia="Times New Roman" w:cs="Times New Roman"/>
                <w:color w:val="000000"/>
                <w:sz w:val="18"/>
                <w:szCs w:val="18"/>
                <w:lang w:eastAsia="lv-LV"/>
              </w:rPr>
              <w:t>8%</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786AB2" w:rsidP="00E544F3">
            <w:pPr>
              <w:jc w:val="center"/>
              <w:rPr>
                <w:rFonts w:eastAsia="Times New Roman" w:cs="Times New Roman"/>
                <w:color w:val="000000"/>
                <w:sz w:val="18"/>
                <w:szCs w:val="18"/>
                <w:lang w:eastAsia="lv-LV"/>
              </w:rPr>
            </w:pPr>
            <w:r>
              <w:rPr>
                <w:rFonts w:eastAsia="Times New Roman" w:cs="Times New Roman"/>
                <w:color w:val="000000"/>
                <w:sz w:val="18"/>
                <w:szCs w:val="18"/>
                <w:lang w:eastAsia="lv-LV"/>
              </w:rPr>
              <w:t>13,</w:t>
            </w:r>
            <w:r w:rsidR="004F632D" w:rsidRPr="006544AC">
              <w:rPr>
                <w:rFonts w:eastAsia="Times New Roman" w:cs="Times New Roman"/>
                <w:color w:val="000000"/>
                <w:sz w:val="18"/>
                <w:szCs w:val="18"/>
                <w:lang w:eastAsia="lv-LV"/>
              </w:rPr>
              <w:t>2%</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786AB2" w:rsidP="00E544F3">
            <w:pPr>
              <w:jc w:val="center"/>
              <w:rPr>
                <w:rFonts w:eastAsia="Times New Roman" w:cs="Times New Roman"/>
                <w:color w:val="000000"/>
                <w:sz w:val="18"/>
                <w:szCs w:val="18"/>
                <w:lang w:eastAsia="lv-LV"/>
              </w:rPr>
            </w:pPr>
            <w:r>
              <w:rPr>
                <w:rFonts w:eastAsia="Times New Roman" w:cs="Times New Roman"/>
                <w:color w:val="000000"/>
                <w:sz w:val="18"/>
                <w:szCs w:val="18"/>
                <w:lang w:eastAsia="lv-LV"/>
              </w:rPr>
              <w:t>3,</w:t>
            </w:r>
            <w:r w:rsidR="004F632D" w:rsidRPr="006544AC">
              <w:rPr>
                <w:rFonts w:eastAsia="Times New Roman" w:cs="Times New Roman"/>
                <w:color w:val="000000"/>
                <w:sz w:val="18"/>
                <w:szCs w:val="18"/>
                <w:lang w:eastAsia="lv-LV"/>
              </w:rPr>
              <w:t>1%</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42 592</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38 097</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8 964</w:t>
            </w:r>
          </w:p>
        </w:tc>
      </w:tr>
      <w:tr w:rsidR="004F632D" w:rsidRPr="00140998" w:rsidTr="00E544F3">
        <w:trPr>
          <w:trHeight w:val="315"/>
        </w:trPr>
        <w:tc>
          <w:tcPr>
            <w:tcW w:w="1577" w:type="dxa"/>
            <w:tcBorders>
              <w:top w:val="nil"/>
              <w:left w:val="single" w:sz="4" w:space="0" w:color="auto"/>
              <w:bottom w:val="single" w:sz="4" w:space="0" w:color="auto"/>
              <w:right w:val="single" w:sz="4" w:space="0" w:color="auto"/>
            </w:tcBorders>
            <w:shd w:val="clear" w:color="auto" w:fill="auto"/>
            <w:vAlign w:val="center"/>
            <w:hideMark/>
          </w:tcPr>
          <w:p w:rsidR="004F632D" w:rsidRPr="006544AC" w:rsidRDefault="004F632D" w:rsidP="00E544F3">
            <w:pPr>
              <w:rPr>
                <w:rFonts w:eastAsia="Times New Roman" w:cs="Times New Roman"/>
                <w:color w:val="000000"/>
                <w:sz w:val="18"/>
                <w:szCs w:val="18"/>
                <w:lang w:eastAsia="lv-LV"/>
              </w:rPr>
            </w:pPr>
            <w:r w:rsidRPr="006544AC">
              <w:rPr>
                <w:rFonts w:eastAsia="Times New Roman" w:cs="Times New Roman"/>
                <w:color w:val="000000"/>
                <w:sz w:val="18"/>
                <w:szCs w:val="18"/>
                <w:lang w:eastAsia="lv-LV"/>
              </w:rPr>
              <w:t>Darba vietu iekārtošana</w:t>
            </w:r>
          </w:p>
        </w:tc>
        <w:tc>
          <w:tcPr>
            <w:tcW w:w="828"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10 359</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r>
      <w:tr w:rsidR="004F632D" w:rsidRPr="00140998" w:rsidTr="00E544F3">
        <w:trPr>
          <w:trHeight w:val="810"/>
        </w:trPr>
        <w:tc>
          <w:tcPr>
            <w:tcW w:w="1577" w:type="dxa"/>
            <w:tcBorders>
              <w:top w:val="nil"/>
              <w:left w:val="single" w:sz="4" w:space="0" w:color="auto"/>
              <w:bottom w:val="single" w:sz="4" w:space="0" w:color="auto"/>
              <w:right w:val="single" w:sz="4" w:space="0" w:color="auto"/>
            </w:tcBorders>
            <w:shd w:val="clear" w:color="auto" w:fill="auto"/>
            <w:vAlign w:val="center"/>
            <w:hideMark/>
          </w:tcPr>
          <w:p w:rsidR="004F632D" w:rsidRPr="006544AC" w:rsidRDefault="004F632D" w:rsidP="00E544F3">
            <w:pPr>
              <w:rPr>
                <w:rFonts w:eastAsia="Times New Roman" w:cs="Times New Roman"/>
                <w:color w:val="000000"/>
                <w:sz w:val="18"/>
                <w:szCs w:val="18"/>
                <w:lang w:eastAsia="lv-LV"/>
              </w:rPr>
            </w:pPr>
            <w:r w:rsidRPr="006544AC">
              <w:rPr>
                <w:rFonts w:eastAsia="Times New Roman" w:cs="Times New Roman"/>
                <w:color w:val="000000"/>
                <w:sz w:val="18"/>
                <w:szCs w:val="18"/>
                <w:lang w:eastAsia="lv-LV"/>
              </w:rPr>
              <w:t>Eksporta sertifikātu uzskaites informācijas sistēmu paredzēts izstrādei</w:t>
            </w:r>
          </w:p>
        </w:tc>
        <w:tc>
          <w:tcPr>
            <w:tcW w:w="828"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35 572</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49 801</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sidRPr="006544AC">
              <w:rPr>
                <w:rFonts w:eastAsia="Times New Roman" w:cs="Times New Roman"/>
                <w:color w:val="000000"/>
                <w:sz w:val="18"/>
                <w:szCs w:val="18"/>
                <w:lang w:eastAsia="lv-LV"/>
              </w:rPr>
              <w:t>-</w:t>
            </w:r>
          </w:p>
        </w:tc>
      </w:tr>
      <w:tr w:rsidR="004F632D" w:rsidRPr="00140998" w:rsidTr="00E544F3">
        <w:trPr>
          <w:trHeight w:val="540"/>
        </w:trPr>
        <w:tc>
          <w:tcPr>
            <w:tcW w:w="1577" w:type="dxa"/>
            <w:tcBorders>
              <w:top w:val="nil"/>
              <w:left w:val="single" w:sz="4" w:space="0" w:color="auto"/>
              <w:bottom w:val="single" w:sz="4" w:space="0" w:color="auto"/>
              <w:right w:val="single" w:sz="4" w:space="0" w:color="auto"/>
            </w:tcBorders>
            <w:shd w:val="clear" w:color="auto" w:fill="auto"/>
            <w:vAlign w:val="center"/>
            <w:hideMark/>
          </w:tcPr>
          <w:p w:rsidR="004F632D" w:rsidRPr="006544AC" w:rsidRDefault="0094739F" w:rsidP="0094739F">
            <w:pPr>
              <w:rPr>
                <w:rFonts w:eastAsia="Times New Roman" w:cs="Times New Roman"/>
                <w:color w:val="000000"/>
                <w:sz w:val="18"/>
                <w:szCs w:val="18"/>
                <w:lang w:eastAsia="lv-LV"/>
              </w:rPr>
            </w:pPr>
            <w:r>
              <w:rPr>
                <w:rFonts w:eastAsia="Times New Roman" w:cs="Times New Roman"/>
                <w:color w:val="000000"/>
                <w:sz w:val="18"/>
                <w:szCs w:val="18"/>
                <w:lang w:eastAsia="lv-LV"/>
              </w:rPr>
              <w:t>“V</w:t>
            </w:r>
            <w:r w:rsidR="004F632D" w:rsidRPr="006544AC">
              <w:rPr>
                <w:rFonts w:eastAsia="Times New Roman" w:cs="Times New Roman"/>
                <w:color w:val="000000"/>
                <w:sz w:val="18"/>
                <w:szCs w:val="18"/>
                <w:lang w:eastAsia="lv-LV"/>
              </w:rPr>
              <w:t>ientuļi” aprīkojuma iegādei</w:t>
            </w:r>
          </w:p>
        </w:tc>
        <w:tc>
          <w:tcPr>
            <w:tcW w:w="828"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98 325</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Pr>
                <w:rFonts w:eastAsia="Times New Roman" w:cs="Times New Roman"/>
                <w:color w:val="000000"/>
                <w:sz w:val="18"/>
                <w:szCs w:val="18"/>
                <w:lang w:eastAsia="lv-LV"/>
              </w:rPr>
              <w:t>17,</w:t>
            </w:r>
            <w:r w:rsidRPr="006544AC">
              <w:rPr>
                <w:rFonts w:eastAsia="Times New Roman" w:cs="Times New Roman"/>
                <w:color w:val="000000"/>
                <w:sz w:val="18"/>
                <w:szCs w:val="18"/>
                <w:lang w:eastAsia="lv-LV"/>
              </w:rPr>
              <w:t>3%</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Pr>
                <w:rFonts w:eastAsia="Times New Roman" w:cs="Times New Roman"/>
                <w:color w:val="000000"/>
                <w:sz w:val="18"/>
                <w:szCs w:val="18"/>
                <w:lang w:eastAsia="lv-LV"/>
              </w:rPr>
              <w:t>0,</w:t>
            </w:r>
            <w:r w:rsidRPr="006544AC">
              <w:rPr>
                <w:rFonts w:eastAsia="Times New Roman" w:cs="Times New Roman"/>
                <w:color w:val="000000"/>
                <w:sz w:val="18"/>
                <w:szCs w:val="18"/>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color w:val="000000"/>
                <w:sz w:val="18"/>
                <w:szCs w:val="18"/>
                <w:lang w:eastAsia="lv-LV"/>
              </w:rPr>
            </w:pPr>
            <w:r>
              <w:rPr>
                <w:rFonts w:eastAsia="Times New Roman" w:cs="Times New Roman"/>
                <w:color w:val="000000"/>
                <w:sz w:val="18"/>
                <w:szCs w:val="18"/>
                <w:lang w:eastAsia="lv-LV"/>
              </w:rPr>
              <w:t>0,</w:t>
            </w:r>
            <w:r w:rsidRPr="006544AC">
              <w:rPr>
                <w:rFonts w:eastAsia="Times New Roman" w:cs="Times New Roman"/>
                <w:color w:val="000000"/>
                <w:sz w:val="18"/>
                <w:szCs w:val="18"/>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53 499</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color w:val="000000"/>
                <w:sz w:val="18"/>
                <w:szCs w:val="18"/>
                <w:lang w:eastAsia="lv-LV"/>
              </w:rPr>
            </w:pPr>
            <w:r w:rsidRPr="006544AC">
              <w:rPr>
                <w:rFonts w:eastAsia="Times New Roman" w:cs="Times New Roman"/>
                <w:color w:val="000000"/>
                <w:sz w:val="18"/>
                <w:szCs w:val="18"/>
                <w:lang w:eastAsia="lv-LV"/>
              </w:rPr>
              <w:t>0</w:t>
            </w:r>
          </w:p>
        </w:tc>
      </w:tr>
      <w:tr w:rsidR="004F632D" w:rsidRPr="00140998" w:rsidTr="00E544F3">
        <w:trPr>
          <w:trHeight w:val="315"/>
        </w:trPr>
        <w:tc>
          <w:tcPr>
            <w:tcW w:w="1577" w:type="dxa"/>
            <w:tcBorders>
              <w:top w:val="nil"/>
              <w:left w:val="single" w:sz="4" w:space="0" w:color="auto"/>
              <w:bottom w:val="single" w:sz="4" w:space="0" w:color="auto"/>
              <w:right w:val="single" w:sz="4" w:space="0" w:color="auto"/>
            </w:tcBorders>
            <w:shd w:val="clear" w:color="auto" w:fill="auto"/>
            <w:vAlign w:val="center"/>
            <w:hideMark/>
          </w:tcPr>
          <w:p w:rsidR="004F632D" w:rsidRPr="006544AC" w:rsidRDefault="004F632D" w:rsidP="00786AB2">
            <w:pPr>
              <w:jc w:val="right"/>
              <w:rPr>
                <w:rFonts w:eastAsia="Times New Roman" w:cs="Times New Roman"/>
                <w:b/>
                <w:bCs/>
                <w:color w:val="000000"/>
                <w:sz w:val="18"/>
                <w:szCs w:val="18"/>
                <w:lang w:eastAsia="lv-LV"/>
              </w:rPr>
            </w:pPr>
            <w:r w:rsidRPr="006544AC">
              <w:rPr>
                <w:rFonts w:eastAsia="Times New Roman" w:cs="Times New Roman"/>
                <w:b/>
                <w:bCs/>
                <w:color w:val="000000"/>
                <w:sz w:val="18"/>
                <w:szCs w:val="18"/>
                <w:lang w:eastAsia="lv-LV"/>
              </w:rPr>
              <w:t>KOPĀ</w:t>
            </w:r>
            <w:r w:rsidR="00786AB2">
              <w:rPr>
                <w:rFonts w:eastAsia="Times New Roman" w:cs="Times New Roman"/>
                <w:b/>
                <w:bCs/>
                <w:color w:val="000000"/>
                <w:sz w:val="18"/>
                <w:szCs w:val="18"/>
                <w:lang w:eastAsia="lv-LV"/>
              </w:rPr>
              <w:t>:</w:t>
            </w:r>
          </w:p>
        </w:tc>
        <w:tc>
          <w:tcPr>
            <w:tcW w:w="828"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b/>
                <w:bCs/>
                <w:color w:val="000000"/>
                <w:sz w:val="18"/>
                <w:szCs w:val="18"/>
                <w:lang w:eastAsia="lv-LV"/>
              </w:rPr>
            </w:pPr>
            <w:r w:rsidRPr="006544AC">
              <w:rPr>
                <w:rFonts w:eastAsia="Times New Roman" w:cs="Times New Roman"/>
                <w:b/>
                <w:bCs/>
                <w:color w:val="000000"/>
                <w:sz w:val="18"/>
                <w:szCs w:val="18"/>
                <w:lang w:eastAsia="lv-LV"/>
              </w:rPr>
              <w:t>613 823</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b/>
                <w:bCs/>
                <w:color w:val="000000"/>
                <w:sz w:val="18"/>
                <w:szCs w:val="18"/>
                <w:lang w:eastAsia="lv-LV"/>
              </w:rPr>
            </w:pPr>
            <w:r w:rsidRPr="006544AC">
              <w:rPr>
                <w:rFonts w:eastAsia="Times New Roman" w:cs="Times New Roman"/>
                <w:b/>
                <w:bCs/>
                <w:color w:val="000000"/>
                <w:sz w:val="18"/>
                <w:szCs w:val="18"/>
                <w:lang w:eastAsia="lv-LV"/>
              </w:rPr>
              <w:t>500 586</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b/>
                <w:bCs/>
                <w:color w:val="000000"/>
                <w:sz w:val="18"/>
                <w:szCs w:val="18"/>
                <w:lang w:eastAsia="lv-LV"/>
              </w:rPr>
            </w:pPr>
            <w:r w:rsidRPr="006544AC">
              <w:rPr>
                <w:rFonts w:eastAsia="Times New Roman" w:cs="Times New Roman"/>
                <w:b/>
                <w:bCs/>
                <w:color w:val="000000"/>
                <w:sz w:val="18"/>
                <w:szCs w:val="18"/>
                <w:lang w:eastAsia="lv-LV"/>
              </w:rPr>
              <w:t>403 831</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b/>
                <w:bCs/>
                <w:color w:val="000000"/>
                <w:sz w:val="18"/>
                <w:szCs w:val="18"/>
                <w:lang w:eastAsia="lv-LV"/>
              </w:rPr>
            </w:pPr>
            <w:r>
              <w:rPr>
                <w:rFonts w:eastAsia="Times New Roman" w:cs="Times New Roman"/>
                <w:b/>
                <w:bCs/>
                <w:color w:val="000000"/>
                <w:sz w:val="18"/>
                <w:szCs w:val="18"/>
                <w:lang w:eastAsia="lv-LV"/>
              </w:rPr>
              <w:t>100,</w:t>
            </w:r>
            <w:r w:rsidRPr="006544AC">
              <w:rPr>
                <w:rFonts w:eastAsia="Times New Roman" w:cs="Times New Roman"/>
                <w:b/>
                <w:bCs/>
                <w:color w:val="000000"/>
                <w:sz w:val="18"/>
                <w:szCs w:val="18"/>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b/>
                <w:bCs/>
                <w:color w:val="000000"/>
                <w:sz w:val="18"/>
                <w:szCs w:val="18"/>
                <w:lang w:eastAsia="lv-LV"/>
              </w:rPr>
            </w:pPr>
            <w:r>
              <w:rPr>
                <w:rFonts w:eastAsia="Times New Roman" w:cs="Times New Roman"/>
                <w:b/>
                <w:bCs/>
                <w:color w:val="000000"/>
                <w:sz w:val="18"/>
                <w:szCs w:val="18"/>
                <w:lang w:eastAsia="lv-LV"/>
              </w:rPr>
              <w:t>100,</w:t>
            </w:r>
            <w:r w:rsidRPr="006544AC">
              <w:rPr>
                <w:rFonts w:eastAsia="Times New Roman" w:cs="Times New Roman"/>
                <w:b/>
                <w:bCs/>
                <w:color w:val="000000"/>
                <w:sz w:val="18"/>
                <w:szCs w:val="18"/>
                <w:lang w:eastAsia="lv-LV"/>
              </w:rPr>
              <w:t>0%</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center"/>
              <w:rPr>
                <w:rFonts w:eastAsia="Times New Roman" w:cs="Times New Roman"/>
                <w:b/>
                <w:bCs/>
                <w:color w:val="000000"/>
                <w:sz w:val="18"/>
                <w:szCs w:val="18"/>
                <w:lang w:eastAsia="lv-LV"/>
              </w:rPr>
            </w:pPr>
            <w:r>
              <w:rPr>
                <w:rFonts w:eastAsia="Times New Roman" w:cs="Times New Roman"/>
                <w:b/>
                <w:bCs/>
                <w:color w:val="000000"/>
                <w:sz w:val="18"/>
                <w:szCs w:val="18"/>
                <w:lang w:eastAsia="lv-LV"/>
              </w:rPr>
              <w:t>100,</w:t>
            </w:r>
            <w:r w:rsidRPr="006544AC">
              <w:rPr>
                <w:rFonts w:eastAsia="Times New Roman" w:cs="Times New Roman"/>
                <w:b/>
                <w:bCs/>
                <w:color w:val="000000"/>
                <w:sz w:val="18"/>
                <w:szCs w:val="18"/>
                <w:lang w:eastAsia="lv-LV"/>
              </w:rPr>
              <w:t>0%</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b/>
                <w:bCs/>
                <w:color w:val="000000"/>
                <w:sz w:val="18"/>
                <w:szCs w:val="18"/>
                <w:lang w:eastAsia="lv-LV"/>
              </w:rPr>
            </w:pPr>
            <w:r w:rsidRPr="006544AC">
              <w:rPr>
                <w:rFonts w:eastAsia="Times New Roman" w:cs="Times New Roman"/>
                <w:b/>
                <w:bCs/>
                <w:color w:val="000000"/>
                <w:sz w:val="18"/>
                <w:szCs w:val="18"/>
                <w:lang w:eastAsia="lv-LV"/>
              </w:rPr>
              <w:t>308 996</w:t>
            </w:r>
          </w:p>
        </w:tc>
        <w:tc>
          <w:tcPr>
            <w:tcW w:w="851"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b/>
                <w:bCs/>
                <w:color w:val="000000"/>
                <w:sz w:val="18"/>
                <w:szCs w:val="18"/>
                <w:lang w:eastAsia="lv-LV"/>
              </w:rPr>
            </w:pPr>
            <w:r w:rsidRPr="006544AC">
              <w:rPr>
                <w:rFonts w:eastAsia="Times New Roman" w:cs="Times New Roman"/>
                <w:b/>
                <w:bCs/>
                <w:color w:val="000000"/>
                <w:sz w:val="18"/>
                <w:szCs w:val="18"/>
                <w:lang w:eastAsia="lv-LV"/>
              </w:rPr>
              <w:t>288 649</w:t>
            </w:r>
          </w:p>
        </w:tc>
        <w:tc>
          <w:tcPr>
            <w:tcW w:w="850" w:type="dxa"/>
            <w:tcBorders>
              <w:top w:val="nil"/>
              <w:left w:val="nil"/>
              <w:bottom w:val="single" w:sz="4" w:space="0" w:color="auto"/>
              <w:right w:val="single" w:sz="4" w:space="0" w:color="auto"/>
            </w:tcBorders>
            <w:shd w:val="clear" w:color="auto" w:fill="auto"/>
            <w:noWrap/>
            <w:vAlign w:val="center"/>
            <w:hideMark/>
          </w:tcPr>
          <w:p w:rsidR="004F632D" w:rsidRPr="006544AC" w:rsidRDefault="004F632D" w:rsidP="00E544F3">
            <w:pPr>
              <w:jc w:val="right"/>
              <w:rPr>
                <w:rFonts w:eastAsia="Times New Roman" w:cs="Times New Roman"/>
                <w:b/>
                <w:bCs/>
                <w:color w:val="000000"/>
                <w:sz w:val="18"/>
                <w:szCs w:val="18"/>
                <w:lang w:eastAsia="lv-LV"/>
              </w:rPr>
            </w:pPr>
            <w:r w:rsidRPr="006544AC">
              <w:rPr>
                <w:rFonts w:eastAsia="Times New Roman" w:cs="Times New Roman"/>
                <w:b/>
                <w:bCs/>
                <w:color w:val="000000"/>
                <w:sz w:val="18"/>
                <w:szCs w:val="18"/>
                <w:lang w:eastAsia="lv-LV"/>
              </w:rPr>
              <w:t>288 649</w:t>
            </w:r>
          </w:p>
        </w:tc>
      </w:tr>
    </w:tbl>
    <w:p w:rsidR="004F632D" w:rsidRDefault="004F632D" w:rsidP="004F632D">
      <w:pPr>
        <w:jc w:val="both"/>
        <w:rPr>
          <w:rFonts w:cs="Times New Roman"/>
          <w:szCs w:val="24"/>
          <w:lang w:eastAsia="lv-LV"/>
        </w:rPr>
      </w:pPr>
    </w:p>
    <w:p w:rsidR="004F632D" w:rsidRDefault="004F632D" w:rsidP="009859E0">
      <w:pPr>
        <w:spacing w:after="120"/>
        <w:ind w:firstLine="720"/>
        <w:jc w:val="both"/>
        <w:rPr>
          <w:rFonts w:cs="Times New Roman"/>
          <w:szCs w:val="24"/>
          <w:lang w:eastAsia="lv-LV"/>
        </w:rPr>
      </w:pPr>
      <w:r w:rsidRPr="00A003D2">
        <w:rPr>
          <w:rFonts w:cs="Times New Roman"/>
          <w:szCs w:val="24"/>
          <w:lang w:eastAsia="lv-LV"/>
        </w:rPr>
        <w:t>Pēc ZM sniegtās informācijas par JPI finansējumu no 2014. līdz 2016.gadam iegādātas 35 autom</w:t>
      </w:r>
      <w:r>
        <w:rPr>
          <w:rFonts w:cs="Times New Roman"/>
          <w:szCs w:val="24"/>
          <w:lang w:eastAsia="lv-LV"/>
        </w:rPr>
        <w:t>ašīnas par kopējo summu 644 577,</w:t>
      </w:r>
      <w:r w:rsidRPr="00A003D2">
        <w:rPr>
          <w:rFonts w:cs="Times New Roman"/>
          <w:szCs w:val="24"/>
          <w:lang w:eastAsia="lv-LV"/>
        </w:rPr>
        <w:t xml:space="preserve">62 </w:t>
      </w:r>
      <w:r w:rsidRPr="00A003D2">
        <w:rPr>
          <w:rFonts w:cs="Times New Roman"/>
          <w:i/>
          <w:szCs w:val="24"/>
          <w:lang w:eastAsia="lv-LV"/>
        </w:rPr>
        <w:t>euro</w:t>
      </w:r>
      <w:r w:rsidRPr="00A003D2">
        <w:rPr>
          <w:rFonts w:cs="Times New Roman"/>
          <w:szCs w:val="24"/>
          <w:lang w:eastAsia="lv-LV"/>
        </w:rPr>
        <w:t xml:space="preserve"> (</w:t>
      </w:r>
      <w:r>
        <w:rPr>
          <w:rFonts w:cs="Times New Roman"/>
          <w:szCs w:val="24"/>
          <w:lang w:eastAsia="lv-LV"/>
        </w:rPr>
        <w:t xml:space="preserve">vidējā cena par vienu vienību – </w:t>
      </w:r>
      <w:r w:rsidRPr="00A003D2">
        <w:rPr>
          <w:rFonts w:cs="Times New Roman"/>
          <w:szCs w:val="24"/>
          <w:lang w:eastAsia="lv-LV"/>
        </w:rPr>
        <w:t xml:space="preserve">18 417 </w:t>
      </w:r>
      <w:r w:rsidRPr="00A003D2">
        <w:rPr>
          <w:rFonts w:cs="Times New Roman"/>
          <w:i/>
          <w:szCs w:val="24"/>
          <w:lang w:eastAsia="lv-LV"/>
        </w:rPr>
        <w:t>euro</w:t>
      </w:r>
      <w:r w:rsidRPr="00A003D2">
        <w:rPr>
          <w:rFonts w:cs="Times New Roman"/>
          <w:szCs w:val="24"/>
          <w:lang w:eastAsia="lv-LV"/>
        </w:rPr>
        <w:t xml:space="preserve">). FM vērtējumā </w:t>
      </w:r>
      <w:r>
        <w:rPr>
          <w:rFonts w:cs="Times New Roman"/>
          <w:szCs w:val="24"/>
          <w:lang w:eastAsia="lv-LV"/>
        </w:rPr>
        <w:t xml:space="preserve">transportlīdzekļu iegādei plānotais finansējums atbilstoši apstiprinātajam JPI finansējumam </w:t>
      </w:r>
      <w:r w:rsidRPr="00A003D2">
        <w:rPr>
          <w:rFonts w:cs="Times New Roman"/>
          <w:szCs w:val="24"/>
          <w:lang w:eastAsia="lv-LV"/>
        </w:rPr>
        <w:t>3</w:t>
      </w:r>
      <w:r>
        <w:rPr>
          <w:rFonts w:cs="Times New Roman"/>
          <w:szCs w:val="24"/>
          <w:lang w:eastAsia="lv-LV"/>
        </w:rPr>
        <w:t> </w:t>
      </w:r>
      <w:r w:rsidRPr="00A003D2">
        <w:rPr>
          <w:rFonts w:cs="Times New Roman"/>
          <w:szCs w:val="24"/>
          <w:lang w:eastAsia="lv-LV"/>
        </w:rPr>
        <w:t xml:space="preserve">gados </w:t>
      </w:r>
      <w:r>
        <w:rPr>
          <w:rFonts w:cs="Times New Roman"/>
          <w:szCs w:val="24"/>
          <w:lang w:eastAsia="lv-LV"/>
        </w:rPr>
        <w:t xml:space="preserve">bija </w:t>
      </w:r>
      <w:r w:rsidRPr="00A003D2">
        <w:rPr>
          <w:rFonts w:cs="Times New Roman"/>
          <w:szCs w:val="24"/>
          <w:lang w:eastAsia="lv-LV"/>
        </w:rPr>
        <w:t xml:space="preserve">743 142 </w:t>
      </w:r>
      <w:r w:rsidRPr="00A003D2">
        <w:rPr>
          <w:rFonts w:cs="Times New Roman"/>
          <w:i/>
          <w:szCs w:val="24"/>
          <w:lang w:eastAsia="lv-LV"/>
        </w:rPr>
        <w:t>euro</w:t>
      </w:r>
      <w:r w:rsidRPr="00222664">
        <w:rPr>
          <w:rFonts w:cs="Times New Roman"/>
          <w:szCs w:val="24"/>
          <w:lang w:eastAsia="lv-LV"/>
        </w:rPr>
        <w:t>.</w:t>
      </w:r>
      <w:r>
        <w:rPr>
          <w:rFonts w:cs="Times New Roman"/>
          <w:szCs w:val="24"/>
          <w:lang w:eastAsia="lv-LV"/>
        </w:rPr>
        <w:t xml:space="preserve"> A</w:t>
      </w:r>
      <w:r w:rsidRPr="00A003D2">
        <w:rPr>
          <w:rFonts w:cs="Times New Roman"/>
          <w:szCs w:val="24"/>
          <w:lang w:eastAsia="lv-LV"/>
        </w:rPr>
        <w:t xml:space="preserve">ttiecīgi var secināt, ka </w:t>
      </w:r>
      <w:r>
        <w:rPr>
          <w:rFonts w:cs="Times New Roman"/>
          <w:szCs w:val="24"/>
          <w:lang w:eastAsia="lv-LV"/>
        </w:rPr>
        <w:t xml:space="preserve">daļa no šī finansējuma ir izmantota </w:t>
      </w:r>
      <w:r w:rsidRPr="00A003D2">
        <w:rPr>
          <w:rFonts w:cs="Times New Roman"/>
          <w:szCs w:val="24"/>
          <w:lang w:eastAsia="lv-LV"/>
        </w:rPr>
        <w:t xml:space="preserve">citiem pasākumiem. Attiecīgi uzskatām, ka </w:t>
      </w:r>
      <w:r>
        <w:rPr>
          <w:rFonts w:cs="Times New Roman"/>
          <w:szCs w:val="24"/>
          <w:lang w:eastAsia="lv-LV"/>
        </w:rPr>
        <w:t>ZM aktuālāku pasākumu īstenošana</w:t>
      </w:r>
      <w:r w:rsidR="009859E0">
        <w:rPr>
          <w:rFonts w:cs="Times New Roman"/>
          <w:szCs w:val="24"/>
          <w:lang w:eastAsia="lv-LV"/>
        </w:rPr>
        <w:t xml:space="preserve">i novirzāmais finansējums, sākot ar 2018.gadu, </w:t>
      </w:r>
      <w:r>
        <w:rPr>
          <w:rFonts w:cs="Times New Roman"/>
          <w:szCs w:val="24"/>
          <w:lang w:eastAsia="lv-LV"/>
        </w:rPr>
        <w:t xml:space="preserve">ir </w:t>
      </w:r>
      <w:r w:rsidRPr="00A003D2">
        <w:rPr>
          <w:rFonts w:cs="Times New Roman"/>
          <w:szCs w:val="24"/>
          <w:lang w:eastAsia="lv-LV"/>
        </w:rPr>
        <w:t>šī pasākuma ietvaros 3 gados c</w:t>
      </w:r>
      <w:r>
        <w:rPr>
          <w:rFonts w:cs="Times New Roman"/>
          <w:szCs w:val="24"/>
          <w:lang w:eastAsia="lv-LV"/>
        </w:rPr>
        <w:t>itiem pasākumiem novirzītā fina</w:t>
      </w:r>
      <w:r w:rsidRPr="00A003D2">
        <w:rPr>
          <w:rFonts w:cs="Times New Roman"/>
          <w:szCs w:val="24"/>
          <w:lang w:eastAsia="lv-LV"/>
        </w:rPr>
        <w:t>n</w:t>
      </w:r>
      <w:r>
        <w:rPr>
          <w:rFonts w:cs="Times New Roman"/>
          <w:szCs w:val="24"/>
          <w:lang w:eastAsia="lv-LV"/>
        </w:rPr>
        <w:t>s</w:t>
      </w:r>
      <w:r w:rsidRPr="00A003D2">
        <w:rPr>
          <w:rFonts w:cs="Times New Roman"/>
          <w:szCs w:val="24"/>
          <w:lang w:eastAsia="lv-LV"/>
        </w:rPr>
        <w:t xml:space="preserve">ējuma vidējais gada rādītājs, kas ir 32 855 </w:t>
      </w:r>
      <w:r w:rsidRPr="00A003D2">
        <w:rPr>
          <w:rFonts w:cs="Times New Roman"/>
          <w:i/>
          <w:szCs w:val="24"/>
          <w:lang w:eastAsia="lv-LV"/>
        </w:rPr>
        <w:t>euro</w:t>
      </w:r>
      <w:r w:rsidR="009859E0">
        <w:rPr>
          <w:rFonts w:cs="Times New Roman"/>
          <w:szCs w:val="24"/>
          <w:lang w:eastAsia="lv-LV"/>
        </w:rPr>
        <w:t>.</w:t>
      </w:r>
    </w:p>
    <w:bookmarkEnd w:id="26"/>
    <w:p w:rsidR="0087444F" w:rsidRDefault="0087444F" w:rsidP="0087444F">
      <w:pPr>
        <w:spacing w:after="120"/>
        <w:ind w:firstLine="720"/>
        <w:jc w:val="both"/>
        <w:rPr>
          <w:rFonts w:cs="Times New Roman"/>
          <w:szCs w:val="24"/>
          <w:lang w:eastAsia="lv-LV"/>
        </w:rPr>
      </w:pPr>
      <w:r>
        <w:rPr>
          <w:rFonts w:cs="Times New Roman"/>
          <w:szCs w:val="24"/>
          <w:lang w:eastAsia="lv-LV"/>
        </w:rPr>
        <w:t xml:space="preserve">ZM budžeta apakšprogrammā </w:t>
      </w:r>
      <w:r w:rsidRPr="005965DD">
        <w:rPr>
          <w:rFonts w:cs="Times New Roman"/>
          <w:szCs w:val="24"/>
          <w:lang w:eastAsia="lv-LV"/>
        </w:rPr>
        <w:t>2</w:t>
      </w:r>
      <w:r>
        <w:rPr>
          <w:rFonts w:cs="Times New Roman"/>
          <w:szCs w:val="24"/>
          <w:lang w:eastAsia="lv-LV"/>
        </w:rPr>
        <w:t>0</w:t>
      </w:r>
      <w:r w:rsidRPr="005965DD">
        <w:rPr>
          <w:rFonts w:cs="Times New Roman"/>
          <w:szCs w:val="24"/>
          <w:lang w:eastAsia="lv-LV"/>
        </w:rPr>
        <w:t>.0</w:t>
      </w:r>
      <w:r>
        <w:rPr>
          <w:rFonts w:cs="Times New Roman"/>
          <w:szCs w:val="24"/>
          <w:lang w:eastAsia="lv-LV"/>
        </w:rPr>
        <w:t>2</w:t>
      </w:r>
      <w:r w:rsidRPr="005965DD">
        <w:rPr>
          <w:rFonts w:cs="Times New Roman"/>
          <w:szCs w:val="24"/>
          <w:lang w:eastAsia="lv-LV"/>
        </w:rPr>
        <w:t>.00 “Pārtikas aprites un veterinārmedicīnas valsts uzraudzības laboratoriskie izmeklējumi” 201</w:t>
      </w:r>
      <w:r>
        <w:rPr>
          <w:rFonts w:cs="Times New Roman"/>
          <w:szCs w:val="24"/>
          <w:lang w:eastAsia="lv-LV"/>
        </w:rPr>
        <w:t>4</w:t>
      </w:r>
      <w:r w:rsidRPr="005965DD">
        <w:rPr>
          <w:rFonts w:cs="Times New Roman"/>
          <w:szCs w:val="24"/>
          <w:lang w:eastAsia="lv-LV"/>
        </w:rPr>
        <w:t>.</w:t>
      </w:r>
      <w:r>
        <w:rPr>
          <w:rFonts w:cs="Times New Roman"/>
          <w:szCs w:val="24"/>
          <w:lang w:eastAsia="lv-LV"/>
        </w:rPr>
        <w:t>-</w:t>
      </w:r>
      <w:r w:rsidRPr="005965DD">
        <w:rPr>
          <w:rFonts w:cs="Times New Roman"/>
          <w:szCs w:val="24"/>
          <w:lang w:eastAsia="lv-LV"/>
        </w:rPr>
        <w:t>201</w:t>
      </w:r>
      <w:r>
        <w:rPr>
          <w:rFonts w:cs="Times New Roman"/>
          <w:szCs w:val="24"/>
          <w:lang w:eastAsia="lv-LV"/>
        </w:rPr>
        <w:t>6</w:t>
      </w:r>
      <w:r w:rsidRPr="005965DD">
        <w:rPr>
          <w:rFonts w:cs="Times New Roman"/>
          <w:szCs w:val="24"/>
          <w:lang w:eastAsia="lv-LV"/>
        </w:rPr>
        <w:t xml:space="preserve">.gada ietvarā </w:t>
      </w:r>
      <w:r w:rsidRPr="009C0E25">
        <w:rPr>
          <w:rFonts w:cs="Times New Roman"/>
          <w:szCs w:val="24"/>
          <w:lang w:eastAsia="lv-LV"/>
        </w:rPr>
        <w:t xml:space="preserve">atbalstīts finansējums </w:t>
      </w:r>
      <w:r>
        <w:rPr>
          <w:rFonts w:cs="Times New Roman"/>
          <w:szCs w:val="24"/>
          <w:lang w:eastAsia="lv-LV"/>
        </w:rPr>
        <w:t>JPI “</w:t>
      </w:r>
      <w:r w:rsidRPr="00913E09">
        <w:rPr>
          <w:rFonts w:cs="Times New Roman"/>
          <w:szCs w:val="24"/>
          <w:lang w:eastAsia="lv-LV"/>
        </w:rPr>
        <w:t>Valsts uzraudzības stiprināšana pārtikas aprites un veterinārajā jomā</w:t>
      </w:r>
      <w:r>
        <w:rPr>
          <w:rFonts w:cs="Times New Roman"/>
          <w:szCs w:val="24"/>
          <w:lang w:eastAsia="lv-LV"/>
        </w:rPr>
        <w:t xml:space="preserve">” </w:t>
      </w:r>
      <w:r w:rsidRPr="009C0E25">
        <w:rPr>
          <w:rFonts w:cs="Times New Roman"/>
          <w:szCs w:val="24"/>
          <w:lang w:eastAsia="lv-LV"/>
        </w:rPr>
        <w:t xml:space="preserve">284 574 </w:t>
      </w:r>
      <w:r w:rsidRPr="001A6A61">
        <w:rPr>
          <w:rFonts w:cs="Times New Roman"/>
          <w:i/>
          <w:szCs w:val="24"/>
          <w:lang w:eastAsia="lv-LV"/>
        </w:rPr>
        <w:t>euro</w:t>
      </w:r>
      <w:r w:rsidRPr="009C0E25">
        <w:rPr>
          <w:rFonts w:cs="Times New Roman"/>
          <w:szCs w:val="24"/>
          <w:lang w:eastAsia="lv-LV"/>
        </w:rPr>
        <w:t xml:space="preserve"> apmērā</w:t>
      </w:r>
      <w:r>
        <w:rPr>
          <w:rFonts w:cs="Times New Roman"/>
          <w:szCs w:val="24"/>
          <w:lang w:eastAsia="lv-LV"/>
        </w:rPr>
        <w:t xml:space="preserve"> ik gadu</w:t>
      </w:r>
      <w:r w:rsidRPr="009C0E25">
        <w:rPr>
          <w:rFonts w:cs="Times New Roman"/>
          <w:szCs w:val="24"/>
          <w:lang w:eastAsia="lv-LV"/>
        </w:rPr>
        <w:t xml:space="preserve">, paredzot </w:t>
      </w:r>
      <w:r>
        <w:rPr>
          <w:rFonts w:cs="Times New Roman"/>
          <w:szCs w:val="24"/>
          <w:lang w:eastAsia="lv-LV"/>
        </w:rPr>
        <w:t xml:space="preserve">to BIOR </w:t>
      </w:r>
      <w:r w:rsidRPr="009C0E25">
        <w:rPr>
          <w:rFonts w:cs="Times New Roman"/>
          <w:szCs w:val="24"/>
        </w:rPr>
        <w:t>p</w:t>
      </w:r>
      <w:r w:rsidRPr="009C0E25">
        <w:rPr>
          <w:rFonts w:cs="Times New Roman"/>
          <w:szCs w:val="24"/>
          <w:lang w:eastAsia="lv-LV"/>
        </w:rPr>
        <w:t>ārtikas aprites un veterinārmedicīnas valsts uzraudzības laboratoriskajiem izmeklējumiem</w:t>
      </w:r>
      <w:r w:rsidR="00C30F82">
        <w:rPr>
          <w:rFonts w:cs="Times New Roman"/>
          <w:szCs w:val="24"/>
          <w:lang w:eastAsia="lv-LV"/>
        </w:rPr>
        <w:t xml:space="preserve"> (skat. 3.64.attēlu)</w:t>
      </w:r>
      <w:r w:rsidRPr="009C0E25">
        <w:rPr>
          <w:rFonts w:cs="Times New Roman"/>
          <w:szCs w:val="24"/>
          <w:lang w:eastAsia="lv-LV"/>
        </w:rPr>
        <w:t>.</w:t>
      </w:r>
    </w:p>
    <w:p w:rsidR="0087444F" w:rsidRDefault="0087444F" w:rsidP="0087444F">
      <w:pPr>
        <w:spacing w:after="120"/>
        <w:ind w:firstLine="720"/>
        <w:jc w:val="both"/>
        <w:rPr>
          <w:rFonts w:cs="Times New Roman"/>
          <w:szCs w:val="24"/>
          <w:lang w:eastAsia="lv-LV"/>
        </w:rPr>
      </w:pPr>
      <w:r>
        <w:rPr>
          <w:rFonts w:cs="Times New Roman"/>
          <w:szCs w:val="24"/>
          <w:lang w:eastAsia="lv-LV"/>
        </w:rPr>
        <w:t>Saskaņā ar JPI pieprasījumu l</w:t>
      </w:r>
      <w:r w:rsidRPr="00066981">
        <w:rPr>
          <w:rFonts w:cs="Times New Roman"/>
          <w:szCs w:val="24"/>
          <w:lang w:eastAsia="lv-LV"/>
        </w:rPr>
        <w:t>aboratoriskie izmeklējumi, kuru veikšanai tika piešķirts papildu nepieciešamais finansējums, bija plānot</w:t>
      </w:r>
      <w:r>
        <w:rPr>
          <w:rFonts w:cs="Times New Roman"/>
          <w:szCs w:val="24"/>
          <w:lang w:eastAsia="lv-LV"/>
        </w:rPr>
        <w:t>i</w:t>
      </w:r>
      <w:r w:rsidRPr="00066981">
        <w:rPr>
          <w:rFonts w:cs="Times New Roman"/>
          <w:szCs w:val="24"/>
          <w:lang w:eastAsia="lv-LV"/>
        </w:rPr>
        <w:t xml:space="preserve"> gan pārtikas aprites jomas</w:t>
      </w:r>
      <w:r>
        <w:rPr>
          <w:rFonts w:cs="Times New Roman"/>
          <w:szCs w:val="24"/>
          <w:lang w:eastAsia="lv-LV"/>
        </w:rPr>
        <w:t>,</w:t>
      </w:r>
      <w:r w:rsidRPr="00066981">
        <w:rPr>
          <w:rFonts w:cs="Times New Roman"/>
          <w:szCs w:val="24"/>
          <w:lang w:eastAsia="lv-LV"/>
        </w:rPr>
        <w:t xml:space="preserve"> gan dzīvnieku infekcijas slimību jomas uzraudzības programmu veikšanai</w:t>
      </w:r>
      <w:r>
        <w:rPr>
          <w:rFonts w:cs="Times New Roman"/>
          <w:szCs w:val="24"/>
          <w:lang w:eastAsia="lv-LV"/>
        </w:rPr>
        <w:t xml:space="preserve">, bet ņemot vērā, ka finansējums tika piešķirts par mazāku finansējumu nekā pieprasīts, tad finansējuma tālākai izmantošanai ZM par prioritāti noteica </w:t>
      </w:r>
      <w:r w:rsidRPr="00D26CB0">
        <w:rPr>
          <w:rFonts w:cs="Times New Roman"/>
          <w:szCs w:val="24"/>
          <w:lang w:eastAsia="lv-LV"/>
        </w:rPr>
        <w:t>dzīvnieku infekcijas slimību uzraudzības jomu</w:t>
      </w:r>
      <w:r w:rsidRPr="00066981">
        <w:rPr>
          <w:rFonts w:cs="Times New Roman"/>
          <w:szCs w:val="24"/>
          <w:lang w:eastAsia="lv-LV"/>
        </w:rPr>
        <w:t>.</w:t>
      </w:r>
      <w:r w:rsidRPr="00800618">
        <w:rPr>
          <w:rFonts w:cs="Times New Roman"/>
          <w:szCs w:val="24"/>
          <w:lang w:eastAsia="lv-LV"/>
        </w:rPr>
        <w:t xml:space="preserve"> </w:t>
      </w:r>
    </w:p>
    <w:p w:rsidR="0087444F" w:rsidRDefault="0087444F" w:rsidP="0087444F">
      <w:pPr>
        <w:spacing w:after="120"/>
        <w:jc w:val="both"/>
        <w:rPr>
          <w:rFonts w:cs="Times New Roman"/>
          <w:szCs w:val="24"/>
          <w:lang w:eastAsia="lv-LV"/>
        </w:rPr>
      </w:pPr>
      <w:r w:rsidRPr="007F2B33">
        <w:rPr>
          <w:rFonts w:cs="Times New Roman"/>
          <w:noProof/>
          <w:szCs w:val="24"/>
          <w:lang w:eastAsia="lv-LV"/>
        </w:rPr>
        <w:lastRenderedPageBreak/>
        <mc:AlternateContent>
          <mc:Choice Requires="wpg">
            <w:drawing>
              <wp:anchor distT="0" distB="0" distL="114300" distR="114300" simplePos="0" relativeHeight="251683840" behindDoc="0" locked="0" layoutInCell="1" allowOverlap="1" wp14:anchorId="6C651CAB" wp14:editId="7E09C1D4">
                <wp:simplePos x="0" y="0"/>
                <wp:positionH relativeFrom="margin">
                  <wp:posOffset>0</wp:posOffset>
                </wp:positionH>
                <wp:positionV relativeFrom="paragraph">
                  <wp:posOffset>247015</wp:posOffset>
                </wp:positionV>
                <wp:extent cx="5861685" cy="2574290"/>
                <wp:effectExtent l="0" t="0" r="24765" b="16510"/>
                <wp:wrapSquare wrapText="bothSides"/>
                <wp:docPr id="49" name="Group 44"/>
                <wp:cNvGraphicFramePr/>
                <a:graphic xmlns:a="http://schemas.openxmlformats.org/drawingml/2006/main">
                  <a:graphicData uri="http://schemas.microsoft.com/office/word/2010/wordprocessingGroup">
                    <wpg:wgp>
                      <wpg:cNvGrpSpPr/>
                      <wpg:grpSpPr>
                        <a:xfrm>
                          <a:off x="0" y="0"/>
                          <a:ext cx="5861685" cy="2574290"/>
                          <a:chOff x="66675" y="-1"/>
                          <a:chExt cx="5861721" cy="2574679"/>
                        </a:xfrm>
                      </wpg:grpSpPr>
                      <wps:wsp>
                        <wps:cNvPr id="108" name="Rounded Rectangle 108"/>
                        <wps:cNvSpPr/>
                        <wps:spPr>
                          <a:xfrm>
                            <a:off x="66675" y="0"/>
                            <a:ext cx="1781175" cy="428625"/>
                          </a:xfrm>
                          <a:prstGeom prst="roundRect">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Pārtikas produktu kontrolei – 402 834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9" name="Rounded Rectangle 109"/>
                        <wps:cNvSpPr/>
                        <wps:spPr>
                          <a:xfrm>
                            <a:off x="66675" y="492886"/>
                            <a:ext cx="1781175" cy="571500"/>
                          </a:xfrm>
                          <a:prstGeom prst="roundRect">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Robežkontroles noņemto paraugu laboratoriskai izmeklēšanai – 18 223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0" name="Rounded Rectangle 110"/>
                        <wps:cNvSpPr/>
                        <wps:spPr>
                          <a:xfrm>
                            <a:off x="66676" y="1641227"/>
                            <a:ext cx="1781175" cy="428625"/>
                          </a:xfrm>
                          <a:prstGeom prst="roundRect">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Epidemioloģiskajai uzraudzībai veterinārajā jomā – 49 801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1" name="Rounded Rectangle 111"/>
                        <wps:cNvSpPr/>
                        <wps:spPr>
                          <a:xfrm>
                            <a:off x="66676" y="2146053"/>
                            <a:ext cx="1781175" cy="428625"/>
                          </a:xfrm>
                          <a:prstGeom prst="roundRect">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Paraugu iepakojumu iegādei – 1 423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2" name="Rounded Rectangle 112"/>
                        <wps:cNvSpPr/>
                        <wps:spPr>
                          <a:xfrm>
                            <a:off x="66676" y="1126877"/>
                            <a:ext cx="1781175" cy="428625"/>
                          </a:xfrm>
                          <a:prstGeom prst="roundRect">
                            <a:avLst/>
                          </a:prstGeom>
                          <a:solidFill>
                            <a:schemeClr val="bg1"/>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Dzīvnieku barības kontroles programmai – 5 053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3" name="Straight Arrow Connector 113"/>
                        <wps:cNvCnPr>
                          <a:stCxn id="108" idx="3"/>
                          <a:endCxn id="114" idx="1"/>
                        </wps:cNvCnPr>
                        <wps:spPr>
                          <a:xfrm>
                            <a:off x="1847850" y="214313"/>
                            <a:ext cx="183025" cy="1472463"/>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4" name="Rounded Rectangle 114"/>
                        <wps:cNvSpPr/>
                        <wps:spPr>
                          <a:xfrm>
                            <a:off x="2030875" y="1396263"/>
                            <a:ext cx="1257300" cy="581025"/>
                          </a:xfrm>
                          <a:prstGeom prst="roundRect">
                            <a:avLst/>
                          </a:prstGeom>
                          <a:solidFill>
                            <a:schemeClr val="accent1">
                              <a:lumMod val="20000"/>
                              <a:lumOff val="80000"/>
                            </a:schemeClr>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Pārtikas aprites joma  404 257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5" name="Rounded Rectangle 115"/>
                        <wps:cNvSpPr/>
                        <wps:spPr>
                          <a:xfrm>
                            <a:off x="2030875" y="563582"/>
                            <a:ext cx="1257300" cy="581025"/>
                          </a:xfrm>
                          <a:prstGeom prst="roundRect">
                            <a:avLst/>
                          </a:prstGeom>
                          <a:solidFill>
                            <a:schemeClr val="accent1">
                              <a:lumMod val="20000"/>
                              <a:lumOff val="80000"/>
                            </a:schemeClr>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Dzīvnieku infekcijas slimību joma </w:t>
                              </w:r>
                            </w:p>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73 087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16" name="Straight Arrow Connector 116"/>
                        <wps:cNvCnPr>
                          <a:stCxn id="111" idx="3"/>
                          <a:endCxn id="114" idx="1"/>
                        </wps:cNvCnPr>
                        <wps:spPr>
                          <a:xfrm flipV="1">
                            <a:off x="1847851" y="1686775"/>
                            <a:ext cx="183024" cy="673591"/>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7" name="Straight Arrow Connector 117"/>
                        <wps:cNvCnPr>
                          <a:stCxn id="109" idx="3"/>
                          <a:endCxn id="115" idx="1"/>
                        </wps:cNvCnPr>
                        <wps:spPr>
                          <a:xfrm>
                            <a:off x="1847850" y="778636"/>
                            <a:ext cx="183025" cy="75459"/>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8" name="Straight Arrow Connector 118"/>
                        <wps:cNvCnPr>
                          <a:stCxn id="112" idx="3"/>
                          <a:endCxn id="115" idx="1"/>
                        </wps:cNvCnPr>
                        <wps:spPr>
                          <a:xfrm flipV="1">
                            <a:off x="1847851" y="854095"/>
                            <a:ext cx="183024" cy="487094"/>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a:stCxn id="110" idx="3"/>
                          <a:endCxn id="115" idx="1"/>
                        </wps:cNvCnPr>
                        <wps:spPr>
                          <a:xfrm flipV="1">
                            <a:off x="1847851" y="854095"/>
                            <a:ext cx="183024" cy="1001444"/>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3" name="Rounded Rectangle 123"/>
                        <wps:cNvSpPr/>
                        <wps:spPr>
                          <a:xfrm rot="16200000">
                            <a:off x="2689896" y="1026440"/>
                            <a:ext cx="1905000" cy="514350"/>
                          </a:xfrm>
                          <a:prstGeom prst="roundRect">
                            <a:avLst/>
                          </a:prstGeom>
                          <a:solidFill>
                            <a:schemeClr val="tx2">
                              <a:lumMod val="20000"/>
                              <a:lumOff val="80000"/>
                            </a:schemeClr>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Piešķirtais finansējums 284 574 </w:t>
                              </w:r>
                              <w:r>
                                <w:rPr>
                                  <w:rFonts w:eastAsia="Calibri"/>
                                  <w:i/>
                                  <w:iCs/>
                                  <w:color w:val="000000" w:themeColor="text1"/>
                                  <w:kern w:val="24"/>
                                  <w:sz w:val="21"/>
                                  <w:szCs w:val="21"/>
                                </w:rPr>
                                <w:t>euro</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4" name="Rounded Rectangle 124"/>
                        <wps:cNvSpPr/>
                        <wps:spPr>
                          <a:xfrm rot="16200000">
                            <a:off x="2987199" y="1036954"/>
                            <a:ext cx="2559685" cy="485775"/>
                          </a:xfrm>
                          <a:prstGeom prst="roundRect">
                            <a:avLst/>
                          </a:prstGeom>
                          <a:solidFill>
                            <a:schemeClr val="tx2">
                              <a:lumMod val="40000"/>
                              <a:lumOff val="60000"/>
                            </a:schemeClr>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ZM prioritāte – dzīvnieku infekcijas slimību joma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Rounded Rectangle 125"/>
                        <wps:cNvSpPr/>
                        <wps:spPr>
                          <a:xfrm>
                            <a:off x="4671096" y="1321713"/>
                            <a:ext cx="1257300" cy="581025"/>
                          </a:xfrm>
                          <a:prstGeom prst="roundRect">
                            <a:avLst/>
                          </a:prstGeom>
                          <a:solidFill>
                            <a:schemeClr val="tx2">
                              <a:lumMod val="60000"/>
                              <a:lumOff val="40000"/>
                            </a:schemeClr>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Pārtikas aprites joma  284 574 – 73 087 = 211 487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6" name="Rounded Rectangle 126"/>
                        <wps:cNvSpPr/>
                        <wps:spPr>
                          <a:xfrm>
                            <a:off x="4661571" y="540663"/>
                            <a:ext cx="1257300" cy="581025"/>
                          </a:xfrm>
                          <a:prstGeom prst="roundRect">
                            <a:avLst/>
                          </a:prstGeom>
                          <a:solidFill>
                            <a:schemeClr val="tx2">
                              <a:lumMod val="60000"/>
                              <a:lumOff val="40000"/>
                            </a:schemeClr>
                          </a:solid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Dzīvnieku infekcijas slimību joma </w:t>
                              </w:r>
                            </w:p>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73 087 </w:t>
                              </w:r>
                              <w:r>
                                <w:rPr>
                                  <w:rFonts w:eastAsia="Calibri"/>
                                  <w:i/>
                                  <w:iCs/>
                                  <w:color w:val="000000" w:themeColor="text1"/>
                                  <w:kern w:val="24"/>
                                  <w:sz w:val="21"/>
                                  <w:szCs w:val="21"/>
                                </w:rPr>
                                <w:t>euro</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27" name="Straight Arrow Connector 127"/>
                        <wps:cNvCnPr>
                          <a:stCxn id="115" idx="3"/>
                          <a:endCxn id="123" idx="0"/>
                        </wps:cNvCnPr>
                        <wps:spPr>
                          <a:xfrm>
                            <a:off x="3288174" y="854095"/>
                            <a:ext cx="97047" cy="429520"/>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8" name="Straight Arrow Connector 128"/>
                        <wps:cNvCnPr>
                          <a:stCxn id="114" idx="3"/>
                          <a:endCxn id="123" idx="0"/>
                        </wps:cNvCnPr>
                        <wps:spPr>
                          <a:xfrm flipV="1">
                            <a:off x="3288174" y="1283614"/>
                            <a:ext cx="97047" cy="403162"/>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29" name="Straight Arrow Connector 129"/>
                        <wps:cNvCnPr>
                          <a:stCxn id="123" idx="2"/>
                          <a:endCxn id="124" idx="0"/>
                        </wps:cNvCnPr>
                        <wps:spPr>
                          <a:xfrm flipV="1">
                            <a:off x="3899571" y="1279842"/>
                            <a:ext cx="124583" cy="3773"/>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0" name="Straight Arrow Connector 130"/>
                        <wps:cNvCnPr>
                          <a:stCxn id="124" idx="2"/>
                          <a:endCxn id="126" idx="1"/>
                        </wps:cNvCnPr>
                        <wps:spPr>
                          <a:xfrm flipV="1">
                            <a:off x="4509929" y="831176"/>
                            <a:ext cx="151642" cy="448666"/>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1" name="Straight Arrow Connector 131"/>
                        <wps:cNvCnPr>
                          <a:stCxn id="124" idx="2"/>
                          <a:endCxn id="125" idx="1"/>
                        </wps:cNvCnPr>
                        <wps:spPr>
                          <a:xfrm>
                            <a:off x="4509929" y="1279841"/>
                            <a:ext cx="161168" cy="332384"/>
                          </a:xfrm>
                          <a:prstGeom prst="straightConnector1">
                            <a:avLst/>
                          </a:prstGeom>
                          <a:ln w="19050">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C651CAB" id="Group 44" o:spid="_x0000_s1070" style="position:absolute;left:0;text-align:left;margin-left:0;margin-top:19.45pt;width:461.55pt;height:202.7pt;z-index:251683840;mso-position-horizontal-relative:margin;mso-position-vertical-relative:text;mso-width-relative:margin;mso-height-relative:margin" coordorigin="666" coordsize="58617,25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">
                <v:roundrect id="Rounded Rectangle 108" o:spid="_x0000_s1071" style="position:absolute;left:666;width:17812;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" fillcolor="white [3212]"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Pārtikas produktu kontrolei – 402 834 </w:t>
                        </w:r>
                        <w:r>
                          <w:rPr>
                            <w:rFonts w:eastAsia="Calibri"/>
                            <w:i/>
                            <w:iCs/>
                            <w:color w:val="000000" w:themeColor="text1"/>
                            <w:kern w:val="24"/>
                            <w:sz w:val="21"/>
                            <w:szCs w:val="21"/>
                          </w:rPr>
                          <w:t>euro</w:t>
                        </w:r>
                      </w:p>
                    </w:txbxContent>
                  </v:textbox>
                </v:roundrect>
                <v:roundrect id="Rounded Rectangle 109" o:spid="_x0000_s1072" style="position:absolute;left:666;top:4928;width:17812;height:5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" fillcolor="white [3212]"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Robežkontroles noņemto paraugu laboratoriskai izmeklēšanai – 18 223 </w:t>
                        </w:r>
                        <w:r>
                          <w:rPr>
                            <w:rFonts w:eastAsia="Calibri"/>
                            <w:i/>
                            <w:iCs/>
                            <w:color w:val="000000" w:themeColor="text1"/>
                            <w:kern w:val="24"/>
                            <w:sz w:val="21"/>
                            <w:szCs w:val="21"/>
                          </w:rPr>
                          <w:t>euro</w:t>
                        </w:r>
                      </w:p>
                    </w:txbxContent>
                  </v:textbox>
                </v:roundrect>
                <v:roundrect id="Rounded Rectangle 110" o:spid="_x0000_s1073" style="position:absolute;left:666;top:16412;width:17812;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" fillcolor="white [3212]"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Epidemioloģiskajai uzraudzībai veterinārajā jomā – 49 801 </w:t>
                        </w:r>
                        <w:r>
                          <w:rPr>
                            <w:rFonts w:eastAsia="Calibri"/>
                            <w:i/>
                            <w:iCs/>
                            <w:color w:val="000000" w:themeColor="text1"/>
                            <w:kern w:val="24"/>
                            <w:sz w:val="21"/>
                            <w:szCs w:val="21"/>
                          </w:rPr>
                          <w:t>euro</w:t>
                        </w:r>
                      </w:p>
                    </w:txbxContent>
                  </v:textbox>
                </v:roundrect>
                <v:roundrect id="Rounded Rectangle 111" o:spid="_x0000_s1074" style="position:absolute;left:666;top:21460;width:17812;height:4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" fillcolor="white [3212]"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Paraugu iepakojumu iegādei – 1 423 </w:t>
                        </w:r>
                        <w:r>
                          <w:rPr>
                            <w:rFonts w:eastAsia="Calibri"/>
                            <w:i/>
                            <w:iCs/>
                            <w:color w:val="000000" w:themeColor="text1"/>
                            <w:kern w:val="24"/>
                            <w:sz w:val="21"/>
                            <w:szCs w:val="21"/>
                          </w:rPr>
                          <w:t>euro</w:t>
                        </w:r>
                      </w:p>
                    </w:txbxContent>
                  </v:textbox>
                </v:roundrect>
                <v:roundrect id="Rounded Rectangle 112" o:spid="_x0000_s1075" style="position:absolute;left:666;top:11268;width:17812;height: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" fillcolor="white [3212]"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Dzīvnieku barības kontroles programmai – 5 053 </w:t>
                        </w:r>
                        <w:r>
                          <w:rPr>
                            <w:rFonts w:eastAsia="Calibri"/>
                            <w:i/>
                            <w:iCs/>
                            <w:color w:val="000000" w:themeColor="text1"/>
                            <w:kern w:val="24"/>
                            <w:sz w:val="21"/>
                            <w:szCs w:val="21"/>
                          </w:rPr>
                          <w:t>euro</w:t>
                        </w:r>
                      </w:p>
                    </w:txbxContent>
                  </v:textbox>
                </v:roundrect>
                <v:shape id="Straight Arrow Connector 113" o:spid="_x0000_s1076" type="#_x0000_t32" style="position:absolute;left:18478;top:2143;width:1830;height:147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" strokecolor="#44546a [3215]" strokeweight="1.5pt">
                  <v:stroke endarrow="block" joinstyle="miter"/>
                </v:shape>
                <v:roundrect id="Rounded Rectangle 114" o:spid="_x0000_s1077" style="position:absolute;left:20308;top:13962;width:12573;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" fillcolor="#deeaf6 [660]"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Pārtikas aprites joma  404 257 </w:t>
                        </w:r>
                        <w:r>
                          <w:rPr>
                            <w:rFonts w:eastAsia="Calibri"/>
                            <w:i/>
                            <w:iCs/>
                            <w:color w:val="000000" w:themeColor="text1"/>
                            <w:kern w:val="24"/>
                            <w:sz w:val="21"/>
                            <w:szCs w:val="21"/>
                          </w:rPr>
                          <w:t>euro</w:t>
                        </w:r>
                      </w:p>
                    </w:txbxContent>
                  </v:textbox>
                </v:roundrect>
                <v:roundrect id="Rounded Rectangle 115" o:spid="_x0000_s1078" style="position:absolute;left:20308;top:5635;width:12573;height:5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" fillcolor="#deeaf6 [660]"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Dzīvnieku infekcijas slimību joma </w:t>
                        </w:r>
                      </w:p>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73 087 </w:t>
                        </w:r>
                        <w:r>
                          <w:rPr>
                            <w:rFonts w:eastAsia="Calibri"/>
                            <w:i/>
                            <w:iCs/>
                            <w:color w:val="000000" w:themeColor="text1"/>
                            <w:kern w:val="24"/>
                            <w:sz w:val="21"/>
                            <w:szCs w:val="21"/>
                          </w:rPr>
                          <w:t>euro</w:t>
                        </w:r>
                      </w:p>
                    </w:txbxContent>
                  </v:textbox>
                </v:roundrect>
                <v:shape id="Straight Arrow Connector 116" o:spid="_x0000_s1079" type="#_x0000_t32" style="position:absolute;left:18478;top:16867;width:1830;height:67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" strokecolor="#44546a [3215]" strokeweight="1.5pt">
                  <v:stroke endarrow="block" joinstyle="miter"/>
                </v:shape>
                <v:shape id="Straight Arrow Connector 117" o:spid="_x0000_s1080" type="#_x0000_t32" style="position:absolute;left:18478;top:7786;width:1830;height:7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" strokecolor="#44546a [3215]" strokeweight="1.5pt">
                  <v:stroke endarrow="block" joinstyle="miter"/>
                </v:shape>
                <v:shape id="Straight Arrow Connector 118" o:spid="_x0000_s1081" type="#_x0000_t32" style="position:absolute;left:18478;top:8540;width:1830;height:48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" strokecolor="#44546a [3215]" strokeweight="1.5pt">
                  <v:stroke endarrow="block" joinstyle="miter"/>
                </v:shape>
                <v:shape id="Straight Arrow Connector 119" o:spid="_x0000_s1082" type="#_x0000_t32" style="position:absolute;left:18478;top:8540;width:1830;height:100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" strokecolor="#44546a [3215]" strokeweight="1.5pt">
                  <v:stroke endarrow="block" joinstyle="miter"/>
                </v:shape>
                <v:roundrect id="Rounded Rectangle 123" o:spid="_x0000_s1083" style="position:absolute;left:26899;top:10264;width:19050;height:514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" fillcolor="#d5dce4 [671]" strokecolor="#44546a [3215]" strokeweight="1.5pt">
                  <v:stroke joinstyle="miter"/>
                  <v:textbo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Piešķirtais finansējums 284 574 </w:t>
                        </w:r>
                        <w:r>
                          <w:rPr>
                            <w:rFonts w:eastAsia="Calibri"/>
                            <w:i/>
                            <w:iCs/>
                            <w:color w:val="000000" w:themeColor="text1"/>
                            <w:kern w:val="24"/>
                            <w:sz w:val="21"/>
                            <w:szCs w:val="21"/>
                          </w:rPr>
                          <w:t>euro</w:t>
                        </w:r>
                      </w:p>
                    </w:txbxContent>
                  </v:textbox>
                </v:roundrect>
                <v:roundrect id="Rounded Rectangle 124" o:spid="_x0000_s1084" style="position:absolute;left:29872;top:10369;width:25596;height:485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" fillcolor="#acb9ca [1311]" strokecolor="#44546a [3215]" strokeweight="1.5pt">
                  <v:stroke joinstyle="miter"/>
                  <v:textbox>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ZM prioritāte – dzīvnieku infekcijas slimību joma </w:t>
                        </w:r>
                      </w:p>
                    </w:txbxContent>
                  </v:textbox>
                </v:roundrect>
                <v:roundrect id="Rounded Rectangle 125" o:spid="_x0000_s1085" style="position:absolute;left:46710;top:13217;width:12573;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" fillcolor="#8496b0 [1951]"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Pārtikas aprites joma  284 574 – 73 087 = 211 487 </w:t>
                        </w:r>
                        <w:r>
                          <w:rPr>
                            <w:rFonts w:eastAsia="Calibri"/>
                            <w:i/>
                            <w:iCs/>
                            <w:color w:val="000000" w:themeColor="text1"/>
                            <w:kern w:val="24"/>
                            <w:sz w:val="21"/>
                            <w:szCs w:val="21"/>
                          </w:rPr>
                          <w:t>euro</w:t>
                        </w:r>
                      </w:p>
                    </w:txbxContent>
                  </v:textbox>
                </v:roundrect>
                <v:roundrect id="Rounded Rectangle 126" o:spid="_x0000_s1086" style="position:absolute;left:46615;top:5406;width:12573;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" fillcolor="#8496b0 [1951]" strokecolor="#44546a [3215]" strokeweight="1.5pt">
                  <v:stroke joinstyle="miter"/>
                  <v:textbox inset="0,0,0,0">
                    <w:txbxContent>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Dzīvnieku infekcijas slimību joma </w:t>
                        </w:r>
                      </w:p>
                      <w:p w:rsidR="00F16784" w:rsidRDefault="00F16784" w:rsidP="0087444F">
                        <w:pPr>
                          <w:pStyle w:val="NormalWeb"/>
                          <w:spacing w:before="0" w:beforeAutospacing="0" w:after="0" w:afterAutospacing="0"/>
                          <w:jc w:val="center"/>
                        </w:pPr>
                        <w:r>
                          <w:rPr>
                            <w:rFonts w:eastAsia="Calibri"/>
                            <w:color w:val="000000" w:themeColor="text1"/>
                            <w:kern w:val="24"/>
                            <w:sz w:val="21"/>
                            <w:szCs w:val="21"/>
                          </w:rPr>
                          <w:t xml:space="preserve">73 087 </w:t>
                        </w:r>
                        <w:r>
                          <w:rPr>
                            <w:rFonts w:eastAsia="Calibri"/>
                            <w:i/>
                            <w:iCs/>
                            <w:color w:val="000000" w:themeColor="text1"/>
                            <w:kern w:val="24"/>
                            <w:sz w:val="21"/>
                            <w:szCs w:val="21"/>
                          </w:rPr>
                          <w:t>euro</w:t>
                        </w:r>
                      </w:p>
                    </w:txbxContent>
                  </v:textbox>
                </v:roundrect>
                <v:shape id="Straight Arrow Connector 127" o:spid="_x0000_s1087" type="#_x0000_t32" style="position:absolute;left:32881;top:8540;width:971;height:42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" strokecolor="#44546a [3215]" strokeweight="1.5pt">
                  <v:stroke endarrow="block" joinstyle="miter"/>
                </v:shape>
                <v:shape id="Straight Arrow Connector 128" o:spid="_x0000_s1088" type="#_x0000_t32" style="position:absolute;left:32881;top:12836;width:971;height:40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" strokecolor="#44546a [3215]" strokeweight="1.5pt">
                  <v:stroke endarrow="block" joinstyle="miter"/>
                </v:shape>
                <v:shape id="Straight Arrow Connector 129" o:spid="_x0000_s1089" type="#_x0000_t32" style="position:absolute;left:38995;top:12798;width:1246;height: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" strokecolor="#44546a [3215]" strokeweight="1.5pt">
                  <v:stroke endarrow="block" joinstyle="miter"/>
                </v:shape>
                <v:shape id="Straight Arrow Connector 130" o:spid="_x0000_s1090" type="#_x0000_t32" style="position:absolute;left:45099;top:8311;width:1516;height:44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" strokecolor="#44546a [3215]" strokeweight="1.5pt">
                  <v:stroke endarrow="block" joinstyle="miter"/>
                </v:shape>
                <v:shape id="Straight Arrow Connector 131" o:spid="_x0000_s1091" type="#_x0000_t32" style="position:absolute;left:45099;top:12798;width:1611;height:33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" strokecolor="#44546a [3215]" strokeweight="1.5pt">
                  <v:stroke endarrow="block" joinstyle="miter"/>
                </v:shape>
                <w10:wrap type="square" anchorx="margin"/>
              </v:group>
            </w:pict>
          </mc:Fallback>
        </mc:AlternateContent>
      </w:r>
    </w:p>
    <w:p w:rsidR="0087444F" w:rsidRDefault="00C30F82" w:rsidP="0094739F">
      <w:pPr>
        <w:spacing w:before="240" w:after="240"/>
        <w:jc w:val="center"/>
        <w:rPr>
          <w:rFonts w:cs="Times New Roman"/>
          <w:b/>
          <w:sz w:val="22"/>
        </w:rPr>
      </w:pPr>
      <w:r w:rsidRPr="00C30F82">
        <w:rPr>
          <w:rFonts w:cs="Times New Roman"/>
          <w:i/>
          <w:sz w:val="22"/>
        </w:rPr>
        <w:t>3.64</w:t>
      </w:r>
      <w:r w:rsidR="00ED21C2" w:rsidRPr="00C30F82">
        <w:rPr>
          <w:rFonts w:cs="Times New Roman"/>
          <w:i/>
          <w:sz w:val="22"/>
        </w:rPr>
        <w:t>.</w:t>
      </w:r>
      <w:r w:rsidR="0087444F" w:rsidRPr="00C30F82">
        <w:rPr>
          <w:rFonts w:cs="Times New Roman"/>
          <w:i/>
          <w:sz w:val="22"/>
        </w:rPr>
        <w:t>att.</w:t>
      </w:r>
      <w:r w:rsidR="0087444F" w:rsidRPr="00C30F82">
        <w:rPr>
          <w:rFonts w:cs="Times New Roman"/>
          <w:sz w:val="22"/>
        </w:rPr>
        <w:t xml:space="preserve"> </w:t>
      </w:r>
      <w:r w:rsidR="0087444F" w:rsidRPr="00C30F82">
        <w:rPr>
          <w:rFonts w:cs="Times New Roman"/>
          <w:b/>
          <w:sz w:val="22"/>
        </w:rPr>
        <w:t>JPI “Valsts uzraudzības stiprināšana pārtikas aprites un veterinārajā jomā” ietvaros</w:t>
      </w:r>
      <w:r w:rsidR="0087444F">
        <w:rPr>
          <w:rFonts w:cs="Times New Roman"/>
          <w:b/>
          <w:sz w:val="22"/>
        </w:rPr>
        <w:t xml:space="preserve"> finansējums BIOR laboratoriskajiem izmeklējumiem</w:t>
      </w:r>
    </w:p>
    <w:p w:rsidR="0087444F" w:rsidRDefault="0087444F" w:rsidP="0087444F">
      <w:pPr>
        <w:ind w:firstLine="720"/>
        <w:jc w:val="both"/>
        <w:rPr>
          <w:rFonts w:cs="Times New Roman"/>
          <w:szCs w:val="24"/>
          <w:lang w:eastAsia="lv-LV"/>
        </w:rPr>
      </w:pPr>
      <w:r>
        <w:rPr>
          <w:rFonts w:cs="Times New Roman"/>
          <w:szCs w:val="24"/>
          <w:lang w:eastAsia="lv-LV"/>
        </w:rPr>
        <w:t>Vienlaikus saskaņā ar ZM sniegto informāciju</w:t>
      </w:r>
      <w:r>
        <w:rPr>
          <w:rStyle w:val="FootnoteReference"/>
          <w:rFonts w:cs="Times New Roman"/>
          <w:szCs w:val="24"/>
          <w:lang w:eastAsia="lv-LV"/>
        </w:rPr>
        <w:footnoteReference w:id="80"/>
      </w:r>
      <w:r>
        <w:rPr>
          <w:rFonts w:cs="Times New Roman"/>
          <w:szCs w:val="24"/>
          <w:lang w:eastAsia="lv-LV"/>
        </w:rPr>
        <w:t xml:space="preserve"> </w:t>
      </w:r>
      <w:r w:rsidRPr="00E10344">
        <w:rPr>
          <w:rFonts w:cs="Times New Roman"/>
          <w:szCs w:val="24"/>
          <w:lang w:eastAsia="lv-LV"/>
        </w:rPr>
        <w:t xml:space="preserve">piešķirtais finansējums </w:t>
      </w:r>
      <w:r>
        <w:rPr>
          <w:rFonts w:cs="Times New Roman"/>
          <w:szCs w:val="24"/>
          <w:lang w:eastAsia="lv-LV"/>
        </w:rPr>
        <w:t xml:space="preserve">pilnībā </w:t>
      </w:r>
      <w:r w:rsidRPr="00E10344">
        <w:rPr>
          <w:rFonts w:cs="Times New Roman"/>
          <w:szCs w:val="24"/>
          <w:lang w:eastAsia="lv-LV"/>
        </w:rPr>
        <w:t xml:space="preserve">tiek izmantots </w:t>
      </w:r>
      <w:r>
        <w:rPr>
          <w:rFonts w:cs="Times New Roman"/>
          <w:szCs w:val="24"/>
          <w:lang w:eastAsia="lv-LV"/>
        </w:rPr>
        <w:t xml:space="preserve">tikai </w:t>
      </w:r>
      <w:r w:rsidRPr="00E10344">
        <w:rPr>
          <w:rFonts w:cs="Times New Roman"/>
          <w:szCs w:val="24"/>
          <w:lang w:eastAsia="lv-LV"/>
        </w:rPr>
        <w:t>references labora</w:t>
      </w:r>
      <w:r>
        <w:rPr>
          <w:rFonts w:cs="Times New Roman"/>
          <w:szCs w:val="24"/>
          <w:lang w:eastAsia="lv-LV"/>
        </w:rPr>
        <w:t>torijas funkciju nodrošināšanai</w:t>
      </w:r>
      <w:r w:rsidRPr="00E10344">
        <w:rPr>
          <w:rFonts w:cs="Times New Roman"/>
          <w:szCs w:val="24"/>
          <w:lang w:eastAsia="lv-LV"/>
        </w:rPr>
        <w:t xml:space="preserve"> valsts uzraudzības programm</w:t>
      </w:r>
      <w:r>
        <w:rPr>
          <w:rFonts w:cs="Times New Roman"/>
          <w:szCs w:val="24"/>
          <w:lang w:eastAsia="lv-LV"/>
        </w:rPr>
        <w:t xml:space="preserve">ās, kas saistītas ar </w:t>
      </w:r>
      <w:r w:rsidRPr="00E10344">
        <w:rPr>
          <w:rFonts w:cs="Times New Roman"/>
          <w:szCs w:val="24"/>
          <w:lang w:eastAsia="lv-LV"/>
        </w:rPr>
        <w:t>d</w:t>
      </w:r>
      <w:r>
        <w:rPr>
          <w:rFonts w:cs="Times New Roman"/>
          <w:szCs w:val="24"/>
          <w:lang w:eastAsia="lv-LV"/>
        </w:rPr>
        <w:t>zīvnieku infekcijas slimību uzraudzības jomu</w:t>
      </w:r>
      <w:r w:rsidRPr="00C763E6">
        <w:rPr>
          <w:rFonts w:cs="Times New Roman"/>
          <w:szCs w:val="24"/>
          <w:lang w:eastAsia="lv-LV"/>
        </w:rPr>
        <w:t>,</w:t>
      </w:r>
      <w:r>
        <w:rPr>
          <w:rFonts w:cs="Times New Roman"/>
          <w:szCs w:val="24"/>
          <w:lang w:eastAsia="lv-LV"/>
        </w:rPr>
        <w:t xml:space="preserve"> tātad var secināt, ka finansējums pārtikas aprites jomas laboratoriskiem izmeklējumiem jau šobrīd tiek izmantots citiem mērķiem</w:t>
      </w:r>
      <w:r w:rsidR="00907555">
        <w:rPr>
          <w:rFonts w:cs="Times New Roman"/>
          <w:szCs w:val="24"/>
          <w:lang w:eastAsia="lv-LV"/>
        </w:rPr>
        <w:t xml:space="preserve"> (skat. tabulu Nr.3.38</w:t>
      </w:r>
      <w:r w:rsidR="00D86274">
        <w:rPr>
          <w:rFonts w:cs="Times New Roman"/>
          <w:szCs w:val="24"/>
          <w:lang w:eastAsia="lv-LV"/>
        </w:rPr>
        <w:t>.</w:t>
      </w:r>
      <w:r w:rsidR="00907555">
        <w:rPr>
          <w:rFonts w:cs="Times New Roman"/>
          <w:szCs w:val="24"/>
          <w:lang w:eastAsia="lv-LV"/>
        </w:rPr>
        <w:t>)</w:t>
      </w:r>
      <w:r>
        <w:rPr>
          <w:rFonts w:cs="Times New Roman"/>
          <w:szCs w:val="24"/>
          <w:lang w:eastAsia="lv-LV"/>
        </w:rPr>
        <w:t>.</w:t>
      </w:r>
    </w:p>
    <w:p w:rsidR="0087444F" w:rsidRDefault="0087444F" w:rsidP="00697EA2">
      <w:pPr>
        <w:spacing w:before="120" w:after="120"/>
        <w:ind w:firstLine="720"/>
        <w:jc w:val="right"/>
        <w:rPr>
          <w:rFonts w:cs="Times New Roman"/>
          <w:szCs w:val="24"/>
          <w:lang w:eastAsia="lv-LV"/>
        </w:rPr>
      </w:pPr>
      <w:r w:rsidRPr="00907555">
        <w:rPr>
          <w:rFonts w:cs="Times New Roman"/>
          <w:szCs w:val="24"/>
          <w:lang w:eastAsia="lv-LV"/>
        </w:rPr>
        <w:t>Tabula Nr.</w:t>
      </w:r>
      <w:r w:rsidR="00C30F82" w:rsidRPr="00907555">
        <w:rPr>
          <w:rFonts w:cs="Times New Roman"/>
          <w:szCs w:val="24"/>
          <w:lang w:eastAsia="lv-LV"/>
        </w:rPr>
        <w:t>3.38</w:t>
      </w:r>
      <w:r w:rsidR="00D86274">
        <w:rPr>
          <w:rFonts w:cs="Times New Roman"/>
          <w:szCs w:val="24"/>
          <w:lang w:eastAsia="lv-LV"/>
        </w:rPr>
        <w:t>.</w:t>
      </w:r>
    </w:p>
    <w:p w:rsidR="0087444F" w:rsidRPr="00066981" w:rsidRDefault="0087444F" w:rsidP="0087444F">
      <w:pPr>
        <w:spacing w:after="120"/>
        <w:jc w:val="center"/>
        <w:rPr>
          <w:rFonts w:cs="Times New Roman"/>
          <w:b/>
          <w:szCs w:val="24"/>
        </w:rPr>
      </w:pPr>
      <w:r w:rsidRPr="00066981">
        <w:rPr>
          <w:rFonts w:cs="Times New Roman"/>
          <w:b/>
          <w:szCs w:val="24"/>
        </w:rPr>
        <w:t>Ar dzīvnieku infekcijas slimību uzraudzību saistītās valsts uzraudzības un kontroles programmas, kuru ietvar</w:t>
      </w:r>
      <w:r>
        <w:rPr>
          <w:rFonts w:cs="Times New Roman"/>
          <w:b/>
          <w:szCs w:val="24"/>
        </w:rPr>
        <w:t>os BIOR</w:t>
      </w:r>
      <w:r w:rsidRPr="00066981">
        <w:rPr>
          <w:rFonts w:cs="Times New Roman"/>
          <w:b/>
          <w:szCs w:val="24"/>
        </w:rPr>
        <w:t xml:space="preserve"> </w:t>
      </w:r>
      <w:r>
        <w:rPr>
          <w:rFonts w:cs="Times New Roman"/>
          <w:b/>
          <w:szCs w:val="24"/>
        </w:rPr>
        <w:t>veic laboratoriskos izmeklējumus</w:t>
      </w:r>
    </w:p>
    <w:tbl>
      <w:tblPr>
        <w:tblW w:w="9362"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1276"/>
        <w:gridCol w:w="1275"/>
        <w:gridCol w:w="1276"/>
        <w:gridCol w:w="1287"/>
      </w:tblGrid>
      <w:tr w:rsidR="0087444F" w:rsidRPr="00FD0184" w:rsidTr="008E02CB">
        <w:trPr>
          <w:tblHeader/>
          <w:jc w:val="right"/>
        </w:trPr>
        <w:tc>
          <w:tcPr>
            <w:tcW w:w="4248" w:type="dxa"/>
            <w:shd w:val="clear" w:color="auto" w:fill="C5E0B3" w:themeFill="accent6" w:themeFillTint="66"/>
            <w:vAlign w:val="center"/>
          </w:tcPr>
          <w:p w:rsidR="0087444F" w:rsidRPr="00FD0184" w:rsidRDefault="0087444F" w:rsidP="008E02CB">
            <w:pPr>
              <w:jc w:val="center"/>
              <w:rPr>
                <w:rFonts w:cs="Times New Roman"/>
                <w:b/>
                <w:sz w:val="22"/>
              </w:rPr>
            </w:pPr>
            <w:r w:rsidRPr="00FD0184">
              <w:rPr>
                <w:rFonts w:cs="Times New Roman"/>
                <w:b/>
                <w:sz w:val="22"/>
              </w:rPr>
              <w:t>Valsts uzraudzības un kontroles programma</w:t>
            </w:r>
          </w:p>
        </w:tc>
        <w:tc>
          <w:tcPr>
            <w:tcW w:w="1276" w:type="dxa"/>
            <w:shd w:val="clear" w:color="auto" w:fill="C5E0B3" w:themeFill="accent6" w:themeFillTint="66"/>
            <w:vAlign w:val="center"/>
          </w:tcPr>
          <w:p w:rsidR="0087444F" w:rsidRPr="00FD0184" w:rsidRDefault="0087444F" w:rsidP="008E02CB">
            <w:pPr>
              <w:jc w:val="center"/>
              <w:rPr>
                <w:rFonts w:cs="Times New Roman"/>
                <w:b/>
                <w:sz w:val="22"/>
              </w:rPr>
            </w:pPr>
            <w:r w:rsidRPr="00FD0184">
              <w:rPr>
                <w:rFonts w:cs="Times New Roman"/>
                <w:b/>
                <w:sz w:val="22"/>
              </w:rPr>
              <w:t>2014.gads</w:t>
            </w:r>
          </w:p>
        </w:tc>
        <w:tc>
          <w:tcPr>
            <w:tcW w:w="1275" w:type="dxa"/>
            <w:shd w:val="clear" w:color="auto" w:fill="C5E0B3" w:themeFill="accent6" w:themeFillTint="66"/>
            <w:vAlign w:val="center"/>
          </w:tcPr>
          <w:p w:rsidR="0087444F" w:rsidRPr="00FD0184" w:rsidRDefault="0087444F" w:rsidP="008E02CB">
            <w:pPr>
              <w:jc w:val="center"/>
              <w:rPr>
                <w:rFonts w:cs="Times New Roman"/>
                <w:b/>
                <w:sz w:val="22"/>
              </w:rPr>
            </w:pPr>
            <w:r w:rsidRPr="00FD0184">
              <w:rPr>
                <w:rFonts w:cs="Times New Roman"/>
                <w:b/>
                <w:sz w:val="22"/>
              </w:rPr>
              <w:t>2015.gads</w:t>
            </w:r>
          </w:p>
        </w:tc>
        <w:tc>
          <w:tcPr>
            <w:tcW w:w="1276" w:type="dxa"/>
            <w:shd w:val="clear" w:color="auto" w:fill="C5E0B3" w:themeFill="accent6" w:themeFillTint="66"/>
            <w:vAlign w:val="center"/>
          </w:tcPr>
          <w:p w:rsidR="0087444F" w:rsidRPr="00FD0184" w:rsidRDefault="0087444F" w:rsidP="008E02CB">
            <w:pPr>
              <w:jc w:val="center"/>
              <w:rPr>
                <w:rFonts w:cs="Times New Roman"/>
                <w:b/>
                <w:sz w:val="22"/>
              </w:rPr>
            </w:pPr>
            <w:r w:rsidRPr="00FD0184">
              <w:rPr>
                <w:rFonts w:cs="Times New Roman"/>
                <w:b/>
                <w:sz w:val="22"/>
              </w:rPr>
              <w:t>2016.gads</w:t>
            </w:r>
          </w:p>
        </w:tc>
        <w:tc>
          <w:tcPr>
            <w:tcW w:w="1287" w:type="dxa"/>
            <w:shd w:val="clear" w:color="auto" w:fill="C5E0B3" w:themeFill="accent6" w:themeFillTint="66"/>
            <w:vAlign w:val="center"/>
          </w:tcPr>
          <w:p w:rsidR="0087444F" w:rsidRPr="00FD0184" w:rsidRDefault="0087444F" w:rsidP="008E02CB">
            <w:pPr>
              <w:jc w:val="center"/>
              <w:rPr>
                <w:rFonts w:cs="Times New Roman"/>
                <w:b/>
                <w:sz w:val="22"/>
              </w:rPr>
            </w:pPr>
            <w:r w:rsidRPr="00FD0184">
              <w:rPr>
                <w:rFonts w:cs="Times New Roman"/>
                <w:b/>
                <w:sz w:val="22"/>
              </w:rPr>
              <w:t>2017.gads</w:t>
            </w:r>
          </w:p>
        </w:tc>
      </w:tr>
      <w:tr w:rsidR="0087444F" w:rsidRPr="00FD0184" w:rsidTr="008E02CB">
        <w:trPr>
          <w:jc w:val="right"/>
        </w:trPr>
        <w:tc>
          <w:tcPr>
            <w:tcW w:w="4248" w:type="dxa"/>
          </w:tcPr>
          <w:p w:rsidR="0087444F" w:rsidRPr="00FD0184" w:rsidRDefault="0087444F" w:rsidP="00EA3376">
            <w:pPr>
              <w:jc w:val="both"/>
              <w:rPr>
                <w:rFonts w:cs="Times New Roman"/>
                <w:sz w:val="22"/>
              </w:rPr>
            </w:pPr>
            <w:r w:rsidRPr="00FD0184">
              <w:rPr>
                <w:rFonts w:cs="Times New Roman"/>
                <w:sz w:val="22"/>
              </w:rPr>
              <w:t>Akvakultūras dzīvnieku infekcijas slimību uzraudzības programma</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5"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87" w:type="dxa"/>
            <w:vAlign w:val="center"/>
          </w:tcPr>
          <w:p w:rsidR="0087444F" w:rsidRPr="00FD0184" w:rsidRDefault="0087444F" w:rsidP="00EA3376">
            <w:pPr>
              <w:jc w:val="center"/>
              <w:rPr>
                <w:rFonts w:cs="Times New Roman"/>
                <w:sz w:val="22"/>
              </w:rPr>
            </w:pPr>
            <w:r w:rsidRPr="00FD0184">
              <w:rPr>
                <w:rFonts w:cs="Times New Roman"/>
                <w:sz w:val="22"/>
              </w:rPr>
              <w:t>x</w:t>
            </w:r>
          </w:p>
        </w:tc>
      </w:tr>
      <w:tr w:rsidR="0087444F" w:rsidRPr="00FD0184" w:rsidTr="008E02CB">
        <w:trPr>
          <w:jc w:val="right"/>
        </w:trPr>
        <w:tc>
          <w:tcPr>
            <w:tcW w:w="4248" w:type="dxa"/>
          </w:tcPr>
          <w:p w:rsidR="0087444F" w:rsidRPr="00FD0184" w:rsidRDefault="0087444F" w:rsidP="00EA3376">
            <w:pPr>
              <w:jc w:val="both"/>
              <w:rPr>
                <w:rFonts w:cs="Times New Roman"/>
                <w:sz w:val="22"/>
              </w:rPr>
            </w:pPr>
            <w:r w:rsidRPr="00FD0184">
              <w:rPr>
                <w:rFonts w:cs="Times New Roman"/>
                <w:sz w:val="22"/>
              </w:rPr>
              <w:t>Govju enzootiskās leikozes (GEL) uzraudzības un apkarošanas programma</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5"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87" w:type="dxa"/>
            <w:vAlign w:val="center"/>
          </w:tcPr>
          <w:p w:rsidR="0087444F" w:rsidRPr="00FD0184" w:rsidRDefault="0087444F" w:rsidP="00EA3376">
            <w:pPr>
              <w:jc w:val="center"/>
              <w:rPr>
                <w:rFonts w:cs="Times New Roman"/>
                <w:sz w:val="22"/>
              </w:rPr>
            </w:pPr>
            <w:r w:rsidRPr="00FD0184">
              <w:rPr>
                <w:rFonts w:cs="Times New Roman"/>
                <w:sz w:val="22"/>
              </w:rPr>
              <w:t>x</w:t>
            </w:r>
          </w:p>
        </w:tc>
      </w:tr>
      <w:tr w:rsidR="0087444F" w:rsidRPr="00FD0184" w:rsidTr="008E02CB">
        <w:trPr>
          <w:jc w:val="right"/>
        </w:trPr>
        <w:tc>
          <w:tcPr>
            <w:tcW w:w="4248" w:type="dxa"/>
          </w:tcPr>
          <w:p w:rsidR="0087444F" w:rsidRPr="00FD0184" w:rsidRDefault="0087444F" w:rsidP="00EA3376">
            <w:pPr>
              <w:jc w:val="both"/>
              <w:rPr>
                <w:rFonts w:cs="Times New Roman"/>
                <w:bCs/>
                <w:color w:val="000000"/>
                <w:sz w:val="22"/>
              </w:rPr>
            </w:pPr>
            <w:r w:rsidRPr="00FD0184">
              <w:rPr>
                <w:rFonts w:cs="Times New Roman"/>
                <w:sz w:val="22"/>
              </w:rPr>
              <w:t>Kampilobakteriozes (</w:t>
            </w:r>
            <w:r w:rsidRPr="00FD0184">
              <w:rPr>
                <w:rFonts w:cs="Times New Roman"/>
                <w:i/>
                <w:sz w:val="22"/>
              </w:rPr>
              <w:t>C.fetus</w:t>
            </w:r>
            <w:r w:rsidRPr="00FD0184">
              <w:rPr>
                <w:rFonts w:cs="Times New Roman"/>
                <w:sz w:val="22"/>
              </w:rPr>
              <w:t>) uzraudzības un apkarošanas programma</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5"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87" w:type="dxa"/>
            <w:vAlign w:val="center"/>
          </w:tcPr>
          <w:p w:rsidR="0087444F" w:rsidRPr="00FD0184" w:rsidRDefault="0087444F" w:rsidP="00EA3376">
            <w:pPr>
              <w:jc w:val="center"/>
              <w:rPr>
                <w:rFonts w:cs="Times New Roman"/>
                <w:sz w:val="22"/>
              </w:rPr>
            </w:pPr>
            <w:r w:rsidRPr="00FD0184">
              <w:rPr>
                <w:rFonts w:cs="Times New Roman"/>
                <w:sz w:val="22"/>
              </w:rPr>
              <w:t>x</w:t>
            </w:r>
          </w:p>
        </w:tc>
      </w:tr>
      <w:tr w:rsidR="0087444F" w:rsidRPr="00FD0184" w:rsidTr="008E02CB">
        <w:trPr>
          <w:jc w:val="right"/>
        </w:trPr>
        <w:tc>
          <w:tcPr>
            <w:tcW w:w="4248" w:type="dxa"/>
          </w:tcPr>
          <w:p w:rsidR="0087444F" w:rsidRPr="00FD0184" w:rsidRDefault="0087444F" w:rsidP="00EA3376">
            <w:pPr>
              <w:jc w:val="both"/>
              <w:rPr>
                <w:rFonts w:cs="Times New Roman"/>
                <w:sz w:val="22"/>
              </w:rPr>
            </w:pPr>
            <w:r w:rsidRPr="00FD0184">
              <w:rPr>
                <w:rFonts w:cs="Times New Roman"/>
                <w:sz w:val="22"/>
              </w:rPr>
              <w:t>Atliekvielu kontroles programma (dzīvnieki un dzīvnieku izcelsmes produkti)</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5"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76" w:type="dxa"/>
            <w:vAlign w:val="center"/>
          </w:tcPr>
          <w:p w:rsidR="0087444F" w:rsidRPr="00FD0184" w:rsidRDefault="0087444F" w:rsidP="00EA3376">
            <w:pPr>
              <w:jc w:val="center"/>
              <w:rPr>
                <w:rFonts w:cs="Times New Roman"/>
                <w:sz w:val="22"/>
              </w:rPr>
            </w:pPr>
            <w:r w:rsidRPr="00FD0184">
              <w:rPr>
                <w:rFonts w:cs="Times New Roman"/>
                <w:sz w:val="22"/>
              </w:rPr>
              <w:t>x</w:t>
            </w:r>
          </w:p>
        </w:tc>
        <w:tc>
          <w:tcPr>
            <w:tcW w:w="1287" w:type="dxa"/>
            <w:vAlign w:val="center"/>
          </w:tcPr>
          <w:p w:rsidR="0087444F" w:rsidRPr="00FD0184" w:rsidRDefault="0087444F" w:rsidP="00EA3376">
            <w:pPr>
              <w:jc w:val="center"/>
              <w:rPr>
                <w:rFonts w:cs="Times New Roman"/>
                <w:sz w:val="22"/>
              </w:rPr>
            </w:pPr>
            <w:r w:rsidRPr="00FD0184">
              <w:rPr>
                <w:rFonts w:cs="Times New Roman"/>
                <w:sz w:val="22"/>
              </w:rPr>
              <w:t>x</w:t>
            </w:r>
          </w:p>
        </w:tc>
      </w:tr>
      <w:tr w:rsidR="0087444F" w:rsidRPr="00FD0184" w:rsidTr="008E02CB">
        <w:trPr>
          <w:jc w:val="right"/>
        </w:trPr>
        <w:tc>
          <w:tcPr>
            <w:tcW w:w="4248" w:type="dxa"/>
            <w:tcBorders>
              <w:top w:val="single" w:sz="4" w:space="0" w:color="000000"/>
              <w:left w:val="single" w:sz="4" w:space="0" w:color="000000"/>
              <w:bottom w:val="single" w:sz="4" w:space="0" w:color="000000"/>
              <w:right w:val="single" w:sz="4" w:space="0" w:color="000000"/>
            </w:tcBorders>
          </w:tcPr>
          <w:p w:rsidR="0087444F" w:rsidRPr="00FD0184" w:rsidRDefault="0087444F" w:rsidP="00EA3376">
            <w:pPr>
              <w:jc w:val="both"/>
              <w:rPr>
                <w:rFonts w:cs="Times New Roman"/>
                <w:sz w:val="22"/>
              </w:rPr>
            </w:pPr>
            <w:r w:rsidRPr="00FD0184">
              <w:rPr>
                <w:rFonts w:cs="Times New Roman"/>
                <w:sz w:val="22"/>
              </w:rPr>
              <w:t>Aujeski slimības uzraudzības programma</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75"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c>
          <w:tcPr>
            <w:tcW w:w="1287"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r>
      <w:tr w:rsidR="0087444F" w:rsidRPr="00FD0184" w:rsidTr="008E02CB">
        <w:trPr>
          <w:jc w:val="right"/>
        </w:trPr>
        <w:tc>
          <w:tcPr>
            <w:tcW w:w="4248" w:type="dxa"/>
            <w:tcBorders>
              <w:top w:val="single" w:sz="4" w:space="0" w:color="000000"/>
              <w:left w:val="single" w:sz="4" w:space="0" w:color="000000"/>
              <w:bottom w:val="single" w:sz="4" w:space="0" w:color="000000"/>
              <w:right w:val="single" w:sz="4" w:space="0" w:color="000000"/>
            </w:tcBorders>
          </w:tcPr>
          <w:p w:rsidR="0087444F" w:rsidRPr="00FD0184" w:rsidRDefault="0087444F" w:rsidP="00EA3376">
            <w:pPr>
              <w:jc w:val="both"/>
              <w:rPr>
                <w:rFonts w:cs="Times New Roman"/>
                <w:sz w:val="22"/>
              </w:rPr>
            </w:pPr>
            <w:r w:rsidRPr="00FD0184">
              <w:rPr>
                <w:rFonts w:cs="Times New Roman"/>
                <w:sz w:val="22"/>
              </w:rPr>
              <w:t>Govju infekciozā rinotraheīta uzraudzības programma</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75"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c>
          <w:tcPr>
            <w:tcW w:w="1287"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r>
      <w:tr w:rsidR="0087444F" w:rsidRPr="00FD0184" w:rsidTr="008E02CB">
        <w:trPr>
          <w:trHeight w:val="251"/>
          <w:jc w:val="right"/>
        </w:trPr>
        <w:tc>
          <w:tcPr>
            <w:tcW w:w="4248" w:type="dxa"/>
            <w:tcBorders>
              <w:top w:val="single" w:sz="4" w:space="0" w:color="000000"/>
              <w:left w:val="single" w:sz="4" w:space="0" w:color="000000"/>
              <w:bottom w:val="single" w:sz="4" w:space="0" w:color="000000"/>
              <w:right w:val="single" w:sz="4" w:space="0" w:color="000000"/>
            </w:tcBorders>
          </w:tcPr>
          <w:p w:rsidR="0087444F" w:rsidRPr="00FD0184" w:rsidRDefault="0087444F" w:rsidP="00EA3376">
            <w:pPr>
              <w:jc w:val="both"/>
              <w:rPr>
                <w:rFonts w:cs="Times New Roman"/>
                <w:sz w:val="22"/>
              </w:rPr>
            </w:pPr>
            <w:r w:rsidRPr="00FD0184">
              <w:rPr>
                <w:rFonts w:cs="Times New Roman"/>
                <w:sz w:val="22"/>
              </w:rPr>
              <w:t>Govju tuberkulozes monitoringa programma</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87"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r>
      <w:tr w:rsidR="0087444F" w:rsidRPr="00FD0184" w:rsidTr="008E02CB">
        <w:trPr>
          <w:jc w:val="right"/>
        </w:trPr>
        <w:tc>
          <w:tcPr>
            <w:tcW w:w="4248" w:type="dxa"/>
            <w:tcBorders>
              <w:top w:val="single" w:sz="4" w:space="0" w:color="000000"/>
              <w:left w:val="single" w:sz="4" w:space="0" w:color="000000"/>
              <w:bottom w:val="single" w:sz="4" w:space="0" w:color="000000"/>
              <w:right w:val="single" w:sz="4" w:space="0" w:color="000000"/>
            </w:tcBorders>
          </w:tcPr>
          <w:p w:rsidR="0087444F" w:rsidRPr="00FD0184" w:rsidRDefault="0087444F" w:rsidP="00EA3376">
            <w:pPr>
              <w:jc w:val="both"/>
              <w:rPr>
                <w:rFonts w:cs="Times New Roman"/>
                <w:sz w:val="22"/>
              </w:rPr>
            </w:pPr>
            <w:r w:rsidRPr="00FD0184">
              <w:rPr>
                <w:rFonts w:cs="Times New Roman"/>
                <w:sz w:val="22"/>
              </w:rPr>
              <w:t>Amerikas peru puves uzraudzības programma</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87"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r>
      <w:tr w:rsidR="0087444F" w:rsidRPr="00FD0184" w:rsidTr="008E02CB">
        <w:trPr>
          <w:jc w:val="right"/>
        </w:trPr>
        <w:tc>
          <w:tcPr>
            <w:tcW w:w="4248" w:type="dxa"/>
            <w:tcBorders>
              <w:top w:val="single" w:sz="4" w:space="0" w:color="000000"/>
              <w:left w:val="single" w:sz="4" w:space="0" w:color="000000"/>
              <w:bottom w:val="single" w:sz="4" w:space="0" w:color="000000"/>
              <w:right w:val="single" w:sz="4" w:space="0" w:color="000000"/>
            </w:tcBorders>
          </w:tcPr>
          <w:p w:rsidR="0087444F" w:rsidRPr="00FD0184" w:rsidRDefault="0087444F" w:rsidP="00EA3376">
            <w:pPr>
              <w:jc w:val="both"/>
              <w:rPr>
                <w:rFonts w:cs="Times New Roman"/>
                <w:sz w:val="22"/>
              </w:rPr>
            </w:pPr>
            <w:r w:rsidRPr="00FD0184">
              <w:rPr>
                <w:rFonts w:cs="Times New Roman"/>
                <w:sz w:val="22"/>
              </w:rPr>
              <w:t>Ārpuskārtas un aizdomu gadījumu izmeklēšana, t.sk., epidemioloģiskā izmeklēšana</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75"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76"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c>
          <w:tcPr>
            <w:tcW w:w="1287" w:type="dxa"/>
            <w:tcBorders>
              <w:top w:val="single" w:sz="4" w:space="0" w:color="000000"/>
              <w:left w:val="single" w:sz="4" w:space="0" w:color="000000"/>
              <w:bottom w:val="single" w:sz="4" w:space="0" w:color="000000"/>
              <w:right w:val="single" w:sz="4" w:space="0" w:color="000000"/>
            </w:tcBorders>
            <w:vAlign w:val="center"/>
          </w:tcPr>
          <w:p w:rsidR="0087444F" w:rsidRPr="00FD0184" w:rsidRDefault="0087444F" w:rsidP="00EA3376">
            <w:pPr>
              <w:jc w:val="center"/>
              <w:rPr>
                <w:rFonts w:cs="Times New Roman"/>
                <w:sz w:val="22"/>
              </w:rPr>
            </w:pPr>
            <w:r w:rsidRPr="00FD0184">
              <w:rPr>
                <w:rFonts w:cs="Times New Roman"/>
                <w:sz w:val="22"/>
              </w:rPr>
              <w:t>x</w:t>
            </w:r>
          </w:p>
        </w:tc>
      </w:tr>
    </w:tbl>
    <w:p w:rsidR="0087444F" w:rsidRPr="00800618" w:rsidRDefault="0087444F" w:rsidP="0087444F">
      <w:pPr>
        <w:spacing w:before="120" w:after="120"/>
        <w:ind w:firstLine="720"/>
        <w:jc w:val="both"/>
      </w:pPr>
      <w:r>
        <w:rPr>
          <w:rFonts w:cs="Times New Roman"/>
          <w:szCs w:val="24"/>
          <w:lang w:eastAsia="lv-LV"/>
        </w:rPr>
        <w:t>Ņemot vērā minēto, u</w:t>
      </w:r>
      <w:r w:rsidRPr="00800618">
        <w:rPr>
          <w:rFonts w:cs="Times New Roman"/>
          <w:szCs w:val="24"/>
          <w:lang w:eastAsia="lv-LV"/>
        </w:rPr>
        <w:t>zskatām, ka ZM nepieciešams izvērtēt laboratoriskiem izmeklējumiem novirzīto finansējumu</w:t>
      </w:r>
      <w:r>
        <w:rPr>
          <w:rFonts w:cs="Times New Roman"/>
          <w:szCs w:val="24"/>
          <w:lang w:eastAsia="lv-LV"/>
        </w:rPr>
        <w:t xml:space="preserve">, kā arī vēršam uzmanību, ka minētās </w:t>
      </w:r>
      <w:r w:rsidRPr="00800618">
        <w:rPr>
          <w:rFonts w:cs="Times New Roman"/>
          <w:szCs w:val="24"/>
          <w:lang w:eastAsia="lv-LV"/>
        </w:rPr>
        <w:t xml:space="preserve">JPI </w:t>
      </w:r>
      <w:r>
        <w:rPr>
          <w:rFonts w:cs="Times New Roman"/>
          <w:szCs w:val="24"/>
          <w:lang w:eastAsia="lv-LV"/>
        </w:rPr>
        <w:t xml:space="preserve">ietvaros </w:t>
      </w:r>
      <w:r w:rsidRPr="00800618">
        <w:rPr>
          <w:rFonts w:cs="Times New Roman"/>
          <w:szCs w:val="24"/>
          <w:lang w:eastAsia="lv-LV"/>
        </w:rPr>
        <w:lastRenderedPageBreak/>
        <w:t>finansējums</w:t>
      </w:r>
      <w:r>
        <w:rPr>
          <w:rFonts w:cs="Times New Roman"/>
          <w:szCs w:val="24"/>
          <w:lang w:eastAsia="lv-LV"/>
        </w:rPr>
        <w:t>, kas tika paredzēts laboratoriskajiem izmeklējumiem pārtikas aprites jomā 211 487 </w:t>
      </w:r>
      <w:r w:rsidRPr="007E7F42">
        <w:rPr>
          <w:rFonts w:cs="Times New Roman"/>
          <w:i/>
          <w:szCs w:val="24"/>
          <w:lang w:eastAsia="lv-LV"/>
        </w:rPr>
        <w:t>euro</w:t>
      </w:r>
      <w:r>
        <w:rPr>
          <w:rFonts w:cs="Times New Roman"/>
          <w:szCs w:val="24"/>
          <w:lang w:eastAsia="lv-LV"/>
        </w:rPr>
        <w:t xml:space="preserve"> apmērā jau šobrīd </w:t>
      </w:r>
      <w:r w:rsidRPr="00800618">
        <w:rPr>
          <w:rFonts w:cs="Times New Roman"/>
          <w:szCs w:val="24"/>
          <w:lang w:eastAsia="lv-LV"/>
        </w:rPr>
        <w:t>tiek izmantots ZM aktuālāku pasākumu īstenošanai.</w:t>
      </w:r>
    </w:p>
    <w:p w:rsidR="00E036B3" w:rsidRPr="0066175E" w:rsidRDefault="00E036B3" w:rsidP="0066175E">
      <w:pPr>
        <w:spacing w:before="120" w:after="120"/>
        <w:rPr>
          <w:b/>
        </w:rPr>
      </w:pPr>
      <w:r>
        <w:rPr>
          <w:b/>
        </w:rPr>
        <w:t>SM</w:t>
      </w:r>
      <w:r w:rsidRPr="00875EA1">
        <w:rPr>
          <w:b/>
        </w:rPr>
        <w:t xml:space="preserve"> - Iemaksas</w:t>
      </w:r>
      <w:r w:rsidR="0066175E">
        <w:rPr>
          <w:b/>
        </w:rPr>
        <w:t xml:space="preserve"> starptautiskajās organizācijās</w:t>
      </w:r>
    </w:p>
    <w:p w:rsidR="00E036B3" w:rsidRDefault="00E036B3" w:rsidP="00697EA2">
      <w:pPr>
        <w:ind w:firstLine="709"/>
        <w:jc w:val="both"/>
      </w:pPr>
      <w:r w:rsidRPr="00E036B3">
        <w:t>SM programmā 09.00.00 “Iemaksas starptautiskajās organizācijās” 2014.</w:t>
      </w:r>
      <w:r w:rsidRPr="00E036B3">
        <w:noBreakHyphen/>
        <w:t xml:space="preserve">2016.gada ietvarā piešķirts finansējums JPI “Iemaksas starptautiskajās organizācijās” 2014., 2015. un 2016.gadam 55 529 </w:t>
      </w:r>
      <w:r w:rsidRPr="00E036B3">
        <w:rPr>
          <w:i/>
        </w:rPr>
        <w:t>euro</w:t>
      </w:r>
      <w:r w:rsidRPr="00E036B3">
        <w:t xml:space="preserve"> apmērā ik gadu, tajā skaitā 33 437 </w:t>
      </w:r>
      <w:r w:rsidRPr="00E036B3">
        <w:rPr>
          <w:i/>
        </w:rPr>
        <w:t xml:space="preserve">euro </w:t>
      </w:r>
      <w:r w:rsidRPr="00E036B3">
        <w:t xml:space="preserve">iemaksai Pasaules pasta savienībā. </w:t>
      </w:r>
      <w:r w:rsidRPr="000E1974">
        <w:t xml:space="preserve">Šādā apmērā </w:t>
      </w:r>
      <w:r>
        <w:t>finansējums ir paredzēts SM budžetā arī 2017.gadam un turpmākajiem gadiem</w:t>
      </w:r>
      <w:r w:rsidRPr="000E1974">
        <w:t>.</w:t>
      </w:r>
    </w:p>
    <w:p w:rsidR="00E036B3" w:rsidRDefault="00E036B3" w:rsidP="00697EA2">
      <w:pPr>
        <w:ind w:firstLine="709"/>
        <w:jc w:val="both"/>
      </w:pPr>
      <w:r w:rsidRPr="00E036B3">
        <w:t xml:space="preserve">Ņemot vērā, ka minētā iemaksa 2014.gadā netika veikta, 2015. un 2016.gadā netika plānota, tad uzskatām, ka finansējums 33 437 </w:t>
      </w:r>
      <w:r w:rsidRPr="00E036B3">
        <w:rPr>
          <w:i/>
        </w:rPr>
        <w:t>euro,</w:t>
      </w:r>
      <w:r w:rsidRPr="00E036B3">
        <w:t xml:space="preserve"> sākot ar 2018.gadu, ir novirzāms aktuālāku pasākumu īstenošanai.</w:t>
      </w:r>
    </w:p>
    <w:p w:rsidR="000E1974" w:rsidRPr="000E1974" w:rsidRDefault="000E1974" w:rsidP="000E1974">
      <w:pPr>
        <w:spacing w:after="120"/>
        <w:rPr>
          <w:b/>
        </w:rPr>
      </w:pPr>
      <w:r w:rsidRPr="000E1974">
        <w:rPr>
          <w:b/>
        </w:rPr>
        <w:t xml:space="preserve">SM - </w:t>
      </w:r>
      <w:r w:rsidR="00040F89" w:rsidRPr="000E1974">
        <w:rPr>
          <w:b/>
        </w:rPr>
        <w:t>Kompensācijas reģionālajām pasta piegādēm</w:t>
      </w:r>
    </w:p>
    <w:p w:rsidR="00520B1F" w:rsidRPr="000E1974" w:rsidRDefault="00520B1F" w:rsidP="00697EA2">
      <w:pPr>
        <w:ind w:firstLine="709"/>
        <w:jc w:val="both"/>
      </w:pPr>
      <w:r w:rsidRPr="000E1974">
        <w:t xml:space="preserve">SM programmā 02.00.00 “Kompensācijas par abonētās preses piegādi un saistību izpildi” 2016.-2018.gada ietvarā piešķirts finansējums JPI “Kompensācijas reģionālajām pasta piegādēm” 2016., 2017. un 2018. gadam 2 000 000 </w:t>
      </w:r>
      <w:r w:rsidRPr="000E1974">
        <w:rPr>
          <w:i/>
        </w:rPr>
        <w:t xml:space="preserve">euro </w:t>
      </w:r>
      <w:r w:rsidRPr="000E1974">
        <w:t xml:space="preserve">ik gadu. Šādā apmērā </w:t>
      </w:r>
      <w:r w:rsidR="00040F89">
        <w:t>finansējums ir paredzēts SM budžetā arī 2019</w:t>
      </w:r>
      <w:r w:rsidR="00B73F92">
        <w:t>.gadam un turpmākajiem gadiem</w:t>
      </w:r>
      <w:r w:rsidRPr="000E1974">
        <w:t>.</w:t>
      </w:r>
    </w:p>
    <w:p w:rsidR="000E1974" w:rsidRPr="00FB2816" w:rsidRDefault="00520B1F" w:rsidP="00697EA2">
      <w:pPr>
        <w:ind w:firstLine="720"/>
        <w:jc w:val="both"/>
      </w:pPr>
      <w:r w:rsidRPr="000E1974">
        <w:t xml:space="preserve">Uzskatām, ka </w:t>
      </w:r>
      <w:r>
        <w:t>SM</w:t>
      </w:r>
      <w:r w:rsidRPr="000E1974">
        <w:t xml:space="preserve"> jāsagatavo grozījumus Pasta likumā, lai</w:t>
      </w:r>
      <w:r>
        <w:t>,</w:t>
      </w:r>
      <w:r w:rsidRPr="000E1974">
        <w:t xml:space="preserve"> sākot ar 2018.gadu</w:t>
      </w:r>
      <w:r w:rsidR="00040F89">
        <w:t>,</w:t>
      </w:r>
      <w:r w:rsidRPr="000E1974">
        <w:t xml:space="preserve"> no valsts budžeta nav jāsedz zaudējumi par abonētās preses izdevumu piegādes pakalpojumiem</w:t>
      </w:r>
      <w:r w:rsidRPr="00520B1F">
        <w:t xml:space="preserve">, faktiskās preses izdevumu piegādes izmaksas sedzot preses izdevējiem un abonentiem. </w:t>
      </w:r>
      <w:r w:rsidR="0066175E">
        <w:t xml:space="preserve">Saskaņā ar SM sniegto informāciju sadārdzinājums par vienības piegādi būtu 0,19 </w:t>
      </w:r>
      <w:r w:rsidR="0066175E" w:rsidRPr="00284B6E">
        <w:rPr>
          <w:i/>
        </w:rPr>
        <w:t>euro</w:t>
      </w:r>
      <w:r w:rsidR="0066175E" w:rsidRPr="00520B1F">
        <w:t xml:space="preserve">. </w:t>
      </w:r>
      <w:r w:rsidRPr="00520B1F">
        <w:t xml:space="preserve">Līdz ar to uzskatām, ka finansējums 2 000 000 </w:t>
      </w:r>
      <w:r w:rsidRPr="00520B1F">
        <w:rPr>
          <w:i/>
        </w:rPr>
        <w:t>euro,</w:t>
      </w:r>
      <w:r w:rsidRPr="00520B1F">
        <w:t xml:space="preserve"> sākot ar 2018.gadu</w:t>
      </w:r>
      <w:r>
        <w:t>,</w:t>
      </w:r>
      <w:r w:rsidRPr="00520B1F">
        <w:t xml:space="preserve"> nav paredzams valsts budžetā zaudējumu segšanai par abonētās preses izdevumu piegādes pakalpojumiem, bet </w:t>
      </w:r>
      <w:r>
        <w:t>SM</w:t>
      </w:r>
      <w:r w:rsidRPr="00520B1F">
        <w:t xml:space="preserve"> to var izmantot aktuālāku pasākumu īstenošanai.</w:t>
      </w:r>
    </w:p>
    <w:p w:rsidR="000E1974" w:rsidRPr="000E1974" w:rsidRDefault="000E1974" w:rsidP="00FB2816">
      <w:pPr>
        <w:spacing w:before="120" w:after="120"/>
        <w:rPr>
          <w:b/>
        </w:rPr>
      </w:pPr>
      <w:r w:rsidRPr="000E1974">
        <w:rPr>
          <w:b/>
        </w:rPr>
        <w:t>SM - Ārkārtas situāciju valsts elektronisko sakaru tīkls</w:t>
      </w:r>
    </w:p>
    <w:p w:rsidR="000E1974" w:rsidRPr="000E1974" w:rsidRDefault="000E1974" w:rsidP="00697EA2">
      <w:pPr>
        <w:ind w:firstLine="709"/>
        <w:jc w:val="both"/>
      </w:pPr>
      <w:r w:rsidRPr="000E1974">
        <w:t xml:space="preserve">SM programmā 04.00.00 “Ārkārtas situāciju valsts elektronisko sakaru tīkla izveide un uzturēšana” 2014.-2016.gada ietvarā piešķirts finansējums JPI “Ārkārtas situāciju valsts elektronisko sakaru tīkls” 2014.gadam 688 038 </w:t>
      </w:r>
      <w:r w:rsidRPr="000E1974">
        <w:rPr>
          <w:i/>
        </w:rPr>
        <w:t xml:space="preserve">euro </w:t>
      </w:r>
      <w:r w:rsidRPr="000E1974">
        <w:t>tīkla izveidei, 2015. un 2016.gadam 229</w:t>
      </w:r>
      <w:r w:rsidR="00907555">
        <w:t> </w:t>
      </w:r>
      <w:r w:rsidRPr="000E1974">
        <w:t xml:space="preserve">881 </w:t>
      </w:r>
      <w:r w:rsidRPr="000E1974">
        <w:rPr>
          <w:i/>
        </w:rPr>
        <w:t>euro</w:t>
      </w:r>
      <w:r w:rsidRPr="000E1974">
        <w:t xml:space="preserve"> ik gadu tīkla uzturēšanai. Šādā apmērā </w:t>
      </w:r>
      <w:r w:rsidR="00B27494">
        <w:t xml:space="preserve">finansējums </w:t>
      </w:r>
      <w:r w:rsidRPr="000E1974">
        <w:t xml:space="preserve">ir paredzēts </w:t>
      </w:r>
      <w:r w:rsidR="00B27494">
        <w:t>SM budžetā arī 2017.gadam un turpmākajiem gadiem</w:t>
      </w:r>
      <w:r w:rsidRPr="000E1974">
        <w:t>.</w:t>
      </w:r>
    </w:p>
    <w:p w:rsidR="00645296" w:rsidRPr="00FB2816" w:rsidRDefault="000E1974" w:rsidP="00697EA2">
      <w:pPr>
        <w:ind w:firstLine="709"/>
        <w:jc w:val="both"/>
      </w:pPr>
      <w:r w:rsidRPr="000E1974">
        <w:t xml:space="preserve">Likumā “Par valsts budžetu 2016.gadam” optimizācijas pasākumu ietvaros </w:t>
      </w:r>
      <w:r w:rsidR="00B27494">
        <w:t>JPI</w:t>
      </w:r>
      <w:r w:rsidRPr="000E1974">
        <w:t xml:space="preserve"> tika piemērots finansējuma samazinājums 3% apmērā jeb par 6 896 </w:t>
      </w:r>
      <w:r w:rsidRPr="000E1974">
        <w:rPr>
          <w:i/>
        </w:rPr>
        <w:t>euro.</w:t>
      </w:r>
      <w:r w:rsidRPr="000E1974">
        <w:t xml:space="preserve"> Ņemot vērā, ka uzturēšanu 2016.gadā bija iespējams nodrošināt arī ar mazāku finansējumu, uzskatām, ka finansējums 6 896 </w:t>
      </w:r>
      <w:r w:rsidRPr="000E1974">
        <w:rPr>
          <w:i/>
        </w:rPr>
        <w:t>euro,</w:t>
      </w:r>
      <w:r w:rsidRPr="000E1974">
        <w:t xml:space="preserve"> sākot ar 2018.gadu, ir novirzāms aktuālāku pasākumu īstenošanai.</w:t>
      </w:r>
    </w:p>
    <w:p w:rsidR="00C333A9" w:rsidRPr="00FB2816" w:rsidRDefault="00C333A9" w:rsidP="00FB2816">
      <w:pPr>
        <w:spacing w:before="120" w:after="120"/>
        <w:jc w:val="both"/>
        <w:rPr>
          <w:rFonts w:eastAsia="Times New Roman" w:cs="Times New Roman"/>
          <w:b/>
          <w:color w:val="000000"/>
          <w:szCs w:val="24"/>
          <w:lang w:eastAsia="lv-LV"/>
        </w:rPr>
      </w:pPr>
      <w:r w:rsidRPr="00C333A9">
        <w:rPr>
          <w:rFonts w:cs="Times New Roman"/>
          <w:b/>
          <w:szCs w:val="24"/>
        </w:rPr>
        <w:t xml:space="preserve">LM - </w:t>
      </w:r>
      <w:r w:rsidRPr="00C333A9">
        <w:rPr>
          <w:rFonts w:eastAsia="Times New Roman" w:cs="Times New Roman"/>
          <w:b/>
          <w:color w:val="000000"/>
          <w:szCs w:val="24"/>
          <w:lang w:eastAsia="lv-LV"/>
        </w:rPr>
        <w:t xml:space="preserve">Sociālās rehabilitācijas nodrošināšana no vardarbības cietušām pilngadīgām personām </w:t>
      </w:r>
      <w:r w:rsidR="00FB2816">
        <w:rPr>
          <w:rFonts w:eastAsia="Times New Roman" w:cs="Times New Roman"/>
          <w:b/>
          <w:color w:val="000000"/>
          <w:szCs w:val="24"/>
          <w:lang w:eastAsia="lv-LV"/>
        </w:rPr>
        <w:t>un vardarbību veikušām personām</w:t>
      </w:r>
    </w:p>
    <w:p w:rsidR="00C333A9" w:rsidRPr="00C333A9" w:rsidRDefault="00C333A9" w:rsidP="00697EA2">
      <w:pPr>
        <w:ind w:firstLine="720"/>
        <w:jc w:val="both"/>
        <w:rPr>
          <w:rFonts w:cs="Times New Roman"/>
          <w:szCs w:val="24"/>
        </w:rPr>
      </w:pPr>
      <w:r w:rsidRPr="00C333A9">
        <w:rPr>
          <w:rFonts w:cs="Times New Roman"/>
          <w:bCs/>
          <w:szCs w:val="24"/>
        </w:rPr>
        <w:t xml:space="preserve">LM konstatēta 2015.-2017.gada </w:t>
      </w:r>
      <w:r w:rsidRPr="00C333A9">
        <w:rPr>
          <w:rFonts w:cs="Times New Roman"/>
          <w:szCs w:val="24"/>
        </w:rPr>
        <w:t xml:space="preserve">JPI “Sociālās rehabilitācijas </w:t>
      </w:r>
      <w:r w:rsidRPr="00C333A9">
        <w:rPr>
          <w:rFonts w:eastAsia="Times New Roman" w:cs="Times New Roman"/>
          <w:color w:val="000000"/>
          <w:szCs w:val="24"/>
          <w:lang w:eastAsia="lv-LV"/>
        </w:rPr>
        <w:t>nodrošināšana no vardarbības cietušām pilngadīgām personām un vardarbību veikušām personām</w:t>
      </w:r>
      <w:r w:rsidRPr="00C333A9">
        <w:rPr>
          <w:rFonts w:cs="Times New Roman"/>
          <w:szCs w:val="24"/>
        </w:rPr>
        <w:t xml:space="preserve">” </w:t>
      </w:r>
      <w:r w:rsidRPr="00C333A9">
        <w:rPr>
          <w:rFonts w:cs="Times New Roman"/>
          <w:bCs/>
          <w:szCs w:val="24"/>
        </w:rPr>
        <w:t>piešķirtā papildu finansējuma neapguve.</w:t>
      </w:r>
    </w:p>
    <w:p w:rsidR="00C333A9" w:rsidRDefault="00C333A9" w:rsidP="00697EA2">
      <w:pPr>
        <w:ind w:firstLine="720"/>
        <w:jc w:val="both"/>
        <w:rPr>
          <w:rFonts w:cs="Times New Roman"/>
          <w:szCs w:val="24"/>
        </w:rPr>
      </w:pPr>
      <w:r w:rsidRPr="00C333A9">
        <w:rPr>
          <w:rFonts w:cs="Times New Roman"/>
          <w:szCs w:val="24"/>
        </w:rPr>
        <w:t xml:space="preserve">Atbilstoši </w:t>
      </w:r>
      <w:r w:rsidR="00FB2816">
        <w:rPr>
          <w:rFonts w:cs="Times New Roman"/>
          <w:szCs w:val="24"/>
        </w:rPr>
        <w:t>MK</w:t>
      </w:r>
      <w:r w:rsidRPr="00C333A9">
        <w:rPr>
          <w:rFonts w:cs="Times New Roman"/>
          <w:szCs w:val="24"/>
        </w:rPr>
        <w:t xml:space="preserve"> 2014.gada 10.novembra sēdes protokola Nr.61 28.§ 3.1.apakšpunktam LM pamatbudžeta apakšprogrammā 05.01.00 “Sociālās rehabilitācijas valsts programmas” JPI “Sociālās rehabilitācijas </w:t>
      </w:r>
      <w:r w:rsidRPr="00C333A9">
        <w:rPr>
          <w:rFonts w:eastAsia="Times New Roman" w:cs="Times New Roman"/>
          <w:color w:val="000000"/>
          <w:szCs w:val="24"/>
          <w:lang w:eastAsia="lv-LV"/>
        </w:rPr>
        <w:t>nodrošināšana no vardarbības cietušām pilngadīgām personām un vardarbību veikušām personām</w:t>
      </w:r>
      <w:r w:rsidRPr="00C333A9">
        <w:rPr>
          <w:rFonts w:cs="Times New Roman"/>
          <w:szCs w:val="24"/>
        </w:rPr>
        <w:t xml:space="preserve">” īstenošanai 2015.gadam un turpmāk ik gadu tika piešķirts papildu valsts budžeta finansējums 554 541 </w:t>
      </w:r>
      <w:r w:rsidRPr="00C333A9">
        <w:rPr>
          <w:rFonts w:cs="Times New Roman"/>
          <w:i/>
          <w:szCs w:val="24"/>
        </w:rPr>
        <w:t>euro</w:t>
      </w:r>
      <w:r w:rsidRPr="00C333A9">
        <w:rPr>
          <w:rFonts w:cs="Times New Roman"/>
          <w:szCs w:val="24"/>
        </w:rPr>
        <w:t xml:space="preserve"> apmērā.</w:t>
      </w:r>
      <w:r w:rsidRPr="00C333A9">
        <w:t xml:space="preserve"> Atbilstoši </w:t>
      </w:r>
      <w:r w:rsidRPr="00C333A9">
        <w:rPr>
          <w:rFonts w:cs="Times New Roman"/>
          <w:szCs w:val="24"/>
        </w:rPr>
        <w:t xml:space="preserve">LM sniegtajai informācijai, plānojot minētam pasākumam nepieciešamā finansējuma apmēru, tika </w:t>
      </w:r>
      <w:r w:rsidR="00FB2816">
        <w:rPr>
          <w:rFonts w:cs="Times New Roman"/>
          <w:szCs w:val="24"/>
        </w:rPr>
        <w:t>analizēti esošie pakalpojumi, tai skaitā</w:t>
      </w:r>
      <w:r w:rsidRPr="00C333A9">
        <w:rPr>
          <w:rFonts w:cs="Times New Roman"/>
          <w:szCs w:val="24"/>
        </w:rPr>
        <w:t xml:space="preserve"> no vardarbības cietušo bērnu rehabilitācijā iesaistīto skaits, kā</w:t>
      </w:r>
      <w:r>
        <w:rPr>
          <w:rFonts w:cs="Times New Roman"/>
          <w:szCs w:val="24"/>
        </w:rPr>
        <w:t xml:space="preserve"> arī policijas dati par vardarbību, tādējādi prognozējot potenciālo mērķa grupu un pieprasījumu pēc pakalpojuma.</w:t>
      </w:r>
    </w:p>
    <w:p w:rsidR="005E0C1C" w:rsidRDefault="005E0C1C" w:rsidP="005E0C1C">
      <w:pPr>
        <w:jc w:val="center"/>
        <w:rPr>
          <w:rFonts w:cs="Times New Roman"/>
          <w:szCs w:val="24"/>
        </w:rPr>
      </w:pPr>
      <w:r>
        <w:rPr>
          <w:rFonts w:cs="Times New Roman"/>
          <w:noProof/>
          <w:szCs w:val="24"/>
          <w:lang w:eastAsia="lv-LV"/>
        </w:rPr>
        <w:lastRenderedPageBreak/>
        <w:drawing>
          <wp:inline distT="0" distB="0" distL="0" distR="0" wp14:anchorId="02303B5A" wp14:editId="0F61943C">
            <wp:extent cx="5557581" cy="2772460"/>
            <wp:effectExtent l="0" t="0" r="508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639786" cy="2813469"/>
                    </a:xfrm>
                    <a:prstGeom prst="rect">
                      <a:avLst/>
                    </a:prstGeom>
                    <a:noFill/>
                  </pic:spPr>
                </pic:pic>
              </a:graphicData>
            </a:graphic>
          </wp:inline>
        </w:drawing>
      </w:r>
    </w:p>
    <w:p w:rsidR="005E0C1C" w:rsidRPr="00A446C0" w:rsidRDefault="00907555" w:rsidP="005E0C1C">
      <w:pPr>
        <w:spacing w:before="240" w:after="240"/>
        <w:jc w:val="center"/>
        <w:rPr>
          <w:rFonts w:cs="Times New Roman"/>
          <w:bCs/>
          <w:sz w:val="22"/>
        </w:rPr>
      </w:pPr>
      <w:r w:rsidRPr="00907555">
        <w:rPr>
          <w:rFonts w:cs="Times New Roman"/>
          <w:bCs/>
          <w:i/>
          <w:sz w:val="22"/>
        </w:rPr>
        <w:t>3.65</w:t>
      </w:r>
      <w:r w:rsidR="005E0C1C" w:rsidRPr="00907555">
        <w:rPr>
          <w:rFonts w:cs="Times New Roman"/>
          <w:bCs/>
          <w:i/>
          <w:sz w:val="22"/>
        </w:rPr>
        <w:t>.att.</w:t>
      </w:r>
      <w:r w:rsidR="005E0C1C" w:rsidRPr="00907555">
        <w:rPr>
          <w:rFonts w:cs="Times New Roman"/>
          <w:bCs/>
          <w:sz w:val="22"/>
        </w:rPr>
        <w:t xml:space="preserve"> </w:t>
      </w:r>
      <w:r w:rsidR="005E0C1C" w:rsidRPr="00907555">
        <w:rPr>
          <w:rFonts w:cs="Times New Roman"/>
          <w:b/>
          <w:bCs/>
          <w:sz w:val="22"/>
        </w:rPr>
        <w:t>JPI “Sociālās rehabilitācijas nodrošināšana no vardarbības cietušām pilngadīgām</w:t>
      </w:r>
      <w:r w:rsidR="005E0C1C" w:rsidRPr="00A446C0">
        <w:rPr>
          <w:rFonts w:cs="Times New Roman"/>
          <w:b/>
          <w:bCs/>
          <w:sz w:val="22"/>
        </w:rPr>
        <w:t xml:space="preserve"> personām un vardarbību veikušām personām” plānotie un apgūtie līdzekļi, </w:t>
      </w:r>
      <w:r w:rsidR="005E0C1C" w:rsidRPr="00A446C0">
        <w:rPr>
          <w:rFonts w:cs="Times New Roman"/>
          <w:b/>
          <w:bCs/>
          <w:i/>
          <w:sz w:val="22"/>
        </w:rPr>
        <w:t>euro</w:t>
      </w:r>
    </w:p>
    <w:p w:rsidR="005E0C1C" w:rsidRDefault="005E0C1C" w:rsidP="00697EA2">
      <w:pPr>
        <w:ind w:firstLine="720"/>
        <w:jc w:val="both"/>
        <w:rPr>
          <w:rFonts w:cs="Times New Roman"/>
          <w:szCs w:val="24"/>
        </w:rPr>
      </w:pPr>
      <w:r>
        <w:rPr>
          <w:rFonts w:cs="Times New Roman"/>
          <w:szCs w:val="24"/>
        </w:rPr>
        <w:t xml:space="preserve">Tomēr, ņemot vērā JPI </w:t>
      </w:r>
      <w:r>
        <w:rPr>
          <w:rFonts w:cs="Times New Roman"/>
          <w:bCs/>
          <w:szCs w:val="24"/>
        </w:rPr>
        <w:t>piešķirtā finansējuma izpildes tendences,</w:t>
      </w:r>
      <w:r>
        <w:rPr>
          <w:rFonts w:cs="Times New Roman"/>
          <w:szCs w:val="24"/>
        </w:rPr>
        <w:t xml:space="preserve"> atbilstoši LM iniciatīvai 2015.gadā tika samazināti minētajai JPI piešķirtie līdzekļi 363 455 </w:t>
      </w:r>
      <w:r w:rsidRPr="00136347">
        <w:rPr>
          <w:rFonts w:cs="Times New Roman"/>
          <w:i/>
          <w:szCs w:val="24"/>
        </w:rPr>
        <w:t>euro</w:t>
      </w:r>
      <w:r>
        <w:rPr>
          <w:rFonts w:cs="Times New Roman"/>
          <w:szCs w:val="24"/>
        </w:rPr>
        <w:t xml:space="preserve"> apmērā, lai nodrošinātu rindu pēc tehniskajiem palīglīdzekļiem samazināšanu, 2016.gadā tika samazināti minētajai JPI piešķirtie līdzekļi 259 975 </w:t>
      </w:r>
      <w:r w:rsidRPr="00136347">
        <w:rPr>
          <w:rFonts w:cs="Times New Roman"/>
          <w:i/>
          <w:szCs w:val="24"/>
        </w:rPr>
        <w:t>euro</w:t>
      </w:r>
      <w:r>
        <w:rPr>
          <w:rFonts w:cs="Times New Roman"/>
          <w:szCs w:val="24"/>
        </w:rPr>
        <w:t xml:space="preserve"> apmērā, lai nodrošinātu rindu pēc tehniskajiem palīglīdzekļiem samazināšanu (219 203 </w:t>
      </w:r>
      <w:r w:rsidRPr="00600690">
        <w:rPr>
          <w:rFonts w:cs="Times New Roman"/>
          <w:i/>
          <w:szCs w:val="24"/>
        </w:rPr>
        <w:t>euro</w:t>
      </w:r>
      <w:r>
        <w:rPr>
          <w:rFonts w:cs="Times New Roman"/>
          <w:szCs w:val="24"/>
        </w:rPr>
        <w:t xml:space="preserve">) un moduļa izstrādi Valsts sociālās politikas monitoringa informācijas sistēmā (SPOLIS), (40 772 </w:t>
      </w:r>
      <w:r w:rsidRPr="004D219E">
        <w:rPr>
          <w:rFonts w:cs="Times New Roman"/>
          <w:i/>
          <w:szCs w:val="24"/>
        </w:rPr>
        <w:t>euro</w:t>
      </w:r>
      <w:r>
        <w:rPr>
          <w:rFonts w:cs="Times New Roman"/>
          <w:szCs w:val="24"/>
        </w:rPr>
        <w:t xml:space="preserve">), savukārt 2017.gadā tika samazināti minētajai JPI piešķirtie līdzekļi 100 000 </w:t>
      </w:r>
      <w:r w:rsidRPr="00136347">
        <w:rPr>
          <w:rFonts w:cs="Times New Roman"/>
          <w:i/>
          <w:szCs w:val="24"/>
        </w:rPr>
        <w:t>euro</w:t>
      </w:r>
      <w:r>
        <w:rPr>
          <w:rFonts w:cs="Times New Roman"/>
          <w:szCs w:val="24"/>
        </w:rPr>
        <w:t xml:space="preserve"> apmērā, lai daļēji nodrošinātu tehnisko palīglīdzekļu klāsta modernizēšanu.</w:t>
      </w:r>
    </w:p>
    <w:p w:rsidR="005E0C1C" w:rsidRDefault="005E0C1C" w:rsidP="00697EA2">
      <w:pPr>
        <w:ind w:firstLine="720"/>
        <w:jc w:val="both"/>
        <w:rPr>
          <w:rFonts w:cs="Times New Roman"/>
          <w:szCs w:val="24"/>
        </w:rPr>
      </w:pPr>
      <w:r w:rsidRPr="00907555">
        <w:rPr>
          <w:rFonts w:cs="Times New Roman"/>
          <w:szCs w:val="24"/>
        </w:rPr>
        <w:t xml:space="preserve">Kā redzams </w:t>
      </w:r>
      <w:r w:rsidR="00907555" w:rsidRPr="00907555">
        <w:rPr>
          <w:rFonts w:cs="Times New Roman"/>
          <w:szCs w:val="24"/>
        </w:rPr>
        <w:t>3.65</w:t>
      </w:r>
      <w:r w:rsidRPr="00907555">
        <w:rPr>
          <w:rFonts w:cs="Times New Roman"/>
          <w:szCs w:val="24"/>
        </w:rPr>
        <w:t xml:space="preserve">.attēlā, 2015.gadā JPI piešķirtais finansējums apgūts tikai 76 762 </w:t>
      </w:r>
      <w:r w:rsidRPr="00907555">
        <w:rPr>
          <w:rFonts w:cs="Times New Roman"/>
          <w:i/>
          <w:szCs w:val="24"/>
        </w:rPr>
        <w:t>euro</w:t>
      </w:r>
      <w:r>
        <w:rPr>
          <w:rFonts w:cs="Times New Roman"/>
          <w:szCs w:val="24"/>
        </w:rPr>
        <w:t xml:space="preserve"> jeb 13,8% no plānotā apmēra, 2016.gadā – 192 317 </w:t>
      </w:r>
      <w:r w:rsidRPr="008A0543">
        <w:rPr>
          <w:rFonts w:cs="Times New Roman"/>
          <w:i/>
          <w:szCs w:val="24"/>
        </w:rPr>
        <w:t>euro</w:t>
      </w:r>
      <w:r>
        <w:rPr>
          <w:rFonts w:cs="Times New Roman"/>
          <w:szCs w:val="24"/>
        </w:rPr>
        <w:t xml:space="preserve"> jeb 34,7% no plānotā apmēra, kā arī atbilstoši LM sniegtajai informācijai tiek prognozēts, ka 2017.gadā tiks izlietoti līdzekļi 294 081 </w:t>
      </w:r>
      <w:r w:rsidRPr="004D219E">
        <w:rPr>
          <w:rFonts w:cs="Times New Roman"/>
          <w:i/>
          <w:szCs w:val="24"/>
        </w:rPr>
        <w:t>euro</w:t>
      </w:r>
      <w:r>
        <w:rPr>
          <w:rFonts w:cs="Times New Roman"/>
          <w:szCs w:val="24"/>
        </w:rPr>
        <w:t xml:space="preserve"> apmērā jeb 53,0% no plānotā apmēra. Līdz ar to 2015.gadā faktiski neapgūtais JPI piešķirtais finansējums ir 477 779 </w:t>
      </w:r>
      <w:r w:rsidRPr="00427BDC">
        <w:rPr>
          <w:rFonts w:cs="Times New Roman"/>
          <w:i/>
          <w:szCs w:val="24"/>
        </w:rPr>
        <w:t>euro</w:t>
      </w:r>
      <w:r>
        <w:rPr>
          <w:rFonts w:cs="Times New Roman"/>
          <w:szCs w:val="24"/>
        </w:rPr>
        <w:t xml:space="preserve"> jeb 86,2%, 2016.gadā – 362 224 </w:t>
      </w:r>
      <w:r w:rsidRPr="00427BDC">
        <w:rPr>
          <w:rFonts w:cs="Times New Roman"/>
          <w:i/>
          <w:szCs w:val="24"/>
        </w:rPr>
        <w:t>euro</w:t>
      </w:r>
      <w:r>
        <w:rPr>
          <w:rFonts w:cs="Times New Roman"/>
          <w:szCs w:val="24"/>
        </w:rPr>
        <w:t xml:space="preserve"> jeb 65,3%, savukārt atbilstoši </w:t>
      </w:r>
      <w:r w:rsidR="009571A2">
        <w:rPr>
          <w:rFonts w:cs="Times New Roman"/>
          <w:szCs w:val="24"/>
        </w:rPr>
        <w:t>LM</w:t>
      </w:r>
      <w:r>
        <w:rPr>
          <w:rFonts w:cs="Times New Roman"/>
          <w:szCs w:val="24"/>
        </w:rPr>
        <w:t xml:space="preserve"> prognozei neizpilde 2017.gadā būs 260 460 </w:t>
      </w:r>
      <w:r w:rsidRPr="00427BDC">
        <w:rPr>
          <w:rFonts w:cs="Times New Roman"/>
          <w:i/>
          <w:szCs w:val="24"/>
        </w:rPr>
        <w:t>euro</w:t>
      </w:r>
      <w:r>
        <w:rPr>
          <w:rFonts w:cs="Times New Roman"/>
          <w:szCs w:val="24"/>
        </w:rPr>
        <w:t xml:space="preserve"> jeb 47,0 procenti.</w:t>
      </w:r>
    </w:p>
    <w:p w:rsidR="005E0C1C" w:rsidRDefault="005E0C1C" w:rsidP="005E0C1C">
      <w:pPr>
        <w:ind w:firstLine="720"/>
        <w:jc w:val="both"/>
        <w:rPr>
          <w:rFonts w:cs="Times New Roman"/>
          <w:szCs w:val="24"/>
        </w:rPr>
      </w:pPr>
      <w:r>
        <w:rPr>
          <w:rFonts w:cs="Times New Roman"/>
          <w:noProof/>
          <w:szCs w:val="24"/>
          <w:lang w:eastAsia="lv-LV"/>
        </w:rPr>
        <w:drawing>
          <wp:anchor distT="0" distB="0" distL="114300" distR="114300" simplePos="0" relativeHeight="251663360" behindDoc="0" locked="0" layoutInCell="1" allowOverlap="1" wp14:anchorId="2D807F8B" wp14:editId="35A9B563">
            <wp:simplePos x="0" y="0"/>
            <wp:positionH relativeFrom="margin">
              <wp:align>left</wp:align>
            </wp:positionH>
            <wp:positionV relativeFrom="paragraph">
              <wp:posOffset>180340</wp:posOffset>
            </wp:positionV>
            <wp:extent cx="5749290" cy="2318385"/>
            <wp:effectExtent l="0" t="0" r="3810" b="571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749290" cy="2318385"/>
                    </a:xfrm>
                    <a:prstGeom prst="rect">
                      <a:avLst/>
                    </a:prstGeom>
                    <a:noFill/>
                  </pic:spPr>
                </pic:pic>
              </a:graphicData>
            </a:graphic>
            <wp14:sizeRelH relativeFrom="margin">
              <wp14:pctWidth>0</wp14:pctWidth>
            </wp14:sizeRelH>
            <wp14:sizeRelV relativeFrom="margin">
              <wp14:pctHeight>0</wp14:pctHeight>
            </wp14:sizeRelV>
          </wp:anchor>
        </w:drawing>
      </w:r>
    </w:p>
    <w:p w:rsidR="005E0C1C" w:rsidRPr="005E0C1C" w:rsidRDefault="005E0C1C" w:rsidP="005E0C1C">
      <w:pPr>
        <w:ind w:firstLine="720"/>
        <w:jc w:val="both"/>
        <w:rPr>
          <w:rFonts w:cs="Times New Roman"/>
          <w:sz w:val="14"/>
          <w:szCs w:val="24"/>
        </w:rPr>
      </w:pPr>
    </w:p>
    <w:p w:rsidR="005E0C1C" w:rsidRPr="00994828" w:rsidRDefault="00907555" w:rsidP="005E0C1C">
      <w:pPr>
        <w:spacing w:before="120" w:after="240"/>
        <w:jc w:val="center"/>
        <w:rPr>
          <w:rFonts w:cs="Times New Roman"/>
          <w:bCs/>
          <w:sz w:val="22"/>
        </w:rPr>
      </w:pPr>
      <w:r w:rsidRPr="00907555">
        <w:rPr>
          <w:rFonts w:cs="Times New Roman"/>
          <w:bCs/>
          <w:i/>
          <w:sz w:val="22"/>
        </w:rPr>
        <w:t>3.66</w:t>
      </w:r>
      <w:r w:rsidR="005E0C1C" w:rsidRPr="00907555">
        <w:rPr>
          <w:rFonts w:cs="Times New Roman"/>
          <w:bCs/>
          <w:i/>
          <w:sz w:val="22"/>
        </w:rPr>
        <w:t>.att.</w:t>
      </w:r>
      <w:r w:rsidR="005E0C1C" w:rsidRPr="00907555">
        <w:rPr>
          <w:rFonts w:cs="Times New Roman"/>
          <w:bCs/>
          <w:sz w:val="22"/>
        </w:rPr>
        <w:t xml:space="preserve"> </w:t>
      </w:r>
      <w:r w:rsidR="005E0C1C" w:rsidRPr="00907555">
        <w:rPr>
          <w:rFonts w:cs="Times New Roman"/>
          <w:b/>
          <w:bCs/>
          <w:sz w:val="22"/>
        </w:rPr>
        <w:t>JPI “Sociālās rehabilitācijas nodrošināšana no vardarbības cietušām pilngadīgām personām un vardarbību veikušām personām” ietvaros plānotais un faktiskais pakalpojuma</w:t>
      </w:r>
      <w:r w:rsidR="005E0C1C">
        <w:rPr>
          <w:rFonts w:cs="Times New Roman"/>
          <w:b/>
          <w:bCs/>
          <w:sz w:val="22"/>
        </w:rPr>
        <w:t xml:space="preserve"> saņēmēju skaits</w:t>
      </w:r>
    </w:p>
    <w:p w:rsidR="005E0C1C" w:rsidRDefault="005E0C1C" w:rsidP="005E0C1C">
      <w:pPr>
        <w:ind w:firstLine="720"/>
        <w:jc w:val="both"/>
        <w:rPr>
          <w:rFonts w:cs="Times New Roman"/>
          <w:szCs w:val="24"/>
        </w:rPr>
      </w:pPr>
      <w:r>
        <w:rPr>
          <w:rFonts w:cs="Times New Roman"/>
          <w:szCs w:val="24"/>
        </w:rPr>
        <w:lastRenderedPageBreak/>
        <w:t xml:space="preserve">Analizējot JPI ietvaros plānoto un faktisko pakalpojuma saņēmēju skaitu </w:t>
      </w:r>
      <w:r w:rsidRPr="00907555">
        <w:rPr>
          <w:rFonts w:cs="Times New Roman"/>
          <w:szCs w:val="24"/>
        </w:rPr>
        <w:t>(skat.</w:t>
      </w:r>
      <w:r w:rsidR="00587315" w:rsidRPr="00907555">
        <w:rPr>
          <w:rFonts w:cs="Times New Roman"/>
          <w:szCs w:val="24"/>
        </w:rPr>
        <w:t xml:space="preserve"> </w:t>
      </w:r>
      <w:r w:rsidR="00907555" w:rsidRPr="00907555">
        <w:rPr>
          <w:rFonts w:cs="Times New Roman"/>
          <w:szCs w:val="24"/>
        </w:rPr>
        <w:t>3.66</w:t>
      </w:r>
      <w:r w:rsidRPr="00907555">
        <w:rPr>
          <w:rFonts w:cs="Times New Roman"/>
          <w:szCs w:val="24"/>
        </w:rPr>
        <w:t>.att</w:t>
      </w:r>
      <w:r w:rsidR="00907555" w:rsidRPr="00907555">
        <w:rPr>
          <w:rFonts w:cs="Times New Roman"/>
          <w:szCs w:val="24"/>
        </w:rPr>
        <w:t>ēlu</w:t>
      </w:r>
      <w:r w:rsidRPr="00907555">
        <w:rPr>
          <w:rFonts w:cs="Times New Roman"/>
          <w:szCs w:val="24"/>
        </w:rPr>
        <w:t>), secināts, ka 2015.gadā pakalpojums kopumā sniegts tikai 213 personām jeb 19,</w:t>
      </w:r>
      <w:r>
        <w:rPr>
          <w:rFonts w:cs="Times New Roman"/>
          <w:szCs w:val="24"/>
        </w:rPr>
        <w:t xml:space="preserve">6% no plānotā skaita, savukārt 2016.gadā – 599 personām jeb 55,1% no plānotā skaita. Analizējot 2015. un 2016.gada izpildes rādītājus, ir redzams, ka pakalpojuma izpildei ir vērojams liels pieaugums, t.i., vardarbībā cietušām pilngadīgām personām pakalpojuma saņēmēju skaits pieaudzis par 181 personu jeb 158,8% un vardarbību veikušām personām pakalpojuma saņēmēju skaits pieaudzis par 205 personām jeb 207,1 procentu. </w:t>
      </w:r>
    </w:p>
    <w:p w:rsidR="00907555" w:rsidRPr="00907555" w:rsidRDefault="00907555" w:rsidP="00907555">
      <w:pPr>
        <w:spacing w:after="120"/>
        <w:ind w:firstLine="720"/>
        <w:jc w:val="right"/>
        <w:rPr>
          <w:rFonts w:cs="Times New Roman"/>
          <w:szCs w:val="24"/>
        </w:rPr>
      </w:pPr>
      <w:r w:rsidRPr="00907555">
        <w:rPr>
          <w:rFonts w:cs="Times New Roman"/>
          <w:szCs w:val="24"/>
        </w:rPr>
        <w:t>Tabula Nr.3.39</w:t>
      </w:r>
      <w:r w:rsidR="00D86274">
        <w:rPr>
          <w:rFonts w:cs="Times New Roman"/>
          <w:szCs w:val="24"/>
        </w:rPr>
        <w:t>.</w:t>
      </w:r>
    </w:p>
    <w:p w:rsidR="005E0C1C" w:rsidRDefault="00907555" w:rsidP="00907555">
      <w:pPr>
        <w:jc w:val="center"/>
      </w:pPr>
      <w:r w:rsidRPr="00907555">
        <w:rPr>
          <w:rFonts w:cs="Times New Roman"/>
          <w:b/>
          <w:bCs/>
          <w:sz w:val="22"/>
        </w:rPr>
        <w:t>JPI “Sociālās rehabilitācijas nodrošināšana no vardarbības cietušām pilngadīgām personām un vardarbību veikušām personām” izdevumu prognozes aprēķins 2018.gadam</w:t>
      </w:r>
      <w:r w:rsidRPr="00907555">
        <w:rPr>
          <w:rStyle w:val="FootnoteReference"/>
          <w:rFonts w:cs="Times New Roman"/>
          <w:color w:val="FFFFFF" w:themeColor="background1"/>
        </w:rPr>
        <w:footnoteReference w:id="81"/>
      </w:r>
    </w:p>
    <w:p w:rsidR="00907555" w:rsidRPr="00907555" w:rsidRDefault="00907555" w:rsidP="005E0C1C">
      <w:pPr>
        <w:rPr>
          <w:sz w:val="14"/>
          <w:szCs w:val="14"/>
        </w:rPr>
      </w:pPr>
    </w:p>
    <w:p w:rsidR="005E0C1C" w:rsidRDefault="005E0C1C" w:rsidP="005E0C1C">
      <w:r>
        <w:rPr>
          <w:noProof/>
          <w:lang w:eastAsia="lv-LV"/>
        </w:rPr>
        <w:drawing>
          <wp:inline distT="0" distB="0" distL="0" distR="0" wp14:anchorId="4AA07227" wp14:editId="08481E2F">
            <wp:extent cx="6335901" cy="10534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399521" cy="1064043"/>
                    </a:xfrm>
                    <a:prstGeom prst="rect">
                      <a:avLst/>
                    </a:prstGeom>
                    <a:noFill/>
                  </pic:spPr>
                </pic:pic>
              </a:graphicData>
            </a:graphic>
          </wp:inline>
        </w:drawing>
      </w:r>
    </w:p>
    <w:p w:rsidR="005E0C1C" w:rsidRDefault="005E0C1C" w:rsidP="00697EA2">
      <w:pPr>
        <w:jc w:val="both"/>
        <w:rPr>
          <w:rFonts w:cs="Times New Roman"/>
          <w:szCs w:val="24"/>
        </w:rPr>
      </w:pPr>
      <w:r>
        <w:rPr>
          <w:rFonts w:cs="Times New Roman"/>
          <w:szCs w:val="24"/>
        </w:rPr>
        <w:tab/>
        <w:t>Tomēr, ņemot vērā JPI piešķirtā finansējuma izpildes tendences, tiek prognozēts, ka rezultatīvo rādītāju izpilde 2018.gadā nesasniegs sākotnēji plānoto un pakalpojuma ieviešanai paredzētais finansējums netiks apgūts pilnā apmērā.</w:t>
      </w:r>
    </w:p>
    <w:p w:rsidR="005E0C1C" w:rsidRDefault="005E0C1C" w:rsidP="00697EA2">
      <w:pPr>
        <w:ind w:firstLine="720"/>
        <w:jc w:val="both"/>
        <w:rPr>
          <w:rFonts w:cs="Times New Roman"/>
          <w:szCs w:val="24"/>
        </w:rPr>
      </w:pPr>
      <w:r>
        <w:rPr>
          <w:rFonts w:cs="Times New Roman"/>
          <w:szCs w:val="24"/>
        </w:rPr>
        <w:t>Atbilstoši LM sniegtajai informācijai (skat.</w:t>
      </w:r>
      <w:r w:rsidR="00587315">
        <w:rPr>
          <w:rFonts w:cs="Times New Roman"/>
          <w:szCs w:val="24"/>
        </w:rPr>
        <w:t xml:space="preserve"> </w:t>
      </w:r>
      <w:r w:rsidR="00907555">
        <w:rPr>
          <w:rFonts w:cs="Times New Roman"/>
          <w:szCs w:val="24"/>
        </w:rPr>
        <w:t>tabulu Nr.3.39</w:t>
      </w:r>
      <w:r w:rsidR="00D86274">
        <w:rPr>
          <w:rFonts w:cs="Times New Roman"/>
          <w:szCs w:val="24"/>
        </w:rPr>
        <w:t>.</w:t>
      </w:r>
      <w:r>
        <w:rPr>
          <w:rFonts w:cs="Times New Roman"/>
          <w:szCs w:val="24"/>
        </w:rPr>
        <w:t xml:space="preserve">) 2017.gada pirmajā ceturksnī JPI īstenošanai ir izlietoti līdzekļi 61 787 </w:t>
      </w:r>
      <w:r w:rsidRPr="00D231AE">
        <w:rPr>
          <w:rFonts w:cs="Times New Roman"/>
          <w:i/>
          <w:szCs w:val="24"/>
        </w:rPr>
        <w:t>euro</w:t>
      </w:r>
      <w:r>
        <w:rPr>
          <w:rFonts w:cs="Times New Roman"/>
          <w:szCs w:val="24"/>
        </w:rPr>
        <w:t xml:space="preserve"> apmērā, kas vidēji mēnesī veido 20 596 </w:t>
      </w:r>
      <w:r w:rsidRPr="00D231AE">
        <w:rPr>
          <w:rFonts w:cs="Times New Roman"/>
          <w:i/>
          <w:szCs w:val="24"/>
        </w:rPr>
        <w:t>euro</w:t>
      </w:r>
      <w:r>
        <w:rPr>
          <w:rFonts w:cs="Times New Roman"/>
          <w:szCs w:val="24"/>
        </w:rPr>
        <w:t xml:space="preserve"> apmērā, un salīdzinājumā ar 2016.gadā izlietotajiem līdzekļiem vidēji mēnesī (16 026 </w:t>
      </w:r>
      <w:r w:rsidRPr="001F248F">
        <w:rPr>
          <w:rFonts w:cs="Times New Roman"/>
          <w:i/>
          <w:szCs w:val="24"/>
        </w:rPr>
        <w:t>euro</w:t>
      </w:r>
      <w:r>
        <w:rPr>
          <w:rFonts w:cs="Times New Roman"/>
          <w:szCs w:val="24"/>
        </w:rPr>
        <w:t xml:space="preserve">) tie pieaug par 28,5 procentiem. </w:t>
      </w:r>
    </w:p>
    <w:p w:rsidR="005E0C1C" w:rsidRDefault="005E0C1C" w:rsidP="00697EA2">
      <w:pPr>
        <w:jc w:val="both"/>
        <w:rPr>
          <w:rFonts w:cs="Times New Roman"/>
          <w:szCs w:val="24"/>
        </w:rPr>
      </w:pPr>
      <w:r>
        <w:rPr>
          <w:rFonts w:cs="Times New Roman"/>
          <w:szCs w:val="24"/>
        </w:rPr>
        <w:tab/>
        <w:t xml:space="preserve">Ņemot vērā 2017.gada pirmā ceturkšņa izpildes datus, kā arī pieņemot, ka 2018.gadā saglabāsies 2017.gada pieauguma tendence pret 2016.gadu 28,5% apmērā, tiek prognozēts, ka 2018.gadā JPI īstenošanai tiks izlietoti līdzekļi 317 590 </w:t>
      </w:r>
      <w:r w:rsidRPr="008E20C5">
        <w:rPr>
          <w:rFonts w:cs="Times New Roman"/>
          <w:i/>
          <w:szCs w:val="24"/>
        </w:rPr>
        <w:t>euro</w:t>
      </w:r>
      <w:r>
        <w:rPr>
          <w:rFonts w:cs="Times New Roman"/>
          <w:szCs w:val="24"/>
        </w:rPr>
        <w:t xml:space="preserve"> apmērā. Līdz ar to veidojas finansējums 236 951 </w:t>
      </w:r>
      <w:r w:rsidRPr="008E20C5">
        <w:rPr>
          <w:rFonts w:cs="Times New Roman"/>
          <w:i/>
          <w:szCs w:val="24"/>
        </w:rPr>
        <w:t xml:space="preserve">euro </w:t>
      </w:r>
      <w:r>
        <w:rPr>
          <w:rFonts w:cs="Times New Roman"/>
          <w:szCs w:val="24"/>
        </w:rPr>
        <w:t>apmērā, kuru FM piedāvā novirzīt LM budžeta apakšprogrammas 05.01.00 “Sociālās rehabilitācijas valsts programmas” ietvaros finansētajam pakalpojumam –tehnisko palīglīdzekļu nodrošināšanai, ņemot vērā, ka atbilstoši LM prognozei 2017.gada beigās rindā pēc tehniskajiem palīglīdzekļiem būs 6</w:t>
      </w:r>
      <w:r w:rsidR="00DB6B53">
        <w:rPr>
          <w:rFonts w:cs="Times New Roman"/>
          <w:szCs w:val="24"/>
        </w:rPr>
        <w:t xml:space="preserve"> </w:t>
      </w:r>
      <w:r>
        <w:rPr>
          <w:rFonts w:cs="Times New Roman"/>
          <w:szCs w:val="24"/>
        </w:rPr>
        <w:t>078 personas.</w:t>
      </w:r>
    </w:p>
    <w:p w:rsidR="009C362E" w:rsidRDefault="009C362E" w:rsidP="00697EA2">
      <w:pPr>
        <w:ind w:firstLine="720"/>
        <w:jc w:val="both"/>
        <w:rPr>
          <w:rFonts w:cs="Times New Roman"/>
          <w:szCs w:val="24"/>
        </w:rPr>
      </w:pPr>
      <w:r w:rsidRPr="00486803">
        <w:rPr>
          <w:rFonts w:cs="Times New Roman"/>
          <w:szCs w:val="24"/>
        </w:rPr>
        <w:t xml:space="preserve">Atbilstoši LM viedoklim 2018.gadā JPI īstenošanai tiks izlietoti </w:t>
      </w:r>
      <w:r w:rsidR="00486803" w:rsidRPr="00486803">
        <w:rPr>
          <w:rFonts w:cs="Times New Roman"/>
          <w:szCs w:val="24"/>
        </w:rPr>
        <w:t>līdzekļi</w:t>
      </w:r>
      <w:r w:rsidR="00486803">
        <w:rPr>
          <w:rFonts w:cs="Times New Roman"/>
          <w:szCs w:val="24"/>
        </w:rPr>
        <w:t xml:space="preserve"> 487 809 </w:t>
      </w:r>
      <w:r w:rsidR="00486803" w:rsidRPr="00486803">
        <w:rPr>
          <w:rFonts w:cs="Times New Roman"/>
          <w:i/>
          <w:szCs w:val="24"/>
        </w:rPr>
        <w:t>euro</w:t>
      </w:r>
      <w:r w:rsidR="00486803">
        <w:rPr>
          <w:rFonts w:cs="Times New Roman"/>
          <w:szCs w:val="24"/>
        </w:rPr>
        <w:t xml:space="preserve"> apmērā, veidojot finansējumu 66 732 </w:t>
      </w:r>
      <w:r w:rsidR="00486803" w:rsidRPr="00486803">
        <w:rPr>
          <w:rFonts w:cs="Times New Roman"/>
          <w:i/>
          <w:szCs w:val="24"/>
        </w:rPr>
        <w:t>euro</w:t>
      </w:r>
      <w:r w:rsidR="00486803">
        <w:rPr>
          <w:rFonts w:cs="Times New Roman"/>
          <w:szCs w:val="24"/>
        </w:rPr>
        <w:t xml:space="preserve"> apmērā, kuru iespējams novirzīt tehnisko palīglīdzekļu nodrošināšanai.</w:t>
      </w:r>
    </w:p>
    <w:p w:rsidR="005E0C1C" w:rsidRPr="0080150B" w:rsidRDefault="005E0C1C" w:rsidP="00697EA2">
      <w:pPr>
        <w:ind w:firstLine="720"/>
        <w:jc w:val="both"/>
        <w:rPr>
          <w:rFonts w:cs="Times New Roman"/>
          <w:szCs w:val="24"/>
        </w:rPr>
      </w:pPr>
      <w:r>
        <w:rPr>
          <w:rFonts w:cs="Times New Roman"/>
          <w:szCs w:val="24"/>
        </w:rPr>
        <w:t xml:space="preserve">Savukārt, ņemot vērā, ka </w:t>
      </w:r>
      <w:r w:rsidRPr="00952FB3">
        <w:t>pakalpojuma izpildei ir tend</w:t>
      </w:r>
      <w:r>
        <w:t>ence pieaugt, kā arī atbilstoši LM sniegtajai informācijai pakalpojuma</w:t>
      </w:r>
      <w:r w:rsidRPr="00952FB3">
        <w:t xml:space="preserve"> sniegšanā iesaistīto pašvaldību skaits </w:t>
      </w:r>
      <w:r>
        <w:t>ar katru gadu</w:t>
      </w:r>
      <w:r w:rsidRPr="00952FB3">
        <w:t xml:space="preserve"> pieaug</w:t>
      </w:r>
      <w:r>
        <w:t xml:space="preserve">, FM piedāvā novirzāmā finansējuma apmēru 2019. un 2020.gadā skatīt likumprojekta “Par valsts budžetu 2019.gadam” un likumprojekta “Par vidēja termiņa budžeta ietvaru 2019., 2020. un 2021.gadam” sagatavošanas procesā, ņemot vērā </w:t>
      </w:r>
      <w:r>
        <w:rPr>
          <w:rFonts w:cs="Times New Roman"/>
          <w:szCs w:val="24"/>
        </w:rPr>
        <w:t xml:space="preserve">JPI piešķirtā finansējuma </w:t>
      </w:r>
      <w:r>
        <w:t xml:space="preserve">aktuālākās izpildes tendences. </w:t>
      </w:r>
      <w:r>
        <w:rPr>
          <w:rFonts w:cs="Times New Roman"/>
          <w:szCs w:val="24"/>
        </w:rPr>
        <w:tab/>
      </w:r>
    </w:p>
    <w:p w:rsidR="005E0C1C" w:rsidRPr="00DB6B53" w:rsidRDefault="005E0C1C" w:rsidP="00697EA2">
      <w:pPr>
        <w:ind w:firstLine="720"/>
        <w:jc w:val="both"/>
        <w:rPr>
          <w:rFonts w:cs="Times New Roman"/>
          <w:szCs w:val="28"/>
        </w:rPr>
      </w:pPr>
      <w:r>
        <w:t>Vienlaikus jāatzīmē, ka</w:t>
      </w:r>
      <w:r w:rsidRPr="00C55C33">
        <w:rPr>
          <w:rFonts w:cs="Times New Roman"/>
          <w:szCs w:val="24"/>
        </w:rPr>
        <w:t xml:space="preserve"> </w:t>
      </w:r>
      <w:r w:rsidR="00307E00">
        <w:rPr>
          <w:rFonts w:cs="Times New Roman"/>
          <w:szCs w:val="24"/>
        </w:rPr>
        <w:t>LM uzskata, ka 2019</w:t>
      </w:r>
      <w:r>
        <w:rPr>
          <w:rFonts w:cs="Times New Roman"/>
          <w:szCs w:val="24"/>
        </w:rPr>
        <w:t xml:space="preserve">.gadā un turpmākajos gados minētajam pakalpojumam </w:t>
      </w:r>
      <w:r w:rsidRPr="00143F3D">
        <w:rPr>
          <w:rFonts w:cs="Times New Roman"/>
          <w:szCs w:val="24"/>
        </w:rPr>
        <w:t xml:space="preserve">plānotie rezultatīvie rādītāji un finansējums tiks apgūts </w:t>
      </w:r>
      <w:r>
        <w:rPr>
          <w:rFonts w:cs="Times New Roman"/>
          <w:szCs w:val="24"/>
        </w:rPr>
        <w:t>atbilstoši budžetā plānotajam</w:t>
      </w:r>
      <w:r>
        <w:t xml:space="preserve">, ņemot vērā, ka atbilstoši </w:t>
      </w:r>
      <w:r>
        <w:rPr>
          <w:rFonts w:cs="Times New Roman"/>
          <w:szCs w:val="24"/>
        </w:rPr>
        <w:t xml:space="preserve">2015. un 2016.gada JPI izpildes rādītājiem, pakalpojuma izpildei ir vērojams liels pieaugums, kā arī to, ka </w:t>
      </w:r>
      <w:r>
        <w:t>pakalpojuma</w:t>
      </w:r>
      <w:r w:rsidRPr="00952FB3">
        <w:t xml:space="preserve"> sniegšanā iesaistīto pašvaldību skaits </w:t>
      </w:r>
      <w:r>
        <w:t>ar katru gadu</w:t>
      </w:r>
      <w:r w:rsidRPr="00952FB3">
        <w:t xml:space="preserve"> pieaug</w:t>
      </w:r>
      <w:r>
        <w:t>, un turpmāk tiek prognozēts pakalpojuma saņēmēju skaita pieaugums arī saistībā ar T</w:t>
      </w:r>
      <w:r w:rsidR="00F208B8">
        <w:t xml:space="preserve">M </w:t>
      </w:r>
      <w:r>
        <w:t>sagatavoto likumprojektu “</w:t>
      </w:r>
      <w:r w:rsidRPr="00100725">
        <w:rPr>
          <w:rFonts w:cs="Times New Roman"/>
          <w:szCs w:val="28"/>
        </w:rPr>
        <w:t>Vardarbībai un vardarbības riskam pakļauto personu aizsardzības likums</w:t>
      </w:r>
      <w:r>
        <w:t>”</w:t>
      </w:r>
      <w:r>
        <w:rPr>
          <w:rFonts w:cs="Times New Roman"/>
          <w:szCs w:val="24"/>
        </w:rPr>
        <w:t xml:space="preserve"> un likumprojektu “Grozījumi Civilprocesa likumā” </w:t>
      </w:r>
      <w:r>
        <w:rPr>
          <w:rFonts w:cs="Times New Roman"/>
          <w:szCs w:val="24"/>
        </w:rPr>
        <w:lastRenderedPageBreak/>
        <w:t>(šobrīd atrodas sabiedriskajā apspriešanā), kas paredz starpinstitucionālās sadarbības aktivizēšanu pašvaldībās ar mērķi mazināt vardarbības riskus.</w:t>
      </w:r>
    </w:p>
    <w:p w:rsidR="0042025B" w:rsidRDefault="0042025B" w:rsidP="00DB6B53">
      <w:pPr>
        <w:spacing w:before="240" w:after="240"/>
        <w:jc w:val="both"/>
        <w:rPr>
          <w:rFonts w:cs="Times New Roman"/>
          <w:b/>
          <w:szCs w:val="24"/>
        </w:rPr>
      </w:pPr>
      <w:r>
        <w:rPr>
          <w:rFonts w:cs="Times New Roman"/>
          <w:b/>
          <w:szCs w:val="24"/>
        </w:rPr>
        <w:t xml:space="preserve">LM - </w:t>
      </w:r>
      <w:r w:rsidRPr="0042025B">
        <w:rPr>
          <w:rFonts w:cs="Times New Roman"/>
          <w:b/>
          <w:szCs w:val="24"/>
        </w:rPr>
        <w:t>Samaksas par pakalpojumu sniegšanu paaugstināšana institūcijās, kuras uz noslēgto līgumu pamata nodrošina valsts finansēto ilgstošas sociālās aprūpes un sociālās rehabilitācijas pakalpojumu sniegšanu, un četrās psihoneiroloģisko slimnīcu ilgstošas sociālās rehabilitācijas nodaļās</w:t>
      </w:r>
    </w:p>
    <w:p w:rsidR="0042025B" w:rsidRDefault="0042025B" w:rsidP="0042025B">
      <w:pPr>
        <w:spacing w:after="120"/>
        <w:ind w:firstLine="720"/>
        <w:jc w:val="both"/>
        <w:rPr>
          <w:rFonts w:cs="Times New Roman"/>
          <w:szCs w:val="24"/>
        </w:rPr>
      </w:pPr>
      <w:r>
        <w:t>Atbilstoši MK 2014.gada 2.septembra sēdes protokola Nr.46 48.</w:t>
      </w:r>
      <w:r>
        <w:rPr>
          <w:rFonts w:cs="Times New Roman"/>
        </w:rPr>
        <w:t>§</w:t>
      </w:r>
      <w:r>
        <w:t xml:space="preserve"> 3.punktam un MK 2014.gada 12.novembra sēdes protokola Nr.62 2.</w:t>
      </w:r>
      <w:r>
        <w:rPr>
          <w:rFonts w:cs="Times New Roman"/>
        </w:rPr>
        <w:t>§</w:t>
      </w:r>
      <w:r>
        <w:t xml:space="preserve"> 2.punktam LM apakšprogrammā 05.01.00 “Sociālās rehabilitācijas valsts programmas” JPI “</w:t>
      </w:r>
      <w:r w:rsidRPr="00FB1B50">
        <w:rPr>
          <w:rFonts w:cs="Times New Roman"/>
          <w:szCs w:val="24"/>
        </w:rPr>
        <w:t>Samaksas par pakalpojumu sniegšanu paaugstināšana institūcijās, kuras uz noslēgto līgumu pamata nodrošina valsts finansēto ilgstošas sociālās aprūpes un sociālās rehabilitācijas pakalpojumu sniegšanu, un četrās psihoneiroloģisko slimnīcu ilgstošas sociālās rehabilitācijas nodaļās</w:t>
      </w:r>
      <w:r>
        <w:rPr>
          <w:rFonts w:cs="Times New Roman"/>
          <w:szCs w:val="24"/>
        </w:rPr>
        <w:t xml:space="preserve">” īstenošanai </w:t>
      </w:r>
      <w:r>
        <w:t>2015.gadam un turpmāk ik gadu</w:t>
      </w:r>
      <w:r>
        <w:rPr>
          <w:rFonts w:cs="Times New Roman"/>
          <w:szCs w:val="24"/>
        </w:rPr>
        <w:t xml:space="preserve"> piešķirts papildu finansējums 1 636 377 </w:t>
      </w:r>
      <w:r w:rsidRPr="00FB1B50">
        <w:rPr>
          <w:rFonts w:cs="Times New Roman"/>
          <w:i/>
          <w:szCs w:val="24"/>
        </w:rPr>
        <w:t>euro</w:t>
      </w:r>
      <w:r>
        <w:rPr>
          <w:rFonts w:cs="Times New Roman"/>
          <w:szCs w:val="24"/>
        </w:rPr>
        <w:t xml:space="preserve"> apmērā. </w:t>
      </w:r>
    </w:p>
    <w:p w:rsidR="0042025B" w:rsidRDefault="0042025B" w:rsidP="0042025B">
      <w:pPr>
        <w:spacing w:after="120"/>
        <w:ind w:firstLine="720"/>
        <w:jc w:val="both"/>
        <w:rPr>
          <w:rFonts w:cs="Times New Roman"/>
          <w:szCs w:val="24"/>
        </w:rPr>
      </w:pPr>
      <w:r>
        <w:rPr>
          <w:rFonts w:cs="Times New Roman"/>
          <w:szCs w:val="24"/>
        </w:rPr>
        <w:t xml:space="preserve">Pieprasot papildu līdzekļus minētajai JPI, LM plānoja, ka 2015. un 2016.gadā pakalpojuma saņēmēju skaits būs 1 045 personas un </w:t>
      </w:r>
      <w:r w:rsidRPr="00135390">
        <w:rPr>
          <w:rFonts w:cs="Times New Roman"/>
          <w:szCs w:val="24"/>
        </w:rPr>
        <w:t>viena pakalpojuma saņēmēja izmaksas vidēji dienā</w:t>
      </w:r>
      <w:r>
        <w:rPr>
          <w:rFonts w:cs="Times New Roman"/>
          <w:szCs w:val="24"/>
        </w:rPr>
        <w:t xml:space="preserve"> būs 19,08 </w:t>
      </w:r>
      <w:r w:rsidRPr="00135390">
        <w:rPr>
          <w:rFonts w:cs="Times New Roman"/>
          <w:i/>
          <w:szCs w:val="24"/>
        </w:rPr>
        <w:t>euro</w:t>
      </w:r>
      <w:r>
        <w:rPr>
          <w:rFonts w:cs="Times New Roman"/>
          <w:szCs w:val="24"/>
        </w:rPr>
        <w:t xml:space="preserve"> apmērā</w:t>
      </w:r>
      <w:r w:rsidR="00814BA3">
        <w:rPr>
          <w:rFonts w:cs="Times New Roman"/>
          <w:szCs w:val="24"/>
        </w:rPr>
        <w:t xml:space="preserve"> (skat. tabulu Nr.3.40</w:t>
      </w:r>
      <w:r w:rsidR="00D86274">
        <w:rPr>
          <w:rFonts w:cs="Times New Roman"/>
          <w:szCs w:val="24"/>
        </w:rPr>
        <w:t>.</w:t>
      </w:r>
      <w:r w:rsidR="00814BA3">
        <w:rPr>
          <w:rFonts w:cs="Times New Roman"/>
          <w:szCs w:val="24"/>
        </w:rPr>
        <w:t>).</w:t>
      </w:r>
    </w:p>
    <w:p w:rsidR="0042025B" w:rsidRDefault="0042025B" w:rsidP="00DB6B53">
      <w:pPr>
        <w:jc w:val="right"/>
        <w:rPr>
          <w:rFonts w:cs="Times New Roman"/>
        </w:rPr>
      </w:pPr>
      <w:r w:rsidRPr="00814BA3">
        <w:rPr>
          <w:rFonts w:cs="Times New Roman"/>
        </w:rPr>
        <w:t>Tabula Nr.</w:t>
      </w:r>
      <w:r w:rsidR="00814BA3" w:rsidRPr="00814BA3">
        <w:rPr>
          <w:rFonts w:cs="Times New Roman"/>
        </w:rPr>
        <w:t>3.40</w:t>
      </w:r>
      <w:r w:rsidR="00D86274">
        <w:rPr>
          <w:rFonts w:cs="Times New Roman"/>
        </w:rPr>
        <w:t>.</w:t>
      </w:r>
    </w:p>
    <w:p w:rsidR="00FC239D" w:rsidRPr="00962120" w:rsidRDefault="00FC239D" w:rsidP="00DB6B53">
      <w:pPr>
        <w:spacing w:before="120" w:after="240"/>
        <w:jc w:val="center"/>
        <w:rPr>
          <w:rFonts w:cs="Times New Roman"/>
          <w:b/>
        </w:rPr>
      </w:pPr>
      <w:r w:rsidRPr="00962120">
        <w:rPr>
          <w:rFonts w:cs="Times New Roman"/>
          <w:b/>
        </w:rPr>
        <w:t>Finansējums apakšprogrammā 05.01.00 “Sociālās rehabilitācijas valsts programmas” ilgstošas sociālās aprūpes un sociālās rehabilitācijas pakalpojuma sniegšanai personām ar garīga rakstura traucējumiem</w:t>
      </w:r>
    </w:p>
    <w:tbl>
      <w:tblPr>
        <w:tblStyle w:val="TableGrid"/>
        <w:tblW w:w="5000" w:type="pct"/>
        <w:tblLook w:val="04A0" w:firstRow="1" w:lastRow="0" w:firstColumn="1" w:lastColumn="0" w:noHBand="0" w:noVBand="1"/>
      </w:tblPr>
      <w:tblGrid>
        <w:gridCol w:w="2680"/>
        <w:gridCol w:w="2258"/>
        <w:gridCol w:w="2258"/>
        <w:gridCol w:w="1865"/>
      </w:tblGrid>
      <w:tr w:rsidR="00FC239D" w:rsidRPr="00962120" w:rsidTr="00647367">
        <w:trPr>
          <w:trHeight w:val="475"/>
          <w:tblHeader/>
        </w:trPr>
        <w:tc>
          <w:tcPr>
            <w:tcW w:w="1479" w:type="pct"/>
            <w:shd w:val="clear" w:color="auto" w:fill="C5E0B3" w:themeFill="accent6" w:themeFillTint="66"/>
            <w:vAlign w:val="center"/>
          </w:tcPr>
          <w:p w:rsidR="00FC239D" w:rsidRPr="00962120" w:rsidRDefault="00FC239D" w:rsidP="00647367">
            <w:pPr>
              <w:jc w:val="center"/>
              <w:rPr>
                <w:rFonts w:cs="Times New Roman"/>
                <w:b/>
                <w:sz w:val="22"/>
              </w:rPr>
            </w:pPr>
            <w:r w:rsidRPr="00962120">
              <w:rPr>
                <w:rFonts w:cs="Times New Roman"/>
                <w:b/>
                <w:sz w:val="22"/>
              </w:rPr>
              <w:t>Rādītāji/Gads</w:t>
            </w:r>
          </w:p>
        </w:tc>
        <w:tc>
          <w:tcPr>
            <w:tcW w:w="1246" w:type="pct"/>
            <w:shd w:val="clear" w:color="auto" w:fill="C5E0B3" w:themeFill="accent6" w:themeFillTint="66"/>
            <w:vAlign w:val="center"/>
          </w:tcPr>
          <w:p w:rsidR="00FC239D" w:rsidRPr="00962120" w:rsidRDefault="00FC239D" w:rsidP="00647367">
            <w:pPr>
              <w:jc w:val="center"/>
              <w:rPr>
                <w:rFonts w:cs="Times New Roman"/>
                <w:b/>
                <w:sz w:val="22"/>
              </w:rPr>
            </w:pPr>
            <w:r w:rsidRPr="00962120">
              <w:rPr>
                <w:rFonts w:cs="Times New Roman"/>
                <w:b/>
                <w:sz w:val="22"/>
              </w:rPr>
              <w:t>2015. un 2016.gada sākotnējais plāns</w:t>
            </w:r>
          </w:p>
        </w:tc>
        <w:tc>
          <w:tcPr>
            <w:tcW w:w="1246" w:type="pct"/>
            <w:shd w:val="clear" w:color="auto" w:fill="C5E0B3" w:themeFill="accent6" w:themeFillTint="66"/>
            <w:vAlign w:val="center"/>
          </w:tcPr>
          <w:p w:rsidR="00FC239D" w:rsidRPr="00962120" w:rsidRDefault="00FC239D" w:rsidP="00647367">
            <w:pPr>
              <w:jc w:val="center"/>
              <w:rPr>
                <w:rFonts w:cs="Times New Roman"/>
                <w:b/>
                <w:sz w:val="22"/>
              </w:rPr>
            </w:pPr>
            <w:r w:rsidRPr="00962120">
              <w:rPr>
                <w:rFonts w:cs="Times New Roman"/>
                <w:b/>
                <w:sz w:val="22"/>
              </w:rPr>
              <w:t>2016.gada izpilde</w:t>
            </w:r>
          </w:p>
        </w:tc>
        <w:tc>
          <w:tcPr>
            <w:tcW w:w="1029" w:type="pct"/>
            <w:shd w:val="clear" w:color="auto" w:fill="C5E0B3" w:themeFill="accent6" w:themeFillTint="66"/>
            <w:vAlign w:val="center"/>
          </w:tcPr>
          <w:p w:rsidR="00FC239D" w:rsidRPr="00962120" w:rsidRDefault="00FC239D" w:rsidP="00647367">
            <w:pPr>
              <w:jc w:val="center"/>
              <w:rPr>
                <w:rFonts w:cs="Times New Roman"/>
                <w:b/>
                <w:sz w:val="22"/>
              </w:rPr>
            </w:pPr>
            <w:r w:rsidRPr="00962120">
              <w:rPr>
                <w:rFonts w:cs="Times New Roman"/>
                <w:b/>
                <w:sz w:val="22"/>
              </w:rPr>
              <w:t>2017.gada plāns</w:t>
            </w:r>
          </w:p>
        </w:tc>
      </w:tr>
      <w:tr w:rsidR="00FC239D" w:rsidRPr="00962120" w:rsidTr="00647367">
        <w:trPr>
          <w:trHeight w:val="518"/>
        </w:trPr>
        <w:tc>
          <w:tcPr>
            <w:tcW w:w="1479" w:type="pct"/>
            <w:shd w:val="clear" w:color="auto" w:fill="C5E0B3" w:themeFill="accent6" w:themeFillTint="66"/>
            <w:vAlign w:val="center"/>
          </w:tcPr>
          <w:p w:rsidR="00FC239D" w:rsidRPr="00962120" w:rsidRDefault="00FC239D" w:rsidP="00647367">
            <w:pPr>
              <w:rPr>
                <w:rFonts w:cs="Times New Roman"/>
                <w:b/>
                <w:sz w:val="22"/>
              </w:rPr>
            </w:pPr>
            <w:r w:rsidRPr="00962120">
              <w:rPr>
                <w:rFonts w:cs="Times New Roman"/>
                <w:b/>
                <w:sz w:val="22"/>
              </w:rPr>
              <w:t>Pakalpojuma saņēmēju skaits</w:t>
            </w:r>
          </w:p>
        </w:tc>
        <w:tc>
          <w:tcPr>
            <w:tcW w:w="1246" w:type="pct"/>
            <w:vAlign w:val="center"/>
          </w:tcPr>
          <w:p w:rsidR="00FC239D" w:rsidRPr="00962120" w:rsidRDefault="00FC239D" w:rsidP="00647367">
            <w:pPr>
              <w:jc w:val="center"/>
              <w:rPr>
                <w:rFonts w:cs="Times New Roman"/>
                <w:sz w:val="22"/>
              </w:rPr>
            </w:pPr>
            <w:r w:rsidRPr="00962120">
              <w:rPr>
                <w:rFonts w:cs="Times New Roman"/>
                <w:sz w:val="22"/>
              </w:rPr>
              <w:t>1 045</w:t>
            </w:r>
          </w:p>
        </w:tc>
        <w:tc>
          <w:tcPr>
            <w:tcW w:w="1246" w:type="pct"/>
            <w:vAlign w:val="center"/>
          </w:tcPr>
          <w:p w:rsidR="00FC239D" w:rsidRPr="00962120" w:rsidRDefault="00FC239D" w:rsidP="00647367">
            <w:pPr>
              <w:jc w:val="center"/>
              <w:rPr>
                <w:rFonts w:cs="Times New Roman"/>
                <w:sz w:val="22"/>
              </w:rPr>
            </w:pPr>
            <w:r w:rsidRPr="00962120">
              <w:rPr>
                <w:rFonts w:cs="Times New Roman"/>
                <w:sz w:val="22"/>
              </w:rPr>
              <w:t>969</w:t>
            </w:r>
          </w:p>
        </w:tc>
        <w:tc>
          <w:tcPr>
            <w:tcW w:w="1029" w:type="pct"/>
            <w:vAlign w:val="center"/>
          </w:tcPr>
          <w:p w:rsidR="00FC239D" w:rsidRPr="00962120" w:rsidRDefault="00FC239D" w:rsidP="00647367">
            <w:pPr>
              <w:jc w:val="center"/>
              <w:rPr>
                <w:rFonts w:cs="Times New Roman"/>
                <w:sz w:val="22"/>
              </w:rPr>
            </w:pPr>
            <w:r w:rsidRPr="00962120">
              <w:rPr>
                <w:rFonts w:cs="Times New Roman"/>
                <w:sz w:val="22"/>
              </w:rPr>
              <w:t>979</w:t>
            </w:r>
          </w:p>
        </w:tc>
      </w:tr>
      <w:tr w:rsidR="00FC239D" w:rsidRPr="00962120" w:rsidTr="00647367">
        <w:trPr>
          <w:trHeight w:val="657"/>
        </w:trPr>
        <w:tc>
          <w:tcPr>
            <w:tcW w:w="1479" w:type="pct"/>
            <w:shd w:val="clear" w:color="auto" w:fill="C5E0B3" w:themeFill="accent6" w:themeFillTint="66"/>
            <w:vAlign w:val="center"/>
          </w:tcPr>
          <w:p w:rsidR="00FC239D" w:rsidRPr="00962120" w:rsidRDefault="00FC239D" w:rsidP="00647367">
            <w:pPr>
              <w:rPr>
                <w:rFonts w:cs="Times New Roman"/>
                <w:b/>
                <w:sz w:val="22"/>
              </w:rPr>
            </w:pPr>
            <w:r w:rsidRPr="00962120">
              <w:rPr>
                <w:rFonts w:cs="Times New Roman"/>
                <w:b/>
                <w:sz w:val="22"/>
              </w:rPr>
              <w:t xml:space="preserve">Viena pakalpojuma saņēmēja izmaksas vidēji dienā </w:t>
            </w:r>
            <w:r w:rsidRPr="00962120">
              <w:rPr>
                <w:rFonts w:cs="Times New Roman"/>
                <w:b/>
                <w:i/>
                <w:sz w:val="22"/>
              </w:rPr>
              <w:t>(euro)</w:t>
            </w:r>
          </w:p>
        </w:tc>
        <w:tc>
          <w:tcPr>
            <w:tcW w:w="1246" w:type="pct"/>
            <w:vAlign w:val="center"/>
          </w:tcPr>
          <w:p w:rsidR="00FC239D" w:rsidRPr="00962120" w:rsidRDefault="00FC239D" w:rsidP="00647367">
            <w:pPr>
              <w:jc w:val="center"/>
              <w:rPr>
                <w:rFonts w:cs="Times New Roman"/>
                <w:sz w:val="22"/>
              </w:rPr>
            </w:pPr>
            <w:r w:rsidRPr="00962120">
              <w:rPr>
                <w:rFonts w:cs="Times New Roman"/>
                <w:sz w:val="22"/>
              </w:rPr>
              <w:t>19,08</w:t>
            </w:r>
          </w:p>
        </w:tc>
        <w:tc>
          <w:tcPr>
            <w:tcW w:w="1246" w:type="pct"/>
            <w:vAlign w:val="center"/>
          </w:tcPr>
          <w:p w:rsidR="00FC239D" w:rsidRPr="00962120" w:rsidRDefault="00FC239D" w:rsidP="00647367">
            <w:pPr>
              <w:jc w:val="center"/>
              <w:rPr>
                <w:rFonts w:cs="Times New Roman"/>
                <w:sz w:val="22"/>
              </w:rPr>
            </w:pPr>
            <w:r w:rsidRPr="00962120">
              <w:rPr>
                <w:rFonts w:cs="Times New Roman"/>
                <w:sz w:val="22"/>
              </w:rPr>
              <w:t>18,20</w:t>
            </w:r>
          </w:p>
        </w:tc>
        <w:tc>
          <w:tcPr>
            <w:tcW w:w="1029" w:type="pct"/>
            <w:vAlign w:val="center"/>
          </w:tcPr>
          <w:p w:rsidR="00FC239D" w:rsidRPr="00962120" w:rsidRDefault="00FC239D" w:rsidP="00647367">
            <w:pPr>
              <w:jc w:val="center"/>
              <w:rPr>
                <w:rFonts w:cs="Times New Roman"/>
                <w:sz w:val="22"/>
              </w:rPr>
            </w:pPr>
            <w:r w:rsidRPr="00962120">
              <w:rPr>
                <w:rFonts w:cs="Times New Roman"/>
                <w:sz w:val="22"/>
              </w:rPr>
              <w:t>19,06</w:t>
            </w:r>
          </w:p>
        </w:tc>
      </w:tr>
      <w:tr w:rsidR="00FC239D" w:rsidRPr="00962120" w:rsidTr="00647367">
        <w:trPr>
          <w:trHeight w:val="478"/>
        </w:trPr>
        <w:tc>
          <w:tcPr>
            <w:tcW w:w="1479" w:type="pct"/>
            <w:shd w:val="clear" w:color="auto" w:fill="C5E0B3" w:themeFill="accent6" w:themeFillTint="66"/>
            <w:vAlign w:val="center"/>
          </w:tcPr>
          <w:p w:rsidR="00FC239D" w:rsidRPr="00962120" w:rsidRDefault="00FC239D" w:rsidP="00647367">
            <w:pPr>
              <w:rPr>
                <w:rFonts w:cs="Times New Roman"/>
                <w:b/>
                <w:sz w:val="22"/>
              </w:rPr>
            </w:pPr>
            <w:r w:rsidRPr="00962120">
              <w:rPr>
                <w:rFonts w:cs="Times New Roman"/>
                <w:b/>
                <w:sz w:val="22"/>
              </w:rPr>
              <w:t>Izdevumi kopā</w:t>
            </w:r>
          </w:p>
        </w:tc>
        <w:tc>
          <w:tcPr>
            <w:tcW w:w="1246" w:type="pct"/>
            <w:vAlign w:val="center"/>
          </w:tcPr>
          <w:p w:rsidR="00FC239D" w:rsidRPr="00962120" w:rsidRDefault="00FC239D" w:rsidP="00647367">
            <w:pPr>
              <w:jc w:val="center"/>
              <w:rPr>
                <w:rFonts w:cs="Times New Roman"/>
                <w:sz w:val="22"/>
              </w:rPr>
            </w:pPr>
            <w:r w:rsidRPr="00962120">
              <w:rPr>
                <w:rFonts w:cs="Times New Roman"/>
                <w:sz w:val="22"/>
              </w:rPr>
              <w:t>7 277 589</w:t>
            </w:r>
          </w:p>
        </w:tc>
        <w:tc>
          <w:tcPr>
            <w:tcW w:w="1246" w:type="pct"/>
            <w:vAlign w:val="center"/>
          </w:tcPr>
          <w:p w:rsidR="00FC239D" w:rsidRPr="00962120" w:rsidRDefault="00FC239D" w:rsidP="00647367">
            <w:pPr>
              <w:jc w:val="center"/>
              <w:rPr>
                <w:rFonts w:cs="Times New Roman"/>
                <w:sz w:val="22"/>
              </w:rPr>
            </w:pPr>
            <w:r w:rsidRPr="00962120">
              <w:rPr>
                <w:rFonts w:cs="Times New Roman"/>
                <w:sz w:val="22"/>
              </w:rPr>
              <w:t>6 359 132</w:t>
            </w:r>
          </w:p>
        </w:tc>
        <w:tc>
          <w:tcPr>
            <w:tcW w:w="1029" w:type="pct"/>
            <w:vAlign w:val="center"/>
          </w:tcPr>
          <w:p w:rsidR="00FC239D" w:rsidRPr="00962120" w:rsidRDefault="00FC239D" w:rsidP="00647367">
            <w:pPr>
              <w:jc w:val="center"/>
              <w:rPr>
                <w:rFonts w:cs="Times New Roman"/>
                <w:sz w:val="22"/>
              </w:rPr>
            </w:pPr>
            <w:r w:rsidRPr="00962120">
              <w:rPr>
                <w:rFonts w:cs="Times New Roman"/>
                <w:sz w:val="22"/>
              </w:rPr>
              <w:t>6 810 805</w:t>
            </w:r>
          </w:p>
        </w:tc>
      </w:tr>
    </w:tbl>
    <w:p w:rsidR="00FC239D" w:rsidRPr="00962120" w:rsidRDefault="00FC239D" w:rsidP="00FC239D">
      <w:pPr>
        <w:ind w:firstLine="720"/>
        <w:jc w:val="both"/>
        <w:rPr>
          <w:rFonts w:cs="Times New Roman"/>
          <w:szCs w:val="24"/>
        </w:rPr>
      </w:pPr>
    </w:p>
    <w:p w:rsidR="00FC239D" w:rsidRPr="00962120" w:rsidRDefault="00FC239D" w:rsidP="00FC239D">
      <w:pPr>
        <w:spacing w:after="120"/>
        <w:ind w:firstLine="720"/>
        <w:jc w:val="both"/>
        <w:rPr>
          <w:rFonts w:cs="Times New Roman"/>
          <w:szCs w:val="24"/>
        </w:rPr>
      </w:pPr>
      <w:r w:rsidRPr="00962120">
        <w:rPr>
          <w:rFonts w:cs="Times New Roman"/>
          <w:szCs w:val="24"/>
        </w:rPr>
        <w:t xml:space="preserve">Tomēr atbilstoši 2016.gada faktiskajai izpildei pakalpojuma saņēmēju skaits bija 969 personas, kas ir par 76 pakalpojuma saņēmējiem mazāk nekā tika plānots, kā arī viena pakalpojuma saņēmēja izmaksas vidēji dienā bija 18,20 </w:t>
      </w:r>
      <w:r w:rsidRPr="00962120">
        <w:rPr>
          <w:rFonts w:cs="Times New Roman"/>
          <w:i/>
          <w:szCs w:val="24"/>
        </w:rPr>
        <w:t>euro</w:t>
      </w:r>
      <w:r w:rsidRPr="00962120">
        <w:rPr>
          <w:rFonts w:cs="Times New Roman"/>
          <w:szCs w:val="24"/>
        </w:rPr>
        <w:t xml:space="preserve"> apmērā, kas ir par 0,88 </w:t>
      </w:r>
      <w:r w:rsidRPr="00962120">
        <w:rPr>
          <w:rFonts w:cs="Times New Roman"/>
          <w:i/>
          <w:szCs w:val="24"/>
        </w:rPr>
        <w:t>euro</w:t>
      </w:r>
      <w:r w:rsidRPr="00962120">
        <w:rPr>
          <w:rFonts w:cs="Times New Roman"/>
          <w:szCs w:val="24"/>
        </w:rPr>
        <w:t xml:space="preserve"> mazāk nekā tika plānots.</w:t>
      </w:r>
    </w:p>
    <w:p w:rsidR="00FC239D" w:rsidRPr="00962120" w:rsidRDefault="00FC239D" w:rsidP="00FC239D">
      <w:pPr>
        <w:spacing w:after="120"/>
        <w:ind w:firstLine="720"/>
        <w:jc w:val="both"/>
        <w:rPr>
          <w:rFonts w:cs="Times New Roman"/>
          <w:szCs w:val="24"/>
        </w:rPr>
      </w:pPr>
      <w:r w:rsidRPr="00962120">
        <w:rPr>
          <w:rFonts w:cs="Times New Roman"/>
          <w:szCs w:val="24"/>
        </w:rPr>
        <w:t xml:space="preserve">Rezultātā izveidojies līdzekļu ietaupījums 529 280 </w:t>
      </w:r>
      <w:r w:rsidRPr="00962120">
        <w:rPr>
          <w:rFonts w:cs="Times New Roman"/>
          <w:i/>
          <w:szCs w:val="24"/>
        </w:rPr>
        <w:t>euro</w:t>
      </w:r>
      <w:r w:rsidRPr="00962120">
        <w:rPr>
          <w:rFonts w:cs="Times New Roman"/>
          <w:szCs w:val="24"/>
        </w:rPr>
        <w:t xml:space="preserve"> apmērā (76 pakalpojuma saņēmēji*19,08 viena pakalpojuma saņēmēja izmaksas vidēji dienā*365 dienas gadā), kas atbilstoši LM priekšlikumam likuma “Par valsts budžetu 2016.gadam” un likuma “Par vidēja termiņa budžeta ietvaru 2016., 2017. un 2018.gadam” sagatavošanas procesā tika pārdalīts uz LM apakšprogrammu 05.03.00 “Aprūpe valsts sociālās aprūpes institūcijās”, lai minēto 76 personu aprūpi nodrošinātu Valsts sociālās aprūpes centra “Rīga” filiālē “Ezerkrasti”.</w:t>
      </w:r>
    </w:p>
    <w:p w:rsidR="00FC239D" w:rsidRPr="00962120" w:rsidRDefault="00FC239D" w:rsidP="00FC239D">
      <w:pPr>
        <w:spacing w:after="120"/>
        <w:ind w:firstLine="720"/>
        <w:jc w:val="both"/>
        <w:rPr>
          <w:rFonts w:cs="Times New Roman"/>
          <w:szCs w:val="24"/>
        </w:rPr>
      </w:pPr>
      <w:r w:rsidRPr="00962120">
        <w:rPr>
          <w:rFonts w:cs="Times New Roman"/>
          <w:szCs w:val="24"/>
        </w:rPr>
        <w:t xml:space="preserve">Atbilstoši LM sniegtajai informācijai iepirkuma rezultātā ir noslēgti līgumi par minētā pakalpojuma sniegšanu 2017.- 2018.gadā 19,06 </w:t>
      </w:r>
      <w:r w:rsidRPr="00962120">
        <w:rPr>
          <w:rFonts w:cs="Times New Roman"/>
          <w:i/>
          <w:szCs w:val="24"/>
        </w:rPr>
        <w:t>euro</w:t>
      </w:r>
      <w:r w:rsidRPr="00962120">
        <w:rPr>
          <w:rFonts w:cs="Times New Roman"/>
          <w:szCs w:val="24"/>
        </w:rPr>
        <w:t xml:space="preserve"> apmērā vidēji dienā par 1 pakalpojuma saņēmēju. </w:t>
      </w:r>
    </w:p>
    <w:p w:rsidR="002D4FF7" w:rsidRPr="002D4FF7" w:rsidRDefault="002D4FF7" w:rsidP="00DB6B53">
      <w:pPr>
        <w:spacing w:before="120" w:after="120"/>
        <w:jc w:val="both"/>
        <w:rPr>
          <w:rFonts w:cs="Times New Roman"/>
          <w:b/>
          <w:bCs/>
          <w:szCs w:val="24"/>
        </w:rPr>
      </w:pPr>
      <w:r>
        <w:rPr>
          <w:rFonts w:cs="Times New Roman"/>
          <w:b/>
          <w:bCs/>
          <w:szCs w:val="24"/>
        </w:rPr>
        <w:t>TM</w:t>
      </w:r>
      <w:r w:rsidRPr="002D4FF7">
        <w:rPr>
          <w:rFonts w:cs="Times New Roman"/>
          <w:b/>
          <w:bCs/>
          <w:szCs w:val="24"/>
        </w:rPr>
        <w:t xml:space="preserve"> – Iestāša</w:t>
      </w:r>
      <w:r w:rsidR="00DB6B53">
        <w:rPr>
          <w:rFonts w:cs="Times New Roman"/>
          <w:b/>
          <w:bCs/>
          <w:szCs w:val="24"/>
        </w:rPr>
        <w:t>nās OECD pasākumu nodrošināšana</w:t>
      </w:r>
    </w:p>
    <w:p w:rsidR="002D4FF7" w:rsidRPr="002D4FF7" w:rsidRDefault="002D4FF7" w:rsidP="009866B6">
      <w:pPr>
        <w:spacing w:after="120"/>
        <w:ind w:firstLine="709"/>
        <w:jc w:val="both"/>
        <w:rPr>
          <w:rFonts w:cs="Times New Roman"/>
          <w:szCs w:val="24"/>
        </w:rPr>
      </w:pPr>
      <w:r w:rsidRPr="002D4FF7">
        <w:rPr>
          <w:rFonts w:cs="Times New Roman"/>
          <w:szCs w:val="24"/>
        </w:rPr>
        <w:lastRenderedPageBreak/>
        <w:t>TM programmā 97.00.00 “Nozaru vadība un politikas plānošana” 2014.</w:t>
      </w:r>
      <w:r w:rsidRPr="002D4FF7">
        <w:rPr>
          <w:rFonts w:cs="Times New Roman"/>
          <w:szCs w:val="24"/>
        </w:rPr>
        <w:noBreakHyphen/>
        <w:t xml:space="preserve">2016.gada budžeta ietvarā piešķirts finansējums JPI “Iestāšanās OECD pasākumu nodrošināšana” 2014.gadam un turpmāk 37 875 </w:t>
      </w:r>
      <w:r w:rsidRPr="002D4FF7">
        <w:rPr>
          <w:rFonts w:cs="Times New Roman"/>
          <w:i/>
          <w:iCs/>
          <w:szCs w:val="24"/>
        </w:rPr>
        <w:t>euro</w:t>
      </w:r>
      <w:r w:rsidRPr="002D4FF7">
        <w:rPr>
          <w:rFonts w:cs="Times New Roman"/>
          <w:szCs w:val="24"/>
        </w:rPr>
        <w:t xml:space="preserve"> ik gadu.</w:t>
      </w:r>
    </w:p>
    <w:p w:rsidR="002D4FF7" w:rsidRPr="002D4FF7" w:rsidRDefault="002D4FF7" w:rsidP="002D4FF7">
      <w:pPr>
        <w:spacing w:after="120"/>
        <w:ind w:firstLine="709"/>
        <w:jc w:val="both"/>
        <w:rPr>
          <w:rFonts w:cs="Times New Roman"/>
          <w:szCs w:val="24"/>
        </w:rPr>
      </w:pPr>
      <w:r w:rsidRPr="002D4FF7">
        <w:rPr>
          <w:rFonts w:cs="Times New Roman"/>
          <w:szCs w:val="24"/>
        </w:rPr>
        <w:t xml:space="preserve">Ņemot vērā, ka Latvija pievienojās OECD 2016.gadā 2.jūnijā un ka daļēji par minēto finansējumu joprojām tiek nodrošināta </w:t>
      </w:r>
      <w:r>
        <w:rPr>
          <w:rFonts w:cs="Times New Roman"/>
          <w:szCs w:val="24"/>
        </w:rPr>
        <w:t>TM</w:t>
      </w:r>
      <w:r w:rsidRPr="002D4FF7">
        <w:rPr>
          <w:rFonts w:cs="Times New Roman"/>
          <w:szCs w:val="24"/>
        </w:rPr>
        <w:t xml:space="preserve"> pārstāvja dalība un pārstāvība OECD Kukuļošanas apkarošanas darba grupā, līdz ar to pārējā finansējuma </w:t>
      </w:r>
      <w:r w:rsidRPr="002D4FF7">
        <w:rPr>
          <w:rFonts w:cs="Times New Roman"/>
          <w:bCs/>
          <w:szCs w:val="24"/>
        </w:rPr>
        <w:t xml:space="preserve">daļa 12 139 </w:t>
      </w:r>
      <w:r w:rsidRPr="002D4FF7">
        <w:rPr>
          <w:rFonts w:cs="Times New Roman"/>
          <w:bCs/>
          <w:i/>
          <w:iCs/>
          <w:szCs w:val="24"/>
        </w:rPr>
        <w:t>euro</w:t>
      </w:r>
      <w:r w:rsidRPr="002D4FF7">
        <w:rPr>
          <w:rFonts w:cs="Times New Roman"/>
          <w:bCs/>
          <w:szCs w:val="24"/>
        </w:rPr>
        <w:t xml:space="preserve"> apmērā</w:t>
      </w:r>
      <w:r w:rsidRPr="002D4FF7">
        <w:rPr>
          <w:rFonts w:cs="Times New Roman"/>
          <w:szCs w:val="24"/>
        </w:rPr>
        <w:t xml:space="preserve">, kas bija paredzēta, lai nodrošinātu komandējumus citai amatpersonai un vienam ekspertam, sākot ar 2018.gadu, ir novirzāma TM aktuālāku pasākumu īstenošanai. </w:t>
      </w:r>
    </w:p>
    <w:p w:rsidR="00587B9B" w:rsidRPr="00F208B8" w:rsidRDefault="00587B9B" w:rsidP="00587B9B">
      <w:pPr>
        <w:spacing w:after="120"/>
        <w:ind w:firstLine="709"/>
        <w:jc w:val="both"/>
        <w:rPr>
          <w:rFonts w:cs="Times New Roman"/>
          <w:szCs w:val="24"/>
        </w:rPr>
      </w:pPr>
      <w:r w:rsidRPr="00587B9B">
        <w:rPr>
          <w:rFonts w:cs="Times New Roman"/>
          <w:szCs w:val="24"/>
        </w:rPr>
        <w:t>TM ir sniegusi informāciju, ka piešķirtais finansējums jau sākotnēji tika paredzēts arī turpmākiem pienākumiem, nodrošinot dalību OECD, nevis tikai līdz Latvijas iestāšanās laikam OECD</w:t>
      </w:r>
      <w:r w:rsidR="00F208B8">
        <w:rPr>
          <w:rFonts w:cs="Times New Roman"/>
          <w:szCs w:val="24"/>
        </w:rPr>
        <w:t xml:space="preserve"> un </w:t>
      </w:r>
      <w:r w:rsidRPr="00F208B8">
        <w:rPr>
          <w:rFonts w:cs="Times New Roman"/>
          <w:szCs w:val="24"/>
        </w:rPr>
        <w:t>TM ieskatā finansējums šim mērķim nav samazināms.</w:t>
      </w:r>
    </w:p>
    <w:p w:rsidR="002D4FF7" w:rsidRDefault="002D4FF7" w:rsidP="00DB6B53">
      <w:pPr>
        <w:spacing w:before="120" w:after="120"/>
        <w:jc w:val="both"/>
        <w:rPr>
          <w:rFonts w:cs="Times New Roman"/>
          <w:b/>
          <w:bCs/>
          <w:szCs w:val="24"/>
        </w:rPr>
      </w:pPr>
      <w:r>
        <w:rPr>
          <w:rFonts w:cs="Times New Roman"/>
          <w:b/>
          <w:bCs/>
          <w:szCs w:val="24"/>
        </w:rPr>
        <w:t>TM</w:t>
      </w:r>
      <w:r w:rsidRPr="002D4FF7">
        <w:rPr>
          <w:rFonts w:cs="Times New Roman"/>
          <w:b/>
          <w:bCs/>
          <w:szCs w:val="24"/>
        </w:rPr>
        <w:t xml:space="preserve"> (Zemesgrāmatu nodaļas, rajonu (pilsētu) tiesas, apgabaltiesas)</w:t>
      </w:r>
      <w:r>
        <w:rPr>
          <w:rFonts w:cs="Times New Roman"/>
          <w:b/>
          <w:bCs/>
          <w:szCs w:val="24"/>
        </w:rPr>
        <w:t xml:space="preserve"> </w:t>
      </w:r>
      <w:r w:rsidRPr="002D4FF7">
        <w:rPr>
          <w:rFonts w:cs="Times New Roman"/>
          <w:b/>
          <w:bCs/>
          <w:szCs w:val="24"/>
        </w:rPr>
        <w:t>– Lietu izskatīšanas termiņu samazināšana</w:t>
      </w:r>
    </w:p>
    <w:p w:rsidR="002D4FF7" w:rsidRPr="002D4FF7" w:rsidRDefault="002D4FF7" w:rsidP="00814BA3">
      <w:pPr>
        <w:spacing w:after="120"/>
        <w:ind w:firstLine="720"/>
        <w:jc w:val="both"/>
        <w:rPr>
          <w:rFonts w:cs="Times New Roman"/>
          <w:szCs w:val="24"/>
        </w:rPr>
      </w:pPr>
      <w:r w:rsidRPr="002D4FF7">
        <w:rPr>
          <w:rFonts w:cs="Times New Roman"/>
          <w:szCs w:val="24"/>
        </w:rPr>
        <w:t>TM apakšprogrammā 03.02.00 “Apgabaltiesas un rajonu (pilsētu) tiesas” 2014.</w:t>
      </w:r>
      <w:r w:rsidRPr="002D4FF7">
        <w:rPr>
          <w:rFonts w:cs="Times New Roman"/>
          <w:szCs w:val="24"/>
        </w:rPr>
        <w:noBreakHyphen/>
        <w:t xml:space="preserve">2016.gada budžeta ietvarā piešķirts finansējums JPI “Lietu izskatīšanas termiņu samazināšana” 2014.gadam  289 054 </w:t>
      </w:r>
      <w:r w:rsidRPr="002D4FF7">
        <w:rPr>
          <w:rFonts w:cs="Times New Roman"/>
          <w:i/>
          <w:iCs/>
          <w:szCs w:val="24"/>
        </w:rPr>
        <w:t>euro</w:t>
      </w:r>
      <w:r w:rsidRPr="002D4FF7">
        <w:rPr>
          <w:rFonts w:cs="Times New Roman"/>
          <w:szCs w:val="24"/>
        </w:rPr>
        <w:t xml:space="preserve"> un 2015.gadam un turpmāk 391 885 </w:t>
      </w:r>
      <w:r w:rsidRPr="002D4FF7">
        <w:rPr>
          <w:rFonts w:cs="Times New Roman"/>
          <w:i/>
          <w:iCs/>
          <w:szCs w:val="24"/>
        </w:rPr>
        <w:t>euro</w:t>
      </w:r>
      <w:r w:rsidRPr="002D4FF7">
        <w:rPr>
          <w:rFonts w:cs="Times New Roman"/>
          <w:szCs w:val="24"/>
        </w:rPr>
        <w:t xml:space="preserve"> ik gadu papildu 18 amata vietu izveidei ar mērķi samazināt tiesu noslodzi un lietu izskatīšanas termiņus.</w:t>
      </w:r>
    </w:p>
    <w:p w:rsidR="002D4FF7" w:rsidRPr="00DB6B53" w:rsidRDefault="002D4FF7" w:rsidP="00814BA3">
      <w:pPr>
        <w:spacing w:after="120"/>
        <w:ind w:firstLine="720"/>
        <w:jc w:val="both"/>
        <w:rPr>
          <w:rFonts w:cs="Times New Roman"/>
          <w:szCs w:val="24"/>
        </w:rPr>
      </w:pPr>
      <w:r w:rsidRPr="002D4FF7">
        <w:rPr>
          <w:rFonts w:cs="Times New Roman"/>
          <w:szCs w:val="24"/>
        </w:rPr>
        <w:t>2015.</w:t>
      </w:r>
      <w:r w:rsidR="00F208B8">
        <w:rPr>
          <w:rFonts w:cs="Times New Roman"/>
          <w:szCs w:val="24"/>
        </w:rPr>
        <w:t xml:space="preserve">, </w:t>
      </w:r>
      <w:r w:rsidRPr="002D4FF7">
        <w:rPr>
          <w:rFonts w:cs="Times New Roman"/>
          <w:szCs w:val="24"/>
        </w:rPr>
        <w:t>2016.gada izpildes rezultatīvie rādītāji liecina, ka apgabaltiesu un rajonu (pilsētu) tiesu lietu caurlaides spējas rādītājs (</w:t>
      </w:r>
      <w:r w:rsidRPr="002D4FF7">
        <w:rPr>
          <w:rFonts w:cs="Times New Roman"/>
          <w:i/>
          <w:iCs/>
          <w:szCs w:val="24"/>
        </w:rPr>
        <w:t>clearance rate</w:t>
      </w:r>
      <w:r w:rsidRPr="002D4FF7">
        <w:rPr>
          <w:rFonts w:cs="Times New Roman"/>
          <w:szCs w:val="24"/>
        </w:rPr>
        <w:t xml:space="preserve">), kas atspoguļo sakarību starp saņemtām lietām (jeb ienākošajām lietām) un pabeigtajām lietām (jeb izskatītajām lietām) noteiktā laika posmā, izteikts procentos, lielākoties palielinās ik gadu attiecībā uz administratīvo, kā arī civillietu un krimināllietu izskatīšanu pirmās instances tiesās un apelācijas instances tiesās, kas daļēji saistīts ar lietu skaita samazināšanos un liecina par lietu izskatīšanas termiņu samazināšanos. Vienlaikus 2015.gada 12 mēnešu izdevumu izpilde apakšprogrammā 03.02.00 “Apgabaltiesas un rajonu (pilsētu) tiesas” liecina, ka izdevumi atlīdzībai nav izlietoti 44,5 tūkst. </w:t>
      </w:r>
      <w:r w:rsidRPr="002D4FF7">
        <w:rPr>
          <w:rFonts w:cs="Times New Roman"/>
          <w:i/>
          <w:iCs/>
          <w:szCs w:val="24"/>
        </w:rPr>
        <w:t>euro</w:t>
      </w:r>
      <w:r w:rsidRPr="002D4FF7">
        <w:rPr>
          <w:rFonts w:cs="Times New Roman"/>
          <w:szCs w:val="24"/>
        </w:rPr>
        <w:t>, jo nav nokomplektētas 32 tiesu darbinieku un 14 tiesnešu amata vietas, 2016.gada 12 mēnešu izdevumu izpilde apakšprogrammā 03.02.00 “Apgabaltiesas un rajonu (pilsētu) tiesas” liecina, ka netika izlietoti 19,9 tūkst.</w:t>
      </w:r>
      <w:r>
        <w:rPr>
          <w:rFonts w:cs="Times New Roman"/>
          <w:szCs w:val="24"/>
        </w:rPr>
        <w:t xml:space="preserve"> </w:t>
      </w:r>
      <w:r w:rsidRPr="002D4FF7">
        <w:rPr>
          <w:rFonts w:cs="Times New Roman"/>
          <w:i/>
          <w:iCs/>
          <w:szCs w:val="24"/>
        </w:rPr>
        <w:t>euro</w:t>
      </w:r>
      <w:r w:rsidRPr="002D4FF7">
        <w:rPr>
          <w:rFonts w:cs="Times New Roman"/>
          <w:szCs w:val="24"/>
        </w:rPr>
        <w:t>, 2017.gada 3 mēnešu izpilde liecina, ka vien pirmajā ceturksnī nav izlietoti 460,5 tūkst.</w:t>
      </w:r>
      <w:r>
        <w:rPr>
          <w:rFonts w:cs="Times New Roman"/>
          <w:szCs w:val="24"/>
        </w:rPr>
        <w:t xml:space="preserve"> </w:t>
      </w:r>
      <w:r w:rsidRPr="002D4FF7">
        <w:rPr>
          <w:rFonts w:cs="Times New Roman"/>
          <w:i/>
          <w:iCs/>
          <w:szCs w:val="24"/>
        </w:rPr>
        <w:t>euro</w:t>
      </w:r>
      <w:r w:rsidRPr="002D4FF7">
        <w:rPr>
          <w:rFonts w:cs="Times New Roman"/>
          <w:szCs w:val="24"/>
        </w:rPr>
        <w:t xml:space="preserve"> sa</w:t>
      </w:r>
      <w:r w:rsidR="00814BA3">
        <w:rPr>
          <w:rFonts w:cs="Times New Roman"/>
          <w:szCs w:val="24"/>
        </w:rPr>
        <w:t>karā ar 13 tiesneša amata vietu</w:t>
      </w:r>
      <w:r w:rsidRPr="002D4FF7">
        <w:rPr>
          <w:rFonts w:cs="Times New Roman"/>
          <w:szCs w:val="24"/>
        </w:rPr>
        <w:t xml:space="preserve"> un 29 intelektuālā darba veicēju amata vietu vakancēm. Ņemot vērā JPI mērķa sasniegšanu, būtiski nemainot</w:t>
      </w:r>
      <w:r w:rsidR="00F01626">
        <w:rPr>
          <w:rFonts w:cs="Times New Roman"/>
          <w:szCs w:val="24"/>
        </w:rPr>
        <w:t>ies kopējam amata vietu skaitam</w:t>
      </w:r>
      <w:r w:rsidRPr="002D4FF7">
        <w:rPr>
          <w:rFonts w:cs="Times New Roman"/>
          <w:szCs w:val="24"/>
        </w:rPr>
        <w:t xml:space="preserve">, kā arī plānoto izdevumu atlīdzībai neizpildi, finansējums vismaz </w:t>
      </w:r>
      <w:r w:rsidRPr="002D4FF7">
        <w:rPr>
          <w:rFonts w:cs="Times New Roman"/>
          <w:bCs/>
          <w:szCs w:val="24"/>
        </w:rPr>
        <w:t xml:space="preserve">100 000 </w:t>
      </w:r>
      <w:r w:rsidRPr="002D4FF7">
        <w:rPr>
          <w:rFonts w:cs="Times New Roman"/>
          <w:bCs/>
          <w:i/>
          <w:szCs w:val="24"/>
        </w:rPr>
        <w:t>euro</w:t>
      </w:r>
      <w:r w:rsidRPr="002D4FF7">
        <w:rPr>
          <w:rFonts w:cs="Times New Roman"/>
          <w:szCs w:val="24"/>
        </w:rPr>
        <w:t xml:space="preserve"> ir novirzāms TM aktuālāku pasākumu īstenošanai, piemēram, drošības nodrošināšanai tiesām, kur atbilstoši TM sniegtajai informācijai ir prognozējama būti</w:t>
      </w:r>
      <w:r w:rsidR="00DB6B53">
        <w:rPr>
          <w:rFonts w:cs="Times New Roman"/>
          <w:szCs w:val="24"/>
        </w:rPr>
        <w:t>ska finansējuma nepietiekamība.</w:t>
      </w:r>
    </w:p>
    <w:p w:rsidR="002D4FF7" w:rsidRPr="002D4FF7" w:rsidRDefault="002D4FF7" w:rsidP="002D4FF7">
      <w:pPr>
        <w:spacing w:after="120"/>
        <w:jc w:val="both"/>
        <w:rPr>
          <w:rFonts w:cs="Times New Roman"/>
          <w:b/>
          <w:bCs/>
          <w:szCs w:val="24"/>
        </w:rPr>
      </w:pPr>
      <w:r>
        <w:rPr>
          <w:rFonts w:cs="Times New Roman"/>
          <w:b/>
          <w:bCs/>
          <w:szCs w:val="24"/>
        </w:rPr>
        <w:t>TM</w:t>
      </w:r>
      <w:r w:rsidRPr="002D4FF7">
        <w:rPr>
          <w:rFonts w:cs="Times New Roman"/>
          <w:b/>
          <w:bCs/>
          <w:szCs w:val="24"/>
        </w:rPr>
        <w:t xml:space="preserve"> – Notiesātās personas resocializācijas procesa īstenošana</w:t>
      </w:r>
    </w:p>
    <w:p w:rsidR="002D4FF7" w:rsidRPr="002D4FF7" w:rsidRDefault="002D4FF7" w:rsidP="00814BA3">
      <w:pPr>
        <w:spacing w:after="120"/>
        <w:ind w:firstLine="720"/>
        <w:jc w:val="both"/>
        <w:rPr>
          <w:rFonts w:cs="Times New Roman"/>
          <w:szCs w:val="24"/>
        </w:rPr>
      </w:pPr>
      <w:r w:rsidRPr="002D4FF7">
        <w:rPr>
          <w:rFonts w:cs="Times New Roman"/>
          <w:szCs w:val="24"/>
        </w:rPr>
        <w:t>TM apakšprogrammā 04.01.00 “Ieslodzījuma vietas” 2014.</w:t>
      </w:r>
      <w:r w:rsidRPr="002D4FF7">
        <w:rPr>
          <w:rFonts w:cs="Times New Roman"/>
          <w:szCs w:val="24"/>
        </w:rPr>
        <w:noBreakHyphen/>
        <w:t xml:space="preserve">2016.gada budžeta ietvarā piešķirts finansējums JPI “Notiesātās personas resocializācijas procesa īstenošana” 2014.gadam  506 642 </w:t>
      </w:r>
      <w:r w:rsidRPr="002D4FF7">
        <w:rPr>
          <w:rFonts w:cs="Times New Roman"/>
          <w:i/>
          <w:iCs/>
          <w:szCs w:val="24"/>
        </w:rPr>
        <w:t>euro</w:t>
      </w:r>
      <w:r w:rsidRPr="002D4FF7">
        <w:rPr>
          <w:rFonts w:cs="Times New Roman"/>
          <w:szCs w:val="24"/>
        </w:rPr>
        <w:t xml:space="preserve">, 2015.gadam 1 344 385 </w:t>
      </w:r>
      <w:r w:rsidRPr="002D4FF7">
        <w:rPr>
          <w:rFonts w:cs="Times New Roman"/>
          <w:i/>
          <w:iCs/>
          <w:szCs w:val="24"/>
        </w:rPr>
        <w:t>euro</w:t>
      </w:r>
      <w:r w:rsidRPr="002D4FF7">
        <w:rPr>
          <w:rFonts w:cs="Times New Roman"/>
          <w:szCs w:val="24"/>
        </w:rPr>
        <w:t xml:space="preserve">, 2016.gadam 1 338 750 </w:t>
      </w:r>
      <w:r w:rsidRPr="002D4FF7">
        <w:rPr>
          <w:rFonts w:cs="Times New Roman"/>
          <w:i/>
          <w:iCs/>
          <w:szCs w:val="24"/>
        </w:rPr>
        <w:t>euro</w:t>
      </w:r>
      <w:r w:rsidRPr="002D4FF7">
        <w:rPr>
          <w:rFonts w:cs="Times New Roman"/>
          <w:szCs w:val="24"/>
        </w:rPr>
        <w:t xml:space="preserve"> un 2017.gadā 1 733 881 </w:t>
      </w:r>
      <w:r w:rsidRPr="002D4FF7">
        <w:rPr>
          <w:rFonts w:cs="Times New Roman"/>
          <w:i/>
          <w:iCs/>
          <w:szCs w:val="24"/>
        </w:rPr>
        <w:t>euro</w:t>
      </w:r>
      <w:r w:rsidRPr="002D4FF7">
        <w:rPr>
          <w:rFonts w:cs="Times New Roman"/>
          <w:szCs w:val="24"/>
        </w:rPr>
        <w:t xml:space="preserve"> speciālistu resocializācijas jautājumos, psihologu, sociālo darbinieku, kapelānu un narkologu amata vietu veidošanai. Šobrīd no JPI paredzētā finansējuma atbilstoši MK lēmumiem pēc TM veiktajām apropriācijas pārdalēm šim mērķim 2017.gadam un turpmāk paredzēts tikai 460 782</w:t>
      </w:r>
      <w:r w:rsidRPr="002D4FF7">
        <w:rPr>
          <w:rFonts w:cs="Times New Roman"/>
          <w:i/>
          <w:iCs/>
          <w:szCs w:val="24"/>
        </w:rPr>
        <w:t xml:space="preserve"> euro</w:t>
      </w:r>
      <w:r w:rsidRPr="002D4FF7">
        <w:rPr>
          <w:rFonts w:cs="Times New Roman"/>
          <w:szCs w:val="24"/>
        </w:rPr>
        <w:t xml:space="preserve">, jo, piemēram, 2017.gadā ietaupītais finansējums 674 982 </w:t>
      </w:r>
      <w:r w:rsidRPr="002D4FF7">
        <w:rPr>
          <w:rFonts w:cs="Times New Roman"/>
          <w:i/>
          <w:iCs/>
          <w:szCs w:val="24"/>
        </w:rPr>
        <w:t>euro</w:t>
      </w:r>
      <w:r w:rsidRPr="002D4FF7">
        <w:rPr>
          <w:rFonts w:cs="Times New Roman"/>
          <w:szCs w:val="24"/>
        </w:rPr>
        <w:t xml:space="preserve"> apmērā tika pārdalīts Valmieras cietuma žoga rekonstrukcijai kā vienreizējam pasākumam, savukārt 598 117 </w:t>
      </w:r>
      <w:r w:rsidRPr="002D4FF7">
        <w:rPr>
          <w:rFonts w:cs="Times New Roman"/>
          <w:i/>
          <w:iCs/>
          <w:szCs w:val="24"/>
        </w:rPr>
        <w:t xml:space="preserve">euro </w:t>
      </w:r>
      <w:r w:rsidRPr="002D4FF7">
        <w:rPr>
          <w:rFonts w:cs="Times New Roman"/>
          <w:szCs w:val="24"/>
        </w:rPr>
        <w:t xml:space="preserve">apmērā atbilstoši </w:t>
      </w:r>
      <w:r w:rsidR="004275DE">
        <w:rPr>
          <w:rFonts w:cs="Times New Roman"/>
          <w:szCs w:val="24"/>
        </w:rPr>
        <w:t>MK</w:t>
      </w:r>
      <w:r w:rsidRPr="002D4FF7">
        <w:rPr>
          <w:rFonts w:cs="Times New Roman"/>
          <w:szCs w:val="24"/>
        </w:rPr>
        <w:t xml:space="preserve"> lēmumiem sākot ar 2017.gadu un turpmāk tika pārdalīti, lai</w:t>
      </w:r>
      <w:r>
        <w:rPr>
          <w:rFonts w:cs="Times New Roman"/>
          <w:szCs w:val="24"/>
        </w:rPr>
        <w:t xml:space="preserve"> daļēji īstenotu 2017.gada JPI “</w:t>
      </w:r>
      <w:r w:rsidRPr="002D4FF7">
        <w:rPr>
          <w:rFonts w:cs="Times New Roman"/>
          <w:szCs w:val="24"/>
        </w:rPr>
        <w:t xml:space="preserve">Ieslodzīto resocializācijas programmu īstenošana </w:t>
      </w:r>
      <w:r>
        <w:rPr>
          <w:rFonts w:cs="Times New Roman"/>
          <w:szCs w:val="24"/>
        </w:rPr>
        <w:t>Olaines cietuma Atkarīgo centrā”</w:t>
      </w:r>
      <w:r w:rsidRPr="002D4FF7">
        <w:rPr>
          <w:rFonts w:cs="Times New Roman"/>
          <w:szCs w:val="24"/>
        </w:rPr>
        <w:t>.</w:t>
      </w:r>
    </w:p>
    <w:p w:rsidR="002D4FF7" w:rsidRPr="002D4FF7" w:rsidRDefault="002D4FF7" w:rsidP="00814BA3">
      <w:pPr>
        <w:spacing w:after="120"/>
        <w:ind w:firstLine="720"/>
        <w:jc w:val="both"/>
        <w:rPr>
          <w:rFonts w:cs="Times New Roman"/>
          <w:szCs w:val="24"/>
        </w:rPr>
      </w:pPr>
      <w:r w:rsidRPr="002D4FF7">
        <w:rPr>
          <w:rFonts w:cs="Times New Roman"/>
          <w:szCs w:val="24"/>
        </w:rPr>
        <w:t xml:space="preserve">2016.gada 12 mēnešu izpildes rezultatīvie rādītāji attiecībā uz notiesāto resocializācijas nodrošināšanu ir uzlabojušies un vērtējami kā pozitīvi, kas pamatojams arī ar to, ka, mainoties </w:t>
      </w:r>
      <w:r w:rsidRPr="002D4FF7">
        <w:rPr>
          <w:rFonts w:cs="Times New Roman"/>
          <w:szCs w:val="24"/>
        </w:rPr>
        <w:lastRenderedPageBreak/>
        <w:t xml:space="preserve">tiesiskajam regulējumam, arvien samazinās kopējo notiesāto skaits brīvības atņemšanas iestādēs. Vienlaikus ar </w:t>
      </w:r>
      <w:r w:rsidR="004275DE">
        <w:rPr>
          <w:rFonts w:cs="Times New Roman"/>
          <w:szCs w:val="24"/>
        </w:rPr>
        <w:t>MK</w:t>
      </w:r>
      <w:r w:rsidRPr="002D4FF7">
        <w:rPr>
          <w:rFonts w:cs="Times New Roman"/>
          <w:szCs w:val="24"/>
        </w:rPr>
        <w:t xml:space="preserve"> 2015.</w:t>
      </w:r>
      <w:r w:rsidR="004275DE">
        <w:rPr>
          <w:rFonts w:cs="Times New Roman"/>
          <w:szCs w:val="24"/>
        </w:rPr>
        <w:t>gada 24.septembra</w:t>
      </w:r>
      <w:r w:rsidRPr="002D4FF7">
        <w:rPr>
          <w:rFonts w:cs="Times New Roman"/>
          <w:szCs w:val="24"/>
        </w:rPr>
        <w:t xml:space="preserve"> rīkojumu Nr.</w:t>
      </w:r>
      <w:r w:rsidR="004275DE">
        <w:rPr>
          <w:rFonts w:cs="Times New Roman"/>
          <w:szCs w:val="24"/>
        </w:rPr>
        <w:t>580</w:t>
      </w:r>
      <w:r w:rsidRPr="002D4FF7">
        <w:rPr>
          <w:rFonts w:cs="Times New Roman"/>
          <w:szCs w:val="24"/>
        </w:rPr>
        <w:t xml:space="preserve"> ir apstiprinātas Ieslodzīto resocializācijas pamatnostādnes 2015.-2020. gadam, kas paredz </w:t>
      </w:r>
      <w:r w:rsidR="00BF114E">
        <w:rPr>
          <w:rFonts w:cs="Times New Roman"/>
          <w:szCs w:val="24"/>
        </w:rPr>
        <w:t>ES</w:t>
      </w:r>
      <w:r w:rsidRPr="002D4FF7">
        <w:rPr>
          <w:rFonts w:cs="Times New Roman"/>
          <w:szCs w:val="24"/>
        </w:rPr>
        <w:t xml:space="preserve"> struktūrfondu un Kohēzijas fonda Darbības programmas "Izaugsme un nodarbinātība" specifiskā atbalsta mērķa (turpmāk - SAM) Nr. 9.1.2. "Palielināt bijušo ieslodzīto integrāciju sabiedrībā</w:t>
      </w:r>
      <w:r w:rsidR="0033756A">
        <w:rPr>
          <w:rFonts w:cs="Times New Roman"/>
          <w:szCs w:val="24"/>
        </w:rPr>
        <w:t xml:space="preserve"> un darba tirgū" un SAM 9.1.3. “</w:t>
      </w:r>
      <w:r w:rsidRPr="002D4FF7">
        <w:rPr>
          <w:rFonts w:cs="Times New Roman"/>
          <w:szCs w:val="24"/>
        </w:rPr>
        <w:t>Paaugstināt resocializācijas sistēmas efektivitāti</w:t>
      </w:r>
      <w:r w:rsidR="0033756A">
        <w:rPr>
          <w:rFonts w:cs="Times New Roman"/>
          <w:szCs w:val="24"/>
        </w:rPr>
        <w:t>”</w:t>
      </w:r>
      <w:r w:rsidRPr="002D4FF7">
        <w:rPr>
          <w:rFonts w:cs="Times New Roman"/>
          <w:szCs w:val="24"/>
        </w:rPr>
        <w:t xml:space="preserve"> plānotā finansējuma apguvi. </w:t>
      </w:r>
    </w:p>
    <w:p w:rsidR="002D4FF7" w:rsidRPr="002D4FF7" w:rsidRDefault="002D4FF7" w:rsidP="002D4FF7">
      <w:pPr>
        <w:spacing w:after="120"/>
        <w:ind w:firstLine="709"/>
        <w:jc w:val="both"/>
        <w:rPr>
          <w:rFonts w:cs="Times New Roman"/>
          <w:szCs w:val="24"/>
        </w:rPr>
      </w:pPr>
      <w:r w:rsidRPr="002D4FF7">
        <w:rPr>
          <w:rFonts w:cs="Times New Roman"/>
          <w:szCs w:val="24"/>
        </w:rPr>
        <w:t xml:space="preserve">Ņemot vērā to, ka JPI mērķa sasniegšanai tiek izmantots arī </w:t>
      </w:r>
      <w:r w:rsidR="004A7C2D">
        <w:rPr>
          <w:rFonts w:cs="Times New Roman"/>
          <w:szCs w:val="24"/>
        </w:rPr>
        <w:t>ES</w:t>
      </w:r>
      <w:r w:rsidRPr="002D4FF7">
        <w:rPr>
          <w:rFonts w:cs="Times New Roman"/>
          <w:szCs w:val="24"/>
        </w:rPr>
        <w:t xml:space="preserve"> fondu finansējums, kā arī, piemēram, 2017.gada I ceturksnī TM apakšprogrammā “Ieslodzījuma vietas” nav izlietoti izdevumi atlīdzībai 1,38 milj.</w:t>
      </w:r>
      <w:r w:rsidRPr="002D4FF7">
        <w:rPr>
          <w:rFonts w:cs="Times New Roman"/>
          <w:i/>
          <w:iCs/>
          <w:szCs w:val="24"/>
        </w:rPr>
        <w:t xml:space="preserve">euro </w:t>
      </w:r>
      <w:r w:rsidRPr="002D4FF7">
        <w:rPr>
          <w:rFonts w:cs="Times New Roman"/>
          <w:szCs w:val="24"/>
        </w:rPr>
        <w:t xml:space="preserve">apmērā, jo Olaines cietuma Atkarīgo centra darbinieki turpina saņemt atalgojumu projekta “Jauna nodaļa Olaines cietumā, ieskaitot būvniecību un personāla apmācību” ietvaros, finansējums JPI “Notiesātās personas resocializācijas procesa īstenošana” </w:t>
      </w:r>
      <w:r w:rsidRPr="002D4FF7">
        <w:rPr>
          <w:rFonts w:cs="Times New Roman"/>
          <w:bCs/>
          <w:szCs w:val="24"/>
        </w:rPr>
        <w:t xml:space="preserve">vismaz 50% apmērā jeb 230 391 </w:t>
      </w:r>
      <w:r w:rsidRPr="002D4FF7">
        <w:rPr>
          <w:rFonts w:cs="Times New Roman"/>
          <w:bCs/>
          <w:i/>
          <w:iCs/>
          <w:szCs w:val="24"/>
        </w:rPr>
        <w:t>euro</w:t>
      </w:r>
      <w:r w:rsidRPr="002D4FF7">
        <w:rPr>
          <w:rFonts w:cs="Times New Roman"/>
          <w:szCs w:val="24"/>
        </w:rPr>
        <w:t xml:space="preserve"> ir novirzāms aktuālāku pasākumu īstenošanai, piemēram Valsts probācijas dienestam, kur finansējuma un kapacitātes nepietiekamība saistīta tieši ar izmaiņām normatīvajā regulējumā saistībā ar papildu no ieslodzījuma vietām atbrīvoto uzraudzības funkciju. </w:t>
      </w:r>
    </w:p>
    <w:p w:rsidR="002D4FF7" w:rsidRPr="004A7C2D" w:rsidRDefault="00700E74" w:rsidP="0033756A">
      <w:pPr>
        <w:spacing w:after="120"/>
        <w:ind w:firstLine="709"/>
        <w:jc w:val="both"/>
        <w:rPr>
          <w:rFonts w:cs="Times New Roman"/>
          <w:szCs w:val="24"/>
        </w:rPr>
      </w:pPr>
      <w:r w:rsidRPr="00700E74">
        <w:rPr>
          <w:rFonts w:cs="Times New Roman"/>
          <w:szCs w:val="24"/>
        </w:rPr>
        <w:t>TM ir sniegusi informāciju, ka atlikušais JPI finansējums turpmāk pamatā paredzēts, lai nodrošinātu 35 sociālo darbinieku un psihologu atlīdzību, kas nodrošina ieslodzīto risku un vajadzību izvērtēšanu, katra ieslodzīta resocializācijas plāna izstrādi, visu ieslodzīto izglītošanu, psiholoģisko aprūpi un sociālā darba pakalpojumu resocializācijas ietvaros sniegšanu, sociālās uzvedības korekciju un sociālās rehabilitācijas programmu īstenošanu un sociālo lietderīgu brīvā laika pasākumu organizēšanu</w:t>
      </w:r>
      <w:r w:rsidRPr="00282015">
        <w:rPr>
          <w:rFonts w:cs="Times New Roman"/>
          <w:szCs w:val="24"/>
        </w:rPr>
        <w:t>. Līdz ar to TM ieskatā finansē</w:t>
      </w:r>
      <w:r w:rsidR="0033756A" w:rsidRPr="00282015">
        <w:rPr>
          <w:rFonts w:cs="Times New Roman"/>
          <w:szCs w:val="24"/>
        </w:rPr>
        <w:t>jums šim mērķim nav samazināms.</w:t>
      </w:r>
    </w:p>
    <w:p w:rsidR="002D4FF7" w:rsidRPr="0033756A" w:rsidRDefault="002D4FF7" w:rsidP="0033756A">
      <w:pPr>
        <w:spacing w:before="120" w:after="120"/>
        <w:jc w:val="both"/>
        <w:rPr>
          <w:rFonts w:cs="Times New Roman"/>
          <w:b/>
          <w:bCs/>
          <w:szCs w:val="24"/>
        </w:rPr>
      </w:pPr>
      <w:r>
        <w:rPr>
          <w:rFonts w:cs="Times New Roman"/>
          <w:b/>
          <w:bCs/>
          <w:szCs w:val="24"/>
        </w:rPr>
        <w:t>TM</w:t>
      </w:r>
      <w:r w:rsidRPr="002D4FF7">
        <w:rPr>
          <w:rFonts w:cs="Times New Roman"/>
          <w:b/>
          <w:bCs/>
          <w:szCs w:val="24"/>
        </w:rPr>
        <w:t xml:space="preserve"> – Elektroniskās uzraudzības nodrošināšana nosacīti pirm</w:t>
      </w:r>
      <w:r w:rsidR="0033756A">
        <w:rPr>
          <w:rFonts w:cs="Times New Roman"/>
          <w:b/>
          <w:bCs/>
          <w:szCs w:val="24"/>
        </w:rPr>
        <w:t>s termiņa atbrīvotajām personām</w:t>
      </w:r>
    </w:p>
    <w:p w:rsidR="002D4FF7" w:rsidRPr="002D4FF7" w:rsidRDefault="002D4FF7" w:rsidP="002D4FF7">
      <w:pPr>
        <w:spacing w:after="120"/>
        <w:ind w:firstLine="709"/>
        <w:jc w:val="both"/>
        <w:rPr>
          <w:rFonts w:cs="Times New Roman"/>
          <w:szCs w:val="24"/>
        </w:rPr>
      </w:pPr>
      <w:r w:rsidRPr="002D4FF7">
        <w:rPr>
          <w:rFonts w:cs="Times New Roman"/>
          <w:szCs w:val="24"/>
        </w:rPr>
        <w:t xml:space="preserve">TM apakšprogrammā 04.03.00 “Probācijas īstenošana” 2016.-2018.gada budžeta ietvarā piešķirts finansējums JPI “Elektroniskās uzraudzības nodrošināšana nosacīti pirms termiņa atbrīvotajām personām” 2016.gadam 87 304 </w:t>
      </w:r>
      <w:r w:rsidRPr="002D4FF7">
        <w:rPr>
          <w:rFonts w:cs="Times New Roman"/>
          <w:i/>
          <w:iCs/>
          <w:szCs w:val="24"/>
        </w:rPr>
        <w:t>euro</w:t>
      </w:r>
      <w:r w:rsidRPr="002D4FF7">
        <w:rPr>
          <w:rFonts w:cs="Times New Roman"/>
          <w:szCs w:val="24"/>
        </w:rPr>
        <w:t xml:space="preserve">, 2017.gadam un turpmāk 127 304 </w:t>
      </w:r>
      <w:r w:rsidRPr="002D4FF7">
        <w:rPr>
          <w:rFonts w:cs="Times New Roman"/>
          <w:i/>
          <w:iCs/>
          <w:szCs w:val="24"/>
        </w:rPr>
        <w:t xml:space="preserve">euro </w:t>
      </w:r>
      <w:r w:rsidRPr="002D4FF7">
        <w:rPr>
          <w:rFonts w:cs="Times New Roman"/>
          <w:szCs w:val="24"/>
        </w:rPr>
        <w:t xml:space="preserve">ik gadu 5 jaunu amata vietu uzturēšanai. Sākotnēji JPI izpildes nodrošināšanai ar plānu sasniegt rezultatīvo rādītāju “Nosacīti pirms termiņa atbrīvoto probācijas klientu skaits, kuriem tiek nodrošināta elektroniskā uzraudzība” – 200, TM pieprasīja finansējumu 2016.gadam 745 195 </w:t>
      </w:r>
      <w:r w:rsidRPr="002D4FF7">
        <w:rPr>
          <w:rFonts w:cs="Times New Roman"/>
          <w:i/>
          <w:iCs/>
          <w:szCs w:val="24"/>
        </w:rPr>
        <w:t>euro</w:t>
      </w:r>
      <w:r w:rsidRPr="002D4FF7">
        <w:rPr>
          <w:rFonts w:cs="Times New Roman"/>
          <w:szCs w:val="24"/>
        </w:rPr>
        <w:t xml:space="preserve">, 2017.gadam 1 182 508 </w:t>
      </w:r>
      <w:r w:rsidRPr="002D4FF7">
        <w:rPr>
          <w:rFonts w:cs="Times New Roman"/>
          <w:i/>
          <w:iCs/>
          <w:szCs w:val="24"/>
        </w:rPr>
        <w:t>euro</w:t>
      </w:r>
      <w:r w:rsidRPr="002D4FF7">
        <w:rPr>
          <w:rFonts w:cs="Times New Roman"/>
          <w:szCs w:val="24"/>
        </w:rPr>
        <w:t xml:space="preserve"> un 2018.gadam un turpmāk 1 137 508 </w:t>
      </w:r>
      <w:r w:rsidRPr="002D4FF7">
        <w:rPr>
          <w:rFonts w:cs="Times New Roman"/>
          <w:i/>
          <w:iCs/>
          <w:szCs w:val="24"/>
        </w:rPr>
        <w:t xml:space="preserve">euro </w:t>
      </w:r>
      <w:r w:rsidRPr="002D4FF7">
        <w:rPr>
          <w:rFonts w:cs="Times New Roman"/>
          <w:szCs w:val="24"/>
        </w:rPr>
        <w:t xml:space="preserve">13 papildu amata vietu izveidei. </w:t>
      </w:r>
    </w:p>
    <w:p w:rsidR="002D4FF7" w:rsidRPr="002D4FF7" w:rsidRDefault="002D4FF7" w:rsidP="004A7C2D">
      <w:pPr>
        <w:autoSpaceDE w:val="0"/>
        <w:autoSpaceDN w:val="0"/>
        <w:spacing w:after="120"/>
        <w:ind w:firstLine="720"/>
        <w:jc w:val="both"/>
        <w:rPr>
          <w:rFonts w:cs="Times New Roman"/>
          <w:szCs w:val="24"/>
        </w:rPr>
      </w:pPr>
      <w:r w:rsidRPr="002D4FF7">
        <w:rPr>
          <w:rFonts w:cs="Times New Roman"/>
          <w:szCs w:val="24"/>
        </w:rPr>
        <w:t xml:space="preserve">2016.gada 12 mēnešu izpilde liecina, ka probācijas klientu skaits, kuriem tika nodrošināta elektroniska uzraudzībā ir 80 ieslodzītie. Tomēr jāņem vērā, ka mainoties Latvijas krimināltiesību un sodu izpildes politikai, kura vērsta uz brīvības atņemšanas soda piemērošanas samazināšanu, paplašinot brīvības atņemšanas alternatīvu piemērošanu, samazinājās nosacīti pirms termiņa no soda izciešanas atbrīvoto skaits, kas arī ir elektroniskās uzraudzības mērķauditorija. Atzīmējams, ka papildu 2017.-2019.gada budžeta ietvarā piešķirts finansējums JPI “Nosacīti pirms termiņa atbrīvotu notiesāto personu elektroniskās uzraudzības nodrošināšana, atlīdzības palielināšana probācijas darbiniekiem”, paredzot finansējumu 2017.gadam un turpmāk 800 000 </w:t>
      </w:r>
      <w:r w:rsidRPr="002D4FF7">
        <w:rPr>
          <w:rFonts w:cs="Times New Roman"/>
          <w:i/>
          <w:iCs/>
          <w:szCs w:val="24"/>
        </w:rPr>
        <w:t xml:space="preserve">euro </w:t>
      </w:r>
      <w:r w:rsidRPr="002D4FF7">
        <w:rPr>
          <w:rFonts w:cs="Times New Roman"/>
          <w:szCs w:val="24"/>
        </w:rPr>
        <w:t xml:space="preserve">apmērā ik gadu, no kuriem 327 050 </w:t>
      </w:r>
      <w:r w:rsidRPr="002D4FF7">
        <w:rPr>
          <w:rFonts w:cs="Times New Roman"/>
          <w:i/>
          <w:iCs/>
          <w:szCs w:val="24"/>
        </w:rPr>
        <w:t xml:space="preserve">euro </w:t>
      </w:r>
      <w:r w:rsidRPr="002D4FF7">
        <w:rPr>
          <w:rFonts w:cs="Times New Roman"/>
          <w:szCs w:val="24"/>
        </w:rPr>
        <w:t>ik gadu paredzēti tieši elektroniskās uzraudzības nodrošināšanai, tajā skaitā elektroniskās uzraudzības centra personāla atlīdzībai, telpu nomai un uzturēšanai, kā arī elektroniskās uzraudzības pakalpojumu nodrošināšanai.</w:t>
      </w:r>
    </w:p>
    <w:p w:rsidR="002D4FF7" w:rsidRPr="002D4FF7" w:rsidRDefault="002D4FF7" w:rsidP="002D4FF7">
      <w:pPr>
        <w:spacing w:after="120"/>
        <w:ind w:firstLine="709"/>
        <w:jc w:val="both"/>
        <w:rPr>
          <w:rFonts w:cs="Times New Roman"/>
          <w:szCs w:val="24"/>
        </w:rPr>
      </w:pPr>
      <w:r w:rsidRPr="002D4FF7">
        <w:rPr>
          <w:rFonts w:cs="Times New Roman"/>
          <w:szCs w:val="24"/>
        </w:rPr>
        <w:t xml:space="preserve">Ņemot vērā augstāk minēto, kā arī to, ka būtiski pieaudzis probācijas klientu skaits, kam tiek piemērots cita veida papildsods, finansējums JPI “Elektroniskās uzraudzības nodrošināšana nosacīti pirms termiņa atbrīvotajām personām” </w:t>
      </w:r>
      <w:r w:rsidRPr="002D4FF7">
        <w:rPr>
          <w:rFonts w:cs="Times New Roman"/>
          <w:bCs/>
          <w:szCs w:val="24"/>
        </w:rPr>
        <w:t xml:space="preserve">vismaz 30% apmērā jeb 38 191 </w:t>
      </w:r>
      <w:r w:rsidRPr="002D4FF7">
        <w:rPr>
          <w:rFonts w:cs="Times New Roman"/>
          <w:bCs/>
          <w:i/>
          <w:iCs/>
          <w:szCs w:val="24"/>
        </w:rPr>
        <w:t>euro</w:t>
      </w:r>
      <w:r w:rsidRPr="002D4FF7">
        <w:rPr>
          <w:rFonts w:cs="Times New Roman"/>
          <w:szCs w:val="24"/>
        </w:rPr>
        <w:t xml:space="preserve"> novirzāms citu aktuālu Valsts Probācijas dienesta funkciju izpildei.</w:t>
      </w:r>
    </w:p>
    <w:p w:rsidR="005E7A67" w:rsidRPr="005E7A67" w:rsidRDefault="005E7A67" w:rsidP="005E7A67">
      <w:pPr>
        <w:spacing w:after="120"/>
        <w:ind w:firstLine="709"/>
        <w:jc w:val="both"/>
        <w:rPr>
          <w:rFonts w:cs="Times New Roman"/>
          <w:szCs w:val="24"/>
        </w:rPr>
      </w:pPr>
      <w:r w:rsidRPr="005E7A67">
        <w:rPr>
          <w:rFonts w:cs="Times New Roman"/>
          <w:szCs w:val="24"/>
        </w:rPr>
        <w:lastRenderedPageBreak/>
        <w:t>TM ir sniegusi informāciju, kurā norāda, ka JPI rezultatīvais rādītājs - probācijas klientu skaits, kuriem nodrošināta elektroniskā uzraudzība neatspoguļo pilnu darba ciklu, un arī klientu apjumu, ar kuriem darbs tiek nodrošināts, līdz sākas personas uzraudzība. Process, ko īsteno VPD, pirms personai tiek veikta elektroniskā uzraudzība, sastāv no (1) tikšanās ar notiesāto ieslodzījumā, (2) notiesātā sniegtās informācijas pārbaudes (3) atkārtotas tikšanās ar notiesāto, (4) izvērtēšanas ziņojuma sagatavošanas par nosacītās pirmstermiņa atbrīvošanas pieļaujamību, (5) dalība tiesas sēdē, kurā tiek lemts jautājums par nosacītu pirmstermiņa atbrīvošanu no soda ar elektroniskās uzraudzības piemērošanu.</w:t>
      </w:r>
    </w:p>
    <w:p w:rsidR="005E7A67" w:rsidRPr="005E7A67" w:rsidRDefault="005E7A67" w:rsidP="005E7A67">
      <w:pPr>
        <w:spacing w:after="120"/>
        <w:ind w:firstLine="709"/>
        <w:jc w:val="both"/>
        <w:rPr>
          <w:rFonts w:cs="Times New Roman"/>
          <w:szCs w:val="24"/>
        </w:rPr>
      </w:pPr>
      <w:r w:rsidRPr="005E7A67">
        <w:rPr>
          <w:rFonts w:cs="Times New Roman"/>
          <w:szCs w:val="24"/>
        </w:rPr>
        <w:t>Šāds process 2016.gadā tika īstenots 177 notiesātajiem: 30 gadījumos process tika pārtraukts kādā no pirmajiem 3 procesa soļiem, bet 147 gadījumos VPD sagatavoja un iesniedza izvērtēšanas ziņojumus, bet atbilstoši tiesas lēmumiem tika uzraudzīti tikai 80 klienti. Tātad kopējais rezultatīvais rādītājs, būtu jāveido no minēto procesu summas – attiecīgi 177+80=257.</w:t>
      </w:r>
    </w:p>
    <w:p w:rsidR="005E7A67" w:rsidRPr="000B637E" w:rsidRDefault="005E7A67" w:rsidP="000B637E">
      <w:pPr>
        <w:ind w:firstLine="426"/>
        <w:jc w:val="both"/>
        <w:rPr>
          <w:rFonts w:cs="Times New Roman"/>
          <w:color w:val="C00000"/>
          <w:szCs w:val="24"/>
        </w:rPr>
      </w:pPr>
      <w:r w:rsidRPr="005E7A67">
        <w:rPr>
          <w:rFonts w:cs="Times New Roman"/>
          <w:szCs w:val="24"/>
        </w:rPr>
        <w:t xml:space="preserve">No elektroniskajai uzraudzībai piešķirtā finansējuma, 2017.gada JPI piešķirtie līdzekļi          327 050 </w:t>
      </w:r>
      <w:r w:rsidRPr="005E7A67">
        <w:rPr>
          <w:rFonts w:cs="Times New Roman"/>
          <w:i/>
          <w:szCs w:val="24"/>
        </w:rPr>
        <w:t>euro</w:t>
      </w:r>
      <w:r w:rsidRPr="005E7A67">
        <w:rPr>
          <w:rFonts w:cs="Times New Roman"/>
          <w:szCs w:val="24"/>
        </w:rPr>
        <w:t xml:space="preserve"> apmērā ik gadu saistīti ar elektroniskās uzraudzības monitoringa centra (EUC), kas strādā diennakts režīmā, tā personāla (5 vecākie referenti un vadītājs) un elektroniskās uzraudzības tehnoloģiju nomas finansēšanu. Minētie izdevumi līdz 2017.gadam tika finansēti no Norvēģijas valdības divpusējā finanšu instrumenta projekta Nr.08/1 "Alternatīvu brīvības atņemšanai sekmēšana (ieskaitot iespējamo pilotprojektu elektroniskajai uzraudzībai)" līdzekļiem un turpmāk to finansēšana jānodrošina Latvijas valstij. Šie izdevumi nav atkarīgi no elektroniskās uzraudzības klientu skaita un attiecīgi nav mērāmi kontekstā ar rezultatīvo rādītāju</w:t>
      </w:r>
      <w:r w:rsidRPr="00282015">
        <w:rPr>
          <w:rFonts w:cs="Times New Roman"/>
          <w:szCs w:val="24"/>
        </w:rPr>
        <w:t>. Līdz ar to TM ieskatā finansē</w:t>
      </w:r>
      <w:r w:rsidR="000B637E" w:rsidRPr="00282015">
        <w:rPr>
          <w:rFonts w:cs="Times New Roman"/>
          <w:szCs w:val="24"/>
        </w:rPr>
        <w:t>jums šim mērķim nav samazināms.</w:t>
      </w:r>
    </w:p>
    <w:p w:rsidR="002D4FF7" w:rsidRPr="000B637E" w:rsidRDefault="002D4FF7" w:rsidP="000B637E">
      <w:pPr>
        <w:spacing w:before="120" w:after="120"/>
        <w:jc w:val="both"/>
        <w:rPr>
          <w:rFonts w:cs="Times New Roman"/>
          <w:b/>
          <w:bCs/>
          <w:szCs w:val="24"/>
        </w:rPr>
      </w:pPr>
      <w:r>
        <w:rPr>
          <w:rFonts w:cs="Times New Roman"/>
          <w:b/>
          <w:bCs/>
          <w:szCs w:val="24"/>
        </w:rPr>
        <w:t>TM</w:t>
      </w:r>
      <w:r w:rsidRPr="002D4FF7">
        <w:rPr>
          <w:rFonts w:cs="Times New Roman"/>
          <w:b/>
          <w:bCs/>
          <w:szCs w:val="24"/>
        </w:rPr>
        <w:t xml:space="preserve"> – Tiesu ekspertīžu informācija</w:t>
      </w:r>
      <w:r w:rsidR="000B637E">
        <w:rPr>
          <w:rFonts w:cs="Times New Roman"/>
          <w:b/>
          <w:bCs/>
          <w:szCs w:val="24"/>
        </w:rPr>
        <w:t>s tehnoloģiju jomā optimizēšana</w:t>
      </w:r>
    </w:p>
    <w:p w:rsidR="002D4FF7" w:rsidRPr="002D4FF7" w:rsidRDefault="002D4FF7" w:rsidP="002D4FF7">
      <w:pPr>
        <w:spacing w:after="120"/>
        <w:ind w:firstLine="720"/>
        <w:jc w:val="both"/>
        <w:rPr>
          <w:rFonts w:cs="Times New Roman"/>
          <w:szCs w:val="24"/>
          <w:lang w:eastAsia="lv-LV"/>
        </w:rPr>
      </w:pPr>
      <w:r w:rsidRPr="002D4FF7">
        <w:rPr>
          <w:rFonts w:cs="Times New Roman"/>
          <w:szCs w:val="24"/>
        </w:rPr>
        <w:t>TM apakšprogrammā 03.04.00 “Tiesu ekspertīžu veikšana” 2014.</w:t>
      </w:r>
      <w:r w:rsidRPr="002D4FF7">
        <w:rPr>
          <w:rFonts w:cs="Times New Roman"/>
          <w:szCs w:val="24"/>
        </w:rPr>
        <w:noBreakHyphen/>
        <w:t xml:space="preserve">2016.gada budžeta ietvarā piešķirts finansējums JPI “Tiesu ekspertīžu informācijas tehnoloģiju jomā optimizēšana” 2014.gadam  153 834 </w:t>
      </w:r>
      <w:r w:rsidRPr="002D4FF7">
        <w:rPr>
          <w:rFonts w:cs="Times New Roman"/>
          <w:i/>
          <w:iCs/>
          <w:szCs w:val="24"/>
        </w:rPr>
        <w:t>euro</w:t>
      </w:r>
      <w:r w:rsidRPr="002D4FF7">
        <w:rPr>
          <w:rFonts w:cs="Times New Roman"/>
          <w:szCs w:val="24"/>
        </w:rPr>
        <w:t xml:space="preserve">, 2015.gadam un turpmāk 63 089 </w:t>
      </w:r>
      <w:r w:rsidRPr="002D4FF7">
        <w:rPr>
          <w:rFonts w:cs="Times New Roman"/>
          <w:i/>
          <w:iCs/>
          <w:szCs w:val="24"/>
        </w:rPr>
        <w:t>euro</w:t>
      </w:r>
      <w:r w:rsidRPr="002D4FF7">
        <w:rPr>
          <w:rFonts w:cs="Times New Roman"/>
          <w:szCs w:val="24"/>
        </w:rPr>
        <w:t xml:space="preserve">, lai </w:t>
      </w:r>
      <w:r w:rsidRPr="002D4FF7">
        <w:rPr>
          <w:rFonts w:cs="Times New Roman"/>
          <w:szCs w:val="24"/>
          <w:lang w:eastAsia="lv-LV"/>
        </w:rPr>
        <w:t xml:space="preserve">nodrošinātu tiesu ekspertīžu veikšanu samērīgos termiņos, palielinot IT  ekspertu skaitu par 3 ekspertiem un veicot izmaiņas IT ekspertīžu veikšanā. </w:t>
      </w:r>
    </w:p>
    <w:p w:rsidR="002D4FF7" w:rsidRPr="009866B6" w:rsidRDefault="002D4FF7" w:rsidP="009866B6">
      <w:pPr>
        <w:spacing w:after="120"/>
        <w:jc w:val="both"/>
        <w:rPr>
          <w:rFonts w:cs="Times New Roman"/>
          <w:szCs w:val="24"/>
        </w:rPr>
      </w:pPr>
      <w:r w:rsidRPr="002D4FF7">
        <w:rPr>
          <w:rFonts w:cs="Times New Roman"/>
          <w:szCs w:val="24"/>
          <w:lang w:eastAsia="lv-LV"/>
        </w:rPr>
        <w:t xml:space="preserve">            Ņemot vērā, ka vidējais ekspertīžu ilgums atbilstoši plānotajam samazinājās no 42 dienām uz 35 dienām un atbilstoši 2015.gada un 2016.gada 12 mēnešu izpildei rādītājs ir saglabājies nemainīgā līmenī (34-35 dienas), finansējums 3 jaunu amata vietu izveidošanai attaisnojās. Vienlaikus finansējuma </w:t>
      </w:r>
      <w:r w:rsidRPr="002D4FF7">
        <w:rPr>
          <w:rFonts w:cs="Times New Roman"/>
          <w:bCs/>
          <w:szCs w:val="24"/>
          <w:lang w:eastAsia="lv-LV"/>
        </w:rPr>
        <w:t xml:space="preserve">daļa 5 246 </w:t>
      </w:r>
      <w:r w:rsidRPr="002D4FF7">
        <w:rPr>
          <w:rFonts w:cs="Times New Roman"/>
          <w:bCs/>
          <w:i/>
          <w:szCs w:val="24"/>
          <w:lang w:eastAsia="lv-LV"/>
        </w:rPr>
        <w:t>euro</w:t>
      </w:r>
      <w:r w:rsidRPr="002D4FF7">
        <w:rPr>
          <w:rFonts w:cs="Times New Roman"/>
          <w:szCs w:val="24"/>
          <w:lang w:eastAsia="lv-LV"/>
        </w:rPr>
        <w:t xml:space="preserve">, kas tika paredzēta datorprogrammu atjaunināšanai 2015.gadā un turpmāk ik gadu, ņemot vērā straujo IT jomas attīstību un jauno tehnoloģiju izplatību, iespējams zaudējusi aktualitāti un </w:t>
      </w:r>
      <w:r w:rsidRPr="002D4FF7">
        <w:rPr>
          <w:rFonts w:cs="Times New Roman"/>
          <w:szCs w:val="24"/>
        </w:rPr>
        <w:t xml:space="preserve">novirzāma citu resora </w:t>
      </w:r>
      <w:r w:rsidR="004D3E7F">
        <w:rPr>
          <w:rFonts w:cs="Times New Roman"/>
          <w:szCs w:val="24"/>
        </w:rPr>
        <w:t>aktuālāku pasākumu īstenošanai.</w:t>
      </w:r>
    </w:p>
    <w:p w:rsidR="00B92907" w:rsidRDefault="00B92907" w:rsidP="009866B6">
      <w:pPr>
        <w:spacing w:before="120" w:after="120"/>
        <w:jc w:val="both"/>
        <w:rPr>
          <w:rFonts w:cs="Times New Roman"/>
          <w:b/>
          <w:szCs w:val="24"/>
        </w:rPr>
      </w:pPr>
      <w:r>
        <w:rPr>
          <w:rFonts w:cs="Times New Roman"/>
          <w:b/>
          <w:szCs w:val="24"/>
        </w:rPr>
        <w:t xml:space="preserve">TM - </w:t>
      </w:r>
      <w:r w:rsidRPr="00B92907">
        <w:rPr>
          <w:rFonts w:cs="Times New Roman"/>
          <w:b/>
          <w:szCs w:val="24"/>
        </w:rPr>
        <w:t xml:space="preserve">Uzturlīdzekļu izmaksas palielinājuma nodrošināšana no 2014.gada 1.janvāra par 15 latiem (21,34 </w:t>
      </w:r>
      <w:r w:rsidRPr="009866B6">
        <w:rPr>
          <w:rFonts w:cs="Times New Roman"/>
          <w:b/>
          <w:i/>
          <w:szCs w:val="24"/>
        </w:rPr>
        <w:t>euro</w:t>
      </w:r>
      <w:r w:rsidRPr="00B92907">
        <w:rPr>
          <w:rFonts w:cs="Times New Roman"/>
          <w:b/>
          <w:szCs w:val="24"/>
        </w:rPr>
        <w:t>) katrā vecuma grupā</w:t>
      </w:r>
    </w:p>
    <w:p w:rsidR="00B92907" w:rsidRPr="00B92907" w:rsidRDefault="00B92907" w:rsidP="00B92907">
      <w:pPr>
        <w:spacing w:after="120"/>
        <w:ind w:firstLine="709"/>
        <w:jc w:val="both"/>
        <w:rPr>
          <w:rFonts w:cs="Times New Roman"/>
          <w:szCs w:val="24"/>
          <w:lang w:eastAsia="lv-LV"/>
        </w:rPr>
      </w:pPr>
      <w:r w:rsidRPr="00B92907">
        <w:rPr>
          <w:rFonts w:cs="Times New Roman"/>
          <w:szCs w:val="24"/>
        </w:rPr>
        <w:t xml:space="preserve">Uzturlīdzekļu garantiju fonda likuma (pēdējie grozījumi stājās spēkā 01.02.2017.) 1.panta 3.daļa nosaka, ka uzturlīdzekļi ir bērna ikmēneša uzturēšanas izdevumi, kurus nodrošināt bērnam ir katra vecāka pienākums neatkarīgi no viņa spējām uzturēt bērnu un viņa mantas stāvokļa un kuru minimālo apmēru, pamatojoties uz </w:t>
      </w:r>
      <w:hyperlink r:id="rId124" w:tgtFrame="_blank" w:history="1">
        <w:r w:rsidRPr="00B92907">
          <w:rPr>
            <w:rStyle w:val="Hyperlink"/>
            <w:rFonts w:cs="Times New Roman"/>
            <w:color w:val="auto"/>
            <w:szCs w:val="24"/>
            <w:u w:val="none"/>
          </w:rPr>
          <w:t>Civillikuma</w:t>
        </w:r>
      </w:hyperlink>
      <w:r w:rsidRPr="00B92907">
        <w:rPr>
          <w:rFonts w:cs="Times New Roman"/>
          <w:szCs w:val="24"/>
        </w:rPr>
        <w:t xml:space="preserve"> </w:t>
      </w:r>
      <w:hyperlink r:id="rId125" w:anchor="p179" w:tgtFrame="_blank" w:history="1">
        <w:r w:rsidRPr="00B92907">
          <w:rPr>
            <w:rStyle w:val="Hyperlink"/>
            <w:rFonts w:cs="Times New Roman"/>
            <w:color w:val="auto"/>
            <w:szCs w:val="24"/>
            <w:u w:val="none"/>
          </w:rPr>
          <w:t>179. panta</w:t>
        </w:r>
      </w:hyperlink>
      <w:r w:rsidRPr="00B92907">
        <w:rPr>
          <w:rFonts w:cs="Times New Roman"/>
          <w:szCs w:val="24"/>
        </w:rPr>
        <w:t xml:space="preserve"> piekto daļu, noteicis </w:t>
      </w:r>
      <w:r>
        <w:rPr>
          <w:rFonts w:cs="Times New Roman"/>
          <w:szCs w:val="24"/>
        </w:rPr>
        <w:t>MK</w:t>
      </w:r>
      <w:r w:rsidRPr="00B92907">
        <w:rPr>
          <w:rFonts w:cs="Times New Roman"/>
          <w:szCs w:val="24"/>
        </w:rPr>
        <w:t xml:space="preserve">. </w:t>
      </w:r>
      <w:bookmarkStart w:id="27" w:name="n0"/>
      <w:bookmarkEnd w:id="27"/>
      <w:r>
        <w:rPr>
          <w:rFonts w:cs="Times New Roman"/>
          <w:szCs w:val="24"/>
          <w:lang w:eastAsia="lv-LV"/>
        </w:rPr>
        <w:t>MK</w:t>
      </w:r>
      <w:r w:rsidRPr="00B92907">
        <w:rPr>
          <w:rFonts w:cs="Times New Roman"/>
          <w:szCs w:val="24"/>
          <w:lang w:eastAsia="lv-LV"/>
        </w:rPr>
        <w:t xml:space="preserve"> 2013.gada 15.janvāra noteikumi Nr.37 “Noteikumi par minimālo uzturlīdzekļu apmēru bērnam” nosaka minimālos uzturlīdzekļus šādā apmērā: katram bērnam no viņa piedzimšanas līdz 7 gadu vecuma sasniegšanai – 25 % apmērā no </w:t>
      </w:r>
      <w:r>
        <w:rPr>
          <w:rFonts w:cs="Times New Roman"/>
          <w:szCs w:val="24"/>
          <w:lang w:eastAsia="lv-LV"/>
        </w:rPr>
        <w:t>MK</w:t>
      </w:r>
      <w:r w:rsidRPr="00B92907">
        <w:rPr>
          <w:rFonts w:cs="Times New Roman"/>
          <w:szCs w:val="24"/>
          <w:lang w:eastAsia="lv-LV"/>
        </w:rPr>
        <w:t xml:space="preserve"> noteiktās minimālās mēneša darba algas; katram bērnam no 7 gadu vecuma sasniegšanas līdz 18 gadu vecuma sasniegšanai – 30 % apmērā no </w:t>
      </w:r>
      <w:r>
        <w:rPr>
          <w:rFonts w:cs="Times New Roman"/>
          <w:szCs w:val="24"/>
          <w:lang w:eastAsia="lv-LV"/>
        </w:rPr>
        <w:t>MK</w:t>
      </w:r>
      <w:r w:rsidRPr="00B92907">
        <w:rPr>
          <w:rFonts w:cs="Times New Roman"/>
          <w:szCs w:val="24"/>
          <w:lang w:eastAsia="lv-LV"/>
        </w:rPr>
        <w:t xml:space="preserve"> noteiktās minimālās mēneša darba algas. Procentuālais uzturlīdzekļu apmērs no minimālās mēnešalgas tika noteikts jau 2003.gadā (spēku zaudējuši </w:t>
      </w:r>
      <w:r w:rsidR="004275DE">
        <w:rPr>
          <w:rFonts w:cs="Times New Roman"/>
          <w:szCs w:val="24"/>
          <w:lang w:eastAsia="lv-LV"/>
        </w:rPr>
        <w:t>MK</w:t>
      </w:r>
      <w:r w:rsidRPr="00B92907">
        <w:rPr>
          <w:rFonts w:cs="Times New Roman"/>
          <w:szCs w:val="24"/>
          <w:lang w:eastAsia="lv-LV"/>
        </w:rPr>
        <w:t xml:space="preserve"> 2003.gada 1.jūlija noteikumi Nr.348 “Noteikumi par minimālo uzturlīdzekļu apmēru bērnam”), kad minimālās algas apmērs bija 70 lati jeb 99,6 </w:t>
      </w:r>
      <w:r w:rsidRPr="00B92907">
        <w:rPr>
          <w:rFonts w:cs="Times New Roman"/>
          <w:i/>
          <w:iCs/>
          <w:szCs w:val="24"/>
          <w:lang w:eastAsia="lv-LV"/>
        </w:rPr>
        <w:t>euro.</w:t>
      </w:r>
    </w:p>
    <w:p w:rsidR="00B92907" w:rsidRPr="00B92907" w:rsidRDefault="00B92907" w:rsidP="00B92907">
      <w:pPr>
        <w:spacing w:after="120"/>
        <w:ind w:firstLine="709"/>
        <w:jc w:val="both"/>
        <w:rPr>
          <w:rFonts w:cs="Times New Roman"/>
          <w:szCs w:val="24"/>
        </w:rPr>
      </w:pPr>
      <w:r w:rsidRPr="00B92907">
        <w:rPr>
          <w:rFonts w:cs="Times New Roman"/>
          <w:szCs w:val="24"/>
          <w:lang w:eastAsia="lv-LV"/>
        </w:rPr>
        <w:lastRenderedPageBreak/>
        <w:t xml:space="preserve">Pēdējie veiktie grozījumi Uzturlīdzekļu garantiju fonda likumā paredzēja paaugstināt vecuma slieksni no 18 gadiem līdz 21.gadam ar nosacījumu, </w:t>
      </w:r>
      <w:r w:rsidRPr="00B92907">
        <w:rPr>
          <w:rFonts w:cs="Times New Roman"/>
          <w:szCs w:val="24"/>
        </w:rPr>
        <w:t xml:space="preserve">ka bērns, sākot no 5 gadu vecuma, iegūst pirmsskolas izglītību, pamatizglītību, vidējo izglītību, arodizglītību vai speciālo izglītību Latvijas Republikā, </w:t>
      </w:r>
      <w:r w:rsidRPr="00B92907">
        <w:rPr>
          <w:rFonts w:cs="Times New Roman"/>
          <w:szCs w:val="24"/>
          <w:lang w:eastAsia="lv-LV"/>
        </w:rPr>
        <w:t>un līdz ar to paplašināt uzturlīdzekļu saņēmēju loku. Virzot šādus grozījumus, netika prognozēts ar šī</w:t>
      </w:r>
      <w:r>
        <w:rPr>
          <w:rFonts w:cs="Times New Roman"/>
          <w:szCs w:val="24"/>
          <w:lang w:eastAsia="lv-LV"/>
        </w:rPr>
        <w:t xml:space="preserve"> </w:t>
      </w:r>
      <w:r w:rsidRPr="00B92907">
        <w:rPr>
          <w:rFonts w:cs="Times New Roman"/>
          <w:szCs w:val="24"/>
          <w:lang w:eastAsia="lv-LV"/>
        </w:rPr>
        <w:t xml:space="preserve">brīža nodokļu reformu virzītais priekšlikums minimālās algas palielinājumam 2018.gadā no 380 </w:t>
      </w:r>
      <w:r w:rsidRPr="00B92907">
        <w:rPr>
          <w:rFonts w:cs="Times New Roman"/>
          <w:i/>
          <w:iCs/>
          <w:szCs w:val="24"/>
          <w:lang w:eastAsia="lv-LV"/>
        </w:rPr>
        <w:t>euro</w:t>
      </w:r>
      <w:r w:rsidRPr="00B92907">
        <w:rPr>
          <w:rFonts w:cs="Times New Roman"/>
          <w:szCs w:val="24"/>
          <w:lang w:eastAsia="lv-LV"/>
        </w:rPr>
        <w:t xml:space="preserve"> līdz 430 </w:t>
      </w:r>
      <w:r w:rsidRPr="00B92907">
        <w:rPr>
          <w:rFonts w:cs="Times New Roman"/>
          <w:i/>
          <w:iCs/>
          <w:szCs w:val="24"/>
          <w:lang w:eastAsia="lv-LV"/>
        </w:rPr>
        <w:t>euro</w:t>
      </w:r>
      <w:r w:rsidRPr="00B92907">
        <w:rPr>
          <w:rFonts w:cs="Times New Roman"/>
          <w:szCs w:val="24"/>
          <w:lang w:eastAsia="lv-LV"/>
        </w:rPr>
        <w:t>.</w:t>
      </w:r>
      <w:r w:rsidRPr="00B92907">
        <w:rPr>
          <w:rFonts w:cs="Times New Roman"/>
          <w:szCs w:val="24"/>
          <w:shd w:val="clear" w:color="auto" w:fill="FFFFFF"/>
        </w:rPr>
        <w:t xml:space="preserve"> Atbilstoši </w:t>
      </w:r>
      <w:r>
        <w:rPr>
          <w:rFonts w:cs="Times New Roman"/>
          <w:szCs w:val="24"/>
          <w:shd w:val="clear" w:color="auto" w:fill="FFFFFF"/>
        </w:rPr>
        <w:t>TM</w:t>
      </w:r>
      <w:r w:rsidRPr="00B92907">
        <w:rPr>
          <w:rFonts w:cs="Times New Roman"/>
          <w:szCs w:val="24"/>
          <w:shd w:val="clear" w:color="auto" w:fill="FFFFFF"/>
        </w:rPr>
        <w:t xml:space="preserve"> aplēsēm p</w:t>
      </w:r>
      <w:r>
        <w:rPr>
          <w:rFonts w:cs="Times New Roman"/>
          <w:szCs w:val="24"/>
        </w:rPr>
        <w:t>apildu</w:t>
      </w:r>
      <w:r w:rsidRPr="00B92907">
        <w:rPr>
          <w:rFonts w:cs="Times New Roman"/>
          <w:szCs w:val="24"/>
        </w:rPr>
        <w:t xml:space="preserve"> nepieciešamais finansējums uzturlīdzekļu izmaksām uz katriem 10 </w:t>
      </w:r>
      <w:r w:rsidRPr="00B92907">
        <w:rPr>
          <w:rFonts w:cs="Times New Roman"/>
          <w:i/>
          <w:iCs/>
          <w:szCs w:val="24"/>
        </w:rPr>
        <w:t xml:space="preserve">euro </w:t>
      </w:r>
      <w:r>
        <w:rPr>
          <w:rFonts w:cs="Times New Roman"/>
          <w:szCs w:val="24"/>
        </w:rPr>
        <w:t>paaugstinājuma ir vidēji 1 </w:t>
      </w:r>
      <w:r w:rsidRPr="00B92907">
        <w:rPr>
          <w:rFonts w:cs="Times New Roman"/>
          <w:szCs w:val="24"/>
        </w:rPr>
        <w:t xml:space="preserve">086 720 </w:t>
      </w:r>
      <w:r w:rsidRPr="00B92907">
        <w:rPr>
          <w:rFonts w:cs="Times New Roman"/>
          <w:i/>
          <w:iCs/>
          <w:szCs w:val="24"/>
        </w:rPr>
        <w:t xml:space="preserve">euro </w:t>
      </w:r>
      <w:r w:rsidRPr="00B92907">
        <w:rPr>
          <w:rFonts w:cs="Times New Roman"/>
          <w:szCs w:val="24"/>
        </w:rPr>
        <w:t xml:space="preserve">(neskaitot administrēšanai nepieciešamos līdzekļus), līdz ar to, paaugstinot minimālo algu 2018.gadā no 380 līdz 430 </w:t>
      </w:r>
      <w:r w:rsidRPr="00B92907">
        <w:rPr>
          <w:rFonts w:cs="Times New Roman"/>
          <w:i/>
          <w:iCs/>
          <w:szCs w:val="24"/>
        </w:rPr>
        <w:t>euro</w:t>
      </w:r>
      <w:r w:rsidRPr="00B92907">
        <w:rPr>
          <w:rFonts w:cs="Times New Roman"/>
          <w:szCs w:val="24"/>
        </w:rPr>
        <w:t xml:space="preserve"> papildu būtu nepieciešami vidēji 5*1 086 720= 5 433 600</w:t>
      </w:r>
      <w:r w:rsidRPr="00B92907">
        <w:rPr>
          <w:rFonts w:cs="Times New Roman"/>
          <w:i/>
          <w:iCs/>
          <w:szCs w:val="24"/>
        </w:rPr>
        <w:t xml:space="preserve"> euro</w:t>
      </w:r>
      <w:r w:rsidRPr="00B92907">
        <w:rPr>
          <w:rFonts w:cs="Times New Roman"/>
          <w:szCs w:val="24"/>
        </w:rPr>
        <w:t xml:space="preserve">. </w:t>
      </w:r>
    </w:p>
    <w:p w:rsidR="00B92907" w:rsidRPr="00B92907" w:rsidRDefault="00B92907" w:rsidP="00B92907">
      <w:pPr>
        <w:spacing w:after="120"/>
        <w:ind w:firstLine="709"/>
        <w:jc w:val="both"/>
        <w:rPr>
          <w:rFonts w:cs="Times New Roman"/>
          <w:szCs w:val="24"/>
          <w:lang w:eastAsia="lv-LV"/>
        </w:rPr>
      </w:pPr>
      <w:r w:rsidRPr="00B92907">
        <w:rPr>
          <w:rFonts w:cs="Times New Roman"/>
          <w:szCs w:val="24"/>
        </w:rPr>
        <w:t xml:space="preserve">Atzīmējams, ka </w:t>
      </w:r>
      <w:r w:rsidRPr="00B92907">
        <w:rPr>
          <w:rFonts w:cs="Times New Roman"/>
          <w:szCs w:val="24"/>
          <w:lang w:eastAsia="lv-LV"/>
        </w:rPr>
        <w:t xml:space="preserve">procentuālais uzturlīdzekļu apmērs no minimālās mēnešalgas </w:t>
      </w:r>
      <w:r w:rsidRPr="00B92907">
        <w:rPr>
          <w:rFonts w:cs="Times New Roman"/>
          <w:szCs w:val="24"/>
        </w:rPr>
        <w:t xml:space="preserve">kopš 2003.gada nav mainījies, savukārt minimālā alga augusi vairāk kā 4 reizes, ir mainījusies ekonomiska situācija, līdz ar to būtu lietderīgi izvērtēt 2003.gadā pieņemto </w:t>
      </w:r>
      <w:r>
        <w:rPr>
          <w:rFonts w:cs="Times New Roman"/>
          <w:szCs w:val="24"/>
        </w:rPr>
        <w:t>MK</w:t>
      </w:r>
      <w:r w:rsidRPr="00B92907">
        <w:rPr>
          <w:rFonts w:cs="Times New Roman"/>
          <w:szCs w:val="24"/>
        </w:rPr>
        <w:t xml:space="preserve"> noteikumu aktualizēšanas nepieciešamību. Turklāt minimālās algas būtiska palielināšana nesekmēs ikkatra vecāka finansiālās iespējas, savukārt būtiski skar katra vecāka, kas maksā uzturlīdzekļus, izdevumus. Ņemot vērā augstāk minēto, kā arī ierobežotas valsts finansiālās iespējas, </w:t>
      </w:r>
      <w:r>
        <w:rPr>
          <w:rFonts w:cs="Times New Roman"/>
          <w:szCs w:val="24"/>
        </w:rPr>
        <w:t>TM</w:t>
      </w:r>
      <w:r w:rsidRPr="00B92907">
        <w:rPr>
          <w:rFonts w:cs="Times New Roman"/>
          <w:szCs w:val="24"/>
        </w:rPr>
        <w:t xml:space="preserve"> būtu izvērtējama iespēja samērot ar uzturlīdzekļu izmaksu saistīto tiesisko regulējumu ar plānoto nodokļu reformu, nepieciešamības gadījumā virzot priekšlikumus par grozījumiem </w:t>
      </w:r>
      <w:r>
        <w:rPr>
          <w:rFonts w:cs="Times New Roman"/>
          <w:szCs w:val="24"/>
          <w:lang w:eastAsia="lv-LV"/>
        </w:rPr>
        <w:t>MK</w:t>
      </w:r>
      <w:r w:rsidRPr="00B92907">
        <w:rPr>
          <w:rFonts w:cs="Times New Roman"/>
          <w:szCs w:val="24"/>
          <w:lang w:eastAsia="lv-LV"/>
        </w:rPr>
        <w:t xml:space="preserve"> 2013.gada 15.janvāra noteikumos Nr.37 “Noteikumi par minimālo uzturlīdzekļu apmēru bērnam”, izvērtējot procentuālā apmēra no mēnešalgas atbilstību valsts attīstības iespējām, kā arī iespējas rast nepieciešamo finansējumu uzturlīdzekļu izmaksai no Uzturlīdzekļu garantiju fonda, piemēram, meklējot veidus, kā palielināt regresa kārtībā atgūto līdzekļu apjomu no parādniekiem un ierobežot apzinātu, negodprātīgu rīcību,  lai no valsts izkrāptu līdzekļus.</w:t>
      </w:r>
    </w:p>
    <w:p w:rsidR="00B92907" w:rsidRPr="00B92907" w:rsidRDefault="00B92907" w:rsidP="00B92907">
      <w:pPr>
        <w:spacing w:after="120"/>
        <w:ind w:firstLine="709"/>
        <w:jc w:val="both"/>
        <w:rPr>
          <w:rFonts w:cs="Times New Roman"/>
          <w:szCs w:val="24"/>
        </w:rPr>
      </w:pPr>
      <w:r w:rsidRPr="00B92907">
        <w:rPr>
          <w:rFonts w:cs="Times New Roman"/>
          <w:szCs w:val="24"/>
        </w:rPr>
        <w:t>Ieviešot tiesisko regulējumu, kas stājies spēkā 2017.gada 1.februārī ar grozījumiem Uzturlīdzekļu garantiju fonda likumā, tika veiksmīgi veicināta</w:t>
      </w:r>
      <w:r w:rsidRPr="00B92907">
        <w:rPr>
          <w:rFonts w:cs="Times New Roman"/>
          <w:szCs w:val="24"/>
          <w:lang w:eastAsia="lv-LV"/>
        </w:rPr>
        <w:t xml:space="preserve"> regresa kartībā atgūto uzturlīdzekļu apjoma palielināšana. Pēdējo gadu laikā regresa kārtībā piedzītie uzturlīdzekļu parādi ir būtiski pieauguši, 2013. gadā sasniedzot 2 174 224 </w:t>
      </w:r>
      <w:r w:rsidRPr="00B92907">
        <w:rPr>
          <w:rFonts w:cs="Times New Roman"/>
          <w:i/>
          <w:iCs/>
          <w:szCs w:val="24"/>
          <w:lang w:eastAsia="lv-LV"/>
        </w:rPr>
        <w:t>euro</w:t>
      </w:r>
      <w:r w:rsidRPr="00B92907">
        <w:rPr>
          <w:rFonts w:cs="Times New Roman"/>
          <w:szCs w:val="24"/>
          <w:lang w:eastAsia="lv-LV"/>
        </w:rPr>
        <w:t xml:space="preserve">, 2014. gadā - 2 588 643 </w:t>
      </w:r>
      <w:r w:rsidRPr="00B92907">
        <w:rPr>
          <w:rFonts w:cs="Times New Roman"/>
          <w:i/>
          <w:iCs/>
          <w:szCs w:val="24"/>
          <w:lang w:eastAsia="lv-LV"/>
        </w:rPr>
        <w:t>euro</w:t>
      </w:r>
      <w:r w:rsidRPr="00B92907">
        <w:rPr>
          <w:rFonts w:cs="Times New Roman"/>
          <w:szCs w:val="24"/>
          <w:lang w:eastAsia="lv-LV"/>
        </w:rPr>
        <w:t xml:space="preserve">, 2015. gadā – 3 513 413 </w:t>
      </w:r>
      <w:r w:rsidRPr="00B92907">
        <w:rPr>
          <w:rFonts w:cs="Times New Roman"/>
          <w:i/>
          <w:iCs/>
          <w:szCs w:val="24"/>
          <w:lang w:eastAsia="lv-LV"/>
        </w:rPr>
        <w:t>eur</w:t>
      </w:r>
      <w:r w:rsidRPr="00B92907">
        <w:rPr>
          <w:rFonts w:cs="Times New Roman"/>
          <w:szCs w:val="24"/>
          <w:lang w:eastAsia="lv-LV"/>
        </w:rPr>
        <w:t xml:space="preserve">o, 2016. gadā – 4 295 638 </w:t>
      </w:r>
      <w:r w:rsidRPr="00B92907">
        <w:rPr>
          <w:rFonts w:cs="Times New Roman"/>
          <w:i/>
          <w:iCs/>
          <w:szCs w:val="24"/>
          <w:lang w:eastAsia="lv-LV"/>
        </w:rPr>
        <w:t>euro</w:t>
      </w:r>
      <w:r w:rsidRPr="00B92907">
        <w:rPr>
          <w:rFonts w:cs="Times New Roman"/>
          <w:szCs w:val="24"/>
          <w:lang w:eastAsia="lv-LV"/>
        </w:rPr>
        <w:t xml:space="preserve"> un 2017.gada I ceturksnī – 1 258 552 </w:t>
      </w:r>
      <w:r w:rsidRPr="00B92907">
        <w:rPr>
          <w:rFonts w:cs="Times New Roman"/>
          <w:i/>
          <w:iCs/>
          <w:szCs w:val="24"/>
          <w:lang w:eastAsia="lv-LV"/>
        </w:rPr>
        <w:t>euro</w:t>
      </w:r>
      <w:r w:rsidR="006117FE">
        <w:rPr>
          <w:rFonts w:cs="Times New Roman"/>
          <w:i/>
          <w:iCs/>
          <w:szCs w:val="24"/>
          <w:lang w:eastAsia="lv-LV"/>
        </w:rPr>
        <w:t xml:space="preserve"> </w:t>
      </w:r>
      <w:r w:rsidR="006117FE" w:rsidRPr="006117FE">
        <w:rPr>
          <w:rFonts w:cs="Times New Roman"/>
          <w:iCs/>
          <w:szCs w:val="24"/>
          <w:lang w:eastAsia="lv-LV"/>
        </w:rPr>
        <w:t>(skat. 3.67.attēlu)</w:t>
      </w:r>
      <w:r w:rsidRPr="006117FE">
        <w:rPr>
          <w:rFonts w:cs="Times New Roman"/>
          <w:szCs w:val="24"/>
          <w:lang w:eastAsia="lv-LV"/>
        </w:rPr>
        <w:t xml:space="preserve">. </w:t>
      </w:r>
      <w:r w:rsidRPr="00B92907">
        <w:rPr>
          <w:rFonts w:cs="Times New Roman"/>
          <w:szCs w:val="24"/>
          <w:lang w:eastAsia="lv-LV"/>
        </w:rPr>
        <w:t>Atbilstoši TM sniegtajai informācijai par regresa kārtībā atgūto līdzekļu prognozi 2017.gadā tiek paredzēts</w:t>
      </w:r>
      <w:r w:rsidRPr="00B92907">
        <w:rPr>
          <w:rFonts w:cs="Times New Roman"/>
          <w:szCs w:val="24"/>
        </w:rPr>
        <w:t xml:space="preserve">, ka 2017.gadā tie sasniegs 4 497 200 </w:t>
      </w:r>
      <w:r w:rsidRPr="00B92907">
        <w:rPr>
          <w:rFonts w:cs="Times New Roman"/>
          <w:i/>
          <w:iCs/>
          <w:szCs w:val="24"/>
        </w:rPr>
        <w:t>euro</w:t>
      </w:r>
      <w:r w:rsidRPr="00B92907">
        <w:rPr>
          <w:rFonts w:cs="Times New Roman"/>
          <w:szCs w:val="24"/>
        </w:rPr>
        <w:t>. Zemāk attēlā tiek atspoguļota regresa kārtībā atgūto līdzekļu īpatsvara pret kopējiem uzturlīdzekļu izmaksai izlietotiem izdevumiem procentos dinamika pa gadiem.</w:t>
      </w:r>
    </w:p>
    <w:p w:rsidR="00B92907" w:rsidRDefault="00B92907" w:rsidP="00B92907">
      <w:pPr>
        <w:spacing w:before="120" w:after="120"/>
        <w:jc w:val="center"/>
        <w:rPr>
          <w:rFonts w:cs="Times New Roman"/>
          <w:i/>
          <w:sz w:val="22"/>
        </w:rPr>
      </w:pPr>
      <w:r>
        <w:rPr>
          <w:noProof/>
          <w:lang w:eastAsia="lv-LV"/>
        </w:rPr>
        <w:drawing>
          <wp:inline distT="0" distB="0" distL="0" distR="0" wp14:anchorId="7A8C57DE" wp14:editId="7FA9ED82">
            <wp:extent cx="5941060" cy="2962656"/>
            <wp:effectExtent l="0" t="0" r="254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B92907" w:rsidRPr="00B92907" w:rsidRDefault="006117FE" w:rsidP="00B92907">
      <w:pPr>
        <w:spacing w:before="120" w:after="120"/>
        <w:jc w:val="center"/>
        <w:rPr>
          <w:rFonts w:cs="Times New Roman"/>
          <w:b/>
          <w:sz w:val="22"/>
        </w:rPr>
      </w:pPr>
      <w:r>
        <w:rPr>
          <w:rFonts w:cs="Times New Roman"/>
          <w:i/>
          <w:sz w:val="22"/>
        </w:rPr>
        <w:t>3.67</w:t>
      </w:r>
      <w:r w:rsidR="00B92907" w:rsidRPr="00B92907">
        <w:rPr>
          <w:rFonts w:cs="Times New Roman"/>
          <w:i/>
          <w:sz w:val="22"/>
        </w:rPr>
        <w:t>.att.</w:t>
      </w:r>
      <w:r w:rsidR="00B92907" w:rsidRPr="00B92907">
        <w:rPr>
          <w:rFonts w:cs="Times New Roman"/>
          <w:sz w:val="22"/>
        </w:rPr>
        <w:t xml:space="preserve"> </w:t>
      </w:r>
      <w:r w:rsidR="00B92907" w:rsidRPr="00B92907">
        <w:rPr>
          <w:rFonts w:cs="Times New Roman"/>
          <w:b/>
          <w:sz w:val="22"/>
        </w:rPr>
        <w:t>Regresa kārtībā atgūto līdzekļu īpatsvars, %</w:t>
      </w:r>
    </w:p>
    <w:p w:rsidR="00B92907" w:rsidRPr="00B92907" w:rsidRDefault="00B92907" w:rsidP="00B92907">
      <w:pPr>
        <w:pStyle w:val="Default"/>
        <w:spacing w:after="120"/>
        <w:jc w:val="both"/>
        <w:rPr>
          <w:color w:val="auto"/>
        </w:rPr>
      </w:pPr>
      <w:r w:rsidRPr="00B92907">
        <w:rPr>
          <w:color w:val="auto"/>
        </w:rPr>
        <w:lastRenderedPageBreak/>
        <w:t xml:space="preserve">            Vidējais pēdējo piecu gadu regresa kārtībā atgūto līdzekļu īpatsvars ir 12,2%. Apkopojot publiski pieejamo informāciju par parādu piedziņas jautājumu, piemēram, ārpustiesas parādu atgūšanas sektorā pēdējos gados no kopā apkalpotajām patērētāju parādu lietām pilnībā atgūto parādu lietu īpatsvars ir 13-15 %, savukārt vēl 13-15 % lietās parāds tiek atgūts daļēji, pārējās 70-75% ārpustiesas parāda atgūšanai nodotajās lietās parāds vēl nav atgūts. Tāpat, apkopojot </w:t>
      </w:r>
      <w:r w:rsidR="002B7E93">
        <w:rPr>
          <w:color w:val="auto"/>
        </w:rPr>
        <w:t>VID</w:t>
      </w:r>
      <w:r w:rsidRPr="00B92907">
        <w:rPr>
          <w:color w:val="auto"/>
        </w:rPr>
        <w:t xml:space="preserve"> pārskatos pieejamo informā</w:t>
      </w:r>
      <w:r w:rsidR="00787478">
        <w:rPr>
          <w:color w:val="auto"/>
        </w:rPr>
        <w:t xml:space="preserve">ciju, tiek konstatēts, ka </w:t>
      </w:r>
      <w:r w:rsidRPr="00B92907">
        <w:rPr>
          <w:color w:val="auto"/>
        </w:rPr>
        <w:t>piedzīto parādu īpatsvars no reāli piedzenamajiem parādiem 20</w:t>
      </w:r>
      <w:r w:rsidR="00787478">
        <w:rPr>
          <w:color w:val="auto"/>
        </w:rPr>
        <w:t>13.gadā vidēji mēnesī bija 19,3</w:t>
      </w:r>
      <w:r w:rsidRPr="00B92907">
        <w:rPr>
          <w:color w:val="auto"/>
        </w:rPr>
        <w:t>%, 2014.gadā - 22,9% un 20</w:t>
      </w:r>
      <w:r w:rsidR="00787478">
        <w:rPr>
          <w:color w:val="auto"/>
        </w:rPr>
        <w:t>15.gadā vidēji mēnesī bija 24,7</w:t>
      </w:r>
      <w:r w:rsidRPr="00B92907">
        <w:rPr>
          <w:color w:val="auto"/>
        </w:rPr>
        <w:t>%.</w:t>
      </w:r>
    </w:p>
    <w:p w:rsidR="00870801" w:rsidRPr="00F45846" w:rsidRDefault="00B92907" w:rsidP="00F45846">
      <w:pPr>
        <w:pStyle w:val="Default"/>
        <w:spacing w:after="120"/>
        <w:jc w:val="both"/>
        <w:rPr>
          <w:color w:val="auto"/>
        </w:rPr>
      </w:pPr>
      <w:r w:rsidRPr="00B92907">
        <w:rPr>
          <w:color w:val="auto"/>
        </w:rPr>
        <w:t xml:space="preserve">            Ņemot vērā augstāk minētos apsvērumus, </w:t>
      </w:r>
      <w:r w:rsidR="00F45846">
        <w:rPr>
          <w:color w:val="auto"/>
        </w:rPr>
        <w:t>FM</w:t>
      </w:r>
      <w:r w:rsidRPr="00B92907">
        <w:rPr>
          <w:color w:val="auto"/>
        </w:rPr>
        <w:t xml:space="preserve"> ieskatā minimālajam uzturlīdzekļu regresa kārtībā atgūto līdzekļu īpatsvaram jābūt vismaz 20%. </w:t>
      </w:r>
      <w:r w:rsidR="00787478">
        <w:rPr>
          <w:color w:val="auto"/>
        </w:rPr>
        <w:t>Pieņemot, ka turpmākajos gados regresa kārtībā atgūto līdzekļu īpatsvars pieaugs vidēji par vienu procentpunktu, sasniedzot 2018.gadā – 14,</w:t>
      </w:r>
      <w:r w:rsidR="00B32969">
        <w:rPr>
          <w:color w:val="auto"/>
        </w:rPr>
        <w:t>0</w:t>
      </w:r>
      <w:r w:rsidR="00787478">
        <w:rPr>
          <w:color w:val="auto"/>
        </w:rPr>
        <w:t xml:space="preserve">6%, 2019.gadā – 15,06 un 2020.gadā – 16,06% no kopējiem izdevumiem, līdz ar to </w:t>
      </w:r>
      <w:r w:rsidR="00787478">
        <w:rPr>
          <w:bCs/>
          <w:color w:val="auto"/>
        </w:rPr>
        <w:t xml:space="preserve">2018.gadā 2 580 001 </w:t>
      </w:r>
      <w:r w:rsidR="00787478" w:rsidRPr="00787478">
        <w:rPr>
          <w:bCs/>
          <w:i/>
          <w:color w:val="auto"/>
        </w:rPr>
        <w:t>euro</w:t>
      </w:r>
      <w:r w:rsidR="00787478">
        <w:rPr>
          <w:bCs/>
          <w:color w:val="auto"/>
        </w:rPr>
        <w:t xml:space="preserve">, 2019.gadā 2 145 657 </w:t>
      </w:r>
      <w:r w:rsidR="00787478" w:rsidRPr="00787478">
        <w:rPr>
          <w:bCs/>
          <w:i/>
          <w:color w:val="auto"/>
        </w:rPr>
        <w:t>euro</w:t>
      </w:r>
      <w:r w:rsidR="00787478">
        <w:rPr>
          <w:bCs/>
          <w:color w:val="auto"/>
        </w:rPr>
        <w:t xml:space="preserve"> un 2020.gadā 1 711 314 </w:t>
      </w:r>
      <w:r w:rsidR="00787478" w:rsidRPr="00787478">
        <w:rPr>
          <w:bCs/>
          <w:i/>
          <w:color w:val="auto"/>
        </w:rPr>
        <w:t>euro</w:t>
      </w:r>
      <w:r w:rsidR="00787478">
        <w:rPr>
          <w:color w:val="auto"/>
        </w:rPr>
        <w:t xml:space="preserve"> būtu novirzāmi</w:t>
      </w:r>
      <w:r w:rsidRPr="00B92907">
        <w:rPr>
          <w:color w:val="auto"/>
        </w:rPr>
        <w:t xml:space="preserve"> uzturlīdzekļu izmaksai, nepieprasot pa</w:t>
      </w:r>
      <w:r w:rsidR="00F45846">
        <w:rPr>
          <w:color w:val="auto"/>
        </w:rPr>
        <w:t xml:space="preserve">pildu valsts budžeta dotāciju. </w:t>
      </w:r>
    </w:p>
    <w:p w:rsidR="00A06C87" w:rsidRPr="00F45846" w:rsidRDefault="00A06C87" w:rsidP="00F45846">
      <w:pPr>
        <w:spacing w:before="240" w:after="240"/>
        <w:jc w:val="both"/>
        <w:rPr>
          <w:rFonts w:cs="Times New Roman"/>
          <w:b/>
          <w:szCs w:val="24"/>
        </w:rPr>
      </w:pPr>
      <w:r>
        <w:rPr>
          <w:rFonts w:cs="Times New Roman"/>
          <w:b/>
          <w:szCs w:val="24"/>
        </w:rPr>
        <w:t xml:space="preserve">VARAM - </w:t>
      </w:r>
      <w:r w:rsidRPr="00F45D20">
        <w:rPr>
          <w:rFonts w:cs="Times New Roman"/>
          <w:b/>
          <w:szCs w:val="24"/>
        </w:rPr>
        <w:t>Realizēt p</w:t>
      </w:r>
      <w:r>
        <w:rPr>
          <w:rFonts w:cs="Times New Roman"/>
          <w:b/>
          <w:szCs w:val="24"/>
        </w:rPr>
        <w:t>rincipu “Nauda atgriežas dabā”</w:t>
      </w:r>
    </w:p>
    <w:p w:rsidR="00A06C87" w:rsidRDefault="00A06C87" w:rsidP="00A06C87">
      <w:pPr>
        <w:ind w:firstLine="720"/>
        <w:jc w:val="both"/>
        <w:rPr>
          <w:rFonts w:cs="Times New Roman"/>
          <w:szCs w:val="24"/>
        </w:rPr>
      </w:pPr>
      <w:r>
        <w:rPr>
          <w:rFonts w:cs="Times New Roman"/>
          <w:szCs w:val="24"/>
        </w:rPr>
        <w:t>VARAM budžeta apakšprogrammā 21</w:t>
      </w:r>
      <w:r w:rsidRPr="00645D2C">
        <w:rPr>
          <w:rFonts w:cs="Times New Roman"/>
          <w:szCs w:val="24"/>
        </w:rPr>
        <w:t>.02.00 “Vides aizsardzības projekti” 2014.</w:t>
      </w:r>
      <w:r>
        <w:rPr>
          <w:rFonts w:cs="Times New Roman"/>
          <w:szCs w:val="24"/>
        </w:rPr>
        <w:noBreakHyphen/>
      </w:r>
      <w:r w:rsidRPr="00645D2C">
        <w:rPr>
          <w:rFonts w:cs="Times New Roman"/>
          <w:szCs w:val="24"/>
        </w:rPr>
        <w:t xml:space="preserve">2016.gada ietvarā atbalstīts finansējums JPI </w:t>
      </w:r>
      <w:r>
        <w:rPr>
          <w:rFonts w:cs="Times New Roman"/>
          <w:szCs w:val="24"/>
        </w:rPr>
        <w:t>“Realizēt principu “</w:t>
      </w:r>
      <w:r w:rsidRPr="00645D2C">
        <w:rPr>
          <w:rFonts w:cs="Times New Roman"/>
          <w:szCs w:val="24"/>
        </w:rPr>
        <w:t>Nauda atgriežas dabā</w:t>
      </w:r>
      <w:r>
        <w:rPr>
          <w:rFonts w:cs="Times New Roman"/>
          <w:szCs w:val="24"/>
        </w:rPr>
        <w:t xml:space="preserve">”” 2014.gadam </w:t>
      </w:r>
      <w:r w:rsidRPr="00645D2C">
        <w:rPr>
          <w:rFonts w:cs="Times New Roman"/>
          <w:szCs w:val="24"/>
        </w:rPr>
        <w:t>2</w:t>
      </w:r>
      <w:r>
        <w:rPr>
          <w:rFonts w:cs="Times New Roman"/>
          <w:szCs w:val="24"/>
        </w:rPr>
        <w:t> </w:t>
      </w:r>
      <w:r w:rsidRPr="00645D2C">
        <w:rPr>
          <w:rFonts w:cs="Times New Roman"/>
          <w:szCs w:val="24"/>
        </w:rPr>
        <w:t>096</w:t>
      </w:r>
      <w:r>
        <w:rPr>
          <w:rFonts w:cs="Times New Roman"/>
          <w:szCs w:val="24"/>
        </w:rPr>
        <w:t> </w:t>
      </w:r>
      <w:r w:rsidRPr="00645D2C">
        <w:rPr>
          <w:rFonts w:cs="Times New Roman"/>
          <w:szCs w:val="24"/>
        </w:rPr>
        <w:t>963</w:t>
      </w:r>
      <w:r>
        <w:rPr>
          <w:rFonts w:cs="Times New Roman"/>
          <w:szCs w:val="24"/>
        </w:rPr>
        <w:t xml:space="preserve"> </w:t>
      </w:r>
      <w:r w:rsidRPr="007A0856">
        <w:rPr>
          <w:rFonts w:cs="Times New Roman"/>
          <w:i/>
          <w:szCs w:val="24"/>
        </w:rPr>
        <w:t>euro</w:t>
      </w:r>
      <w:r>
        <w:rPr>
          <w:rFonts w:cs="Times New Roman"/>
          <w:szCs w:val="24"/>
        </w:rPr>
        <w:t xml:space="preserve">, 2015.gadam </w:t>
      </w:r>
      <w:r w:rsidRPr="00645D2C">
        <w:rPr>
          <w:rFonts w:cs="Times New Roman"/>
          <w:szCs w:val="24"/>
        </w:rPr>
        <w:t>2</w:t>
      </w:r>
      <w:r>
        <w:rPr>
          <w:rFonts w:cs="Times New Roman"/>
          <w:szCs w:val="24"/>
        </w:rPr>
        <w:t> </w:t>
      </w:r>
      <w:r w:rsidRPr="00645D2C">
        <w:rPr>
          <w:rFonts w:cs="Times New Roman"/>
          <w:szCs w:val="24"/>
        </w:rPr>
        <w:t>115</w:t>
      </w:r>
      <w:r>
        <w:rPr>
          <w:rFonts w:cs="Times New Roman"/>
          <w:szCs w:val="24"/>
        </w:rPr>
        <w:t> </w:t>
      </w:r>
      <w:r w:rsidRPr="00645D2C">
        <w:rPr>
          <w:rFonts w:cs="Times New Roman"/>
          <w:szCs w:val="24"/>
        </w:rPr>
        <w:t>745</w:t>
      </w:r>
      <w:r>
        <w:rPr>
          <w:rFonts w:cs="Times New Roman"/>
          <w:szCs w:val="24"/>
        </w:rPr>
        <w:t xml:space="preserve"> </w:t>
      </w:r>
      <w:r w:rsidRPr="007A0856">
        <w:rPr>
          <w:rFonts w:cs="Times New Roman"/>
          <w:i/>
          <w:szCs w:val="24"/>
        </w:rPr>
        <w:t>euro</w:t>
      </w:r>
      <w:r>
        <w:rPr>
          <w:rFonts w:cs="Times New Roman"/>
          <w:szCs w:val="24"/>
        </w:rPr>
        <w:t xml:space="preserve"> un 2016.gadam </w:t>
      </w:r>
      <w:r w:rsidRPr="00645D2C">
        <w:rPr>
          <w:rFonts w:cs="Times New Roman"/>
          <w:szCs w:val="24"/>
        </w:rPr>
        <w:t>2</w:t>
      </w:r>
      <w:r>
        <w:rPr>
          <w:rFonts w:cs="Times New Roman"/>
          <w:szCs w:val="24"/>
        </w:rPr>
        <w:t> </w:t>
      </w:r>
      <w:r w:rsidRPr="00645D2C">
        <w:rPr>
          <w:rFonts w:cs="Times New Roman"/>
          <w:szCs w:val="24"/>
        </w:rPr>
        <w:t>668</w:t>
      </w:r>
      <w:r>
        <w:rPr>
          <w:rFonts w:cs="Times New Roman"/>
          <w:szCs w:val="24"/>
        </w:rPr>
        <w:t> </w:t>
      </w:r>
      <w:r w:rsidRPr="00645D2C">
        <w:rPr>
          <w:rFonts w:cs="Times New Roman"/>
          <w:szCs w:val="24"/>
        </w:rPr>
        <w:t>579</w:t>
      </w:r>
      <w:r>
        <w:rPr>
          <w:rFonts w:cs="Times New Roman"/>
          <w:szCs w:val="24"/>
        </w:rPr>
        <w:t xml:space="preserve"> </w:t>
      </w:r>
      <w:r w:rsidRPr="007A0856">
        <w:rPr>
          <w:rFonts w:cs="Times New Roman"/>
          <w:i/>
          <w:szCs w:val="24"/>
        </w:rPr>
        <w:t>euro</w:t>
      </w:r>
      <w:r>
        <w:rPr>
          <w:rFonts w:cs="Times New Roman"/>
          <w:szCs w:val="24"/>
        </w:rPr>
        <w:t xml:space="preserve"> apmērā</w:t>
      </w:r>
      <w:r w:rsidR="002B7E93">
        <w:rPr>
          <w:rFonts w:cs="Times New Roman"/>
          <w:szCs w:val="24"/>
        </w:rPr>
        <w:t xml:space="preserve"> (skat. 3.68.attēlu)</w:t>
      </w:r>
      <w:r>
        <w:rPr>
          <w:rFonts w:cs="Times New Roman"/>
          <w:szCs w:val="24"/>
        </w:rPr>
        <w:t>. F</w:t>
      </w:r>
      <w:r w:rsidRPr="005C035C">
        <w:rPr>
          <w:rFonts w:cs="Times New Roman"/>
          <w:szCs w:val="24"/>
        </w:rPr>
        <w:t>inansējums paredzēts vides aizsardzības projekt</w:t>
      </w:r>
      <w:r>
        <w:rPr>
          <w:rFonts w:cs="Times New Roman"/>
          <w:szCs w:val="24"/>
        </w:rPr>
        <w:t>u īstenošanai</w:t>
      </w:r>
      <w:r w:rsidRPr="005C035C">
        <w:rPr>
          <w:rFonts w:cs="Times New Roman"/>
          <w:szCs w:val="24"/>
        </w:rPr>
        <w:t xml:space="preserve">. Atbilstoši </w:t>
      </w:r>
      <w:r>
        <w:rPr>
          <w:rFonts w:cs="Times New Roman"/>
          <w:szCs w:val="24"/>
        </w:rPr>
        <w:t xml:space="preserve">sniegtajai informācijai </w:t>
      </w:r>
      <w:r w:rsidRPr="005C035C">
        <w:rPr>
          <w:rFonts w:cs="Times New Roman"/>
          <w:szCs w:val="24"/>
        </w:rPr>
        <w:t xml:space="preserve">LVAFA 2014.gada </w:t>
      </w:r>
      <w:r>
        <w:rPr>
          <w:rFonts w:cs="Times New Roman"/>
          <w:szCs w:val="24"/>
        </w:rPr>
        <w:t xml:space="preserve">un 2015.gada </w:t>
      </w:r>
      <w:r w:rsidRPr="005C035C">
        <w:rPr>
          <w:rFonts w:cs="Times New Roman"/>
          <w:szCs w:val="24"/>
        </w:rPr>
        <w:t>pārskat</w:t>
      </w:r>
      <w:r>
        <w:rPr>
          <w:rFonts w:cs="Times New Roman"/>
          <w:szCs w:val="24"/>
        </w:rPr>
        <w:t>os</w:t>
      </w:r>
      <w:r w:rsidRPr="005C035C">
        <w:rPr>
          <w:rFonts w:cs="Times New Roman"/>
          <w:szCs w:val="24"/>
        </w:rPr>
        <w:t xml:space="preserve">, JPI </w:t>
      </w:r>
      <w:r>
        <w:rPr>
          <w:rFonts w:cs="Times New Roman"/>
          <w:szCs w:val="24"/>
        </w:rPr>
        <w:t xml:space="preserve">ietvaros 2014.gadā </w:t>
      </w:r>
      <w:r w:rsidRPr="00C875D7">
        <w:rPr>
          <w:rFonts w:cs="Times New Roman"/>
          <w:szCs w:val="24"/>
        </w:rPr>
        <w:t>tika realizēt</w:t>
      </w:r>
      <w:r>
        <w:rPr>
          <w:rFonts w:cs="Times New Roman"/>
          <w:szCs w:val="24"/>
        </w:rPr>
        <w:t>i</w:t>
      </w:r>
      <w:r w:rsidRPr="00C875D7">
        <w:rPr>
          <w:rFonts w:cs="Times New Roman"/>
          <w:szCs w:val="24"/>
        </w:rPr>
        <w:t xml:space="preserve"> 19 projektu konkursi, to ietvaros finansējot 206 projektus par kopējo summu 1 969 854 </w:t>
      </w:r>
      <w:r w:rsidRPr="00C875D7">
        <w:rPr>
          <w:rFonts w:cs="Times New Roman"/>
          <w:i/>
          <w:szCs w:val="24"/>
        </w:rPr>
        <w:t>euro</w:t>
      </w:r>
      <w:r>
        <w:rPr>
          <w:rFonts w:cs="Times New Roman"/>
          <w:szCs w:val="24"/>
        </w:rPr>
        <w:t xml:space="preserve">, un </w:t>
      </w:r>
      <w:r w:rsidRPr="00C875D7">
        <w:rPr>
          <w:rFonts w:cs="Times New Roman"/>
          <w:szCs w:val="24"/>
        </w:rPr>
        <w:t>2015.gad</w:t>
      </w:r>
      <w:r>
        <w:rPr>
          <w:rFonts w:cs="Times New Roman"/>
          <w:szCs w:val="24"/>
        </w:rPr>
        <w:t>ā</w:t>
      </w:r>
      <w:r w:rsidRPr="00C875D7">
        <w:rPr>
          <w:rFonts w:cs="Times New Roman"/>
          <w:szCs w:val="24"/>
        </w:rPr>
        <w:t xml:space="preserve"> 17 projektu konkursi, to ietvaros finansējot 189 projektus par kopējo summu 1 576 19</w:t>
      </w:r>
      <w:r w:rsidRPr="00916680">
        <w:rPr>
          <w:rFonts w:cs="Times New Roman"/>
          <w:szCs w:val="24"/>
        </w:rPr>
        <w:t xml:space="preserve">6 </w:t>
      </w:r>
      <w:r w:rsidRPr="00916680">
        <w:rPr>
          <w:rFonts w:cs="Times New Roman"/>
          <w:i/>
          <w:szCs w:val="24"/>
        </w:rPr>
        <w:t>euro</w:t>
      </w:r>
      <w:r w:rsidRPr="00916680">
        <w:rPr>
          <w:rFonts w:cs="Times New Roman"/>
          <w:szCs w:val="24"/>
        </w:rPr>
        <w:t xml:space="preserve">. Savukārt 2016.gadā šīs JPI finansējums tika pakļauts vienreizējam 3% samazinājumam 158 602 </w:t>
      </w:r>
      <w:r w:rsidRPr="00916680">
        <w:rPr>
          <w:rFonts w:cs="Times New Roman"/>
          <w:i/>
          <w:szCs w:val="24"/>
        </w:rPr>
        <w:t xml:space="preserve">euro </w:t>
      </w:r>
      <w:r w:rsidRPr="00916680">
        <w:rPr>
          <w:rFonts w:cs="Times New Roman"/>
          <w:szCs w:val="24"/>
        </w:rPr>
        <w:t>apmērā</w:t>
      </w:r>
      <w:r w:rsidRPr="005C035C">
        <w:rPr>
          <w:rStyle w:val="FootnoteReference"/>
          <w:rFonts w:cs="Times New Roman"/>
          <w:szCs w:val="24"/>
        </w:rPr>
        <w:footnoteReference w:id="82"/>
      </w:r>
      <w:r w:rsidRPr="005C035C">
        <w:rPr>
          <w:rFonts w:cs="Times New Roman"/>
          <w:szCs w:val="24"/>
        </w:rPr>
        <w:t xml:space="preserve">, </w:t>
      </w:r>
      <w:r>
        <w:rPr>
          <w:rFonts w:cs="Times New Roman"/>
          <w:szCs w:val="24"/>
        </w:rPr>
        <w:t xml:space="preserve">bet </w:t>
      </w:r>
      <w:r w:rsidRPr="005C035C">
        <w:rPr>
          <w:rFonts w:cs="Times New Roman"/>
          <w:szCs w:val="24"/>
        </w:rPr>
        <w:t>2017.</w:t>
      </w:r>
      <w:r w:rsidRPr="000A3593">
        <w:rPr>
          <w:rFonts w:cs="Times New Roman"/>
          <w:szCs w:val="24"/>
        </w:rPr>
        <w:t xml:space="preserve">gadā un turpmāk finansējums atjaunots 2 827 181 </w:t>
      </w:r>
      <w:r w:rsidRPr="000A3593">
        <w:rPr>
          <w:rFonts w:cs="Times New Roman"/>
          <w:i/>
          <w:szCs w:val="24"/>
        </w:rPr>
        <w:t xml:space="preserve">euro </w:t>
      </w:r>
      <w:r w:rsidRPr="000A3593">
        <w:rPr>
          <w:rFonts w:cs="Times New Roman"/>
          <w:szCs w:val="24"/>
        </w:rPr>
        <w:t>apjomā</w:t>
      </w:r>
      <w:r w:rsidRPr="005C035C">
        <w:rPr>
          <w:rFonts w:cs="Times New Roman"/>
          <w:szCs w:val="24"/>
        </w:rPr>
        <w:t xml:space="preserve">. </w:t>
      </w:r>
    </w:p>
    <w:p w:rsidR="00A06C87" w:rsidRDefault="00A06C87" w:rsidP="00A06C87">
      <w:pPr>
        <w:jc w:val="both"/>
        <w:rPr>
          <w:rFonts w:cs="Times New Roman"/>
          <w:szCs w:val="24"/>
        </w:rPr>
      </w:pPr>
      <w:r>
        <w:rPr>
          <w:noProof/>
          <w:lang w:eastAsia="lv-LV"/>
        </w:rPr>
        <w:drawing>
          <wp:inline distT="0" distB="0" distL="0" distR="0" wp14:anchorId="614E80B0" wp14:editId="1BABBFB3">
            <wp:extent cx="5939790" cy="3730752"/>
            <wp:effectExtent l="0" t="0" r="3810" b="31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A06C87" w:rsidRPr="00597C0A" w:rsidRDefault="002B7E93" w:rsidP="00A06C87">
      <w:pPr>
        <w:spacing w:before="120"/>
        <w:jc w:val="center"/>
        <w:rPr>
          <w:rFonts w:cs="Times New Roman"/>
          <w:sz w:val="22"/>
        </w:rPr>
      </w:pPr>
      <w:r w:rsidRPr="002B7E93">
        <w:rPr>
          <w:rFonts w:cs="Times New Roman"/>
          <w:i/>
          <w:sz w:val="22"/>
        </w:rPr>
        <w:t>3.68</w:t>
      </w:r>
      <w:r w:rsidR="00A06C87" w:rsidRPr="002B7E93">
        <w:rPr>
          <w:rFonts w:cs="Times New Roman"/>
          <w:i/>
          <w:sz w:val="22"/>
        </w:rPr>
        <w:t>.att</w:t>
      </w:r>
      <w:r w:rsidR="00A06C87" w:rsidRPr="002B7E93">
        <w:rPr>
          <w:rFonts w:cs="Times New Roman"/>
          <w:sz w:val="22"/>
        </w:rPr>
        <w:t xml:space="preserve">. </w:t>
      </w:r>
      <w:r w:rsidR="00A06C87" w:rsidRPr="002B7E93">
        <w:rPr>
          <w:rFonts w:cs="Times New Roman"/>
          <w:b/>
          <w:sz w:val="22"/>
        </w:rPr>
        <w:t xml:space="preserve">Finansējums JPI “Realizēt principu "Nauda atgriežas dabā”” ietvaros, </w:t>
      </w:r>
      <w:r w:rsidR="00A06C87" w:rsidRPr="002B7E93">
        <w:rPr>
          <w:rFonts w:cs="Times New Roman"/>
          <w:b/>
          <w:i/>
          <w:sz w:val="22"/>
        </w:rPr>
        <w:t>euro</w:t>
      </w:r>
    </w:p>
    <w:p w:rsidR="00A06C87" w:rsidRDefault="00A06C87" w:rsidP="00A06C87">
      <w:pPr>
        <w:jc w:val="both"/>
        <w:rPr>
          <w:rFonts w:cs="Times New Roman"/>
          <w:szCs w:val="24"/>
        </w:rPr>
      </w:pPr>
    </w:p>
    <w:p w:rsidR="00A06C87" w:rsidRDefault="00A06C87" w:rsidP="00A06C87">
      <w:pPr>
        <w:ind w:firstLine="720"/>
        <w:jc w:val="both"/>
        <w:rPr>
          <w:rFonts w:cs="Times New Roman"/>
          <w:szCs w:val="24"/>
        </w:rPr>
      </w:pPr>
      <w:r>
        <w:rPr>
          <w:rFonts w:cs="Times New Roman"/>
          <w:szCs w:val="24"/>
        </w:rPr>
        <w:t xml:space="preserve">Ņemot vērā minēto, ka JPI finansējums tiek novirzīts citu vides aizsardzību projektu īstenošanai un ka tas ticis izvēlēts kā finansējuma samazināšanai pakļautais pasākums, uzskatām, ka 2018.gadā un turpmāk citām VARAM aktualitātēm novirzāmais finansējums ir konstatētās neizpildes </w:t>
      </w:r>
      <w:r w:rsidRPr="00FB2E58">
        <w:rPr>
          <w:rFonts w:cs="Times New Roman"/>
          <w:szCs w:val="24"/>
        </w:rPr>
        <w:t xml:space="preserve">un </w:t>
      </w:r>
      <w:r>
        <w:rPr>
          <w:rFonts w:cs="Times New Roman"/>
          <w:szCs w:val="24"/>
        </w:rPr>
        <w:t>finansējuma samazinājuma 2014.</w:t>
      </w:r>
      <w:r>
        <w:rPr>
          <w:rFonts w:cs="Times New Roman"/>
          <w:szCs w:val="24"/>
        </w:rPr>
        <w:noBreakHyphen/>
        <w:t xml:space="preserve">2016.gada kopsummas vidējais rādītājs, kas ir 275 087 </w:t>
      </w:r>
      <w:r w:rsidRPr="00E57943">
        <w:rPr>
          <w:rFonts w:cs="Times New Roman"/>
          <w:i/>
          <w:szCs w:val="24"/>
        </w:rPr>
        <w:t>euro</w:t>
      </w:r>
      <w:r>
        <w:rPr>
          <w:rFonts w:cs="Times New Roman"/>
          <w:szCs w:val="24"/>
        </w:rPr>
        <w:t>.</w:t>
      </w:r>
    </w:p>
    <w:p w:rsidR="00BE1F69" w:rsidRPr="00196780" w:rsidRDefault="00BE1F69" w:rsidP="00BE1F69">
      <w:pPr>
        <w:spacing w:before="120"/>
        <w:ind w:firstLine="720"/>
        <w:jc w:val="both"/>
        <w:rPr>
          <w:rFonts w:cs="Times New Roman"/>
          <w:szCs w:val="24"/>
        </w:rPr>
      </w:pPr>
      <w:r w:rsidRPr="00BE1F69">
        <w:rPr>
          <w:szCs w:val="24"/>
        </w:rPr>
        <w:t>Lai arī VARAM ir sniegusi informāciju</w:t>
      </w:r>
      <w:r w:rsidRPr="00BE1F69">
        <w:rPr>
          <w:rStyle w:val="FootnoteReference"/>
          <w:szCs w:val="24"/>
        </w:rPr>
        <w:footnoteReference w:id="83"/>
      </w:r>
      <w:r w:rsidRPr="00BE1F69">
        <w:rPr>
          <w:szCs w:val="24"/>
        </w:rPr>
        <w:t>, ka JPI īstenošanai piešķirtais finansējums tiek izmantots nacionālas nozīmes vides projektu finansēšanai, novēršot kaitējumu videi, tādējādi ļaujot sasniegt izvirzītos mērķus kopumā, uzskatām, ka JPI īstenošanai paredzētais finansējums ir izvērtējams, vai tas arī nākotnē uzskatāms par prioritāti.</w:t>
      </w:r>
    </w:p>
    <w:p w:rsidR="00A06C87" w:rsidRDefault="00A06C87" w:rsidP="00BE1F69">
      <w:pPr>
        <w:spacing w:before="120"/>
        <w:ind w:right="85"/>
        <w:jc w:val="both"/>
        <w:rPr>
          <w:b/>
        </w:rPr>
      </w:pPr>
      <w:r w:rsidRPr="00EA64B5">
        <w:rPr>
          <w:b/>
        </w:rPr>
        <w:t>VARAM - Referendumu elektronisko balsu vākšanas sistēma (lai nodrošinātu Vienotā valsts un pašvaldību portāla tiešsaistes sistēmas tehnisko un drošības gatavību parakstu vākšanai tiešsaistes režīmā)</w:t>
      </w:r>
    </w:p>
    <w:p w:rsidR="00A06C87" w:rsidRDefault="00A06C87" w:rsidP="00A06C87">
      <w:pPr>
        <w:ind w:right="84"/>
        <w:jc w:val="both"/>
        <w:rPr>
          <w:b/>
        </w:rPr>
      </w:pPr>
    </w:p>
    <w:p w:rsidR="00A06C87" w:rsidRDefault="00A06C87" w:rsidP="00A06C87">
      <w:pPr>
        <w:spacing w:after="120"/>
        <w:ind w:right="85" w:firstLine="720"/>
        <w:jc w:val="both"/>
        <w:rPr>
          <w:rFonts w:cs="Times New Roman"/>
          <w:szCs w:val="24"/>
        </w:rPr>
      </w:pPr>
      <w:r w:rsidRPr="00246F35">
        <w:rPr>
          <w:rFonts w:cs="Times New Roman"/>
          <w:szCs w:val="24"/>
        </w:rPr>
        <w:t>VARAM budžeta programmā</w:t>
      </w:r>
      <w:r>
        <w:rPr>
          <w:rFonts w:cs="Times New Roman"/>
          <w:szCs w:val="24"/>
        </w:rPr>
        <w:t xml:space="preserve"> </w:t>
      </w:r>
      <w:r w:rsidRPr="004A5217">
        <w:rPr>
          <w:rFonts w:cs="Times New Roman"/>
          <w:szCs w:val="24"/>
        </w:rPr>
        <w:t>32.00.00 “Valsts reģionālās attīstības politikas īstenošana” 2014.</w:t>
      </w:r>
      <w:r>
        <w:rPr>
          <w:rFonts w:cs="Times New Roman"/>
          <w:szCs w:val="24"/>
        </w:rPr>
        <w:t>-</w:t>
      </w:r>
      <w:r w:rsidRPr="004A5217">
        <w:rPr>
          <w:rFonts w:cs="Times New Roman"/>
          <w:szCs w:val="24"/>
        </w:rPr>
        <w:t>2016.gada ietvarā atbalstīts finansējums JPI</w:t>
      </w:r>
      <w:r>
        <w:rPr>
          <w:rFonts w:cs="Times New Roman"/>
          <w:szCs w:val="24"/>
        </w:rPr>
        <w:t xml:space="preserve"> “</w:t>
      </w:r>
      <w:r w:rsidRPr="00A677E7">
        <w:rPr>
          <w:rFonts w:cs="Times New Roman"/>
          <w:szCs w:val="24"/>
        </w:rPr>
        <w:t>Referendumu elektronisko balsu vākšanas sistēma (lai nodrošinātu</w:t>
      </w:r>
      <w:r>
        <w:rPr>
          <w:rFonts w:cs="Times New Roman"/>
          <w:szCs w:val="24"/>
        </w:rPr>
        <w:t xml:space="preserve"> </w:t>
      </w:r>
      <w:r w:rsidRPr="00A677E7">
        <w:rPr>
          <w:rFonts w:cs="Times New Roman"/>
          <w:szCs w:val="24"/>
        </w:rPr>
        <w:t>Vienotā valsts un pašvaldību portāla tiešsaistes sistēmas tehnisko un drošības gatavību parakstu vākšanai tiešsaistes režīmā)</w:t>
      </w:r>
      <w:r>
        <w:rPr>
          <w:rFonts w:cs="Times New Roman"/>
          <w:szCs w:val="24"/>
        </w:rPr>
        <w:t xml:space="preserve">” 2014. gadam  </w:t>
      </w:r>
      <w:r w:rsidRPr="00A677E7">
        <w:rPr>
          <w:rFonts w:cs="Times New Roman"/>
          <w:szCs w:val="24"/>
        </w:rPr>
        <w:t>209</w:t>
      </w:r>
      <w:r>
        <w:rPr>
          <w:rFonts w:cs="Times New Roman"/>
          <w:szCs w:val="24"/>
        </w:rPr>
        <w:t> </w:t>
      </w:r>
      <w:r w:rsidRPr="00A677E7">
        <w:rPr>
          <w:rFonts w:cs="Times New Roman"/>
          <w:szCs w:val="24"/>
        </w:rPr>
        <w:t>302</w:t>
      </w:r>
      <w:r>
        <w:rPr>
          <w:rFonts w:cs="Times New Roman"/>
          <w:szCs w:val="24"/>
        </w:rPr>
        <w:t xml:space="preserve"> </w:t>
      </w:r>
      <w:r w:rsidRPr="00A677E7">
        <w:rPr>
          <w:rFonts w:cs="Times New Roman"/>
          <w:i/>
          <w:szCs w:val="24"/>
        </w:rPr>
        <w:t>euro</w:t>
      </w:r>
      <w:r>
        <w:rPr>
          <w:rFonts w:cs="Times New Roman"/>
          <w:szCs w:val="24"/>
        </w:rPr>
        <w:t xml:space="preserve">, 2015.gadam </w:t>
      </w:r>
      <w:r w:rsidRPr="00A677E7">
        <w:rPr>
          <w:rFonts w:cs="Times New Roman"/>
          <w:szCs w:val="24"/>
        </w:rPr>
        <w:t>470</w:t>
      </w:r>
      <w:r>
        <w:rPr>
          <w:rFonts w:cs="Times New Roman"/>
          <w:szCs w:val="24"/>
        </w:rPr>
        <w:t> </w:t>
      </w:r>
      <w:r w:rsidRPr="00A677E7">
        <w:rPr>
          <w:rFonts w:cs="Times New Roman"/>
          <w:szCs w:val="24"/>
        </w:rPr>
        <w:t>612</w:t>
      </w:r>
      <w:r>
        <w:rPr>
          <w:rFonts w:cs="Times New Roman"/>
          <w:szCs w:val="24"/>
        </w:rPr>
        <w:t xml:space="preserve"> </w:t>
      </w:r>
      <w:r w:rsidRPr="00A677E7">
        <w:rPr>
          <w:rFonts w:cs="Times New Roman"/>
          <w:i/>
          <w:szCs w:val="24"/>
        </w:rPr>
        <w:t>euro</w:t>
      </w:r>
      <w:r>
        <w:rPr>
          <w:rFonts w:cs="Times New Roman"/>
          <w:szCs w:val="24"/>
        </w:rPr>
        <w:t xml:space="preserve"> un 2016. gadam un turpmāk </w:t>
      </w:r>
      <w:r w:rsidRPr="00A677E7">
        <w:rPr>
          <w:rFonts w:cs="Times New Roman"/>
          <w:szCs w:val="24"/>
        </w:rPr>
        <w:t>102</w:t>
      </w:r>
      <w:r>
        <w:rPr>
          <w:rFonts w:cs="Times New Roman"/>
          <w:szCs w:val="24"/>
        </w:rPr>
        <w:t> </w:t>
      </w:r>
      <w:r w:rsidRPr="00A677E7">
        <w:rPr>
          <w:rFonts w:cs="Times New Roman"/>
          <w:szCs w:val="24"/>
        </w:rPr>
        <w:t>760</w:t>
      </w:r>
      <w:r>
        <w:rPr>
          <w:rFonts w:cs="Times New Roman"/>
          <w:szCs w:val="24"/>
        </w:rPr>
        <w:t xml:space="preserve"> </w:t>
      </w:r>
      <w:r w:rsidRPr="00A677E7">
        <w:rPr>
          <w:rFonts w:cs="Times New Roman"/>
          <w:i/>
          <w:szCs w:val="24"/>
        </w:rPr>
        <w:t>euro</w:t>
      </w:r>
      <w:r>
        <w:rPr>
          <w:rFonts w:cs="Times New Roman"/>
          <w:i/>
          <w:szCs w:val="24"/>
        </w:rPr>
        <w:t>.</w:t>
      </w:r>
      <w:r w:rsidRPr="008F31BE">
        <w:t xml:space="preserve"> </w:t>
      </w:r>
      <w:r w:rsidRPr="008F31BE">
        <w:rPr>
          <w:rFonts w:cs="Times New Roman"/>
          <w:szCs w:val="24"/>
        </w:rPr>
        <w:t>Finansējums paredzēts</w:t>
      </w:r>
      <w:r w:rsidRPr="004E3023">
        <w:rPr>
          <w:rFonts w:cs="Times New Roman"/>
          <w:szCs w:val="24"/>
        </w:rPr>
        <w:t xml:space="preserve"> </w:t>
      </w:r>
      <w:r>
        <w:rPr>
          <w:rFonts w:cs="Times New Roman"/>
          <w:szCs w:val="24"/>
        </w:rPr>
        <w:t xml:space="preserve">elektronisko parakstu vākšanas iniciatīvai nodrošinot </w:t>
      </w:r>
      <w:r w:rsidRPr="004E3023">
        <w:rPr>
          <w:rFonts w:cs="Times New Roman"/>
          <w:szCs w:val="24"/>
        </w:rPr>
        <w:t>likumprojektu vai Satversmes grozījumu projektu</w:t>
      </w:r>
      <w:r>
        <w:rPr>
          <w:rFonts w:cs="Times New Roman"/>
          <w:szCs w:val="24"/>
        </w:rPr>
        <w:t xml:space="preserve"> ierosināšanu,</w:t>
      </w:r>
      <w:r w:rsidRPr="004E3023">
        <w:rPr>
          <w:rFonts w:cs="Times New Roman"/>
          <w:szCs w:val="24"/>
        </w:rPr>
        <w:t xml:space="preserve"> izmantojot</w:t>
      </w:r>
      <w:r>
        <w:rPr>
          <w:rFonts w:cs="Times New Roman"/>
          <w:szCs w:val="24"/>
        </w:rPr>
        <w:t xml:space="preserve"> </w:t>
      </w:r>
      <w:r w:rsidRPr="00516CA4">
        <w:rPr>
          <w:rFonts w:cs="Times New Roman"/>
          <w:szCs w:val="24"/>
        </w:rPr>
        <w:t xml:space="preserve">portālu </w:t>
      </w:r>
      <w:hyperlink r:id="rId128" w:history="1">
        <w:r w:rsidRPr="00516CA4">
          <w:rPr>
            <w:rStyle w:val="Hyperlink"/>
            <w:rFonts w:cs="Times New Roman"/>
            <w:color w:val="auto"/>
            <w:szCs w:val="24"/>
          </w:rPr>
          <w:t>www.latvija.lv</w:t>
        </w:r>
      </w:hyperlink>
      <w:r>
        <w:rPr>
          <w:rFonts w:cs="Times New Roman"/>
          <w:szCs w:val="24"/>
        </w:rPr>
        <w:t>.</w:t>
      </w:r>
    </w:p>
    <w:p w:rsidR="00A931A3" w:rsidRPr="00605465" w:rsidRDefault="00A06C87" w:rsidP="00605465">
      <w:pPr>
        <w:spacing w:after="120"/>
        <w:ind w:right="85" w:firstLine="720"/>
        <w:jc w:val="both"/>
      </w:pPr>
      <w:r>
        <w:t>JPI īstenotā pasākuma ietvaros 2015. un 2016.gadā kopā ir ierosinātas 4 iniciatīvas un visām iniciatīvām kopā ir reģistrētas 5 785 balsis</w:t>
      </w:r>
      <w:r w:rsidR="002B7E93">
        <w:t xml:space="preserve"> (skat. tabulu Nr.3.41</w:t>
      </w:r>
      <w:r w:rsidR="00D86274">
        <w:t>.</w:t>
      </w:r>
      <w:r w:rsidR="002B7E93">
        <w:t>)</w:t>
      </w:r>
      <w:r w:rsidR="00605465">
        <w:t xml:space="preserve">. </w:t>
      </w:r>
    </w:p>
    <w:p w:rsidR="00A06C87" w:rsidRDefault="00A06C87" w:rsidP="002B7E93">
      <w:pPr>
        <w:spacing w:after="120"/>
        <w:jc w:val="right"/>
        <w:rPr>
          <w:rFonts w:cs="Times New Roman"/>
          <w:szCs w:val="24"/>
        </w:rPr>
      </w:pPr>
      <w:r w:rsidRPr="002B7E93">
        <w:rPr>
          <w:rFonts w:cs="Times New Roman"/>
          <w:szCs w:val="24"/>
        </w:rPr>
        <w:t xml:space="preserve">Tabula Nr. </w:t>
      </w:r>
      <w:r w:rsidR="002B7E93" w:rsidRPr="002B7E93">
        <w:rPr>
          <w:rFonts w:cs="Times New Roman"/>
          <w:szCs w:val="24"/>
        </w:rPr>
        <w:t>3.41</w:t>
      </w:r>
      <w:r w:rsidR="00D86274">
        <w:rPr>
          <w:rFonts w:cs="Times New Roman"/>
          <w:szCs w:val="24"/>
        </w:rPr>
        <w:t>.</w:t>
      </w:r>
    </w:p>
    <w:p w:rsidR="00A06C87" w:rsidRDefault="00A06C87" w:rsidP="00A06C87">
      <w:pPr>
        <w:spacing w:after="120"/>
        <w:ind w:right="85" w:firstLine="720"/>
        <w:jc w:val="center"/>
      </w:pPr>
      <w:r w:rsidRPr="008A6FD7">
        <w:rPr>
          <w:b/>
        </w:rPr>
        <w:t>JPI “Referendumu elektronisko balsu vākšanas sistēma”</w:t>
      </w:r>
      <w:r>
        <w:rPr>
          <w:rStyle w:val="FootnoteReference"/>
          <w:b/>
        </w:rPr>
        <w:footnoteReference w:id="84"/>
      </w:r>
    </w:p>
    <w:tbl>
      <w:tblPr>
        <w:tblW w:w="5000" w:type="pct"/>
        <w:tblLook w:val="04A0" w:firstRow="1" w:lastRow="0" w:firstColumn="1" w:lastColumn="0" w:noHBand="0" w:noVBand="1"/>
      </w:tblPr>
      <w:tblGrid>
        <w:gridCol w:w="883"/>
        <w:gridCol w:w="5146"/>
        <w:gridCol w:w="1058"/>
        <w:gridCol w:w="916"/>
        <w:gridCol w:w="1058"/>
      </w:tblGrid>
      <w:tr w:rsidR="00A06C87" w:rsidRPr="002B7E93" w:rsidTr="00647367">
        <w:trPr>
          <w:trHeight w:val="857"/>
        </w:trPr>
        <w:tc>
          <w:tcPr>
            <w:tcW w:w="322" w:type="pc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06C87" w:rsidRPr="002B7E93" w:rsidRDefault="00A06C87" w:rsidP="00647367">
            <w:pPr>
              <w:jc w:val="center"/>
              <w:rPr>
                <w:rFonts w:eastAsia="Times New Roman" w:cs="Times New Roman"/>
                <w:b/>
                <w:bCs/>
                <w:color w:val="000000"/>
                <w:sz w:val="22"/>
                <w:lang w:eastAsia="lv-LV"/>
              </w:rPr>
            </w:pPr>
            <w:r w:rsidRPr="002B7E93">
              <w:rPr>
                <w:rFonts w:eastAsia="Times New Roman" w:cs="Times New Roman"/>
                <w:b/>
                <w:bCs/>
                <w:color w:val="000000"/>
                <w:sz w:val="22"/>
                <w:lang w:eastAsia="lv-LV"/>
              </w:rPr>
              <w:t>Nr.p.k.</w:t>
            </w:r>
          </w:p>
        </w:tc>
        <w:tc>
          <w:tcPr>
            <w:tcW w:w="2881"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A06C87" w:rsidRPr="002B7E93" w:rsidRDefault="00A06C87" w:rsidP="00647367">
            <w:pPr>
              <w:jc w:val="center"/>
              <w:rPr>
                <w:rFonts w:eastAsia="Times New Roman" w:cs="Times New Roman"/>
                <w:b/>
                <w:bCs/>
                <w:color w:val="000000"/>
                <w:sz w:val="22"/>
                <w:lang w:eastAsia="lv-LV"/>
              </w:rPr>
            </w:pPr>
            <w:r w:rsidRPr="002B7E93">
              <w:rPr>
                <w:rFonts w:eastAsia="Times New Roman" w:cs="Times New Roman"/>
                <w:b/>
                <w:bCs/>
                <w:color w:val="000000"/>
                <w:sz w:val="22"/>
                <w:lang w:eastAsia="lv-LV"/>
              </w:rPr>
              <w:t>Iniciatīva</w:t>
            </w:r>
          </w:p>
        </w:tc>
        <w:tc>
          <w:tcPr>
            <w:tcW w:w="625"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A06C87" w:rsidRPr="002B7E93" w:rsidRDefault="00A06C87" w:rsidP="00647367">
            <w:pPr>
              <w:jc w:val="center"/>
              <w:rPr>
                <w:rFonts w:eastAsia="Times New Roman" w:cs="Times New Roman"/>
                <w:b/>
                <w:bCs/>
                <w:color w:val="000000"/>
                <w:sz w:val="22"/>
                <w:lang w:eastAsia="lv-LV"/>
              </w:rPr>
            </w:pPr>
            <w:r w:rsidRPr="002B7E93">
              <w:rPr>
                <w:rFonts w:eastAsia="Times New Roman" w:cs="Times New Roman"/>
                <w:b/>
                <w:bCs/>
                <w:color w:val="000000"/>
                <w:sz w:val="22"/>
                <w:lang w:eastAsia="lv-LV"/>
              </w:rPr>
              <w:t>Balsu skaits 2015</w:t>
            </w:r>
          </w:p>
        </w:tc>
        <w:tc>
          <w:tcPr>
            <w:tcW w:w="547"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A06C87" w:rsidRPr="002B7E93" w:rsidRDefault="00A06C87" w:rsidP="00647367">
            <w:pPr>
              <w:jc w:val="center"/>
              <w:rPr>
                <w:rFonts w:eastAsia="Times New Roman" w:cs="Times New Roman"/>
                <w:b/>
                <w:bCs/>
                <w:color w:val="000000"/>
                <w:sz w:val="22"/>
                <w:lang w:eastAsia="lv-LV"/>
              </w:rPr>
            </w:pPr>
            <w:r w:rsidRPr="002B7E93">
              <w:rPr>
                <w:rFonts w:eastAsia="Times New Roman" w:cs="Times New Roman"/>
                <w:b/>
                <w:bCs/>
                <w:color w:val="000000"/>
                <w:sz w:val="22"/>
                <w:lang w:eastAsia="lv-LV"/>
              </w:rPr>
              <w:t>Balsu skaits 2016</w:t>
            </w:r>
          </w:p>
        </w:tc>
        <w:tc>
          <w:tcPr>
            <w:tcW w:w="625" w:type="pct"/>
            <w:tcBorders>
              <w:top w:val="single" w:sz="4" w:space="0" w:color="auto"/>
              <w:left w:val="nil"/>
              <w:bottom w:val="single" w:sz="4" w:space="0" w:color="auto"/>
              <w:right w:val="single" w:sz="4" w:space="0" w:color="auto"/>
            </w:tcBorders>
            <w:shd w:val="clear" w:color="auto" w:fill="C5E0B3" w:themeFill="accent6" w:themeFillTint="66"/>
            <w:vAlign w:val="center"/>
            <w:hideMark/>
          </w:tcPr>
          <w:p w:rsidR="00A06C87" w:rsidRPr="002B7E93" w:rsidRDefault="00A06C87" w:rsidP="00647367">
            <w:pPr>
              <w:jc w:val="center"/>
              <w:rPr>
                <w:rFonts w:eastAsia="Times New Roman" w:cs="Times New Roman"/>
                <w:b/>
                <w:bCs/>
                <w:color w:val="000000"/>
                <w:sz w:val="22"/>
                <w:lang w:eastAsia="lv-LV"/>
              </w:rPr>
            </w:pPr>
            <w:r w:rsidRPr="002B7E93">
              <w:rPr>
                <w:rFonts w:eastAsia="Times New Roman" w:cs="Times New Roman"/>
                <w:b/>
                <w:bCs/>
                <w:color w:val="000000"/>
                <w:sz w:val="22"/>
                <w:lang w:eastAsia="lv-LV"/>
              </w:rPr>
              <w:t>Balsu skaits KOPĀ</w:t>
            </w:r>
          </w:p>
        </w:tc>
      </w:tr>
      <w:tr w:rsidR="00A06C87" w:rsidRPr="002B7E93" w:rsidTr="002B7E93">
        <w:trPr>
          <w:trHeight w:val="786"/>
        </w:trPr>
        <w:tc>
          <w:tcPr>
            <w:tcW w:w="322" w:type="pct"/>
            <w:tcBorders>
              <w:top w:val="nil"/>
              <w:left w:val="single" w:sz="4" w:space="0" w:color="auto"/>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1.</w:t>
            </w:r>
          </w:p>
        </w:tc>
        <w:tc>
          <w:tcPr>
            <w:tcW w:w="2881" w:type="pct"/>
            <w:tcBorders>
              <w:top w:val="nil"/>
              <w:left w:val="nil"/>
              <w:bottom w:val="single" w:sz="4" w:space="0" w:color="auto"/>
              <w:right w:val="single" w:sz="4" w:space="0" w:color="auto"/>
            </w:tcBorders>
            <w:shd w:val="clear" w:color="auto" w:fill="auto"/>
            <w:vAlign w:val="center"/>
            <w:hideMark/>
          </w:tcPr>
          <w:p w:rsidR="00A06C87" w:rsidRPr="002B7E93" w:rsidRDefault="00A06C87" w:rsidP="00647367">
            <w:pPr>
              <w:jc w:val="both"/>
              <w:rPr>
                <w:rFonts w:eastAsia="Times New Roman" w:cs="Times New Roman"/>
                <w:color w:val="000000"/>
                <w:sz w:val="22"/>
                <w:lang w:eastAsia="lv-LV"/>
              </w:rPr>
            </w:pPr>
            <w:r w:rsidRPr="002B7E93">
              <w:rPr>
                <w:rFonts w:eastAsia="Times New Roman" w:cs="Times New Roman"/>
                <w:color w:val="000000"/>
                <w:sz w:val="22"/>
                <w:lang w:eastAsia="lv-LV"/>
              </w:rPr>
              <w:t>Likums par 2012.gada 8.novembra likuma "Grozījumi likumā "Par tautas nobalsošanu, likumu ierosināšanu un Eiropas pilsoņu iniciatīvu"" atcelšanu (18.09.2015. - 18.09.2016)</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15</w:t>
            </w:r>
          </w:p>
        </w:tc>
        <w:tc>
          <w:tcPr>
            <w:tcW w:w="547"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1 308</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1 323</w:t>
            </w:r>
          </w:p>
        </w:tc>
      </w:tr>
      <w:tr w:rsidR="00A06C87" w:rsidRPr="002B7E93" w:rsidTr="002B7E93">
        <w:trPr>
          <w:trHeight w:val="617"/>
        </w:trPr>
        <w:tc>
          <w:tcPr>
            <w:tcW w:w="322" w:type="pct"/>
            <w:tcBorders>
              <w:top w:val="nil"/>
              <w:left w:val="single" w:sz="4" w:space="0" w:color="auto"/>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2.</w:t>
            </w:r>
          </w:p>
        </w:tc>
        <w:tc>
          <w:tcPr>
            <w:tcW w:w="2881" w:type="pct"/>
            <w:tcBorders>
              <w:top w:val="nil"/>
              <w:left w:val="nil"/>
              <w:bottom w:val="single" w:sz="4" w:space="0" w:color="auto"/>
              <w:right w:val="single" w:sz="4" w:space="0" w:color="auto"/>
            </w:tcBorders>
            <w:shd w:val="clear" w:color="auto" w:fill="auto"/>
            <w:vAlign w:val="center"/>
            <w:hideMark/>
          </w:tcPr>
          <w:p w:rsidR="00A06C87" w:rsidRPr="002B7E93" w:rsidRDefault="00A06C87" w:rsidP="00647367">
            <w:pPr>
              <w:jc w:val="both"/>
              <w:rPr>
                <w:rFonts w:eastAsia="Times New Roman" w:cs="Times New Roman"/>
                <w:color w:val="000000"/>
                <w:sz w:val="22"/>
                <w:lang w:eastAsia="lv-LV"/>
              </w:rPr>
            </w:pPr>
            <w:r w:rsidRPr="002B7E93">
              <w:rPr>
                <w:rFonts w:eastAsia="Times New Roman" w:cs="Times New Roman"/>
                <w:color w:val="000000"/>
                <w:sz w:val="22"/>
                <w:lang w:eastAsia="lv-LV"/>
              </w:rPr>
              <w:t>Likums par 2012.gada 8.novembra likuma "Grozījumi likumā "Par tautas nobalsošanu, likumu ierosināšanu un Eiropas pilsoņu iniciatīvu"" atcelšanu (19.09.2016.-18.09.2017.)</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w:t>
            </w:r>
          </w:p>
        </w:tc>
        <w:tc>
          <w:tcPr>
            <w:tcW w:w="547"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728</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728</w:t>
            </w:r>
          </w:p>
        </w:tc>
      </w:tr>
      <w:tr w:rsidR="00A06C87" w:rsidRPr="002B7E93" w:rsidTr="002B7E93">
        <w:trPr>
          <w:trHeight w:val="164"/>
        </w:trPr>
        <w:tc>
          <w:tcPr>
            <w:tcW w:w="322" w:type="pct"/>
            <w:tcBorders>
              <w:top w:val="nil"/>
              <w:left w:val="single" w:sz="4" w:space="0" w:color="auto"/>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3.</w:t>
            </w:r>
          </w:p>
        </w:tc>
        <w:tc>
          <w:tcPr>
            <w:tcW w:w="2881" w:type="pct"/>
            <w:tcBorders>
              <w:top w:val="nil"/>
              <w:left w:val="nil"/>
              <w:bottom w:val="single" w:sz="4" w:space="0" w:color="auto"/>
              <w:right w:val="single" w:sz="4" w:space="0" w:color="auto"/>
            </w:tcBorders>
            <w:shd w:val="clear" w:color="auto" w:fill="auto"/>
            <w:vAlign w:val="center"/>
            <w:hideMark/>
          </w:tcPr>
          <w:p w:rsidR="00A06C87" w:rsidRPr="002B7E93" w:rsidRDefault="00A06C87" w:rsidP="00647367">
            <w:pPr>
              <w:jc w:val="both"/>
              <w:rPr>
                <w:rFonts w:eastAsia="Times New Roman" w:cs="Times New Roman"/>
                <w:color w:val="000000"/>
                <w:sz w:val="22"/>
                <w:lang w:eastAsia="lv-LV"/>
              </w:rPr>
            </w:pPr>
            <w:r w:rsidRPr="002B7E93">
              <w:rPr>
                <w:rFonts w:eastAsia="Times New Roman" w:cs="Times New Roman"/>
                <w:color w:val="000000"/>
                <w:sz w:val="22"/>
                <w:lang w:eastAsia="lv-LV"/>
              </w:rPr>
              <w:t>Saeimas atsaukšanas ierosināšana (13.11.2015.-13.11.2016.)</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16</w:t>
            </w:r>
          </w:p>
        </w:tc>
        <w:tc>
          <w:tcPr>
            <w:tcW w:w="547"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465</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481</w:t>
            </w:r>
          </w:p>
        </w:tc>
      </w:tr>
      <w:tr w:rsidR="00A06C87" w:rsidRPr="002B7E93" w:rsidTr="002B7E93">
        <w:trPr>
          <w:trHeight w:val="214"/>
        </w:trPr>
        <w:tc>
          <w:tcPr>
            <w:tcW w:w="322" w:type="pct"/>
            <w:tcBorders>
              <w:top w:val="nil"/>
              <w:left w:val="single" w:sz="4" w:space="0" w:color="auto"/>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4.</w:t>
            </w:r>
          </w:p>
        </w:tc>
        <w:tc>
          <w:tcPr>
            <w:tcW w:w="2881" w:type="pct"/>
            <w:tcBorders>
              <w:top w:val="nil"/>
              <w:left w:val="nil"/>
              <w:bottom w:val="single" w:sz="4" w:space="0" w:color="auto"/>
              <w:right w:val="single" w:sz="4" w:space="0" w:color="auto"/>
            </w:tcBorders>
            <w:shd w:val="clear" w:color="auto" w:fill="auto"/>
            <w:vAlign w:val="center"/>
            <w:hideMark/>
          </w:tcPr>
          <w:p w:rsidR="00A06C87" w:rsidRPr="002B7E93" w:rsidRDefault="00A06C87" w:rsidP="00647367">
            <w:pPr>
              <w:jc w:val="both"/>
              <w:rPr>
                <w:rFonts w:eastAsia="Times New Roman" w:cs="Times New Roman"/>
                <w:color w:val="000000"/>
                <w:sz w:val="22"/>
                <w:lang w:eastAsia="lv-LV"/>
              </w:rPr>
            </w:pPr>
            <w:r w:rsidRPr="002B7E93">
              <w:rPr>
                <w:rFonts w:eastAsia="Times New Roman" w:cs="Times New Roman"/>
                <w:color w:val="000000"/>
                <w:sz w:val="22"/>
                <w:lang w:eastAsia="lv-LV"/>
              </w:rPr>
              <w:t>Saeimas atsaukšanas ierosināšana (24.11.2016.-06.11.2017.)</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w:t>
            </w:r>
          </w:p>
        </w:tc>
        <w:tc>
          <w:tcPr>
            <w:tcW w:w="547"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3 253</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3 253</w:t>
            </w:r>
          </w:p>
        </w:tc>
      </w:tr>
      <w:tr w:rsidR="00A06C87" w:rsidRPr="002B7E93" w:rsidTr="002B7E93">
        <w:trPr>
          <w:trHeight w:val="315"/>
        </w:trPr>
        <w:tc>
          <w:tcPr>
            <w:tcW w:w="3203"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06C87" w:rsidRPr="002B7E93" w:rsidRDefault="00A06C87" w:rsidP="00647367">
            <w:pPr>
              <w:jc w:val="right"/>
              <w:rPr>
                <w:rFonts w:eastAsia="Times New Roman" w:cs="Times New Roman"/>
                <w:b/>
                <w:color w:val="000000"/>
                <w:sz w:val="22"/>
                <w:lang w:eastAsia="lv-LV"/>
              </w:rPr>
            </w:pPr>
            <w:r w:rsidRPr="002B7E93">
              <w:rPr>
                <w:rFonts w:eastAsia="Times New Roman" w:cs="Times New Roman"/>
                <w:b/>
                <w:color w:val="000000"/>
                <w:sz w:val="22"/>
                <w:lang w:eastAsia="lv-LV"/>
              </w:rPr>
              <w:t>Kopā</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31</w:t>
            </w:r>
          </w:p>
        </w:tc>
        <w:tc>
          <w:tcPr>
            <w:tcW w:w="547"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color w:val="000000"/>
                <w:sz w:val="22"/>
                <w:lang w:eastAsia="lv-LV"/>
              </w:rPr>
            </w:pPr>
            <w:r w:rsidRPr="002B7E93">
              <w:rPr>
                <w:rFonts w:eastAsia="Times New Roman" w:cs="Times New Roman"/>
                <w:color w:val="000000"/>
                <w:sz w:val="22"/>
                <w:lang w:eastAsia="lv-LV"/>
              </w:rPr>
              <w:t>5 754</w:t>
            </w:r>
          </w:p>
        </w:tc>
        <w:tc>
          <w:tcPr>
            <w:tcW w:w="625" w:type="pct"/>
            <w:tcBorders>
              <w:top w:val="nil"/>
              <w:left w:val="nil"/>
              <w:bottom w:val="single" w:sz="4" w:space="0" w:color="auto"/>
              <w:right w:val="single" w:sz="4" w:space="0" w:color="auto"/>
            </w:tcBorders>
            <w:shd w:val="clear" w:color="auto" w:fill="auto"/>
            <w:noWrap/>
            <w:vAlign w:val="center"/>
            <w:hideMark/>
          </w:tcPr>
          <w:p w:rsidR="00A06C87" w:rsidRPr="002B7E93" w:rsidRDefault="00A06C87" w:rsidP="00647367">
            <w:pPr>
              <w:jc w:val="center"/>
              <w:rPr>
                <w:rFonts w:eastAsia="Times New Roman" w:cs="Times New Roman"/>
                <w:b/>
                <w:color w:val="000000"/>
                <w:sz w:val="22"/>
                <w:lang w:eastAsia="lv-LV"/>
              </w:rPr>
            </w:pPr>
            <w:r w:rsidRPr="002B7E93">
              <w:rPr>
                <w:rFonts w:eastAsia="Times New Roman" w:cs="Times New Roman"/>
                <w:b/>
                <w:color w:val="000000"/>
                <w:sz w:val="22"/>
                <w:lang w:eastAsia="lv-LV"/>
              </w:rPr>
              <w:t>5 785</w:t>
            </w:r>
          </w:p>
        </w:tc>
      </w:tr>
    </w:tbl>
    <w:p w:rsidR="00A06C87" w:rsidRDefault="00A06C87" w:rsidP="00A06C87">
      <w:pPr>
        <w:ind w:right="84" w:firstLine="720"/>
        <w:jc w:val="both"/>
      </w:pPr>
    </w:p>
    <w:p w:rsidR="00A06C87" w:rsidRDefault="00A06C87" w:rsidP="00A06C87">
      <w:pPr>
        <w:spacing w:after="120"/>
        <w:ind w:right="85" w:firstLine="720"/>
        <w:jc w:val="both"/>
      </w:pPr>
      <w:r w:rsidRPr="000A3593">
        <w:t xml:space="preserve">Ņemot vērā informāciju par iniciatīvu skaitu un ņemot vērā, kas sistēmas uzturēšanai (bez kapitāliegādēm) piešķirtais finansējums 2015. un 2016.gadā kopā ir  205 520 </w:t>
      </w:r>
      <w:r w:rsidRPr="000A3593">
        <w:rPr>
          <w:i/>
        </w:rPr>
        <w:t>euro</w:t>
      </w:r>
      <w:r w:rsidRPr="000A3593">
        <w:t xml:space="preserve">, var secināt, ka 2 gados vienas iniciatīvas uzturēšanas izmaksas ir  51 380 </w:t>
      </w:r>
      <w:r w:rsidRPr="000A3593">
        <w:rPr>
          <w:i/>
        </w:rPr>
        <w:t xml:space="preserve">euro </w:t>
      </w:r>
      <w:r w:rsidRPr="000A3593">
        <w:t xml:space="preserve">un viena balsojuma uzturēšanas izmaksas ir  vidēji 36 </w:t>
      </w:r>
      <w:r w:rsidRPr="000A3593">
        <w:rPr>
          <w:i/>
        </w:rPr>
        <w:t>euro</w:t>
      </w:r>
      <w:r w:rsidRPr="000A3593">
        <w:t xml:space="preserve">. Tā kā JPI pasākuma ietvaros ierosināto iniciatīvu skaits </w:t>
      </w:r>
      <w:r w:rsidRPr="000A3593">
        <w:lastRenderedPageBreak/>
        <w:t>ir zems, tad var secināt, ka to uzturēšanas izmaksas sākotnēji plānotajā apmērā nav</w:t>
      </w:r>
      <w:r>
        <w:t xml:space="preserve"> nepieciešamas un to apmērs ir jāpārskata, lai nodrošinātu samērīgu administratīvo izmaksu proporciju pret sasniegto rezultātu. Attiecīgi uzskatām, ka sistēmas uzturēšanai nepieciešams 1 darbinieks sākotnēji plānoto 3 darbinieku vietā, attiecīgi 2 darbiniekus novirzot citu sistēmu uzturēšanai, kuru ietvaros ir konstatēts nepietiekams sistēmas uzturēšanai nepieciešamais cilvēkresursu apmērs. </w:t>
      </w:r>
    </w:p>
    <w:p w:rsidR="00A06C87" w:rsidRDefault="00A06C87" w:rsidP="00A06C87">
      <w:pPr>
        <w:spacing w:after="120"/>
        <w:ind w:right="85" w:firstLine="720"/>
        <w:jc w:val="both"/>
      </w:pPr>
      <w:r>
        <w:t xml:space="preserve">Papildus </w:t>
      </w:r>
      <w:r w:rsidRPr="006E3767">
        <w:t>VARAM, sniedzot informāciju par valsts budžeta izpildes analīzi 2014.gadā, norādīja</w:t>
      </w:r>
      <w:r>
        <w:t>, ka šī</w:t>
      </w:r>
      <w:r w:rsidRPr="006E3767">
        <w:t xml:space="preserve"> JPI </w:t>
      </w:r>
      <w:r>
        <w:t xml:space="preserve">ietvaros konstatēta neizpilde 8 100 </w:t>
      </w:r>
      <w:r w:rsidRPr="00F02521">
        <w:rPr>
          <w:i/>
        </w:rPr>
        <w:t>euro</w:t>
      </w:r>
      <w:r>
        <w:t xml:space="preserve"> </w:t>
      </w:r>
      <w:r w:rsidRPr="006E3767">
        <w:t>apmērā</w:t>
      </w:r>
      <w:r>
        <w:t>.</w:t>
      </w:r>
    </w:p>
    <w:p w:rsidR="00A06C87" w:rsidRDefault="00A06C87" w:rsidP="00605465">
      <w:pPr>
        <w:spacing w:after="120"/>
        <w:ind w:right="85" w:firstLine="720"/>
        <w:jc w:val="both"/>
      </w:pPr>
      <w:r w:rsidRPr="002710EC">
        <w:t>Ņemot vērā minēto, uzskatām, ka 2018.gadā un turpmāk citām VARAM aktualitātēm novirzāmais finansējums</w:t>
      </w:r>
      <w:r>
        <w:t xml:space="preserve"> ir konstatētās neizpildes 2014</w:t>
      </w:r>
      <w:r w:rsidRPr="002710EC">
        <w:t>.-2016.gada kopsummas vidējais rādītājs</w:t>
      </w:r>
      <w:r w:rsidRPr="003148D6">
        <w:t xml:space="preserve"> </w:t>
      </w:r>
      <w:r>
        <w:t xml:space="preserve">(2 700 </w:t>
      </w:r>
      <w:r w:rsidRPr="00F02521">
        <w:rPr>
          <w:i/>
        </w:rPr>
        <w:t>euro</w:t>
      </w:r>
      <w:r>
        <w:t>) un piešķirtais finansējums</w:t>
      </w:r>
      <w:r w:rsidRPr="003148D6">
        <w:t xml:space="preserve"> div</w:t>
      </w:r>
      <w:r>
        <w:t>u amata vietu atlīdzībai</w:t>
      </w:r>
      <w:r w:rsidRPr="003148D6">
        <w:t xml:space="preserve"> </w:t>
      </w:r>
      <w:r>
        <w:t xml:space="preserve">un uzturēšanai (39 127 </w:t>
      </w:r>
      <w:r w:rsidRPr="00F02521">
        <w:rPr>
          <w:i/>
        </w:rPr>
        <w:t>euro</w:t>
      </w:r>
      <w:r>
        <w:t xml:space="preserve">), kas kopā </w:t>
      </w:r>
      <w:r w:rsidRPr="002710EC">
        <w:t>ir</w:t>
      </w:r>
      <w:r>
        <w:t xml:space="preserve"> 41 827 </w:t>
      </w:r>
      <w:r w:rsidRPr="00D71113">
        <w:rPr>
          <w:i/>
        </w:rPr>
        <w:t>euro</w:t>
      </w:r>
      <w:r w:rsidR="00605465">
        <w:t>.</w:t>
      </w:r>
    </w:p>
    <w:p w:rsidR="00A06C87" w:rsidRPr="00605465" w:rsidRDefault="00A06C87" w:rsidP="00605465">
      <w:pPr>
        <w:spacing w:before="240" w:after="240"/>
        <w:ind w:right="85"/>
        <w:jc w:val="both"/>
        <w:rPr>
          <w:rFonts w:cs="Times New Roman"/>
          <w:b/>
          <w:szCs w:val="24"/>
        </w:rPr>
      </w:pPr>
      <w:r>
        <w:rPr>
          <w:rFonts w:cs="Times New Roman"/>
          <w:b/>
          <w:szCs w:val="24"/>
        </w:rPr>
        <w:t xml:space="preserve">VARAM - </w:t>
      </w:r>
      <w:r w:rsidRPr="0006756E">
        <w:rPr>
          <w:rFonts w:cs="Times New Roman"/>
          <w:b/>
          <w:szCs w:val="24"/>
        </w:rPr>
        <w:t>Valsts informācijas sistēmas darbības nodrošināšana Latvijas prezidentūras ES Padomē vajadzībā</w:t>
      </w:r>
      <w:r w:rsidR="00605465">
        <w:rPr>
          <w:rFonts w:cs="Times New Roman"/>
          <w:b/>
          <w:szCs w:val="24"/>
        </w:rPr>
        <w:t>m</w:t>
      </w:r>
    </w:p>
    <w:p w:rsidR="00A06C87" w:rsidRDefault="00A06C87" w:rsidP="00A06C87">
      <w:pPr>
        <w:spacing w:after="120"/>
        <w:ind w:firstLine="720"/>
        <w:jc w:val="both"/>
        <w:rPr>
          <w:rFonts w:cs="Times New Roman"/>
          <w:szCs w:val="24"/>
        </w:rPr>
      </w:pPr>
      <w:r w:rsidRPr="00246F35">
        <w:rPr>
          <w:rFonts w:cs="Times New Roman"/>
          <w:szCs w:val="24"/>
        </w:rPr>
        <w:t xml:space="preserve">VARAM budžeta programmā </w:t>
      </w:r>
      <w:r>
        <w:rPr>
          <w:rFonts w:cs="Times New Roman"/>
          <w:szCs w:val="24"/>
        </w:rPr>
        <w:t>32</w:t>
      </w:r>
      <w:r w:rsidRPr="00246F35">
        <w:rPr>
          <w:rFonts w:cs="Times New Roman"/>
          <w:szCs w:val="24"/>
        </w:rPr>
        <w:t>.0</w:t>
      </w:r>
      <w:r>
        <w:rPr>
          <w:rFonts w:cs="Times New Roman"/>
          <w:szCs w:val="24"/>
        </w:rPr>
        <w:t>0</w:t>
      </w:r>
      <w:r w:rsidRPr="00246F35">
        <w:rPr>
          <w:rFonts w:cs="Times New Roman"/>
          <w:szCs w:val="24"/>
        </w:rPr>
        <w:t>.00 “Valsts reģionālās attīstības politikas īstenošana</w:t>
      </w:r>
      <w:r>
        <w:rPr>
          <w:rFonts w:cs="Times New Roman"/>
          <w:szCs w:val="24"/>
        </w:rPr>
        <w:t>” 2014.</w:t>
      </w:r>
      <w:r>
        <w:rPr>
          <w:rFonts w:cs="Times New Roman"/>
          <w:szCs w:val="24"/>
        </w:rPr>
        <w:noBreakHyphen/>
      </w:r>
      <w:r w:rsidRPr="00246F35">
        <w:rPr>
          <w:rFonts w:cs="Times New Roman"/>
          <w:szCs w:val="24"/>
        </w:rPr>
        <w:t xml:space="preserve">2016.gada ietvarā </w:t>
      </w:r>
      <w:r>
        <w:rPr>
          <w:rFonts w:cs="Times New Roman"/>
          <w:szCs w:val="24"/>
        </w:rPr>
        <w:t xml:space="preserve">atbalstīts finansējums </w:t>
      </w:r>
      <w:r w:rsidRPr="00246F35">
        <w:rPr>
          <w:rFonts w:cs="Times New Roman"/>
          <w:szCs w:val="24"/>
        </w:rPr>
        <w:t>JPI “Valsts informācijas sistēmas darbības nodrošināšana Latvijas prezidentūras ES Padomē vajadzībām” 2014.gadam 143</w:t>
      </w:r>
      <w:r>
        <w:rPr>
          <w:rFonts w:cs="Times New Roman"/>
          <w:szCs w:val="24"/>
        </w:rPr>
        <w:t> </w:t>
      </w:r>
      <w:r w:rsidRPr="00246F35">
        <w:rPr>
          <w:rFonts w:cs="Times New Roman"/>
          <w:szCs w:val="24"/>
        </w:rPr>
        <w:t>241</w:t>
      </w:r>
      <w:r>
        <w:rPr>
          <w:rFonts w:cs="Times New Roman"/>
          <w:szCs w:val="24"/>
        </w:rPr>
        <w:t xml:space="preserve"> </w:t>
      </w:r>
      <w:r w:rsidRPr="007A0856">
        <w:rPr>
          <w:rFonts w:cs="Times New Roman"/>
          <w:i/>
          <w:szCs w:val="24"/>
        </w:rPr>
        <w:t>euro</w:t>
      </w:r>
      <w:r w:rsidRPr="00246F35">
        <w:rPr>
          <w:rFonts w:cs="Times New Roman"/>
          <w:szCs w:val="24"/>
        </w:rPr>
        <w:t>, 2015.gadam 367</w:t>
      </w:r>
      <w:r>
        <w:rPr>
          <w:rFonts w:cs="Times New Roman"/>
          <w:szCs w:val="24"/>
        </w:rPr>
        <w:t> </w:t>
      </w:r>
      <w:r w:rsidRPr="00246F35">
        <w:rPr>
          <w:rFonts w:cs="Times New Roman"/>
          <w:szCs w:val="24"/>
        </w:rPr>
        <w:t>538</w:t>
      </w:r>
      <w:r>
        <w:rPr>
          <w:rFonts w:cs="Times New Roman"/>
          <w:szCs w:val="24"/>
        </w:rPr>
        <w:t xml:space="preserve"> </w:t>
      </w:r>
      <w:r w:rsidRPr="007A0856">
        <w:rPr>
          <w:rFonts w:cs="Times New Roman"/>
          <w:i/>
          <w:szCs w:val="24"/>
        </w:rPr>
        <w:t>euro</w:t>
      </w:r>
      <w:r w:rsidRPr="00246F35">
        <w:rPr>
          <w:rFonts w:cs="Times New Roman"/>
          <w:szCs w:val="24"/>
        </w:rPr>
        <w:t xml:space="preserve"> un 2016.gadam 483 512 </w:t>
      </w:r>
      <w:r w:rsidRPr="007A0856">
        <w:rPr>
          <w:rFonts w:cs="Times New Roman"/>
          <w:i/>
          <w:szCs w:val="24"/>
        </w:rPr>
        <w:t>euro</w:t>
      </w:r>
      <w:r w:rsidRPr="00246F35">
        <w:rPr>
          <w:rFonts w:cs="Times New Roman"/>
          <w:szCs w:val="24"/>
        </w:rPr>
        <w:t xml:space="preserve"> apmērā</w:t>
      </w:r>
      <w:r>
        <w:rPr>
          <w:rFonts w:cs="Times New Roman"/>
          <w:szCs w:val="24"/>
        </w:rPr>
        <w:t>. F</w:t>
      </w:r>
      <w:r w:rsidRPr="004D5998">
        <w:rPr>
          <w:rFonts w:cs="Times New Roman"/>
          <w:szCs w:val="24"/>
        </w:rPr>
        <w:t xml:space="preserve">inansējums paredzēts </w:t>
      </w:r>
      <w:r>
        <w:rPr>
          <w:rFonts w:cs="Times New Roman"/>
          <w:szCs w:val="24"/>
        </w:rPr>
        <w:t>trīs</w:t>
      </w:r>
      <w:r w:rsidRPr="004D5998">
        <w:rPr>
          <w:rFonts w:cs="Times New Roman"/>
          <w:szCs w:val="24"/>
        </w:rPr>
        <w:t xml:space="preserve"> amata vietu atlīdzībai un uzturēšanai, datu centra izmaksām un vienotā datortīkla uzturēšanas izmaksām. </w:t>
      </w:r>
    </w:p>
    <w:p w:rsidR="00A06C87" w:rsidRPr="009A48F1" w:rsidRDefault="00A06C87" w:rsidP="00A06C87">
      <w:pPr>
        <w:spacing w:after="120"/>
        <w:ind w:firstLine="720"/>
        <w:jc w:val="both"/>
        <w:rPr>
          <w:rFonts w:cs="Times New Roman"/>
          <w:szCs w:val="24"/>
        </w:rPr>
      </w:pPr>
      <w:r>
        <w:rPr>
          <w:rFonts w:cs="Times New Roman"/>
          <w:szCs w:val="24"/>
        </w:rPr>
        <w:t xml:space="preserve">JPI pasākuma izpildes ietvaros </w:t>
      </w:r>
      <w:r w:rsidRPr="00B5345F">
        <w:rPr>
          <w:rFonts w:cs="Times New Roman"/>
          <w:szCs w:val="24"/>
        </w:rPr>
        <w:t>2015</w:t>
      </w:r>
      <w:r>
        <w:rPr>
          <w:rFonts w:cs="Times New Roman"/>
          <w:szCs w:val="24"/>
        </w:rPr>
        <w:t>. un 2016.</w:t>
      </w:r>
      <w:r w:rsidRPr="00B5345F">
        <w:rPr>
          <w:rFonts w:cs="Times New Roman"/>
          <w:szCs w:val="24"/>
        </w:rPr>
        <w:t>gad</w:t>
      </w:r>
      <w:r>
        <w:rPr>
          <w:rFonts w:cs="Times New Roman"/>
          <w:szCs w:val="24"/>
        </w:rPr>
        <w:t xml:space="preserve">ā kopā </w:t>
      </w:r>
      <w:r w:rsidRPr="00B5345F">
        <w:rPr>
          <w:rFonts w:cs="Times New Roman"/>
          <w:szCs w:val="24"/>
        </w:rPr>
        <w:t xml:space="preserve">kopējais </w:t>
      </w:r>
      <w:r>
        <w:rPr>
          <w:rFonts w:cs="Times New Roman"/>
          <w:szCs w:val="24"/>
        </w:rPr>
        <w:t xml:space="preserve">sistēmā reģistrēto </w:t>
      </w:r>
      <w:r w:rsidRPr="00B5345F">
        <w:rPr>
          <w:rFonts w:cs="Times New Roman"/>
          <w:szCs w:val="24"/>
        </w:rPr>
        <w:t>dokument</w:t>
      </w:r>
      <w:r>
        <w:rPr>
          <w:rFonts w:cs="Times New Roman"/>
          <w:szCs w:val="24"/>
        </w:rPr>
        <w:t>u</w:t>
      </w:r>
      <w:r w:rsidRPr="00B5345F">
        <w:rPr>
          <w:rFonts w:cs="Times New Roman"/>
          <w:szCs w:val="24"/>
        </w:rPr>
        <w:t xml:space="preserve"> vai datu vienuma skaits ir 35 957 vienības</w:t>
      </w:r>
      <w:r>
        <w:rPr>
          <w:rStyle w:val="FootnoteReference"/>
          <w:rFonts w:cs="Times New Roman"/>
          <w:szCs w:val="24"/>
        </w:rPr>
        <w:footnoteReference w:id="85"/>
      </w:r>
      <w:r>
        <w:rPr>
          <w:rFonts w:cs="Times New Roman"/>
          <w:szCs w:val="24"/>
        </w:rPr>
        <w:t xml:space="preserve"> </w:t>
      </w:r>
      <w:r w:rsidRPr="000A3593">
        <w:rPr>
          <w:rFonts w:cs="Times New Roman"/>
          <w:szCs w:val="24"/>
        </w:rPr>
        <w:t>un gada laikā 1</w:t>
      </w:r>
      <w:r w:rsidRPr="000A3593">
        <w:t xml:space="preserve"> </w:t>
      </w:r>
      <w:r w:rsidRPr="000A3593">
        <w:rPr>
          <w:rFonts w:cs="Times New Roman"/>
          <w:szCs w:val="24"/>
        </w:rPr>
        <w:t xml:space="preserve">iesaistītais darbinieks nodrošina vidēji 5 993 dokumentu vai datu vienumu uzturēšanu sistēmā. Savukārt, ja sistēmas uzturēšanu nodrošina 2 darbinieki, tad 1 iesaistītais darbinieks nodrošina vidēji 8 989 dokumentu vai datu vienumu uzturēšanu sistēmā. Ņemot vērā sistēmas uzturēšanai pieejamo finansējumu (3 amata vietu atlīdzībai un uzturēšanai, vienotā datortīkla uzturēšanai gadā, datu centra izmaksām), tad 2015. un 2016.gadā kopā sistēmas uzturēšanai pieejamais finansējums bija 851 050 </w:t>
      </w:r>
      <w:r w:rsidRPr="000A3593">
        <w:rPr>
          <w:rFonts w:cs="Times New Roman"/>
          <w:i/>
          <w:szCs w:val="24"/>
        </w:rPr>
        <w:t>euro</w:t>
      </w:r>
      <w:r w:rsidRPr="000A3593">
        <w:rPr>
          <w:rFonts w:cs="Times New Roman"/>
          <w:szCs w:val="24"/>
        </w:rPr>
        <w:t xml:space="preserve">, attiecīgi 2 gadu periodā reģistrēto dokumenta vai datu uzturēšanas izmaksas uz vienu vienību ir 23,67 </w:t>
      </w:r>
      <w:r w:rsidRPr="000A3593">
        <w:rPr>
          <w:rFonts w:cs="Times New Roman"/>
          <w:i/>
          <w:szCs w:val="24"/>
        </w:rPr>
        <w:t>euro</w:t>
      </w:r>
      <w:r w:rsidRPr="000A3593">
        <w:rPr>
          <w:rFonts w:cs="Times New Roman"/>
          <w:szCs w:val="24"/>
        </w:rPr>
        <w:t>. Ņemot vērā, ka gada laikā vidēji sistēmā tiek reģistrēti 17 979 dokumenti vai</w:t>
      </w:r>
      <w:r w:rsidRPr="00573784">
        <w:rPr>
          <w:rFonts w:cs="Times New Roman"/>
          <w:szCs w:val="24"/>
        </w:rPr>
        <w:t xml:space="preserve"> datu vienumi, uzskatam, ka sistēmas uzturēšanu var nodrošināt 2 darbinieki plānoto 3 darbinieku vietā, </w:t>
      </w:r>
      <w:r w:rsidRPr="00573784">
        <w:t xml:space="preserve">attiecīgi 1 darbinieku novirzot citu sistēmu uzturēšanai, kuru ietvaros ir konstatēts nepietiekams sistēmas uzturēšanai nepieciešamais cilvēkresursu apmērs. </w:t>
      </w:r>
    </w:p>
    <w:p w:rsidR="00A06C87" w:rsidRDefault="00A06C87" w:rsidP="00A06C87">
      <w:pPr>
        <w:spacing w:after="120"/>
        <w:ind w:right="-57" w:firstLine="720"/>
        <w:jc w:val="both"/>
        <w:rPr>
          <w:rFonts w:cs="Times New Roman"/>
          <w:szCs w:val="24"/>
        </w:rPr>
      </w:pPr>
      <w:r>
        <w:rPr>
          <w:rFonts w:cs="Times New Roman"/>
          <w:szCs w:val="24"/>
        </w:rPr>
        <w:t xml:space="preserve">Papildus VARAM, sniedzot informāciju par valsts budžeta izpildes analīzi 2014.gadā, norādīja JPI finansējuma neapguvi 6 400 </w:t>
      </w:r>
      <w:r w:rsidRPr="00926E5D">
        <w:rPr>
          <w:rFonts w:cs="Times New Roman"/>
          <w:i/>
          <w:szCs w:val="24"/>
        </w:rPr>
        <w:t>euro</w:t>
      </w:r>
      <w:r>
        <w:rPr>
          <w:rFonts w:cs="Times New Roman"/>
          <w:szCs w:val="24"/>
        </w:rPr>
        <w:t xml:space="preserve"> apmērā un 2015.gadā norādīja JPI finansējuma neapguvi 8 </w:t>
      </w:r>
      <w:r w:rsidRPr="004D5998">
        <w:rPr>
          <w:rFonts w:cs="Times New Roman"/>
          <w:szCs w:val="24"/>
        </w:rPr>
        <w:t>7</w:t>
      </w:r>
      <w:r>
        <w:rPr>
          <w:rFonts w:cs="Times New Roman"/>
          <w:szCs w:val="24"/>
        </w:rPr>
        <w:t>00 </w:t>
      </w:r>
      <w:r w:rsidRPr="004D5998">
        <w:rPr>
          <w:rFonts w:cs="Times New Roman"/>
          <w:i/>
          <w:szCs w:val="24"/>
        </w:rPr>
        <w:t>euro</w:t>
      </w:r>
      <w:r w:rsidRPr="004D5998">
        <w:rPr>
          <w:rFonts w:cs="Times New Roman"/>
          <w:szCs w:val="24"/>
        </w:rPr>
        <w:t xml:space="preserve"> apmērā</w:t>
      </w:r>
      <w:r>
        <w:rPr>
          <w:rFonts w:cs="Times New Roman"/>
          <w:szCs w:val="24"/>
        </w:rPr>
        <w:t>, savukārt</w:t>
      </w:r>
      <w:r w:rsidRPr="004D5998">
        <w:rPr>
          <w:rFonts w:cs="Times New Roman"/>
          <w:szCs w:val="24"/>
        </w:rPr>
        <w:t xml:space="preserve"> 2016.gadā valsts budžeta neizpilde </w:t>
      </w:r>
      <w:r>
        <w:rPr>
          <w:rFonts w:cs="Times New Roman"/>
          <w:szCs w:val="24"/>
        </w:rPr>
        <w:t xml:space="preserve">JPI ietvaros </w:t>
      </w:r>
      <w:r w:rsidRPr="004D5998">
        <w:rPr>
          <w:rFonts w:cs="Times New Roman"/>
          <w:szCs w:val="24"/>
        </w:rPr>
        <w:t xml:space="preserve">nav </w:t>
      </w:r>
      <w:r>
        <w:rPr>
          <w:rFonts w:cs="Times New Roman"/>
          <w:szCs w:val="24"/>
        </w:rPr>
        <w:t>konstatēta</w:t>
      </w:r>
      <w:r w:rsidRPr="004D5998">
        <w:rPr>
          <w:rFonts w:cs="Times New Roman"/>
          <w:szCs w:val="24"/>
        </w:rPr>
        <w:t xml:space="preserve">. </w:t>
      </w:r>
    </w:p>
    <w:p w:rsidR="00A06C87" w:rsidRPr="00605465" w:rsidRDefault="00A06C87" w:rsidP="00605465">
      <w:pPr>
        <w:spacing w:after="120"/>
        <w:ind w:right="-57" w:firstLine="720"/>
        <w:jc w:val="both"/>
        <w:rPr>
          <w:rFonts w:cs="Times New Roman"/>
          <w:szCs w:val="24"/>
        </w:rPr>
      </w:pPr>
      <w:r>
        <w:rPr>
          <w:rFonts w:cs="Times New Roman"/>
          <w:szCs w:val="24"/>
        </w:rPr>
        <w:t xml:space="preserve">Ņemot vērā minēto, uzskatām, ka 2018.gadā un turpmāk citām VARAM aktualitātēm novirzāmais finansējums ir konstatētās neizpildes </w:t>
      </w:r>
      <w:r w:rsidRPr="004D5998">
        <w:rPr>
          <w:rFonts w:cs="Times New Roman"/>
          <w:szCs w:val="24"/>
        </w:rPr>
        <w:t>201</w:t>
      </w:r>
      <w:r>
        <w:rPr>
          <w:rFonts w:cs="Times New Roman"/>
          <w:szCs w:val="24"/>
        </w:rPr>
        <w:t>4</w:t>
      </w:r>
      <w:r w:rsidRPr="004D5998">
        <w:rPr>
          <w:rFonts w:cs="Times New Roman"/>
          <w:szCs w:val="24"/>
        </w:rPr>
        <w:t>.</w:t>
      </w:r>
      <w:r>
        <w:rPr>
          <w:rFonts w:cs="Times New Roman"/>
          <w:szCs w:val="24"/>
        </w:rPr>
        <w:t>-</w:t>
      </w:r>
      <w:r w:rsidRPr="004D5998">
        <w:rPr>
          <w:rFonts w:cs="Times New Roman"/>
          <w:szCs w:val="24"/>
        </w:rPr>
        <w:t>2016.gad</w:t>
      </w:r>
      <w:r>
        <w:rPr>
          <w:rFonts w:cs="Times New Roman"/>
          <w:szCs w:val="24"/>
        </w:rPr>
        <w:t xml:space="preserve">a kopsummas vidējais rādītājs (5 033 </w:t>
      </w:r>
      <w:r w:rsidRPr="001C07F4">
        <w:rPr>
          <w:rFonts w:cs="Times New Roman"/>
          <w:i/>
          <w:szCs w:val="24"/>
        </w:rPr>
        <w:t>euro</w:t>
      </w:r>
      <w:r>
        <w:rPr>
          <w:rFonts w:cs="Times New Roman"/>
          <w:szCs w:val="24"/>
        </w:rPr>
        <w:t>) un piešķirtais</w:t>
      </w:r>
      <w:r w:rsidRPr="004C1F38">
        <w:rPr>
          <w:rFonts w:cs="Times New Roman"/>
          <w:szCs w:val="24"/>
        </w:rPr>
        <w:t xml:space="preserve"> finansējum</w:t>
      </w:r>
      <w:r>
        <w:rPr>
          <w:rFonts w:cs="Times New Roman"/>
          <w:szCs w:val="24"/>
        </w:rPr>
        <w:t>s</w:t>
      </w:r>
      <w:r w:rsidRPr="004C1F38">
        <w:rPr>
          <w:rFonts w:cs="Times New Roman"/>
          <w:szCs w:val="24"/>
        </w:rPr>
        <w:t xml:space="preserve"> </w:t>
      </w:r>
      <w:r>
        <w:rPr>
          <w:rFonts w:cs="Times New Roman"/>
          <w:szCs w:val="24"/>
        </w:rPr>
        <w:t>vienas</w:t>
      </w:r>
      <w:r w:rsidRPr="004C1F38">
        <w:rPr>
          <w:rFonts w:cs="Times New Roman"/>
          <w:szCs w:val="24"/>
        </w:rPr>
        <w:t xml:space="preserve"> amata vieta</w:t>
      </w:r>
      <w:r>
        <w:rPr>
          <w:rFonts w:cs="Times New Roman"/>
          <w:szCs w:val="24"/>
        </w:rPr>
        <w:t xml:space="preserve">s atlīdzība un uzturēšanai (18 243 </w:t>
      </w:r>
      <w:r w:rsidRPr="001C07F4">
        <w:rPr>
          <w:rFonts w:cs="Times New Roman"/>
          <w:i/>
          <w:szCs w:val="24"/>
        </w:rPr>
        <w:t>euro</w:t>
      </w:r>
      <w:r>
        <w:rPr>
          <w:rFonts w:cs="Times New Roman"/>
          <w:szCs w:val="24"/>
        </w:rPr>
        <w:t>), kas kopā ir</w:t>
      </w:r>
      <w:r w:rsidRPr="004D5998">
        <w:rPr>
          <w:rFonts w:cs="Times New Roman"/>
          <w:szCs w:val="24"/>
        </w:rPr>
        <w:t xml:space="preserve"> </w:t>
      </w:r>
      <w:r>
        <w:rPr>
          <w:rFonts w:cs="Times New Roman"/>
          <w:szCs w:val="24"/>
        </w:rPr>
        <w:t>23 276</w:t>
      </w:r>
      <w:r w:rsidRPr="004D5998">
        <w:rPr>
          <w:rFonts w:cs="Times New Roman"/>
          <w:szCs w:val="24"/>
        </w:rPr>
        <w:t xml:space="preserve"> </w:t>
      </w:r>
      <w:r w:rsidRPr="004D5998">
        <w:rPr>
          <w:rFonts w:cs="Times New Roman"/>
          <w:i/>
          <w:szCs w:val="24"/>
        </w:rPr>
        <w:t>euro</w:t>
      </w:r>
      <w:r>
        <w:rPr>
          <w:rFonts w:cs="Times New Roman"/>
          <w:szCs w:val="24"/>
        </w:rPr>
        <w:t>.</w:t>
      </w:r>
    </w:p>
    <w:p w:rsidR="00A06C87" w:rsidRPr="00605465" w:rsidRDefault="00A06C87" w:rsidP="00605465">
      <w:pPr>
        <w:spacing w:before="240" w:after="240"/>
        <w:jc w:val="both"/>
        <w:rPr>
          <w:rFonts w:cs="Times New Roman"/>
          <w:b/>
          <w:szCs w:val="24"/>
        </w:rPr>
      </w:pPr>
      <w:r w:rsidRPr="000A3593">
        <w:rPr>
          <w:rFonts w:cs="Times New Roman"/>
          <w:b/>
          <w:szCs w:val="24"/>
        </w:rPr>
        <w:t>VARAM - Dabas kapitāla izmantošana zaļ</w:t>
      </w:r>
      <w:r w:rsidR="00605465">
        <w:rPr>
          <w:rFonts w:cs="Times New Roman"/>
          <w:b/>
          <w:szCs w:val="24"/>
        </w:rPr>
        <w:t>ās tautsaimniecības veicināšanā</w:t>
      </w:r>
    </w:p>
    <w:p w:rsidR="00A06C87" w:rsidRPr="000A3593" w:rsidRDefault="00A06C87" w:rsidP="00A06C87">
      <w:pPr>
        <w:spacing w:after="120"/>
        <w:ind w:firstLine="720"/>
        <w:jc w:val="both"/>
        <w:rPr>
          <w:rFonts w:cs="Times New Roman"/>
          <w:szCs w:val="24"/>
        </w:rPr>
      </w:pPr>
      <w:r w:rsidRPr="000A3593">
        <w:rPr>
          <w:rFonts w:cs="Times New Roman"/>
          <w:szCs w:val="24"/>
        </w:rPr>
        <w:t xml:space="preserve">2015.-2017.gada apstiprinātās JPI “Dabas kapitāla izmantošana zaļās tautsaimniecības veicināšanā” ietvaros VARAM tika piešķirts finansējums 2015.gadā 869 539 </w:t>
      </w:r>
      <w:r w:rsidRPr="000A3593">
        <w:rPr>
          <w:rFonts w:cs="Times New Roman"/>
          <w:i/>
          <w:szCs w:val="24"/>
        </w:rPr>
        <w:t>euro</w:t>
      </w:r>
      <w:r w:rsidRPr="000A3593">
        <w:rPr>
          <w:rFonts w:cs="Times New Roman"/>
          <w:szCs w:val="24"/>
        </w:rPr>
        <w:t xml:space="preserve">, 2016.gadā </w:t>
      </w:r>
      <w:r w:rsidRPr="000A3593">
        <w:rPr>
          <w:rFonts w:cs="Times New Roman"/>
          <w:szCs w:val="24"/>
        </w:rPr>
        <w:lastRenderedPageBreak/>
        <w:t xml:space="preserve">un turpmāk 727 256 </w:t>
      </w:r>
      <w:r w:rsidRPr="000A3593">
        <w:rPr>
          <w:rFonts w:cs="Times New Roman"/>
          <w:i/>
          <w:szCs w:val="24"/>
        </w:rPr>
        <w:t>euro</w:t>
      </w:r>
      <w:r w:rsidRPr="000A3593">
        <w:rPr>
          <w:rFonts w:cs="Times New Roman"/>
          <w:szCs w:val="24"/>
        </w:rPr>
        <w:t>, t.sk. izdevumu pārskatīšanas ietvaros tiek izvērtēts finansējums, kas tiek plānots:</w:t>
      </w:r>
    </w:p>
    <w:p w:rsidR="00A06C87" w:rsidRPr="000A3593" w:rsidRDefault="00A06C87" w:rsidP="008C25BB">
      <w:pPr>
        <w:pStyle w:val="ListParagraph"/>
        <w:numPr>
          <w:ilvl w:val="0"/>
          <w:numId w:val="71"/>
        </w:numPr>
        <w:spacing w:after="120"/>
        <w:contextualSpacing w:val="0"/>
        <w:jc w:val="both"/>
        <w:rPr>
          <w:rFonts w:cs="Times New Roman"/>
          <w:szCs w:val="24"/>
        </w:rPr>
      </w:pPr>
      <w:r w:rsidRPr="000A3593">
        <w:rPr>
          <w:rFonts w:cs="Times New Roman"/>
          <w:szCs w:val="24"/>
        </w:rPr>
        <w:t xml:space="preserve">budžeta apakšprogrammā 24.05.00 “Zinātniskā institūta “Nacionālais botāniskais dārzs” valsts funkciju nodrošinājums” 2015.gadam 300 900 </w:t>
      </w:r>
      <w:r w:rsidRPr="000A3593">
        <w:rPr>
          <w:rFonts w:cs="Times New Roman"/>
          <w:i/>
          <w:szCs w:val="24"/>
        </w:rPr>
        <w:t>euro</w:t>
      </w:r>
      <w:r w:rsidRPr="000A3593">
        <w:rPr>
          <w:rFonts w:cs="Times New Roman"/>
          <w:szCs w:val="24"/>
        </w:rPr>
        <w:t xml:space="preserve">, 2016.gadam 155 200 </w:t>
      </w:r>
      <w:r w:rsidRPr="000A3593">
        <w:rPr>
          <w:rFonts w:cs="Times New Roman"/>
          <w:i/>
          <w:szCs w:val="24"/>
        </w:rPr>
        <w:t>euro</w:t>
      </w:r>
      <w:r w:rsidRPr="000A3593">
        <w:rPr>
          <w:rFonts w:cs="Times New Roman"/>
          <w:szCs w:val="24"/>
        </w:rPr>
        <w:t xml:space="preserve"> un 2017.gadam 151 643 </w:t>
      </w:r>
      <w:r w:rsidRPr="000A3593">
        <w:rPr>
          <w:rFonts w:cs="Times New Roman"/>
          <w:i/>
          <w:szCs w:val="24"/>
        </w:rPr>
        <w:t>euro</w:t>
      </w:r>
      <w:r w:rsidRPr="000A3593">
        <w:rPr>
          <w:rFonts w:cs="Times New Roman"/>
          <w:szCs w:val="24"/>
        </w:rPr>
        <w:t xml:space="preserve"> apmērā;</w:t>
      </w:r>
    </w:p>
    <w:p w:rsidR="00A06C87" w:rsidRPr="000A3593" w:rsidRDefault="00A06C87" w:rsidP="008C25BB">
      <w:pPr>
        <w:pStyle w:val="ListParagraph"/>
        <w:numPr>
          <w:ilvl w:val="0"/>
          <w:numId w:val="71"/>
        </w:numPr>
        <w:spacing w:after="120"/>
        <w:contextualSpacing w:val="0"/>
        <w:jc w:val="both"/>
        <w:rPr>
          <w:rFonts w:cs="Times New Roman"/>
          <w:szCs w:val="24"/>
        </w:rPr>
      </w:pPr>
      <w:r w:rsidRPr="000A3593">
        <w:rPr>
          <w:rFonts w:cs="Times New Roman"/>
          <w:szCs w:val="24"/>
        </w:rPr>
        <w:t>budžeta programmā 97.00.00 “Nozaru vadība un politikas plānošana” 2015.gadam 80</w:t>
      </w:r>
      <w:r w:rsidR="00354614">
        <w:rPr>
          <w:rFonts w:cs="Times New Roman"/>
          <w:szCs w:val="24"/>
        </w:rPr>
        <w:t> </w:t>
      </w:r>
      <w:r w:rsidRPr="000A3593">
        <w:rPr>
          <w:rFonts w:cs="Times New Roman"/>
          <w:szCs w:val="24"/>
        </w:rPr>
        <w:t xml:space="preserve">575 </w:t>
      </w:r>
      <w:r w:rsidRPr="000A3593">
        <w:rPr>
          <w:rFonts w:cs="Times New Roman"/>
          <w:i/>
          <w:szCs w:val="24"/>
        </w:rPr>
        <w:t>euro</w:t>
      </w:r>
      <w:r w:rsidRPr="000A3593">
        <w:rPr>
          <w:rFonts w:cs="Times New Roman"/>
          <w:szCs w:val="24"/>
        </w:rPr>
        <w:t xml:space="preserve">, 2016.gadam 83 992 </w:t>
      </w:r>
      <w:r w:rsidRPr="000A3593">
        <w:rPr>
          <w:rFonts w:cs="Times New Roman"/>
          <w:i/>
          <w:szCs w:val="24"/>
        </w:rPr>
        <w:t>euro</w:t>
      </w:r>
      <w:r w:rsidRPr="000A3593">
        <w:rPr>
          <w:rFonts w:cs="Times New Roman"/>
          <w:szCs w:val="24"/>
        </w:rPr>
        <w:t xml:space="preserve">, 2017.gadam 87 549 </w:t>
      </w:r>
      <w:r w:rsidRPr="000A3593">
        <w:rPr>
          <w:rFonts w:cs="Times New Roman"/>
          <w:i/>
          <w:szCs w:val="24"/>
        </w:rPr>
        <w:t>euro</w:t>
      </w:r>
      <w:r w:rsidRPr="000A3593">
        <w:rPr>
          <w:rFonts w:cs="Times New Roman"/>
          <w:szCs w:val="24"/>
        </w:rPr>
        <w:t xml:space="preserve"> apmērā. </w:t>
      </w:r>
    </w:p>
    <w:p w:rsidR="00A06C87" w:rsidRDefault="00A06C87" w:rsidP="00A06C87">
      <w:pPr>
        <w:spacing w:after="120"/>
        <w:ind w:firstLine="720"/>
        <w:jc w:val="both"/>
        <w:rPr>
          <w:rFonts w:cs="Times New Roman"/>
          <w:szCs w:val="24"/>
        </w:rPr>
      </w:pPr>
      <w:r w:rsidRPr="000A3593">
        <w:rPr>
          <w:rFonts w:cs="Times New Roman"/>
          <w:szCs w:val="24"/>
        </w:rPr>
        <w:t>Līdzšinējā JPI finansējuma izpilde veikta atbilstoši plānotajam, bet ir pārskatāms JPI ietvaros finansējums 2018.gadam un turpmāk, kas paredzēts tādiem pasākumiem, kas uzskatāmi par vienreizējiem vai terminētiem, vai arī zemas prioritātes pasākumiem, kā arī tādiem pasākumiem, kas ir līdzvērtīgi uzdevumiem, par kuru īstenošanu VARAM deleģējuma līguma ietvaros piešķir dotāciju padotībā esošai atvasinātai publiskai personai.</w:t>
      </w:r>
    </w:p>
    <w:p w:rsidR="00A06C87" w:rsidRDefault="00A06C87" w:rsidP="00A06C87">
      <w:pPr>
        <w:jc w:val="both"/>
        <w:rPr>
          <w:rFonts w:cs="Times New Roman"/>
          <w:szCs w:val="24"/>
        </w:rPr>
      </w:pPr>
      <w:r w:rsidRPr="007137D8">
        <w:rPr>
          <w:rFonts w:cs="Times New Roman"/>
          <w:noProof/>
          <w:szCs w:val="24"/>
          <w:lang w:eastAsia="lv-LV"/>
        </w:rPr>
        <w:drawing>
          <wp:inline distT="0" distB="0" distL="0" distR="0" wp14:anchorId="26E5EEC0" wp14:editId="5E05027B">
            <wp:extent cx="5941060" cy="5164531"/>
            <wp:effectExtent l="0" t="0" r="2540" b="17145"/>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inline>
        </w:drawing>
      </w:r>
    </w:p>
    <w:p w:rsidR="00A06C87" w:rsidRPr="00354614" w:rsidRDefault="00354614" w:rsidP="00354614">
      <w:pPr>
        <w:spacing w:before="120"/>
        <w:jc w:val="center"/>
        <w:rPr>
          <w:rFonts w:cs="Times New Roman"/>
          <w:b/>
          <w:sz w:val="21"/>
          <w:szCs w:val="21"/>
        </w:rPr>
      </w:pPr>
      <w:r w:rsidRPr="00354614">
        <w:rPr>
          <w:rFonts w:cs="Times New Roman"/>
          <w:i/>
          <w:sz w:val="21"/>
          <w:szCs w:val="21"/>
        </w:rPr>
        <w:t>3.69</w:t>
      </w:r>
      <w:r w:rsidR="00A06C87" w:rsidRPr="00354614">
        <w:rPr>
          <w:rFonts w:cs="Times New Roman"/>
          <w:i/>
          <w:sz w:val="21"/>
          <w:szCs w:val="21"/>
        </w:rPr>
        <w:t xml:space="preserve">.att. </w:t>
      </w:r>
      <w:r w:rsidR="00A06C87" w:rsidRPr="00354614">
        <w:rPr>
          <w:rFonts w:cs="Times New Roman"/>
          <w:b/>
          <w:sz w:val="21"/>
          <w:szCs w:val="21"/>
        </w:rPr>
        <w:t xml:space="preserve">Finansējums JPI “Dabas kapitāla izmantošana zaļās tautsaimniecības veicināšanā”, </w:t>
      </w:r>
      <w:r w:rsidR="00A06C87" w:rsidRPr="00354614">
        <w:rPr>
          <w:rFonts w:cs="Times New Roman"/>
          <w:b/>
          <w:i/>
          <w:sz w:val="21"/>
          <w:szCs w:val="21"/>
        </w:rPr>
        <w:t>euro</w:t>
      </w:r>
    </w:p>
    <w:p w:rsidR="00A06C87" w:rsidRPr="000A3593" w:rsidRDefault="00A06C87" w:rsidP="00A06C87">
      <w:pPr>
        <w:jc w:val="both"/>
        <w:rPr>
          <w:rFonts w:cs="Times New Roman"/>
          <w:szCs w:val="24"/>
        </w:rPr>
      </w:pPr>
    </w:p>
    <w:p w:rsidR="00A06C87" w:rsidRPr="007377D2" w:rsidRDefault="00A06C87" w:rsidP="00A06C87">
      <w:pPr>
        <w:spacing w:after="120"/>
        <w:ind w:firstLine="720"/>
        <w:jc w:val="both"/>
        <w:rPr>
          <w:rFonts w:cs="Times New Roman"/>
          <w:szCs w:val="24"/>
        </w:rPr>
      </w:pPr>
      <w:r w:rsidRPr="000A3593">
        <w:rPr>
          <w:rFonts w:cs="Times New Roman"/>
          <w:szCs w:val="24"/>
        </w:rPr>
        <w:t xml:space="preserve">Kā redzams </w:t>
      </w:r>
      <w:r w:rsidR="00354614">
        <w:rPr>
          <w:rFonts w:cs="Times New Roman"/>
          <w:szCs w:val="24"/>
        </w:rPr>
        <w:t>3.69.</w:t>
      </w:r>
      <w:r w:rsidRPr="000A3593">
        <w:rPr>
          <w:rFonts w:cs="Times New Roman"/>
          <w:szCs w:val="24"/>
        </w:rPr>
        <w:t>attēlā, 2018., 2019. un 2020.gadā tiek paredzēts finansējums pasākumiem, kas pēc to būtības ir vienreizēji vai terminēti, proti, iežu un minerālu brīvdabas ekspozīcijas izveide, etnobotāniskās ekspozīcijas izveide un tām nepieciešamo materiālu iegāde, kā arī ūdensapgādes un laistīšanas sistēmas izbūve, kas, ņemot vērā citu līdzvērtīgu pasākumu ieviešanu, būtu īstenojama 2 gadu laikā, tātad</w:t>
      </w:r>
      <w:r w:rsidRPr="000A3593">
        <w:t xml:space="preserve"> </w:t>
      </w:r>
      <w:r w:rsidRPr="000A3593">
        <w:rPr>
          <w:rFonts w:cs="Times New Roman"/>
          <w:szCs w:val="24"/>
        </w:rPr>
        <w:t xml:space="preserve">līdz 2019.gadam. Papildus, izvērtējot JPI ietvaros plānotos pasākumus pēc būtības, uzskatām, ka pasākums informācijas, sporta un </w:t>
      </w:r>
      <w:r w:rsidRPr="000A3593">
        <w:rPr>
          <w:rFonts w:cs="Times New Roman"/>
          <w:szCs w:val="24"/>
        </w:rPr>
        <w:lastRenderedPageBreak/>
        <w:t>atpūtas infrastruktūras rekonstrukcija un ierīkošana ir zemas prioritātes pasākums, ņemot vērā, ka sporta un atpūtas nodrošināšana nav zinātniskā institūta “Nacionālais botāniskais dārzs” pamatdarbība. Savukārt attiecībā uz ziņojuma sagatavošanu par jūras plānojuma īstenošanas gaitu, FM rīcībā esošā informācija liecina, ka VARAM piešķir dotāciju LHEI par atsevišķu deleģēto pārvaldes</w:t>
      </w:r>
      <w:r w:rsidRPr="007377D2">
        <w:rPr>
          <w:rFonts w:cs="Times New Roman"/>
          <w:szCs w:val="24"/>
        </w:rPr>
        <w:t xml:space="preserve"> uzdevumu izpildi, tai skaitā informācijas sagatavošanai un datu apstrādei Latvijas jūras telpiskā plānojuma izstrādes un uzturēšanas vajadzībām, kas ietver:</w:t>
      </w:r>
    </w:p>
    <w:p w:rsidR="00A06C87" w:rsidRPr="007377D2" w:rsidRDefault="00A06C87" w:rsidP="008C25BB">
      <w:pPr>
        <w:numPr>
          <w:ilvl w:val="0"/>
          <w:numId w:val="39"/>
        </w:numPr>
        <w:spacing w:after="120"/>
        <w:jc w:val="both"/>
        <w:rPr>
          <w:rFonts w:cs="Times New Roman"/>
          <w:szCs w:val="24"/>
        </w:rPr>
      </w:pPr>
      <w:r w:rsidRPr="007377D2">
        <w:rPr>
          <w:rFonts w:cs="Times New Roman"/>
          <w:szCs w:val="24"/>
        </w:rPr>
        <w:t>trūkstošo lauka datu ievākšana un apstrāde – Latvijas jūras plānojumā vēja parkiem paredzētās teritorijas pret Pāvilostu apsekojums, veicot okeanogrāfisko parametru novērojumus un mērījumus, videonovērošanu, bentisko sabiedrību paraugošanu 20 stacijās;</w:t>
      </w:r>
    </w:p>
    <w:p w:rsidR="00A06C87" w:rsidRPr="007377D2" w:rsidRDefault="00A06C87" w:rsidP="008C25BB">
      <w:pPr>
        <w:numPr>
          <w:ilvl w:val="0"/>
          <w:numId w:val="39"/>
        </w:numPr>
        <w:spacing w:after="120"/>
        <w:jc w:val="both"/>
        <w:rPr>
          <w:rFonts w:cs="Times New Roman"/>
          <w:szCs w:val="24"/>
        </w:rPr>
      </w:pPr>
      <w:r w:rsidRPr="007377D2">
        <w:rPr>
          <w:rFonts w:cs="Times New Roman"/>
          <w:szCs w:val="24"/>
        </w:rPr>
        <w:t xml:space="preserve">LHEI atbildībā esošo metadatu un ģeotelpisko datu kopu sagatavošana, meklēšanas, skatīšanās un lejupielādes pakalpojumu sagatavošana publicēšanai </w:t>
      </w:r>
      <w:hyperlink r:id="rId130" w:history="1">
        <w:r w:rsidRPr="007377D2">
          <w:rPr>
            <w:rStyle w:val="Hyperlink"/>
            <w:rFonts w:cs="Times New Roman"/>
            <w:szCs w:val="24"/>
          </w:rPr>
          <w:t>www.geolatvija.lv</w:t>
        </w:r>
      </w:hyperlink>
      <w:r w:rsidRPr="007377D2">
        <w:rPr>
          <w:rFonts w:cs="Times New Roman"/>
          <w:szCs w:val="24"/>
        </w:rPr>
        <w:t xml:space="preserve"> INSPIRE direktīvas prasību izpildei;</w:t>
      </w:r>
    </w:p>
    <w:p w:rsidR="00A06C87" w:rsidRPr="007377D2" w:rsidRDefault="00A06C87" w:rsidP="008C25BB">
      <w:pPr>
        <w:numPr>
          <w:ilvl w:val="0"/>
          <w:numId w:val="39"/>
        </w:numPr>
        <w:spacing w:after="120"/>
        <w:jc w:val="both"/>
        <w:rPr>
          <w:rFonts w:cs="Times New Roman"/>
          <w:szCs w:val="24"/>
        </w:rPr>
      </w:pPr>
      <w:r w:rsidRPr="007377D2">
        <w:rPr>
          <w:rFonts w:cs="Times New Roman"/>
          <w:szCs w:val="24"/>
        </w:rPr>
        <w:t>ietekmju uz ekosistēmu vērtējuma koriģēšan</w:t>
      </w:r>
      <w:r w:rsidR="001D19CD">
        <w:rPr>
          <w:rFonts w:cs="Times New Roman"/>
          <w:szCs w:val="24"/>
        </w:rPr>
        <w:t>a stratēģiskajā ietekmes uz vidi</w:t>
      </w:r>
      <w:r w:rsidRPr="007377D2">
        <w:rPr>
          <w:rFonts w:cs="Times New Roman"/>
          <w:szCs w:val="24"/>
        </w:rPr>
        <w:t xml:space="preserve"> novērtējuma ziņojumā jūras telpiskajam plānojumam;</w:t>
      </w:r>
    </w:p>
    <w:p w:rsidR="00A06C87" w:rsidRPr="00A06C87" w:rsidRDefault="00A06C87" w:rsidP="008C25BB">
      <w:pPr>
        <w:numPr>
          <w:ilvl w:val="0"/>
          <w:numId w:val="39"/>
        </w:numPr>
        <w:spacing w:after="120"/>
        <w:jc w:val="both"/>
        <w:rPr>
          <w:rFonts w:cs="Times New Roman"/>
          <w:szCs w:val="24"/>
        </w:rPr>
      </w:pPr>
      <w:r w:rsidRPr="000A3593">
        <w:rPr>
          <w:rFonts w:cs="Times New Roman"/>
          <w:szCs w:val="24"/>
        </w:rPr>
        <w:t>koncepta izstrāde ekosistēmu pakalpojumu iekļaušanai jūras telpiskajā plānojumā.</w:t>
      </w:r>
    </w:p>
    <w:p w:rsidR="00A06C87" w:rsidRPr="000A3593" w:rsidRDefault="00A06C87" w:rsidP="00A06C87">
      <w:pPr>
        <w:spacing w:after="120"/>
        <w:ind w:firstLine="720"/>
        <w:jc w:val="both"/>
        <w:rPr>
          <w:rFonts w:cs="Times New Roman"/>
          <w:szCs w:val="24"/>
        </w:rPr>
      </w:pPr>
      <w:r w:rsidRPr="000A3593">
        <w:rPr>
          <w:rFonts w:cs="Times New Roman"/>
          <w:szCs w:val="24"/>
        </w:rPr>
        <w:t>Ņemot vērā minēto, uzskatām, ka:</w:t>
      </w:r>
    </w:p>
    <w:p w:rsidR="00A06C87" w:rsidRPr="000A3593" w:rsidRDefault="00A06C87" w:rsidP="008C25BB">
      <w:pPr>
        <w:pStyle w:val="ListParagraph"/>
        <w:numPr>
          <w:ilvl w:val="0"/>
          <w:numId w:val="72"/>
        </w:numPr>
        <w:spacing w:after="120"/>
        <w:contextualSpacing w:val="0"/>
        <w:jc w:val="both"/>
        <w:rPr>
          <w:rFonts w:cs="Times New Roman"/>
          <w:szCs w:val="24"/>
        </w:rPr>
      </w:pPr>
      <w:r w:rsidRPr="000A3593">
        <w:rPr>
          <w:rFonts w:cs="Times New Roman"/>
          <w:szCs w:val="24"/>
        </w:rPr>
        <w:t xml:space="preserve">ziņojuma sagatavošana par jūras plānojuma īstenošanas gaitu, kam paredzēts JPI finansējums 39 045 </w:t>
      </w:r>
      <w:r w:rsidRPr="000A3593">
        <w:rPr>
          <w:rFonts w:cs="Times New Roman"/>
          <w:i/>
          <w:szCs w:val="24"/>
        </w:rPr>
        <w:t>euro</w:t>
      </w:r>
      <w:r w:rsidRPr="000A3593">
        <w:rPr>
          <w:rFonts w:cs="Times New Roman"/>
          <w:szCs w:val="24"/>
        </w:rPr>
        <w:t xml:space="preserve"> 2018.gadā un turpmāk, ir īstenojams LHEI deleģēto pārvaldes uzdevumu ietvaros; </w:t>
      </w:r>
    </w:p>
    <w:p w:rsidR="00A06C87" w:rsidRPr="00A06C87" w:rsidRDefault="00A06C87" w:rsidP="008C25BB">
      <w:pPr>
        <w:pStyle w:val="ListParagraph"/>
        <w:numPr>
          <w:ilvl w:val="0"/>
          <w:numId w:val="72"/>
        </w:numPr>
        <w:spacing w:after="120"/>
        <w:contextualSpacing w:val="0"/>
        <w:jc w:val="both"/>
        <w:rPr>
          <w:rFonts w:cs="Times New Roman"/>
          <w:szCs w:val="24"/>
        </w:rPr>
      </w:pPr>
      <w:r w:rsidRPr="000A3593">
        <w:rPr>
          <w:rFonts w:cs="Times New Roman"/>
          <w:szCs w:val="24"/>
        </w:rPr>
        <w:t xml:space="preserve">pārskatāms zinātniskajam institūtam “Nacionālais botāniskais dārzs” piešķirtais finansējums pasākumiem 2018.gadā par summu 37 200 </w:t>
      </w:r>
      <w:r w:rsidRPr="000A3593">
        <w:rPr>
          <w:rFonts w:cs="Times New Roman"/>
          <w:i/>
          <w:szCs w:val="24"/>
        </w:rPr>
        <w:t>euro</w:t>
      </w:r>
      <w:r w:rsidRPr="000A3593">
        <w:rPr>
          <w:rFonts w:cs="Times New Roman"/>
          <w:szCs w:val="24"/>
        </w:rPr>
        <w:t xml:space="preserve">,  2019.gadā – 78 884 </w:t>
      </w:r>
      <w:r w:rsidRPr="000A3593">
        <w:rPr>
          <w:rFonts w:cs="Times New Roman"/>
          <w:i/>
          <w:szCs w:val="24"/>
        </w:rPr>
        <w:t>euro</w:t>
      </w:r>
      <w:r w:rsidRPr="000A3593">
        <w:rPr>
          <w:rFonts w:cs="Times New Roman"/>
          <w:szCs w:val="24"/>
        </w:rPr>
        <w:t xml:space="preserve"> un 2020.gadā – 162 897 </w:t>
      </w:r>
      <w:r w:rsidRPr="000A3593">
        <w:rPr>
          <w:rFonts w:cs="Times New Roman"/>
          <w:i/>
          <w:szCs w:val="24"/>
        </w:rPr>
        <w:t>euro</w:t>
      </w:r>
      <w:r w:rsidRPr="000A3593">
        <w:rPr>
          <w:rFonts w:cs="Times New Roman"/>
          <w:szCs w:val="24"/>
        </w:rPr>
        <w:t>, jo īstenojamie pasākumi pēc to būtības ir vienreizēji vai terminēti</w:t>
      </w:r>
      <w:r w:rsidR="00CB344A">
        <w:rPr>
          <w:rFonts w:cs="Times New Roman"/>
          <w:szCs w:val="24"/>
        </w:rPr>
        <w:t>,</w:t>
      </w:r>
      <w:r w:rsidRPr="000A3593">
        <w:rPr>
          <w:rFonts w:cs="Times New Roman"/>
          <w:szCs w:val="24"/>
        </w:rPr>
        <w:t xml:space="preserve"> vai zemas prioritātes.</w:t>
      </w:r>
    </w:p>
    <w:p w:rsidR="00A06C87" w:rsidRDefault="00A06C87" w:rsidP="00A06C87">
      <w:pPr>
        <w:spacing w:after="120"/>
        <w:ind w:firstLine="720"/>
        <w:jc w:val="both"/>
        <w:rPr>
          <w:rFonts w:cs="Times New Roman"/>
          <w:szCs w:val="24"/>
        </w:rPr>
      </w:pPr>
      <w:r w:rsidRPr="000A3593">
        <w:rPr>
          <w:rFonts w:cs="Times New Roman"/>
          <w:szCs w:val="24"/>
        </w:rPr>
        <w:t>Kopējais finansējums JPI ietvaros,</w:t>
      </w:r>
      <w:r w:rsidRPr="000A3593">
        <w:t xml:space="preserve"> </w:t>
      </w:r>
      <w:r w:rsidRPr="000A3593">
        <w:rPr>
          <w:rFonts w:cs="Times New Roman"/>
          <w:szCs w:val="24"/>
        </w:rPr>
        <w:t xml:space="preserve">kas novirzāms citu VARAM aktualitāšu īstenošanai 2018.gadā ir 76 245 </w:t>
      </w:r>
      <w:r w:rsidRPr="000A3593">
        <w:rPr>
          <w:rFonts w:cs="Times New Roman"/>
          <w:i/>
          <w:szCs w:val="24"/>
        </w:rPr>
        <w:t>euro</w:t>
      </w:r>
      <w:r w:rsidRPr="000A3593">
        <w:rPr>
          <w:rFonts w:cs="Times New Roman"/>
          <w:szCs w:val="24"/>
        </w:rPr>
        <w:t xml:space="preserve">, 2019.gadā – 117 929 </w:t>
      </w:r>
      <w:r w:rsidRPr="000A3593">
        <w:rPr>
          <w:rFonts w:cs="Times New Roman"/>
          <w:i/>
          <w:szCs w:val="24"/>
        </w:rPr>
        <w:t>euro</w:t>
      </w:r>
      <w:r w:rsidRPr="000A3593">
        <w:rPr>
          <w:rFonts w:cs="Times New Roman"/>
          <w:szCs w:val="24"/>
        </w:rPr>
        <w:t xml:space="preserve"> un 2020.gadā – 201 942 </w:t>
      </w:r>
      <w:r w:rsidRPr="000A3593">
        <w:rPr>
          <w:rFonts w:cs="Times New Roman"/>
          <w:i/>
          <w:szCs w:val="24"/>
        </w:rPr>
        <w:t>euro</w:t>
      </w:r>
      <w:r w:rsidRPr="000A3593">
        <w:rPr>
          <w:rFonts w:cs="Times New Roman"/>
          <w:szCs w:val="24"/>
        </w:rPr>
        <w:t xml:space="preserve"> apmērā.</w:t>
      </w:r>
    </w:p>
    <w:p w:rsidR="00CB344A" w:rsidRPr="007377D2" w:rsidRDefault="00CB344A" w:rsidP="00CB344A">
      <w:pPr>
        <w:spacing w:after="120"/>
        <w:ind w:firstLine="720"/>
        <w:jc w:val="both"/>
        <w:rPr>
          <w:rFonts w:cs="Times New Roman"/>
          <w:szCs w:val="24"/>
        </w:rPr>
      </w:pPr>
      <w:r w:rsidRPr="00CB344A">
        <w:rPr>
          <w:rFonts w:cs="Times New Roman"/>
          <w:szCs w:val="24"/>
        </w:rPr>
        <w:t>VARAM ir sniegusi informāciju</w:t>
      </w:r>
      <w:r w:rsidRPr="00CB344A">
        <w:rPr>
          <w:rStyle w:val="FootnoteReference"/>
          <w:rFonts w:cs="Times New Roman"/>
          <w:szCs w:val="24"/>
        </w:rPr>
        <w:footnoteReference w:id="86"/>
      </w:r>
      <w:r w:rsidRPr="00CB344A">
        <w:rPr>
          <w:rFonts w:cs="Times New Roman"/>
          <w:szCs w:val="24"/>
        </w:rPr>
        <w:t>, ka JPI īstenošanai piešķirtais finansējums</w:t>
      </w:r>
      <w:r w:rsidRPr="00CB344A">
        <w:t xml:space="preserve"> </w:t>
      </w:r>
      <w:r w:rsidRPr="00CB344A">
        <w:rPr>
          <w:rFonts w:cs="Times New Roman"/>
          <w:szCs w:val="24"/>
        </w:rPr>
        <w:t>zinātniskajam institūtam “Nacionālais botāniskais dārzs”</w:t>
      </w:r>
      <w:r w:rsidRPr="00CB344A">
        <w:t xml:space="preserve"> </w:t>
      </w:r>
      <w:r w:rsidRPr="00CB344A">
        <w:rPr>
          <w:rFonts w:cs="Times New Roman"/>
          <w:szCs w:val="24"/>
        </w:rPr>
        <w:t>tiks novirzīts JPI ietvaros izveidotās infrastruktūras uzturēšanai, kā arī ERAF projekta ietvaros izveidotās oranžērijas uzturēšanai, kas norāda, ka VARAM jau šobrīd plāno šī JPI finansējumu daļēji novirzīt citām aktualitātēm. Savukārt attiecībā uz LHEI JPI ietvaros piešķirto finansējumu VARAM norāda, ka tas nepieciešams, jūras plānojuma izstrādei papildus informācijas iegūšanai un ka tas nepārklājas ar institūtam deleģēto uzdevumu izpildi. Tomēr, vērtējot VARAM sniegto informāciju, uzskatām, kas minētais pasākums būtu vērtējams kā terminēts.</w:t>
      </w:r>
    </w:p>
    <w:p w:rsidR="00A06C87" w:rsidRDefault="00A06C87" w:rsidP="00605465">
      <w:pPr>
        <w:spacing w:before="240" w:after="240"/>
        <w:jc w:val="both"/>
        <w:rPr>
          <w:rFonts w:cs="Times New Roman"/>
          <w:b/>
          <w:szCs w:val="24"/>
        </w:rPr>
      </w:pPr>
      <w:r w:rsidRPr="009240BB">
        <w:rPr>
          <w:rFonts w:cs="Times New Roman"/>
          <w:b/>
          <w:szCs w:val="24"/>
        </w:rPr>
        <w:t>VARAM -</w:t>
      </w:r>
      <w:r w:rsidRPr="009240BB">
        <w:rPr>
          <w:b/>
        </w:rPr>
        <w:t xml:space="preserve"> </w:t>
      </w:r>
      <w:r w:rsidRPr="009240BB">
        <w:rPr>
          <w:rFonts w:cs="Times New Roman"/>
          <w:b/>
          <w:szCs w:val="24"/>
        </w:rPr>
        <w:t>Droša radioaktīvo vielu apsaimniekošana un avāriju riska novērtēšanas un rīcības avārijas situācijas efektīva nodrošināšana</w:t>
      </w:r>
    </w:p>
    <w:p w:rsidR="00A06C87" w:rsidRPr="00B20E2B" w:rsidRDefault="00A06C87" w:rsidP="00A06C87">
      <w:pPr>
        <w:spacing w:after="120"/>
        <w:ind w:firstLine="720"/>
        <w:jc w:val="both"/>
        <w:rPr>
          <w:rFonts w:cs="Times New Roman"/>
          <w:szCs w:val="24"/>
        </w:rPr>
      </w:pPr>
      <w:r w:rsidRPr="009240BB">
        <w:rPr>
          <w:rFonts w:cs="Times New Roman"/>
          <w:szCs w:val="24"/>
        </w:rPr>
        <w:t>VARAM budžeta apakšprogrammā 97.00.00 “Nozaru vadība un politikas plānošana” 2015.-2017.gada ietvarā atbalstīts finansējums JPI</w:t>
      </w:r>
      <w:r>
        <w:rPr>
          <w:rFonts w:cs="Times New Roman"/>
          <w:szCs w:val="24"/>
        </w:rPr>
        <w:t xml:space="preserve"> “</w:t>
      </w:r>
      <w:r w:rsidRPr="00E918BB">
        <w:rPr>
          <w:rFonts w:cs="Times New Roman"/>
          <w:szCs w:val="24"/>
        </w:rPr>
        <w:t>Droša radioaktīvo vielu apsaimniekošana un avāriju riska novērtēšanas un rīcības avārijas situācijas efektīva nodrošināšana</w:t>
      </w:r>
      <w:r>
        <w:rPr>
          <w:rFonts w:cs="Times New Roman"/>
          <w:szCs w:val="24"/>
        </w:rPr>
        <w:t>” 2017.gadam</w:t>
      </w:r>
      <w:r w:rsidRPr="00C24E1D">
        <w:rPr>
          <w:rFonts w:cs="Times New Roman"/>
          <w:szCs w:val="24"/>
        </w:rPr>
        <w:t xml:space="preserve"> un turpmāk ik gadu </w:t>
      </w:r>
      <w:r>
        <w:rPr>
          <w:rFonts w:cs="Times New Roman"/>
          <w:szCs w:val="24"/>
        </w:rPr>
        <w:t>20 496</w:t>
      </w:r>
      <w:r w:rsidRPr="00C24E1D">
        <w:rPr>
          <w:rFonts w:cs="Times New Roman"/>
          <w:szCs w:val="24"/>
        </w:rPr>
        <w:t xml:space="preserve"> </w:t>
      </w:r>
      <w:r w:rsidRPr="009240BB">
        <w:rPr>
          <w:rFonts w:cs="Times New Roman"/>
          <w:i/>
          <w:szCs w:val="24"/>
        </w:rPr>
        <w:t xml:space="preserve">euro </w:t>
      </w:r>
      <w:r w:rsidRPr="00C24E1D">
        <w:rPr>
          <w:rFonts w:cs="Times New Roman"/>
          <w:szCs w:val="24"/>
        </w:rPr>
        <w:t xml:space="preserve">apmērā. </w:t>
      </w:r>
      <w:r>
        <w:rPr>
          <w:rFonts w:cs="Times New Roman"/>
          <w:szCs w:val="24"/>
        </w:rPr>
        <w:t>Saskaņā ar apstiprināto JPI f</w:t>
      </w:r>
      <w:r w:rsidRPr="00C24E1D">
        <w:rPr>
          <w:rFonts w:cs="Times New Roman"/>
          <w:szCs w:val="24"/>
        </w:rPr>
        <w:t>inansējums paredzēts</w:t>
      </w:r>
      <w:r w:rsidRPr="00B20E2B">
        <w:rPr>
          <w:rFonts w:cs="Times New Roman"/>
          <w:szCs w:val="24"/>
        </w:rPr>
        <w:t xml:space="preserve"> Eiropas Savienības un pasaules mēroga radiācijas jautājumu skrīninga nodrošināšanai. </w:t>
      </w:r>
    </w:p>
    <w:p w:rsidR="00A06C87" w:rsidRDefault="00A06C87" w:rsidP="00A06C87">
      <w:pPr>
        <w:spacing w:after="120"/>
        <w:ind w:firstLine="720"/>
        <w:jc w:val="both"/>
        <w:rPr>
          <w:rFonts w:cs="Times New Roman"/>
          <w:szCs w:val="24"/>
        </w:rPr>
      </w:pPr>
      <w:r>
        <w:rPr>
          <w:rFonts w:cs="Times New Roman"/>
          <w:szCs w:val="24"/>
        </w:rPr>
        <w:lastRenderedPageBreak/>
        <w:t>P</w:t>
      </w:r>
      <w:r w:rsidRPr="00B20E2B">
        <w:rPr>
          <w:rFonts w:cs="Times New Roman"/>
          <w:szCs w:val="24"/>
        </w:rPr>
        <w:t>asākuma ietvaros tiek pētīti un analizēti ES un pasaules mēroga dokumenti saistībā ar radiācijas jautājumiem</w:t>
      </w:r>
      <w:r>
        <w:rPr>
          <w:rStyle w:val="FootnoteReference"/>
          <w:rFonts w:cs="Times New Roman"/>
          <w:szCs w:val="24"/>
        </w:rPr>
        <w:footnoteReference w:id="87"/>
      </w:r>
      <w:r>
        <w:rPr>
          <w:rFonts w:cs="Times New Roman"/>
          <w:szCs w:val="24"/>
        </w:rPr>
        <w:t>, bet nav konkrēta sasniedzamā gala rezultāta</w:t>
      </w:r>
      <w:r w:rsidRPr="00B20E2B">
        <w:rPr>
          <w:rFonts w:cs="Times New Roman"/>
          <w:szCs w:val="24"/>
        </w:rPr>
        <w:t>.</w:t>
      </w:r>
      <w:r>
        <w:rPr>
          <w:rFonts w:cs="Times New Roman"/>
          <w:szCs w:val="24"/>
        </w:rPr>
        <w:t xml:space="preserve"> Vienlaikus vēršam uzmanību, ka uzdevumi, kas saistīti ar radiācijas jomu ir īstenojamo VVD Radiācijas drošības centra kompetences ietvaros, kā arī LVĢMC deleģēto uzdevumu ietvaros. Attiecīgi uzskatām, ka JPI ietvaros plānotais finansējums pilnā apmērā 20 496 </w:t>
      </w:r>
      <w:r w:rsidRPr="00F20012">
        <w:rPr>
          <w:rFonts w:cs="Times New Roman"/>
          <w:i/>
          <w:szCs w:val="24"/>
        </w:rPr>
        <w:t xml:space="preserve">euro </w:t>
      </w:r>
      <w:r w:rsidRPr="00F20012">
        <w:rPr>
          <w:rFonts w:cs="Times New Roman"/>
          <w:szCs w:val="24"/>
        </w:rPr>
        <w:t>2018.gadā un turpmāk</w:t>
      </w:r>
      <w:r>
        <w:rPr>
          <w:rFonts w:cs="Times New Roman"/>
          <w:i/>
          <w:szCs w:val="24"/>
        </w:rPr>
        <w:t xml:space="preserve"> </w:t>
      </w:r>
      <w:r>
        <w:rPr>
          <w:rFonts w:cs="Times New Roman"/>
          <w:szCs w:val="24"/>
        </w:rPr>
        <w:t xml:space="preserve">ir novirzāms </w:t>
      </w:r>
      <w:r w:rsidRPr="001A12D5">
        <w:rPr>
          <w:rFonts w:cs="Times New Roman"/>
          <w:szCs w:val="24"/>
        </w:rPr>
        <w:t>cit</w:t>
      </w:r>
      <w:r>
        <w:rPr>
          <w:rFonts w:cs="Times New Roman"/>
          <w:szCs w:val="24"/>
        </w:rPr>
        <w:t>u</w:t>
      </w:r>
      <w:r w:rsidRPr="001A12D5">
        <w:rPr>
          <w:rFonts w:cs="Times New Roman"/>
          <w:szCs w:val="24"/>
        </w:rPr>
        <w:t xml:space="preserve"> VARAM aktualitā</w:t>
      </w:r>
      <w:r>
        <w:rPr>
          <w:rFonts w:cs="Times New Roman"/>
          <w:szCs w:val="24"/>
        </w:rPr>
        <w:t>šu īstenošanai</w:t>
      </w:r>
      <w:r w:rsidRPr="009240BB">
        <w:rPr>
          <w:rFonts w:cs="Times New Roman"/>
          <w:i/>
          <w:szCs w:val="24"/>
        </w:rPr>
        <w:t>.</w:t>
      </w:r>
    </w:p>
    <w:p w:rsidR="009B0BA4" w:rsidRDefault="009B0BA4" w:rsidP="009B0BA4">
      <w:pPr>
        <w:spacing w:after="120"/>
        <w:ind w:firstLine="720"/>
        <w:jc w:val="both"/>
        <w:rPr>
          <w:rFonts w:cs="Times New Roman"/>
          <w:szCs w:val="24"/>
        </w:rPr>
      </w:pPr>
      <w:r w:rsidRPr="009B0BA4">
        <w:rPr>
          <w:rFonts w:cs="Times New Roman"/>
          <w:szCs w:val="24"/>
        </w:rPr>
        <w:t>VARAM ir sniegusi informāciju</w:t>
      </w:r>
      <w:r w:rsidRPr="009B0BA4">
        <w:rPr>
          <w:rStyle w:val="FootnoteReference"/>
          <w:rFonts w:cs="Times New Roman"/>
          <w:szCs w:val="24"/>
        </w:rPr>
        <w:footnoteReference w:id="88"/>
      </w:r>
      <w:r w:rsidRPr="009B0BA4">
        <w:rPr>
          <w:rFonts w:cs="Times New Roman"/>
          <w:szCs w:val="24"/>
        </w:rPr>
        <w:t>, ka JPI īstenošanai piešķirtais finansējums</w:t>
      </w:r>
      <w:r w:rsidRPr="009B0BA4">
        <w:t xml:space="preserve"> </w:t>
      </w:r>
      <w:r w:rsidRPr="009B0BA4">
        <w:rPr>
          <w:rFonts w:cs="Times New Roman"/>
          <w:szCs w:val="24"/>
        </w:rPr>
        <w:t>turpmāk būs vērsts uz ES direktīvu prasības prasību nodrošināšanu Latvijā, attiecīgi norādot, ka VARAM jau šobrīd plāno JPI finansējumu novirzīt citām aktualitātēm.</w:t>
      </w:r>
    </w:p>
    <w:p w:rsidR="00A06C87" w:rsidRDefault="00A06C87" w:rsidP="009B0BA4">
      <w:pPr>
        <w:spacing w:before="120" w:after="120"/>
        <w:jc w:val="both"/>
        <w:rPr>
          <w:rFonts w:cs="Times New Roman"/>
          <w:b/>
          <w:szCs w:val="24"/>
        </w:rPr>
      </w:pPr>
      <w:r>
        <w:rPr>
          <w:rFonts w:cs="Times New Roman"/>
          <w:b/>
          <w:szCs w:val="24"/>
        </w:rPr>
        <w:t xml:space="preserve">VARAM - </w:t>
      </w:r>
      <w:r w:rsidRPr="003C7580">
        <w:rPr>
          <w:rFonts w:cs="Times New Roman"/>
          <w:b/>
          <w:szCs w:val="24"/>
        </w:rPr>
        <w:t>Drošas koplietošanas IKT platformas attīstība un elektroniskās iepirkumu sistēmas e</w:t>
      </w:r>
      <w:r>
        <w:rPr>
          <w:rFonts w:cs="Times New Roman"/>
          <w:b/>
          <w:szCs w:val="24"/>
        </w:rPr>
        <w:noBreakHyphen/>
      </w:r>
      <w:r w:rsidRPr="003C7580">
        <w:rPr>
          <w:rFonts w:cs="Times New Roman"/>
          <w:b/>
          <w:szCs w:val="24"/>
        </w:rPr>
        <w:t>izziņas/e-</w:t>
      </w:r>
      <w:r>
        <w:rPr>
          <w:rFonts w:cs="Times New Roman"/>
          <w:b/>
          <w:szCs w:val="24"/>
        </w:rPr>
        <w:t>konkursu darbības nodrošināšana</w:t>
      </w:r>
    </w:p>
    <w:p w:rsidR="00A06C87" w:rsidRDefault="00A06C87" w:rsidP="00605465">
      <w:pPr>
        <w:ind w:firstLine="720"/>
        <w:jc w:val="both"/>
        <w:rPr>
          <w:rFonts w:cs="Times New Roman"/>
          <w:szCs w:val="24"/>
        </w:rPr>
      </w:pPr>
      <w:r w:rsidRPr="00246F35">
        <w:rPr>
          <w:rFonts w:cs="Times New Roman"/>
          <w:szCs w:val="24"/>
        </w:rPr>
        <w:t xml:space="preserve">VARAM budžeta programmā </w:t>
      </w:r>
      <w:r>
        <w:rPr>
          <w:rFonts w:cs="Times New Roman"/>
          <w:szCs w:val="24"/>
        </w:rPr>
        <w:t>32</w:t>
      </w:r>
      <w:r w:rsidRPr="00246F35">
        <w:rPr>
          <w:rFonts w:cs="Times New Roman"/>
          <w:szCs w:val="24"/>
        </w:rPr>
        <w:t>.0</w:t>
      </w:r>
      <w:r>
        <w:rPr>
          <w:rFonts w:cs="Times New Roman"/>
          <w:szCs w:val="24"/>
        </w:rPr>
        <w:t>0</w:t>
      </w:r>
      <w:r w:rsidRPr="00246F35">
        <w:rPr>
          <w:rFonts w:cs="Times New Roman"/>
          <w:szCs w:val="24"/>
        </w:rPr>
        <w:t>.00 “Valsts reģionālās attīstības politikas īstenošana</w:t>
      </w:r>
      <w:r>
        <w:rPr>
          <w:rFonts w:cs="Times New Roman"/>
          <w:szCs w:val="24"/>
        </w:rPr>
        <w:t>” 2015.</w:t>
      </w:r>
      <w:r>
        <w:rPr>
          <w:rFonts w:cs="Times New Roman"/>
          <w:szCs w:val="24"/>
        </w:rPr>
        <w:noBreakHyphen/>
      </w:r>
      <w:r w:rsidRPr="00246F35">
        <w:rPr>
          <w:rFonts w:cs="Times New Roman"/>
          <w:szCs w:val="24"/>
        </w:rPr>
        <w:t>201</w:t>
      </w:r>
      <w:r>
        <w:rPr>
          <w:rFonts w:cs="Times New Roman"/>
          <w:szCs w:val="24"/>
        </w:rPr>
        <w:t>7</w:t>
      </w:r>
      <w:r w:rsidRPr="00246F35">
        <w:rPr>
          <w:rFonts w:cs="Times New Roman"/>
          <w:szCs w:val="24"/>
        </w:rPr>
        <w:t>.gada ietvarā atbalstīts finansējums JPI “</w:t>
      </w:r>
      <w:r w:rsidRPr="007A0856">
        <w:rPr>
          <w:rFonts w:cs="Times New Roman"/>
          <w:szCs w:val="24"/>
        </w:rPr>
        <w:t>Drošas koplietošanas IKT platformas attīstība un ele</w:t>
      </w:r>
      <w:r>
        <w:rPr>
          <w:rFonts w:cs="Times New Roman"/>
          <w:szCs w:val="24"/>
        </w:rPr>
        <w:t>ktroniskās iepirkumu sistēmas e</w:t>
      </w:r>
      <w:r>
        <w:rPr>
          <w:rFonts w:cs="Times New Roman"/>
          <w:szCs w:val="24"/>
        </w:rPr>
        <w:noBreakHyphen/>
      </w:r>
      <w:r w:rsidRPr="007A0856">
        <w:rPr>
          <w:rFonts w:cs="Times New Roman"/>
          <w:szCs w:val="24"/>
        </w:rPr>
        <w:t>izziņas/e-konkursu darbības nodrošināšana</w:t>
      </w:r>
      <w:r w:rsidRPr="00246F35">
        <w:rPr>
          <w:rFonts w:cs="Times New Roman"/>
          <w:szCs w:val="24"/>
        </w:rPr>
        <w:t>” 201</w:t>
      </w:r>
      <w:r>
        <w:rPr>
          <w:rFonts w:cs="Times New Roman"/>
          <w:szCs w:val="24"/>
        </w:rPr>
        <w:t>5</w:t>
      </w:r>
      <w:r w:rsidRPr="00246F35">
        <w:rPr>
          <w:rFonts w:cs="Times New Roman"/>
          <w:szCs w:val="24"/>
        </w:rPr>
        <w:t xml:space="preserve">.gadam </w:t>
      </w:r>
      <w:r w:rsidRPr="007A0856">
        <w:rPr>
          <w:rFonts w:cs="Times New Roman"/>
          <w:szCs w:val="24"/>
        </w:rPr>
        <w:t>11</w:t>
      </w:r>
      <w:r>
        <w:rPr>
          <w:rFonts w:cs="Times New Roman"/>
          <w:szCs w:val="24"/>
        </w:rPr>
        <w:t> </w:t>
      </w:r>
      <w:r w:rsidRPr="007A0856">
        <w:rPr>
          <w:rFonts w:cs="Times New Roman"/>
          <w:szCs w:val="24"/>
        </w:rPr>
        <w:t>050</w:t>
      </w:r>
      <w:r>
        <w:rPr>
          <w:rFonts w:cs="Times New Roman"/>
          <w:szCs w:val="24"/>
        </w:rPr>
        <w:t xml:space="preserve"> </w:t>
      </w:r>
      <w:r w:rsidRPr="007A0856">
        <w:rPr>
          <w:rFonts w:cs="Times New Roman"/>
          <w:i/>
          <w:szCs w:val="24"/>
        </w:rPr>
        <w:t>euro</w:t>
      </w:r>
      <w:r w:rsidRPr="00246F35">
        <w:rPr>
          <w:rFonts w:cs="Times New Roman"/>
          <w:szCs w:val="24"/>
        </w:rPr>
        <w:t>, 201</w:t>
      </w:r>
      <w:r>
        <w:rPr>
          <w:rFonts w:cs="Times New Roman"/>
          <w:szCs w:val="24"/>
        </w:rPr>
        <w:t>6</w:t>
      </w:r>
      <w:r w:rsidRPr="00246F35">
        <w:rPr>
          <w:rFonts w:cs="Times New Roman"/>
          <w:szCs w:val="24"/>
        </w:rPr>
        <w:t xml:space="preserve">.gadam </w:t>
      </w:r>
      <w:r w:rsidRPr="007A0856">
        <w:rPr>
          <w:rFonts w:cs="Times New Roman"/>
          <w:szCs w:val="24"/>
        </w:rPr>
        <w:t>105</w:t>
      </w:r>
      <w:r>
        <w:rPr>
          <w:rFonts w:cs="Times New Roman"/>
          <w:szCs w:val="24"/>
        </w:rPr>
        <w:t> </w:t>
      </w:r>
      <w:r w:rsidRPr="007A0856">
        <w:rPr>
          <w:rFonts w:cs="Times New Roman"/>
          <w:szCs w:val="24"/>
        </w:rPr>
        <w:t>459</w:t>
      </w:r>
      <w:r>
        <w:rPr>
          <w:rFonts w:cs="Times New Roman"/>
          <w:szCs w:val="24"/>
        </w:rPr>
        <w:t xml:space="preserve"> </w:t>
      </w:r>
      <w:r w:rsidRPr="007A0856">
        <w:rPr>
          <w:rFonts w:cs="Times New Roman"/>
          <w:i/>
          <w:szCs w:val="24"/>
        </w:rPr>
        <w:t>euro</w:t>
      </w:r>
      <w:r w:rsidRPr="00246F35">
        <w:rPr>
          <w:rFonts w:cs="Times New Roman"/>
          <w:szCs w:val="24"/>
        </w:rPr>
        <w:t xml:space="preserve"> un 201</w:t>
      </w:r>
      <w:r>
        <w:rPr>
          <w:rFonts w:cs="Times New Roman"/>
          <w:szCs w:val="24"/>
        </w:rPr>
        <w:t>7</w:t>
      </w:r>
      <w:r w:rsidRPr="00246F35">
        <w:rPr>
          <w:rFonts w:cs="Times New Roman"/>
          <w:szCs w:val="24"/>
        </w:rPr>
        <w:t xml:space="preserve">.gadam </w:t>
      </w:r>
      <w:r w:rsidRPr="007A0856">
        <w:rPr>
          <w:rFonts w:cs="Times New Roman"/>
          <w:szCs w:val="24"/>
        </w:rPr>
        <w:t xml:space="preserve">17 255 </w:t>
      </w:r>
      <w:r w:rsidRPr="007A0856">
        <w:rPr>
          <w:rFonts w:cs="Times New Roman"/>
          <w:i/>
          <w:szCs w:val="24"/>
        </w:rPr>
        <w:t>euro</w:t>
      </w:r>
      <w:r w:rsidRPr="00246F35">
        <w:rPr>
          <w:rFonts w:cs="Times New Roman"/>
          <w:szCs w:val="24"/>
        </w:rPr>
        <w:t xml:space="preserve"> apmērā</w:t>
      </w:r>
      <w:r>
        <w:rPr>
          <w:rFonts w:cs="Times New Roman"/>
          <w:szCs w:val="24"/>
        </w:rPr>
        <w:t>. F</w:t>
      </w:r>
      <w:r w:rsidRPr="00D16ACE">
        <w:rPr>
          <w:rFonts w:cs="Times New Roman"/>
          <w:szCs w:val="24"/>
        </w:rPr>
        <w:t xml:space="preserve">inansējums </w:t>
      </w:r>
      <w:r>
        <w:rPr>
          <w:rFonts w:cs="Times New Roman"/>
          <w:szCs w:val="24"/>
        </w:rPr>
        <w:t xml:space="preserve">turpmākiem gadiem </w:t>
      </w:r>
      <w:r w:rsidRPr="00D16ACE">
        <w:rPr>
          <w:rFonts w:cs="Times New Roman"/>
          <w:szCs w:val="24"/>
        </w:rPr>
        <w:t xml:space="preserve">paredzēts lietotāju apmācībām (85 </w:t>
      </w:r>
      <w:r w:rsidRPr="003C7580">
        <w:rPr>
          <w:rFonts w:cs="Times New Roman"/>
          <w:i/>
          <w:szCs w:val="24"/>
        </w:rPr>
        <w:t>euro</w:t>
      </w:r>
      <w:r w:rsidRPr="00D16ACE">
        <w:rPr>
          <w:rFonts w:cs="Times New Roman"/>
          <w:szCs w:val="24"/>
        </w:rPr>
        <w:t xml:space="preserve"> </w:t>
      </w:r>
      <w:r>
        <w:rPr>
          <w:rFonts w:cs="Times New Roman"/>
          <w:szCs w:val="24"/>
        </w:rPr>
        <w:t>–</w:t>
      </w:r>
      <w:r w:rsidRPr="00D16ACE">
        <w:rPr>
          <w:rFonts w:cs="Times New Roman"/>
          <w:szCs w:val="24"/>
        </w:rPr>
        <w:t xml:space="preserve"> vienas personas apmācības izdevumu summa</w:t>
      </w:r>
      <w:r>
        <w:rPr>
          <w:rFonts w:cs="Times New Roman"/>
          <w:szCs w:val="24"/>
        </w:rPr>
        <w:t>, iespējams apmācīt 203 personas</w:t>
      </w:r>
      <w:r w:rsidRPr="00D16ACE">
        <w:rPr>
          <w:rFonts w:cs="Times New Roman"/>
          <w:szCs w:val="24"/>
        </w:rPr>
        <w:t xml:space="preserve">). </w:t>
      </w:r>
      <w:r>
        <w:rPr>
          <w:rFonts w:cs="Times New Roman"/>
          <w:szCs w:val="24"/>
        </w:rPr>
        <w:t xml:space="preserve">VARAM, sniedzot informāciju par valsts budžeta izpildes analīzi </w:t>
      </w:r>
      <w:r w:rsidRPr="00D16ACE">
        <w:rPr>
          <w:rFonts w:cs="Times New Roman"/>
          <w:szCs w:val="24"/>
        </w:rPr>
        <w:t>20</w:t>
      </w:r>
      <w:r>
        <w:rPr>
          <w:rFonts w:cs="Times New Roman"/>
          <w:szCs w:val="24"/>
        </w:rPr>
        <w:t xml:space="preserve">16.gadā, norādīja JPI finansējuma neapguvi 5 </w:t>
      </w:r>
      <w:r w:rsidRPr="00D16ACE">
        <w:rPr>
          <w:rFonts w:cs="Times New Roman"/>
          <w:szCs w:val="24"/>
        </w:rPr>
        <w:t>8</w:t>
      </w:r>
      <w:r>
        <w:rPr>
          <w:rFonts w:cs="Times New Roman"/>
          <w:szCs w:val="24"/>
        </w:rPr>
        <w:t xml:space="preserve">00 </w:t>
      </w:r>
      <w:r w:rsidRPr="007415BA">
        <w:rPr>
          <w:rFonts w:cs="Times New Roman"/>
          <w:i/>
          <w:szCs w:val="24"/>
        </w:rPr>
        <w:t>euro</w:t>
      </w:r>
      <w:r w:rsidRPr="004061F3">
        <w:rPr>
          <w:rFonts w:cs="Times New Roman"/>
          <w:szCs w:val="24"/>
        </w:rPr>
        <w:t xml:space="preserve"> apmērā</w:t>
      </w:r>
      <w:r>
        <w:rPr>
          <w:rFonts w:cs="Times New Roman"/>
          <w:szCs w:val="24"/>
        </w:rPr>
        <w:t>, savukārt 2015</w:t>
      </w:r>
      <w:r w:rsidRPr="004D5998">
        <w:rPr>
          <w:rFonts w:cs="Times New Roman"/>
          <w:szCs w:val="24"/>
        </w:rPr>
        <w:t xml:space="preserve">.gadā valsts budžeta neizpilde </w:t>
      </w:r>
      <w:r>
        <w:rPr>
          <w:rFonts w:cs="Times New Roman"/>
          <w:szCs w:val="24"/>
        </w:rPr>
        <w:t xml:space="preserve">JPI ietvaros </w:t>
      </w:r>
      <w:r w:rsidRPr="004D5998">
        <w:rPr>
          <w:rFonts w:cs="Times New Roman"/>
          <w:szCs w:val="24"/>
        </w:rPr>
        <w:t xml:space="preserve">nav </w:t>
      </w:r>
      <w:r>
        <w:rPr>
          <w:rFonts w:cs="Times New Roman"/>
          <w:szCs w:val="24"/>
        </w:rPr>
        <w:t>konstatēta</w:t>
      </w:r>
      <w:r w:rsidRPr="00D16ACE">
        <w:rPr>
          <w:rFonts w:cs="Times New Roman"/>
          <w:szCs w:val="24"/>
        </w:rPr>
        <w:t>.</w:t>
      </w:r>
      <w:r w:rsidRPr="00D16ACE">
        <w:rPr>
          <w:rFonts w:cs="Times New Roman"/>
        </w:rPr>
        <w:t xml:space="preserve"> </w:t>
      </w:r>
      <w:r>
        <w:rPr>
          <w:rFonts w:cs="Times New Roman"/>
          <w:szCs w:val="24"/>
        </w:rPr>
        <w:t xml:space="preserve">Ņemot vērā minēto, uzskatām, ka 2018.gadā un turpmāk citām VARAM aktualitātēm novirzāmais finansējums ir konstatētās neizpildes </w:t>
      </w:r>
      <w:r w:rsidRPr="00D16ACE">
        <w:rPr>
          <w:rFonts w:cs="Times New Roman"/>
          <w:szCs w:val="24"/>
        </w:rPr>
        <w:t>2015.</w:t>
      </w:r>
      <w:r>
        <w:rPr>
          <w:rFonts w:cs="Times New Roman"/>
          <w:szCs w:val="24"/>
        </w:rPr>
        <w:t>-</w:t>
      </w:r>
      <w:r w:rsidRPr="00D16ACE">
        <w:rPr>
          <w:rFonts w:cs="Times New Roman"/>
          <w:szCs w:val="24"/>
        </w:rPr>
        <w:t>2016.gad</w:t>
      </w:r>
      <w:r>
        <w:rPr>
          <w:rFonts w:cs="Times New Roman"/>
          <w:szCs w:val="24"/>
        </w:rPr>
        <w:t>a kopsummas</w:t>
      </w:r>
      <w:r w:rsidRPr="001433EC">
        <w:t xml:space="preserve"> </w:t>
      </w:r>
      <w:r w:rsidRPr="00D16ACE">
        <w:rPr>
          <w:rFonts w:cs="Times New Roman"/>
          <w:szCs w:val="24"/>
        </w:rPr>
        <w:t>vidēj</w:t>
      </w:r>
      <w:r>
        <w:rPr>
          <w:rFonts w:cs="Times New Roman"/>
          <w:szCs w:val="24"/>
        </w:rPr>
        <w:t>ais</w:t>
      </w:r>
      <w:r w:rsidRPr="00D16ACE">
        <w:rPr>
          <w:rFonts w:cs="Times New Roman"/>
          <w:szCs w:val="24"/>
        </w:rPr>
        <w:t xml:space="preserve"> rādītāj</w:t>
      </w:r>
      <w:r>
        <w:rPr>
          <w:rFonts w:cs="Times New Roman"/>
          <w:szCs w:val="24"/>
        </w:rPr>
        <w:t>s, kas ir 2 900</w:t>
      </w:r>
      <w:r w:rsidRPr="001F46AC">
        <w:rPr>
          <w:rFonts w:cs="Times New Roman"/>
          <w:i/>
          <w:szCs w:val="24"/>
        </w:rPr>
        <w:t xml:space="preserve"> euro</w:t>
      </w:r>
      <w:r w:rsidRPr="00D16ACE">
        <w:rPr>
          <w:rFonts w:cs="Times New Roman"/>
          <w:szCs w:val="24"/>
        </w:rPr>
        <w:t>.</w:t>
      </w:r>
      <w:r>
        <w:rPr>
          <w:rFonts w:cs="Times New Roman"/>
          <w:szCs w:val="24"/>
        </w:rPr>
        <w:t xml:space="preserve"> Vienlaikus uzskatām, ka VARAM nepieciešams izvērtēt, vai ikgadēji </w:t>
      </w:r>
      <w:r w:rsidR="00605465">
        <w:rPr>
          <w:rFonts w:cs="Times New Roman"/>
          <w:szCs w:val="24"/>
        </w:rPr>
        <w:t>jāturpina 203 cilvēku apmācību.</w:t>
      </w:r>
    </w:p>
    <w:p w:rsidR="00A06C87" w:rsidRDefault="00A06C87" w:rsidP="00605465">
      <w:pPr>
        <w:spacing w:before="240" w:after="240"/>
        <w:jc w:val="both"/>
        <w:rPr>
          <w:rFonts w:cs="Times New Roman"/>
          <w:b/>
          <w:szCs w:val="24"/>
        </w:rPr>
      </w:pPr>
      <w:r>
        <w:rPr>
          <w:rFonts w:cs="Times New Roman"/>
          <w:b/>
          <w:szCs w:val="24"/>
        </w:rPr>
        <w:t xml:space="preserve">VARAM - </w:t>
      </w:r>
      <w:r w:rsidRPr="00870801">
        <w:rPr>
          <w:rFonts w:cs="Times New Roman"/>
          <w:b/>
          <w:szCs w:val="24"/>
        </w:rPr>
        <w:t>Neatliekamie pasākumi valsts funkciju veikšanas nodrošināšanai</w:t>
      </w:r>
    </w:p>
    <w:p w:rsidR="00A06C87" w:rsidRPr="000A3593" w:rsidRDefault="00A06C87" w:rsidP="00A06C87">
      <w:pPr>
        <w:spacing w:after="120"/>
        <w:ind w:firstLine="720"/>
        <w:jc w:val="both"/>
        <w:rPr>
          <w:rFonts w:cs="Times New Roman"/>
          <w:szCs w:val="24"/>
        </w:rPr>
      </w:pPr>
      <w:r w:rsidRPr="000A3593">
        <w:rPr>
          <w:rFonts w:cs="Times New Roman"/>
          <w:szCs w:val="24"/>
        </w:rPr>
        <w:t>2015.-2017.gada apstiprinātās JPI “Neatliekamie pasākumi valsts funkciju veikšanas nodrošināšanai” ietvaros VARAM tika piešķirts finansējums</w:t>
      </w:r>
      <w:r w:rsidRPr="000A3593">
        <w:t xml:space="preserve"> 2015.gadā </w:t>
      </w:r>
      <w:r w:rsidRPr="000A3593">
        <w:rPr>
          <w:rFonts w:cs="Times New Roman"/>
          <w:szCs w:val="24"/>
        </w:rPr>
        <w:t xml:space="preserve">845 242 </w:t>
      </w:r>
      <w:r w:rsidRPr="000A3593">
        <w:rPr>
          <w:rFonts w:cs="Times New Roman"/>
          <w:i/>
          <w:szCs w:val="24"/>
        </w:rPr>
        <w:t>euro</w:t>
      </w:r>
      <w:r w:rsidRPr="000A3593">
        <w:rPr>
          <w:rFonts w:cs="Times New Roman"/>
          <w:szCs w:val="24"/>
        </w:rPr>
        <w:t xml:space="preserve">, 2016.gadā un turpmāk 822 242 </w:t>
      </w:r>
      <w:r w:rsidRPr="000A3593">
        <w:rPr>
          <w:rFonts w:cs="Times New Roman"/>
          <w:i/>
          <w:szCs w:val="24"/>
        </w:rPr>
        <w:t>euro</w:t>
      </w:r>
      <w:r w:rsidRPr="000A3593">
        <w:rPr>
          <w:rFonts w:cs="Times New Roman"/>
          <w:szCs w:val="24"/>
        </w:rPr>
        <w:t>, t.sk. izdevumu pārskatīšanas ietvaros tiek izvērtēts finansējums, kas tiek plānots:</w:t>
      </w:r>
    </w:p>
    <w:p w:rsidR="00A06C87" w:rsidRPr="000A3593" w:rsidRDefault="00A06C87" w:rsidP="008C25BB">
      <w:pPr>
        <w:pStyle w:val="ListParagraph"/>
        <w:numPr>
          <w:ilvl w:val="0"/>
          <w:numId w:val="73"/>
        </w:numPr>
        <w:spacing w:after="120"/>
        <w:jc w:val="both"/>
        <w:rPr>
          <w:rFonts w:cs="Times New Roman"/>
          <w:szCs w:val="24"/>
        </w:rPr>
      </w:pPr>
      <w:r w:rsidRPr="000A3593">
        <w:rPr>
          <w:rFonts w:cs="Times New Roman"/>
          <w:szCs w:val="24"/>
        </w:rPr>
        <w:t xml:space="preserve">budžeta apakšprogrammā 23.01.00 “Valsts vides dienests” 2015.gadam 332 458 </w:t>
      </w:r>
      <w:r w:rsidRPr="000A3593">
        <w:rPr>
          <w:rFonts w:cs="Times New Roman"/>
          <w:i/>
          <w:szCs w:val="24"/>
        </w:rPr>
        <w:t>euro</w:t>
      </w:r>
      <w:r w:rsidRPr="000A3593">
        <w:rPr>
          <w:rFonts w:cs="Times New Roman"/>
          <w:szCs w:val="24"/>
        </w:rPr>
        <w:t xml:space="preserve">, 2016.gadam 273 941 </w:t>
      </w:r>
      <w:r w:rsidRPr="000A3593">
        <w:rPr>
          <w:rFonts w:cs="Times New Roman"/>
          <w:i/>
          <w:szCs w:val="24"/>
        </w:rPr>
        <w:t>euro</w:t>
      </w:r>
      <w:r w:rsidRPr="000A3593">
        <w:rPr>
          <w:rFonts w:cs="Times New Roman"/>
          <w:szCs w:val="24"/>
        </w:rPr>
        <w:t xml:space="preserve"> un 2017.gadam 189 149 </w:t>
      </w:r>
      <w:r w:rsidRPr="000A3593">
        <w:rPr>
          <w:rFonts w:cs="Times New Roman"/>
          <w:i/>
          <w:szCs w:val="24"/>
        </w:rPr>
        <w:t>euro</w:t>
      </w:r>
      <w:r w:rsidRPr="000A3593">
        <w:rPr>
          <w:rFonts w:cs="Times New Roman"/>
          <w:szCs w:val="24"/>
        </w:rPr>
        <w:t xml:space="preserve"> apmērā; </w:t>
      </w:r>
    </w:p>
    <w:p w:rsidR="00A06C87" w:rsidRPr="000A3593" w:rsidRDefault="00A06C87" w:rsidP="008C25BB">
      <w:pPr>
        <w:pStyle w:val="ListParagraph"/>
        <w:numPr>
          <w:ilvl w:val="0"/>
          <w:numId w:val="73"/>
        </w:numPr>
        <w:spacing w:after="120"/>
        <w:jc w:val="both"/>
        <w:rPr>
          <w:rFonts w:cs="Times New Roman"/>
          <w:szCs w:val="24"/>
        </w:rPr>
      </w:pPr>
      <w:r w:rsidRPr="000A3593">
        <w:rPr>
          <w:rFonts w:cs="Times New Roman"/>
          <w:szCs w:val="24"/>
        </w:rPr>
        <w:t xml:space="preserve">budžeta apakšprogrammā 24.06.00 “Latvijas Dabas muzeja darbības nodrošināšana” 2015.gadam 97 669 </w:t>
      </w:r>
      <w:r w:rsidRPr="000A3593">
        <w:rPr>
          <w:rFonts w:cs="Times New Roman"/>
          <w:i/>
          <w:szCs w:val="24"/>
        </w:rPr>
        <w:t>euro</w:t>
      </w:r>
      <w:r w:rsidRPr="000A3593">
        <w:rPr>
          <w:rFonts w:cs="Times New Roman"/>
          <w:szCs w:val="24"/>
        </w:rPr>
        <w:t xml:space="preserve">, 2016.gadam 107 969 </w:t>
      </w:r>
      <w:r w:rsidRPr="000A3593">
        <w:rPr>
          <w:rFonts w:cs="Times New Roman"/>
          <w:i/>
          <w:szCs w:val="24"/>
        </w:rPr>
        <w:t>euro</w:t>
      </w:r>
      <w:r w:rsidRPr="000A3593">
        <w:rPr>
          <w:rFonts w:cs="Times New Roman"/>
          <w:szCs w:val="24"/>
        </w:rPr>
        <w:t xml:space="preserve"> ik gadu un 2017.gadam 102 635 </w:t>
      </w:r>
      <w:r w:rsidRPr="000A3593">
        <w:rPr>
          <w:rFonts w:cs="Times New Roman"/>
          <w:i/>
          <w:szCs w:val="24"/>
        </w:rPr>
        <w:t>euro</w:t>
      </w:r>
      <w:r w:rsidRPr="000A3593">
        <w:rPr>
          <w:rFonts w:cs="Times New Roman"/>
          <w:szCs w:val="24"/>
        </w:rPr>
        <w:t xml:space="preserve"> apmērā;</w:t>
      </w:r>
    </w:p>
    <w:p w:rsidR="00A06C87" w:rsidRPr="000A3593" w:rsidRDefault="00A06C87" w:rsidP="008C25BB">
      <w:pPr>
        <w:pStyle w:val="ListParagraph"/>
        <w:numPr>
          <w:ilvl w:val="0"/>
          <w:numId w:val="73"/>
        </w:numPr>
        <w:spacing w:after="120"/>
        <w:ind w:left="714" w:hanging="357"/>
        <w:jc w:val="both"/>
        <w:rPr>
          <w:rFonts w:cs="Times New Roman"/>
          <w:szCs w:val="24"/>
        </w:rPr>
      </w:pPr>
      <w:r w:rsidRPr="000A3593">
        <w:rPr>
          <w:rFonts w:cs="Times New Roman"/>
          <w:szCs w:val="24"/>
        </w:rPr>
        <w:t xml:space="preserve">budžeta apakšprogrammā 24.08.00 “Nacionālo parku darbības nodrošināšana” 2015.gadam 292 000 </w:t>
      </w:r>
      <w:r w:rsidRPr="000A3593">
        <w:rPr>
          <w:rFonts w:cs="Times New Roman"/>
          <w:i/>
          <w:szCs w:val="24"/>
        </w:rPr>
        <w:t>euro</w:t>
      </w:r>
      <w:r w:rsidRPr="000A3593">
        <w:rPr>
          <w:rFonts w:cs="Times New Roman"/>
          <w:szCs w:val="24"/>
        </w:rPr>
        <w:t xml:space="preserve">, 2016.gadam 317 217 </w:t>
      </w:r>
      <w:r w:rsidRPr="000A3593">
        <w:rPr>
          <w:rFonts w:cs="Times New Roman"/>
          <w:i/>
          <w:szCs w:val="24"/>
        </w:rPr>
        <w:t>euro</w:t>
      </w:r>
      <w:r w:rsidRPr="000A3593">
        <w:rPr>
          <w:rFonts w:cs="Times New Roman"/>
          <w:szCs w:val="24"/>
        </w:rPr>
        <w:t xml:space="preserve"> ik gadu un 2017.gadam 407 343 </w:t>
      </w:r>
      <w:r w:rsidRPr="000A3593">
        <w:rPr>
          <w:rFonts w:cs="Times New Roman"/>
          <w:i/>
          <w:szCs w:val="24"/>
        </w:rPr>
        <w:t>euro</w:t>
      </w:r>
      <w:r w:rsidRPr="000A3593">
        <w:rPr>
          <w:rFonts w:cs="Times New Roman"/>
          <w:szCs w:val="24"/>
        </w:rPr>
        <w:t xml:space="preserve"> apmērā. </w:t>
      </w:r>
    </w:p>
    <w:p w:rsidR="00A06C87" w:rsidRPr="000A3593" w:rsidRDefault="00A06C87" w:rsidP="00A06C87">
      <w:pPr>
        <w:spacing w:after="120"/>
        <w:ind w:firstLine="720"/>
        <w:jc w:val="both"/>
        <w:rPr>
          <w:rFonts w:cs="Times New Roman"/>
          <w:szCs w:val="24"/>
        </w:rPr>
      </w:pPr>
      <w:r w:rsidRPr="000A3593">
        <w:rPr>
          <w:rFonts w:cs="Times New Roman"/>
          <w:szCs w:val="24"/>
        </w:rPr>
        <w:t>Visās minētajās apakšprogrammās līdzšinējā JPI finansējuma izpilde veikta atbilstoši plānotajam, bet ir pārskatāms JPI ietvaros plānotais finansējums 2018.gadam un turpmāk, jo</w:t>
      </w:r>
      <w:r w:rsidR="00354614">
        <w:rPr>
          <w:rFonts w:cs="Times New Roman"/>
          <w:szCs w:val="24"/>
        </w:rPr>
        <w:t xml:space="preserve"> (skat. 3.70.attēlu)</w:t>
      </w:r>
      <w:r w:rsidRPr="000A3593">
        <w:rPr>
          <w:rFonts w:cs="Times New Roman"/>
          <w:szCs w:val="24"/>
        </w:rPr>
        <w:t>:</w:t>
      </w:r>
    </w:p>
    <w:p w:rsidR="00A06C87" w:rsidRPr="000A3593" w:rsidRDefault="00A06C87" w:rsidP="008C25BB">
      <w:pPr>
        <w:pStyle w:val="ListParagraph"/>
        <w:numPr>
          <w:ilvl w:val="0"/>
          <w:numId w:val="74"/>
        </w:numPr>
        <w:spacing w:after="120"/>
        <w:jc w:val="both"/>
        <w:rPr>
          <w:rFonts w:cs="Times New Roman"/>
          <w:szCs w:val="24"/>
        </w:rPr>
      </w:pPr>
      <w:r w:rsidRPr="000A3593">
        <w:rPr>
          <w:rFonts w:cs="Times New Roman"/>
          <w:szCs w:val="24"/>
        </w:rPr>
        <w:t>VVD arī turpmākiem gadiem ir paredzēts finansējums pasākumiem, kas ir terminēti – VVD Reģionālo vides pārvalžu ēku neatliekamiem remontiem;</w:t>
      </w:r>
    </w:p>
    <w:p w:rsidR="00A06C87" w:rsidRPr="000A3593" w:rsidRDefault="00A06C87" w:rsidP="008C25BB">
      <w:pPr>
        <w:pStyle w:val="ListParagraph"/>
        <w:numPr>
          <w:ilvl w:val="0"/>
          <w:numId w:val="74"/>
        </w:numPr>
        <w:spacing w:after="120"/>
        <w:jc w:val="both"/>
        <w:rPr>
          <w:rFonts w:cs="Times New Roman"/>
          <w:szCs w:val="24"/>
        </w:rPr>
      </w:pPr>
      <w:r w:rsidRPr="000A3593">
        <w:rPr>
          <w:rFonts w:cs="Times New Roman"/>
          <w:szCs w:val="24"/>
        </w:rPr>
        <w:t xml:space="preserve">LDM ir paredzēts finansējums ekspozīciju saturiskai un fiziskai atjaunošanai ar mērķi paaugstināt muzeja apmeklējuma kvalitāti un kapitālām iegādēm, t.sk. skapji ģeoloģiskiem krājumam, entomoloģiskajam krājumam, izbāžņi zooloģiskā krājuma </w:t>
      </w:r>
      <w:r w:rsidRPr="000A3593">
        <w:rPr>
          <w:rFonts w:cs="Times New Roman"/>
          <w:szCs w:val="24"/>
        </w:rPr>
        <w:lastRenderedPageBreak/>
        <w:t>saglabāšanai, mulāžas entomoloģiskajam un zooloģiskajam krājumam, kuru finansēšanu varētu nodrošināt no maksas pakalpojumu ieņēmumiem, ņemot vērā pārskatīto LDM maksas pakalpojuma cenrādi;</w:t>
      </w:r>
    </w:p>
    <w:p w:rsidR="00A06C87" w:rsidRPr="00605465" w:rsidRDefault="00A06C87" w:rsidP="00605465">
      <w:pPr>
        <w:pStyle w:val="ListParagraph"/>
        <w:numPr>
          <w:ilvl w:val="0"/>
          <w:numId w:val="74"/>
        </w:numPr>
        <w:spacing w:after="120"/>
        <w:jc w:val="both"/>
        <w:rPr>
          <w:rFonts w:cs="Times New Roman"/>
          <w:szCs w:val="24"/>
        </w:rPr>
      </w:pPr>
      <w:r w:rsidRPr="000A3593">
        <w:rPr>
          <w:rFonts w:cs="Times New Roman"/>
          <w:szCs w:val="24"/>
        </w:rPr>
        <w:t xml:space="preserve">DAP arī turpmākiem gadiem ir paredzēts finansējums pasākumam, kas pēc tā būtības ir vienreizējs. </w:t>
      </w:r>
    </w:p>
    <w:p w:rsidR="00A06C87" w:rsidRDefault="00A06C87" w:rsidP="00A06C87">
      <w:pPr>
        <w:spacing w:before="120"/>
        <w:rPr>
          <w:rFonts w:cs="Times New Roman"/>
          <w:sz w:val="22"/>
          <w:highlight w:val="yellow"/>
        </w:rPr>
      </w:pPr>
      <w:r>
        <w:rPr>
          <w:noProof/>
          <w:lang w:eastAsia="lv-LV"/>
        </w:rPr>
        <mc:AlternateContent>
          <mc:Choice Requires="wps">
            <w:drawing>
              <wp:anchor distT="0" distB="0" distL="114300" distR="114300" simplePos="0" relativeHeight="251679744" behindDoc="0" locked="0" layoutInCell="1" allowOverlap="1" wp14:anchorId="013D1482" wp14:editId="1F488151">
                <wp:simplePos x="0" y="0"/>
                <wp:positionH relativeFrom="column">
                  <wp:posOffset>2094662</wp:posOffset>
                </wp:positionH>
                <wp:positionV relativeFrom="paragraph">
                  <wp:posOffset>384327</wp:posOffset>
                </wp:positionV>
                <wp:extent cx="832561" cy="270205"/>
                <wp:effectExtent l="0" t="0" r="81915" b="73025"/>
                <wp:wrapNone/>
                <wp:docPr id="38" name="Straight Arrow Connector 38"/>
                <wp:cNvGraphicFramePr/>
                <a:graphic xmlns:a="http://schemas.openxmlformats.org/drawingml/2006/main">
                  <a:graphicData uri="http://schemas.microsoft.com/office/word/2010/wordprocessingShape">
                    <wps:wsp>
                      <wps:cNvCnPr/>
                      <wps:spPr>
                        <a:xfrm>
                          <a:off x="0" y="0"/>
                          <a:ext cx="832561" cy="270205"/>
                        </a:xfrm>
                        <a:prstGeom prst="straightConnector1">
                          <a:avLst/>
                        </a:prstGeom>
                        <a:ln w="19050">
                          <a:solidFill>
                            <a:schemeClr val="accent2">
                              <a:lumMod val="60000"/>
                              <a:lumOff val="4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349CF4" id="Straight Arrow Connector 38" o:spid="_x0000_s1026" type="#_x0000_t32" style="position:absolute;margin-left:164.95pt;margin-top:30.25pt;width:65.55pt;height:2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" strokecolor="#f4b083 [1941]" strokeweight="1.5pt">
                <v:stroke endarrow="block" joinstyle="miter"/>
              </v:shape>
            </w:pict>
          </mc:Fallback>
        </mc:AlternateContent>
      </w:r>
      <w:r>
        <w:rPr>
          <w:noProof/>
          <w:lang w:eastAsia="lv-LV"/>
        </w:rPr>
        <mc:AlternateContent>
          <mc:Choice Requires="wps">
            <w:drawing>
              <wp:anchor distT="0" distB="0" distL="114300" distR="114300" simplePos="0" relativeHeight="251677696" behindDoc="0" locked="0" layoutInCell="1" allowOverlap="1" wp14:anchorId="3B95BBD8" wp14:editId="7A543461">
                <wp:simplePos x="0" y="0"/>
                <wp:positionH relativeFrom="column">
                  <wp:posOffset>1860550</wp:posOffset>
                </wp:positionH>
                <wp:positionV relativeFrom="paragraph">
                  <wp:posOffset>3085922</wp:posOffset>
                </wp:positionV>
                <wp:extent cx="489789" cy="299923"/>
                <wp:effectExtent l="0" t="0" r="24765" b="24130"/>
                <wp:wrapNone/>
                <wp:docPr id="57" name="Oval 57"/>
                <wp:cNvGraphicFramePr/>
                <a:graphic xmlns:a="http://schemas.openxmlformats.org/drawingml/2006/main">
                  <a:graphicData uri="http://schemas.microsoft.com/office/word/2010/wordprocessingShape">
                    <wps:wsp>
                      <wps:cNvSpPr/>
                      <wps:spPr>
                        <a:xfrm>
                          <a:off x="0" y="0"/>
                          <a:ext cx="489789" cy="299923"/>
                        </a:xfrm>
                        <a:prstGeom prst="ellipse">
                          <a:avLst/>
                        </a:prstGeom>
                        <a:noFill/>
                        <a:ln w="19050">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82A556B" id="Oval 57" o:spid="_x0000_s1026" style="position:absolute;margin-left:146.5pt;margin-top:243pt;width:38.55pt;height:23.6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" filled="f" strokecolor="#1f4d78 [1604]" strokeweight="1.5pt">
                <v:stroke joinstyle="miter"/>
              </v:oval>
            </w:pict>
          </mc:Fallback>
        </mc:AlternateContent>
      </w:r>
      <w:r>
        <w:rPr>
          <w:noProof/>
          <w:lang w:eastAsia="lv-LV"/>
        </w:rPr>
        <mc:AlternateContent>
          <mc:Choice Requires="wps">
            <w:drawing>
              <wp:anchor distT="0" distB="0" distL="114300" distR="114300" simplePos="0" relativeHeight="251678720" behindDoc="0" locked="0" layoutInCell="1" allowOverlap="1" wp14:anchorId="0B6A6CC5" wp14:editId="0CDB7B0A">
                <wp:simplePos x="0" y="0"/>
                <wp:positionH relativeFrom="column">
                  <wp:posOffset>1853260</wp:posOffset>
                </wp:positionH>
                <wp:positionV relativeFrom="paragraph">
                  <wp:posOffset>728142</wp:posOffset>
                </wp:positionV>
                <wp:extent cx="519379" cy="94285"/>
                <wp:effectExtent l="0" t="0" r="14605" b="20320"/>
                <wp:wrapNone/>
                <wp:docPr id="32" name="Oval 32"/>
                <wp:cNvGraphicFramePr/>
                <a:graphic xmlns:a="http://schemas.openxmlformats.org/drawingml/2006/main">
                  <a:graphicData uri="http://schemas.microsoft.com/office/word/2010/wordprocessingShape">
                    <wps:wsp>
                      <wps:cNvSpPr/>
                      <wps:spPr>
                        <a:xfrm>
                          <a:off x="0" y="0"/>
                          <a:ext cx="519379" cy="94285"/>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ED1D43" id="Oval 32" o:spid="_x0000_s1026" style="position:absolute;margin-left:145.95pt;margin-top:57.35pt;width:40.9pt;height:7.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" filled="f" strokecolor="#c00000" strokeweight="1.5pt">
                <v:stroke joinstyle="miter"/>
              </v:oval>
            </w:pict>
          </mc:Fallback>
        </mc:AlternateContent>
      </w:r>
      <w:r>
        <w:rPr>
          <w:noProof/>
          <w:lang w:eastAsia="lv-LV"/>
        </w:rPr>
        <w:drawing>
          <wp:inline distT="0" distB="0" distL="0" distR="0" wp14:anchorId="5B0BEE52" wp14:editId="73C2A8C3">
            <wp:extent cx="5941060" cy="3881120"/>
            <wp:effectExtent l="0" t="0" r="2540" b="508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rsidR="00A06C87" w:rsidRPr="000A3593" w:rsidRDefault="00354614" w:rsidP="00A06C87">
      <w:pPr>
        <w:spacing w:before="120"/>
        <w:jc w:val="center"/>
        <w:rPr>
          <w:rFonts w:cs="Times New Roman"/>
          <w:b/>
          <w:i/>
          <w:sz w:val="22"/>
        </w:rPr>
      </w:pPr>
      <w:r>
        <w:rPr>
          <w:rFonts w:cs="Times New Roman"/>
          <w:i/>
          <w:sz w:val="22"/>
        </w:rPr>
        <w:t>3.70</w:t>
      </w:r>
      <w:r w:rsidR="00A06C87" w:rsidRPr="000A3593">
        <w:rPr>
          <w:rFonts w:cs="Times New Roman"/>
          <w:i/>
          <w:sz w:val="22"/>
        </w:rPr>
        <w:t>.att.</w:t>
      </w:r>
      <w:r w:rsidR="00A06C87" w:rsidRPr="000A3593">
        <w:rPr>
          <w:rFonts w:cs="Times New Roman"/>
          <w:sz w:val="22"/>
        </w:rPr>
        <w:t xml:space="preserve"> </w:t>
      </w:r>
      <w:r w:rsidR="00A06C87" w:rsidRPr="000A3593">
        <w:rPr>
          <w:rFonts w:cs="Times New Roman"/>
          <w:b/>
          <w:sz w:val="22"/>
        </w:rPr>
        <w:t xml:space="preserve">Finansējums JPI “Neatliekamie pasākumi valsts funkciju veikšanas nodrošināšanai” (VVD), </w:t>
      </w:r>
      <w:r w:rsidR="00A06C87" w:rsidRPr="000A3593">
        <w:rPr>
          <w:rFonts w:cs="Times New Roman"/>
          <w:b/>
          <w:i/>
          <w:sz w:val="22"/>
        </w:rPr>
        <w:t>euro</w:t>
      </w:r>
    </w:p>
    <w:p w:rsidR="00A06C87" w:rsidRPr="000A3593" w:rsidRDefault="00A06C87" w:rsidP="00A06C87">
      <w:pPr>
        <w:jc w:val="both"/>
        <w:rPr>
          <w:rFonts w:cs="Times New Roman"/>
          <w:szCs w:val="24"/>
        </w:rPr>
      </w:pPr>
    </w:p>
    <w:p w:rsidR="00A06C87" w:rsidRPr="000A3593" w:rsidRDefault="00A06C87" w:rsidP="00A06C87">
      <w:pPr>
        <w:spacing w:after="120"/>
        <w:ind w:firstLine="720"/>
        <w:jc w:val="both"/>
        <w:rPr>
          <w:rFonts w:cs="Times New Roman"/>
          <w:szCs w:val="24"/>
        </w:rPr>
      </w:pPr>
      <w:r w:rsidRPr="000A3593">
        <w:rPr>
          <w:rFonts w:cs="Times New Roman"/>
          <w:szCs w:val="24"/>
        </w:rPr>
        <w:t xml:space="preserve">VVD Reģionālu vides pārvalžu ēku neatliekami remonti tiek veikti no 2015.gada un ar šim mērķim pieejamo finansējumu, kuram no 2015.gada ik gadu plānots remontēt telpas </w:t>
      </w:r>
      <w:r w:rsidRPr="000A3593">
        <w:t>5</w:t>
      </w:r>
      <w:r w:rsidR="00354614">
        <w:t> </w:t>
      </w:r>
      <w:r w:rsidRPr="000A3593">
        <w:t>818</w:t>
      </w:r>
      <w:r w:rsidR="00354614">
        <w:t> </w:t>
      </w:r>
      <w:r w:rsidRPr="000A3593">
        <w:t>m</w:t>
      </w:r>
      <w:r w:rsidRPr="000A3593">
        <w:rPr>
          <w:vertAlign w:val="superscript"/>
        </w:rPr>
        <w:t>2</w:t>
      </w:r>
      <w:r w:rsidRPr="000A3593">
        <w:t xml:space="preserve"> apmērā (vidējās remonta izmaksas 28</w:t>
      </w:r>
      <w:r w:rsidR="00354614">
        <w:t>,</w:t>
      </w:r>
      <w:r w:rsidRPr="000A3593">
        <w:t xml:space="preserve">37 </w:t>
      </w:r>
      <w:r w:rsidRPr="00354614">
        <w:rPr>
          <w:i/>
        </w:rPr>
        <w:t>euro</w:t>
      </w:r>
      <w:r w:rsidRPr="000A3593">
        <w:t>/m</w:t>
      </w:r>
      <w:r w:rsidRPr="00354614">
        <w:rPr>
          <w:vertAlign w:val="superscript"/>
        </w:rPr>
        <w:t>2</w:t>
      </w:r>
      <w:r w:rsidRPr="000A3593">
        <w:t>), tad</w:t>
      </w:r>
      <w:r w:rsidRPr="000A3593">
        <w:rPr>
          <w:rFonts w:cs="Times New Roman"/>
          <w:szCs w:val="24"/>
        </w:rPr>
        <w:t xml:space="preserve"> līdz 2017.gada beigām ir iespējams veikt remontus telpām 17 454 m</w:t>
      </w:r>
      <w:r w:rsidRPr="000A3593">
        <w:rPr>
          <w:rFonts w:cs="Times New Roman"/>
          <w:szCs w:val="24"/>
          <w:vertAlign w:val="superscript"/>
        </w:rPr>
        <w:t>2</w:t>
      </w:r>
      <w:r w:rsidRPr="000A3593">
        <w:rPr>
          <w:rFonts w:cs="Times New Roman"/>
          <w:szCs w:val="24"/>
        </w:rPr>
        <w:t xml:space="preserve"> apmērā, bet līdz 2018.gada beigām – 23 272 m</w:t>
      </w:r>
      <w:r w:rsidRPr="000A3593">
        <w:rPr>
          <w:rFonts w:cs="Times New Roman"/>
          <w:szCs w:val="24"/>
          <w:vertAlign w:val="superscript"/>
        </w:rPr>
        <w:t>2</w:t>
      </w:r>
      <w:r w:rsidRPr="000A3593">
        <w:rPr>
          <w:rFonts w:cs="Times New Roman"/>
          <w:szCs w:val="24"/>
        </w:rPr>
        <w:t xml:space="preserve"> apmērā. Attiecīgi uzskatām, ka sākot no 2019.gada ir izvērtējama VVD Reģionālo vides pārvaldes ēku neatliekamo remontdarbu īstenošanas gaita un aktualitāte 165 057 </w:t>
      </w:r>
      <w:r w:rsidRPr="000A3593">
        <w:rPr>
          <w:rFonts w:cs="Times New Roman"/>
          <w:i/>
          <w:szCs w:val="24"/>
        </w:rPr>
        <w:t>euro</w:t>
      </w:r>
      <w:r w:rsidRPr="000A3593">
        <w:rPr>
          <w:rFonts w:cs="Times New Roman"/>
          <w:szCs w:val="24"/>
        </w:rPr>
        <w:t xml:space="preserve"> apmērā. Attiecībā uz LDM pasākumiem, ņemot vērā to, ka 2017.gada 6.jūnijā ir apstiprināti grozījumu LDM maksas pakalpojumu cenrādī</w:t>
      </w:r>
      <w:r w:rsidRPr="000A3593">
        <w:rPr>
          <w:rStyle w:val="FootnoteReference"/>
          <w:rFonts w:cs="Times New Roman"/>
          <w:szCs w:val="24"/>
        </w:rPr>
        <w:footnoteReference w:id="89"/>
      </w:r>
      <w:r w:rsidRPr="000A3593">
        <w:rPr>
          <w:rFonts w:cs="Times New Roman"/>
          <w:szCs w:val="24"/>
        </w:rPr>
        <w:t xml:space="preserve">, ar kuriem ikgadēji tiek plānots maksas pakalpojumu ieņēmumu palielinājums 70 807 </w:t>
      </w:r>
      <w:r w:rsidRPr="000A3593">
        <w:rPr>
          <w:rFonts w:cs="Times New Roman"/>
          <w:i/>
          <w:szCs w:val="24"/>
        </w:rPr>
        <w:t>euro</w:t>
      </w:r>
      <w:r w:rsidRPr="000A3593">
        <w:rPr>
          <w:rFonts w:cs="Times New Roman"/>
          <w:szCs w:val="24"/>
        </w:rPr>
        <w:t xml:space="preserve"> apmērā, attiecīgi JPI ietvaros būtu pārskatāma to pozīciju finansēšanas no valsts budžeta dotācijas, kas ir tieši saistīta ar ekspozīciju izveidi un krājumu izveidi un uzglabāšanu. Tāpēc uzskatām, ka citām VARAM aktualitātēm novirzāmais finansējums 2018.gadā un turpmāk ir 41 566 </w:t>
      </w:r>
      <w:r w:rsidRPr="000A3593">
        <w:rPr>
          <w:rFonts w:cs="Times New Roman"/>
          <w:i/>
          <w:szCs w:val="24"/>
        </w:rPr>
        <w:t>euro</w:t>
      </w:r>
      <w:r w:rsidRPr="000A3593">
        <w:rPr>
          <w:rFonts w:cs="Times New Roman"/>
          <w:szCs w:val="24"/>
        </w:rPr>
        <w:t>, ko veido JPI ievaros plānotais finansējums LDM ekspozīciju saturiskai un fiziskai atjaunošanai ar mērķi paaugstināt muzeja apmeklējuma kvalitāti, kā arī kapitālām iegādēm, kas saistītas ar krājumu uzglabāšanu. Papildus DAP ietvaros 2019. un 2020.gadā tiek turpināts finansējums 2018.gadā plānotajam pasākumam biroja un izglītojoši informatīvā centra “Meža māja” remontdarbiem, kas pēc to būtības ir vienreizējs pasākums, turklāt arī VARAM finansējuma pieprasījumā norādīja, ka remontdarbi veicami vienā gadā.</w:t>
      </w:r>
      <w:r w:rsidRPr="000A3593">
        <w:t xml:space="preserve"> </w:t>
      </w:r>
    </w:p>
    <w:p w:rsidR="00A06C87" w:rsidRDefault="00A06C87" w:rsidP="00A06C87">
      <w:pPr>
        <w:spacing w:after="120"/>
        <w:ind w:firstLine="720"/>
        <w:jc w:val="both"/>
        <w:rPr>
          <w:rFonts w:cs="Times New Roman"/>
          <w:szCs w:val="24"/>
        </w:rPr>
      </w:pPr>
      <w:r w:rsidRPr="000A3593">
        <w:rPr>
          <w:rFonts w:cs="Times New Roman"/>
          <w:szCs w:val="24"/>
        </w:rPr>
        <w:lastRenderedPageBreak/>
        <w:t xml:space="preserve">Ņemot vērā minēto, uzskatām, ka citām VARAM aktualitātēm novirzāmais finansējums 2018.gadā ir 41 566 </w:t>
      </w:r>
      <w:r w:rsidRPr="00354614">
        <w:rPr>
          <w:rFonts w:cs="Times New Roman"/>
          <w:i/>
          <w:szCs w:val="24"/>
        </w:rPr>
        <w:t>euro</w:t>
      </w:r>
      <w:r w:rsidRPr="000A3593">
        <w:rPr>
          <w:rFonts w:cs="Times New Roman"/>
          <w:szCs w:val="24"/>
        </w:rPr>
        <w:t xml:space="preserve"> un 2019.gadā un turpmāk ir 215 913 </w:t>
      </w:r>
      <w:r w:rsidRPr="000A3593">
        <w:rPr>
          <w:rFonts w:cs="Times New Roman"/>
          <w:i/>
          <w:szCs w:val="24"/>
        </w:rPr>
        <w:t>euro</w:t>
      </w:r>
      <w:r w:rsidRPr="000A3593">
        <w:rPr>
          <w:rFonts w:cs="Times New Roman"/>
          <w:szCs w:val="24"/>
        </w:rPr>
        <w:t>.</w:t>
      </w:r>
    </w:p>
    <w:p w:rsidR="00EA3376" w:rsidRPr="00EA3376" w:rsidRDefault="00EA3376" w:rsidP="00EA3376">
      <w:pPr>
        <w:spacing w:after="120"/>
        <w:ind w:firstLine="720"/>
        <w:jc w:val="both"/>
        <w:rPr>
          <w:rFonts w:cs="Times New Roman"/>
          <w:szCs w:val="24"/>
        </w:rPr>
      </w:pPr>
      <w:r w:rsidRPr="00EA3376">
        <w:rPr>
          <w:rFonts w:cs="Times New Roman"/>
          <w:szCs w:val="24"/>
        </w:rPr>
        <w:t>VARAM ir sniegusi informāciju</w:t>
      </w:r>
      <w:r w:rsidRPr="00EA3376">
        <w:rPr>
          <w:rStyle w:val="FootnoteReference"/>
          <w:rFonts w:cs="Times New Roman"/>
          <w:szCs w:val="24"/>
        </w:rPr>
        <w:footnoteReference w:id="90"/>
      </w:r>
      <w:r w:rsidRPr="00EA3376">
        <w:rPr>
          <w:rFonts w:cs="Times New Roman"/>
          <w:szCs w:val="24"/>
        </w:rPr>
        <w:t>, ka:</w:t>
      </w:r>
    </w:p>
    <w:p w:rsidR="00EA3376" w:rsidRPr="00EA3376" w:rsidRDefault="00EA3376" w:rsidP="008C25BB">
      <w:pPr>
        <w:pStyle w:val="ListParagraph"/>
        <w:numPr>
          <w:ilvl w:val="0"/>
          <w:numId w:val="87"/>
        </w:numPr>
        <w:spacing w:after="120"/>
        <w:jc w:val="both"/>
        <w:rPr>
          <w:rFonts w:cs="Times New Roman"/>
          <w:szCs w:val="24"/>
        </w:rPr>
      </w:pPr>
      <w:r w:rsidRPr="00EA3376">
        <w:rPr>
          <w:rFonts w:cs="Times New Roman"/>
          <w:szCs w:val="24"/>
        </w:rPr>
        <w:t>JPI īstenošanai piešķirtais finansējums LDM ietvaros nav pārskatāms, jo</w:t>
      </w:r>
      <w:r w:rsidRPr="00EA3376">
        <w:t xml:space="preserve"> 2017.gada 6.jūnijā apstiprinātajos grozījumos LDM maksas pakalpojumu cenrādī noteikto maksas pakalpojumu ieņēmumu palielinājuma prognoze ir norādīta pārāk optimistiska, attiecīgi rosinot šo priekšlikumu izvērtēt 2019.gadā valsts budžeta vidējam termiņa 2020.-2022.gadam veidošanas procesā, kad būs pieejama ieņēmumu no maksas pakalpojumiem izpilde pilnam 2018.gadam. </w:t>
      </w:r>
    </w:p>
    <w:p w:rsidR="00EA3376" w:rsidRPr="00EA3376" w:rsidRDefault="00EA3376" w:rsidP="008C25BB">
      <w:pPr>
        <w:pStyle w:val="ListParagraph"/>
        <w:numPr>
          <w:ilvl w:val="0"/>
          <w:numId w:val="87"/>
        </w:numPr>
        <w:spacing w:after="120"/>
        <w:jc w:val="both"/>
        <w:rPr>
          <w:rFonts w:cs="Times New Roman"/>
          <w:szCs w:val="24"/>
        </w:rPr>
      </w:pPr>
      <w:r w:rsidRPr="00EA3376">
        <w:t xml:space="preserve">neatbalsta finansējuma pārskatīšanu VVD Reģionālu vides pārvalžu ēku neatliekamiem remontiem, norādot, ka remontdarbu faktiskās izmaksas ir 1,6 reizes lielākas nekā plānots, turklāt norādot, ka finansējums remontdarbu veikšanai ir nepieciešams neterminētā periodā, jo sākotnējie remontdarbi ir veicami līdz 2027.gadam, savukārt jau 2025.gadā būs nepieciešams veikt remontdarbu ēkām, kurās šī JPI finansējuma ietvaros tika pabeigti remontdarbi 2015. un 2016.gadā; </w:t>
      </w:r>
    </w:p>
    <w:p w:rsidR="00EA3376" w:rsidRPr="00EA3376" w:rsidRDefault="00EA3376" w:rsidP="008C25BB">
      <w:pPr>
        <w:pStyle w:val="ListParagraph"/>
        <w:numPr>
          <w:ilvl w:val="0"/>
          <w:numId w:val="87"/>
        </w:numPr>
        <w:spacing w:after="120"/>
        <w:jc w:val="both"/>
        <w:rPr>
          <w:rFonts w:cs="Times New Roman"/>
          <w:szCs w:val="24"/>
        </w:rPr>
      </w:pPr>
      <w:r w:rsidRPr="00EA3376">
        <w:t>attiecībā uz biroja un izglītojoši informatīvā centra “Meža māja” remontdarbiem piešķirto finansējum</w:t>
      </w:r>
      <w:r w:rsidR="001D19CD">
        <w:t>u</w:t>
      </w:r>
      <w:r w:rsidRPr="00EA3376">
        <w:t>, tiek norādīts, ka DAP 2018.-2020.gadā plāno veikt niedru jumta nomaiņu.</w:t>
      </w:r>
    </w:p>
    <w:p w:rsidR="00EA3376" w:rsidRDefault="00F208B8" w:rsidP="00EA3376">
      <w:pPr>
        <w:ind w:firstLine="720"/>
        <w:jc w:val="both"/>
      </w:pPr>
      <w:r>
        <w:t xml:space="preserve">FM ieskatā </w:t>
      </w:r>
      <w:r w:rsidR="00EA3376" w:rsidRPr="00EA3376">
        <w:t xml:space="preserve">LDM nekorektas ieņēmumu prognozes nevar būt par pamatojumu situācijas izvērtēšanas atlikšanai, savukārt attiecībā uz VVD, ņemot vērā minēto informāciju par remontdarbu nozīmīgumu, pasākuma mainīgajām izmaksām un sagaidāmajiem atkārtotajiem remontdarbiem, </w:t>
      </w:r>
      <w:r>
        <w:t>FM uzskata</w:t>
      </w:r>
      <w:r w:rsidR="00EA3376" w:rsidRPr="00EA3376">
        <w:t>, ka JPI piešķirtais finansējums ir ikgadēji izvērtējams, kā arī attiecībā uz DAP ietvaros konstatēto, VARAM jau šobrīd norāda, ka plāno šo JPI finansējumu daļu novirzīt citām aktualitātēm.</w:t>
      </w:r>
    </w:p>
    <w:p w:rsidR="00A06C87" w:rsidRDefault="00A06C87" w:rsidP="00EF4C25">
      <w:pPr>
        <w:spacing w:before="240" w:after="240"/>
        <w:jc w:val="both"/>
        <w:rPr>
          <w:rFonts w:cs="Times New Roman"/>
          <w:b/>
          <w:szCs w:val="24"/>
        </w:rPr>
      </w:pPr>
      <w:r>
        <w:rPr>
          <w:rFonts w:cs="Times New Roman"/>
          <w:b/>
          <w:szCs w:val="24"/>
        </w:rPr>
        <w:t xml:space="preserve">VARAM - </w:t>
      </w:r>
      <w:r w:rsidRPr="003C7580">
        <w:rPr>
          <w:rFonts w:cs="Times New Roman"/>
          <w:b/>
          <w:szCs w:val="24"/>
        </w:rPr>
        <w:t>Publisko pakalpojumu pieejamības nodrošināšana saskaņā ar vie</w:t>
      </w:r>
      <w:r>
        <w:rPr>
          <w:rFonts w:cs="Times New Roman"/>
          <w:b/>
          <w:szCs w:val="24"/>
        </w:rPr>
        <w:t>nas pieturas aģentūras principu</w:t>
      </w:r>
    </w:p>
    <w:p w:rsidR="00A06C87" w:rsidRPr="004061F3" w:rsidRDefault="00A06C87" w:rsidP="00A06C87">
      <w:pPr>
        <w:spacing w:after="120"/>
        <w:ind w:firstLine="720"/>
        <w:jc w:val="both"/>
        <w:rPr>
          <w:rFonts w:cs="Times New Roman"/>
          <w:szCs w:val="24"/>
        </w:rPr>
      </w:pPr>
      <w:r w:rsidRPr="00D34FAD">
        <w:rPr>
          <w:rFonts w:cs="Times New Roman"/>
          <w:szCs w:val="24"/>
        </w:rPr>
        <w:t>2015.</w:t>
      </w:r>
      <w:r>
        <w:rPr>
          <w:rFonts w:cs="Times New Roman"/>
          <w:szCs w:val="24"/>
        </w:rPr>
        <w:noBreakHyphen/>
      </w:r>
      <w:r w:rsidRPr="00D34FAD">
        <w:rPr>
          <w:rFonts w:cs="Times New Roman"/>
          <w:szCs w:val="24"/>
        </w:rPr>
        <w:t>2017.gada ietvarā atbalstīts finansējums JPI “Publisko pakalpojumu pieejamības nodrošināšana saskaņā ar vienas pieturas aģentūras principu” VARAM budžeta programmā 3</w:t>
      </w:r>
      <w:r>
        <w:rPr>
          <w:rFonts w:cs="Times New Roman"/>
          <w:szCs w:val="24"/>
        </w:rPr>
        <w:t>0</w:t>
      </w:r>
      <w:r w:rsidRPr="00D34FAD">
        <w:rPr>
          <w:rFonts w:cs="Times New Roman"/>
          <w:szCs w:val="24"/>
        </w:rPr>
        <w:t>.00.00 “</w:t>
      </w:r>
      <w:r>
        <w:rPr>
          <w:rFonts w:cs="Times New Roman"/>
          <w:szCs w:val="24"/>
        </w:rPr>
        <w:t>A</w:t>
      </w:r>
      <w:r w:rsidRPr="00D34FAD">
        <w:rPr>
          <w:rFonts w:cs="Times New Roman"/>
          <w:szCs w:val="24"/>
        </w:rPr>
        <w:t xml:space="preserve">ttīstības nacionālie atbalsta instrumenti” </w:t>
      </w:r>
      <w:r>
        <w:rPr>
          <w:rFonts w:cs="Times New Roman"/>
          <w:szCs w:val="24"/>
        </w:rPr>
        <w:t xml:space="preserve">1 000 000 </w:t>
      </w:r>
      <w:r w:rsidRPr="008E792F">
        <w:rPr>
          <w:rFonts w:cs="Times New Roman"/>
          <w:i/>
          <w:szCs w:val="24"/>
        </w:rPr>
        <w:t>euro</w:t>
      </w:r>
      <w:r>
        <w:rPr>
          <w:rFonts w:cs="Times New Roman"/>
          <w:szCs w:val="24"/>
        </w:rPr>
        <w:t xml:space="preserve"> apmērā ik gadu un VARAM budžeta </w:t>
      </w:r>
      <w:r w:rsidRPr="00D34FAD">
        <w:rPr>
          <w:rFonts w:cs="Times New Roman"/>
          <w:szCs w:val="24"/>
        </w:rPr>
        <w:t xml:space="preserve">programmā </w:t>
      </w:r>
      <w:r>
        <w:rPr>
          <w:rFonts w:cs="Times New Roman"/>
          <w:szCs w:val="24"/>
        </w:rPr>
        <w:t>97</w:t>
      </w:r>
      <w:r w:rsidRPr="00D34FAD">
        <w:rPr>
          <w:rFonts w:cs="Times New Roman"/>
          <w:szCs w:val="24"/>
        </w:rPr>
        <w:t xml:space="preserve">.00.00 “Nozaru vadība un politikas plānošana” </w:t>
      </w:r>
      <w:r>
        <w:rPr>
          <w:rFonts w:cs="Times New Roman"/>
          <w:szCs w:val="24"/>
        </w:rPr>
        <w:t xml:space="preserve">146 436 </w:t>
      </w:r>
      <w:r w:rsidRPr="008E792F">
        <w:rPr>
          <w:rFonts w:cs="Times New Roman"/>
          <w:i/>
          <w:szCs w:val="24"/>
        </w:rPr>
        <w:t>euro</w:t>
      </w:r>
      <w:r>
        <w:rPr>
          <w:rFonts w:cs="Times New Roman"/>
          <w:szCs w:val="24"/>
        </w:rPr>
        <w:t xml:space="preserve"> apmērā ik gadu</w:t>
      </w:r>
      <w:r w:rsidRPr="00D34FAD">
        <w:rPr>
          <w:rFonts w:cs="Times New Roman"/>
          <w:szCs w:val="24"/>
        </w:rPr>
        <w:t>.</w:t>
      </w:r>
      <w:r>
        <w:rPr>
          <w:rFonts w:cs="Times New Roman"/>
          <w:szCs w:val="24"/>
        </w:rPr>
        <w:t xml:space="preserve"> </w:t>
      </w:r>
      <w:r w:rsidRPr="004061F3">
        <w:rPr>
          <w:rFonts w:cs="Times New Roman"/>
          <w:szCs w:val="24"/>
        </w:rPr>
        <w:t>Finansējums</w:t>
      </w:r>
      <w:r w:rsidRPr="00341E4A">
        <w:rPr>
          <w:rFonts w:cs="Times New Roman"/>
          <w:szCs w:val="24"/>
        </w:rPr>
        <w:t xml:space="preserve"> </w:t>
      </w:r>
      <w:r w:rsidRPr="004061F3">
        <w:rPr>
          <w:rFonts w:cs="Times New Roman"/>
          <w:szCs w:val="24"/>
        </w:rPr>
        <w:t>paredzēts</w:t>
      </w:r>
      <w:r>
        <w:rPr>
          <w:rFonts w:cs="Times New Roman"/>
          <w:szCs w:val="24"/>
        </w:rPr>
        <w:t xml:space="preserve"> </w:t>
      </w:r>
      <w:r w:rsidRPr="004061F3">
        <w:rPr>
          <w:rFonts w:cs="Times New Roman"/>
          <w:szCs w:val="24"/>
        </w:rPr>
        <w:t xml:space="preserve">transfertiem pašvaldībām noteiktam mērķim </w:t>
      </w:r>
      <w:r>
        <w:rPr>
          <w:rFonts w:cs="Times New Roman"/>
          <w:szCs w:val="24"/>
        </w:rPr>
        <w:t>(vienoto k</w:t>
      </w:r>
      <w:r w:rsidRPr="008E5CA3">
        <w:rPr>
          <w:rFonts w:cs="Times New Roman"/>
          <w:szCs w:val="24"/>
        </w:rPr>
        <w:t>lientu apkalpošanas centr</w:t>
      </w:r>
      <w:r>
        <w:rPr>
          <w:rFonts w:cs="Times New Roman"/>
          <w:szCs w:val="24"/>
        </w:rPr>
        <w:t>u</w:t>
      </w:r>
      <w:r w:rsidRPr="004061F3">
        <w:rPr>
          <w:rFonts w:cs="Times New Roman"/>
          <w:szCs w:val="24"/>
        </w:rPr>
        <w:t xml:space="preserve"> izveidei un uzturēšanai</w:t>
      </w:r>
      <w:r>
        <w:rPr>
          <w:rFonts w:cs="Times New Roman"/>
          <w:szCs w:val="24"/>
        </w:rPr>
        <w:t>,</w:t>
      </w:r>
      <w:r w:rsidRPr="004061F3">
        <w:rPr>
          <w:rFonts w:cs="Times New Roman"/>
          <w:szCs w:val="24"/>
        </w:rPr>
        <w:t xml:space="preserve"> </w:t>
      </w:r>
      <w:r>
        <w:rPr>
          <w:rFonts w:cs="Times New Roman"/>
          <w:szCs w:val="24"/>
        </w:rPr>
        <w:t xml:space="preserve">izdevumiem </w:t>
      </w:r>
      <w:r w:rsidRPr="004061F3">
        <w:rPr>
          <w:rFonts w:cs="Times New Roman"/>
          <w:szCs w:val="24"/>
        </w:rPr>
        <w:t>pašvaldību zemes komisijām</w:t>
      </w:r>
      <w:r>
        <w:rPr>
          <w:rFonts w:cs="Times New Roman"/>
          <w:szCs w:val="24"/>
        </w:rPr>
        <w:t>)</w:t>
      </w:r>
      <w:r w:rsidRPr="004061F3">
        <w:rPr>
          <w:rFonts w:cs="Times New Roman"/>
          <w:szCs w:val="24"/>
        </w:rPr>
        <w:t>, transfertiem plānošanas reģioniem,</w:t>
      </w:r>
      <w:r>
        <w:rPr>
          <w:rFonts w:cs="Times New Roman"/>
          <w:szCs w:val="24"/>
        </w:rPr>
        <w:t xml:space="preserve"> kā arī </w:t>
      </w:r>
      <w:r w:rsidRPr="004061F3">
        <w:rPr>
          <w:rFonts w:cs="Times New Roman"/>
          <w:szCs w:val="24"/>
        </w:rPr>
        <w:t>centrālaj</w:t>
      </w:r>
      <w:r>
        <w:rPr>
          <w:rFonts w:cs="Times New Roman"/>
          <w:szCs w:val="24"/>
        </w:rPr>
        <w:t>am</w:t>
      </w:r>
      <w:r w:rsidRPr="004061F3">
        <w:rPr>
          <w:rFonts w:cs="Times New Roman"/>
          <w:szCs w:val="24"/>
        </w:rPr>
        <w:t xml:space="preserve"> aparāt</w:t>
      </w:r>
      <w:r>
        <w:rPr>
          <w:rFonts w:cs="Times New Roman"/>
          <w:szCs w:val="24"/>
        </w:rPr>
        <w:t>am</w:t>
      </w:r>
      <w:r w:rsidRPr="004061F3">
        <w:rPr>
          <w:rFonts w:cs="Times New Roman"/>
          <w:szCs w:val="24"/>
        </w:rPr>
        <w:t>: divu ekspertu atalgojumam, semināriem, t.sk. izbraukumu semināriem plānojot vidēji 70 seminārus gadā (1 semināra izmaksas vidēji 1</w:t>
      </w:r>
      <w:r>
        <w:rPr>
          <w:rFonts w:cs="Times New Roman"/>
          <w:szCs w:val="24"/>
        </w:rPr>
        <w:t xml:space="preserve"> </w:t>
      </w:r>
      <w:r w:rsidRPr="004061F3">
        <w:rPr>
          <w:rFonts w:cs="Times New Roman"/>
          <w:szCs w:val="24"/>
        </w:rPr>
        <w:t xml:space="preserve">080 </w:t>
      </w:r>
      <w:r w:rsidRPr="00426BDC">
        <w:rPr>
          <w:rFonts w:cs="Times New Roman"/>
          <w:i/>
          <w:szCs w:val="24"/>
        </w:rPr>
        <w:t>euro</w:t>
      </w:r>
      <w:r w:rsidRPr="004061F3">
        <w:rPr>
          <w:rFonts w:cs="Times New Roman"/>
          <w:szCs w:val="24"/>
        </w:rPr>
        <w:t>), auto nomai ar autovadītāju</w:t>
      </w:r>
      <w:r>
        <w:rPr>
          <w:rFonts w:cs="Times New Roman"/>
          <w:szCs w:val="24"/>
        </w:rPr>
        <w:t>.</w:t>
      </w:r>
    </w:p>
    <w:p w:rsidR="00A06C87" w:rsidRDefault="00A06C87" w:rsidP="00A06C87">
      <w:pPr>
        <w:spacing w:after="120"/>
        <w:ind w:firstLine="720"/>
        <w:jc w:val="both"/>
        <w:rPr>
          <w:rFonts w:cs="Times New Roman"/>
          <w:szCs w:val="24"/>
        </w:rPr>
      </w:pPr>
      <w:r>
        <w:rPr>
          <w:rFonts w:cs="Times New Roman"/>
          <w:szCs w:val="24"/>
        </w:rPr>
        <w:t xml:space="preserve">Attiecībā uz finansējumu centrālajam aparātam VARAM, sniedzot informāciju par valsts budžeta izpildes analīzi </w:t>
      </w:r>
      <w:r w:rsidRPr="00744632">
        <w:rPr>
          <w:rFonts w:cs="Times New Roman"/>
          <w:szCs w:val="24"/>
        </w:rPr>
        <w:t>2015.gad</w:t>
      </w:r>
      <w:r>
        <w:rPr>
          <w:rFonts w:cs="Times New Roman"/>
          <w:szCs w:val="24"/>
        </w:rPr>
        <w:t>ā,</w:t>
      </w:r>
      <w:r w:rsidRPr="00744632">
        <w:rPr>
          <w:rFonts w:cs="Times New Roman"/>
          <w:szCs w:val="24"/>
        </w:rPr>
        <w:t xml:space="preserve"> </w:t>
      </w:r>
      <w:r>
        <w:rPr>
          <w:rFonts w:cs="Times New Roman"/>
          <w:szCs w:val="24"/>
        </w:rPr>
        <w:t>norādīja JPI</w:t>
      </w:r>
      <w:r w:rsidRPr="00744632">
        <w:rPr>
          <w:rFonts w:cs="Times New Roman"/>
          <w:szCs w:val="24"/>
        </w:rPr>
        <w:t xml:space="preserve"> </w:t>
      </w:r>
      <w:r>
        <w:rPr>
          <w:rFonts w:cs="Times New Roman"/>
          <w:szCs w:val="24"/>
        </w:rPr>
        <w:t xml:space="preserve">finansējuma neapguvi </w:t>
      </w:r>
      <w:r w:rsidRPr="00744632">
        <w:rPr>
          <w:rFonts w:cs="Times New Roman"/>
          <w:szCs w:val="24"/>
        </w:rPr>
        <w:t xml:space="preserve">51 065 </w:t>
      </w:r>
      <w:r w:rsidRPr="00880E76">
        <w:rPr>
          <w:rFonts w:cs="Times New Roman"/>
          <w:i/>
          <w:szCs w:val="24"/>
        </w:rPr>
        <w:t>euro</w:t>
      </w:r>
      <w:r w:rsidRPr="00341E4A">
        <w:rPr>
          <w:rFonts w:cs="Times New Roman"/>
          <w:szCs w:val="24"/>
        </w:rPr>
        <w:t xml:space="preserve"> apmērā</w:t>
      </w:r>
      <w:r>
        <w:rPr>
          <w:rFonts w:cs="Times New Roman"/>
          <w:szCs w:val="24"/>
        </w:rPr>
        <w:t xml:space="preserve">, bet </w:t>
      </w:r>
      <w:r w:rsidRPr="00FA5F89">
        <w:rPr>
          <w:rFonts w:cs="Times New Roman"/>
          <w:szCs w:val="24"/>
        </w:rPr>
        <w:t>2016.gadā neizpilde nav konstatēta</w:t>
      </w:r>
      <w:r w:rsidRPr="00744632">
        <w:rPr>
          <w:rFonts w:cs="Times New Roman"/>
          <w:szCs w:val="24"/>
        </w:rPr>
        <w:t>.</w:t>
      </w:r>
      <w:r w:rsidRPr="00380ACD">
        <w:t xml:space="preserve"> </w:t>
      </w:r>
      <w:r>
        <w:rPr>
          <w:rFonts w:cs="Times New Roman"/>
          <w:szCs w:val="24"/>
        </w:rPr>
        <w:t xml:space="preserve">Savukārt attiecībā uz JPI finansējumu, kas tika plānots budžeta </w:t>
      </w:r>
      <w:r w:rsidRPr="00745259">
        <w:rPr>
          <w:rFonts w:cs="Times New Roman"/>
          <w:szCs w:val="24"/>
        </w:rPr>
        <w:t>programm</w:t>
      </w:r>
      <w:r>
        <w:rPr>
          <w:rFonts w:cs="Times New Roman"/>
          <w:szCs w:val="24"/>
        </w:rPr>
        <w:t>ā</w:t>
      </w:r>
      <w:r w:rsidRPr="00745259">
        <w:rPr>
          <w:rFonts w:cs="Times New Roman"/>
          <w:szCs w:val="24"/>
        </w:rPr>
        <w:t xml:space="preserve"> 30.00.00 “Pašvaldību attīstības nacionālie atbalsta instrumenti” </w:t>
      </w:r>
      <w:r>
        <w:rPr>
          <w:rFonts w:cs="Times New Roman"/>
          <w:szCs w:val="24"/>
        </w:rPr>
        <w:t>VARAM, sniedzot informāciju par valsts budžeta izpildes analīzi 2015.gadā, norādīja finansējuma neapguvi 183 </w:t>
      </w:r>
      <w:r w:rsidRPr="005428C7">
        <w:rPr>
          <w:rFonts w:cs="Times New Roman"/>
          <w:szCs w:val="24"/>
        </w:rPr>
        <w:t>9</w:t>
      </w:r>
      <w:r>
        <w:rPr>
          <w:rFonts w:cs="Times New Roman"/>
          <w:szCs w:val="24"/>
        </w:rPr>
        <w:t>00 </w:t>
      </w:r>
      <w:r w:rsidRPr="000A4CE1">
        <w:rPr>
          <w:rFonts w:cs="Times New Roman"/>
          <w:i/>
          <w:szCs w:val="24"/>
        </w:rPr>
        <w:t>euro</w:t>
      </w:r>
      <w:r w:rsidRPr="005428C7">
        <w:rPr>
          <w:rFonts w:cs="Times New Roman"/>
          <w:szCs w:val="24"/>
        </w:rPr>
        <w:t xml:space="preserve"> </w:t>
      </w:r>
      <w:r>
        <w:rPr>
          <w:rFonts w:cs="Times New Roman"/>
          <w:szCs w:val="24"/>
        </w:rPr>
        <w:t>apmērā, bet 2016.gadā šis JPI</w:t>
      </w:r>
      <w:r w:rsidRPr="005428C7">
        <w:rPr>
          <w:rFonts w:cs="Times New Roman"/>
          <w:szCs w:val="24"/>
        </w:rPr>
        <w:t xml:space="preserve"> finansējums tika pakļauts 3% samazinājumam 420</w:t>
      </w:r>
      <w:r>
        <w:rPr>
          <w:rFonts w:cs="Times New Roman"/>
          <w:szCs w:val="24"/>
        </w:rPr>
        <w:t> </w:t>
      </w:r>
      <w:r w:rsidRPr="005428C7">
        <w:rPr>
          <w:rFonts w:cs="Times New Roman"/>
          <w:szCs w:val="24"/>
        </w:rPr>
        <w:t>000</w:t>
      </w:r>
      <w:r>
        <w:rPr>
          <w:rFonts w:cs="Times New Roman"/>
          <w:szCs w:val="24"/>
        </w:rPr>
        <w:t> </w:t>
      </w:r>
      <w:r w:rsidRPr="00633666">
        <w:rPr>
          <w:rFonts w:cs="Times New Roman"/>
          <w:i/>
          <w:szCs w:val="24"/>
        </w:rPr>
        <w:t>euro</w:t>
      </w:r>
      <w:r w:rsidRPr="005428C7">
        <w:rPr>
          <w:rFonts w:cs="Times New Roman"/>
          <w:szCs w:val="24"/>
        </w:rPr>
        <w:t xml:space="preserve"> apmērā</w:t>
      </w:r>
      <w:r>
        <w:rPr>
          <w:rStyle w:val="FootnoteReference"/>
          <w:rFonts w:cs="Times New Roman"/>
          <w:szCs w:val="24"/>
        </w:rPr>
        <w:footnoteReference w:id="91"/>
      </w:r>
      <w:r>
        <w:rPr>
          <w:rFonts w:cs="Times New Roman"/>
          <w:szCs w:val="24"/>
        </w:rPr>
        <w:t xml:space="preserve">, bet </w:t>
      </w:r>
      <w:r w:rsidRPr="005C035C">
        <w:rPr>
          <w:rFonts w:cs="Times New Roman"/>
          <w:szCs w:val="24"/>
        </w:rPr>
        <w:t>2017.gadā finansējum</w:t>
      </w:r>
      <w:r>
        <w:rPr>
          <w:rFonts w:cs="Times New Roman"/>
          <w:szCs w:val="24"/>
        </w:rPr>
        <w:t>s</w:t>
      </w:r>
      <w:r w:rsidRPr="005C035C">
        <w:rPr>
          <w:rFonts w:cs="Times New Roman"/>
          <w:szCs w:val="24"/>
        </w:rPr>
        <w:t xml:space="preserve"> </w:t>
      </w:r>
      <w:r>
        <w:rPr>
          <w:rFonts w:cs="Times New Roman"/>
          <w:szCs w:val="24"/>
        </w:rPr>
        <w:t xml:space="preserve">atjaunots </w:t>
      </w:r>
      <w:r w:rsidRPr="005C035C">
        <w:rPr>
          <w:rFonts w:cs="Times New Roman"/>
          <w:szCs w:val="24"/>
        </w:rPr>
        <w:t>sākotnējā apjomā</w:t>
      </w:r>
      <w:r w:rsidR="003E1C31">
        <w:rPr>
          <w:rFonts w:cs="Times New Roman"/>
          <w:szCs w:val="24"/>
        </w:rPr>
        <w:t xml:space="preserve"> (skat. 3.71.attēlu).</w:t>
      </w:r>
    </w:p>
    <w:p w:rsidR="00A06C87" w:rsidRDefault="00A06C87" w:rsidP="00A06C87">
      <w:pPr>
        <w:ind w:firstLine="720"/>
        <w:jc w:val="both"/>
        <w:rPr>
          <w:rFonts w:cs="Times New Roman"/>
          <w:szCs w:val="24"/>
        </w:rPr>
      </w:pPr>
    </w:p>
    <w:p w:rsidR="00A06C87" w:rsidRDefault="00A06C87" w:rsidP="00A06C87">
      <w:pPr>
        <w:jc w:val="both"/>
        <w:rPr>
          <w:rFonts w:cs="Times New Roman"/>
          <w:szCs w:val="24"/>
        </w:rPr>
      </w:pPr>
      <w:r>
        <w:rPr>
          <w:noProof/>
          <w:lang w:eastAsia="lv-LV"/>
        </w:rPr>
        <w:lastRenderedPageBreak/>
        <w:drawing>
          <wp:inline distT="0" distB="0" distL="0" distR="0" wp14:anchorId="0DD12D0A" wp14:editId="2CB99733">
            <wp:extent cx="5939790" cy="3648075"/>
            <wp:effectExtent l="0" t="0" r="3810"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rsidR="00A06C87" w:rsidRPr="00597C0A" w:rsidRDefault="003E1C31" w:rsidP="00A06C87">
      <w:pPr>
        <w:spacing w:before="120"/>
        <w:jc w:val="center"/>
        <w:rPr>
          <w:rFonts w:cs="Times New Roman"/>
          <w:b/>
          <w:sz w:val="22"/>
        </w:rPr>
      </w:pPr>
      <w:r w:rsidRPr="003E1C31">
        <w:rPr>
          <w:rFonts w:cs="Times New Roman"/>
          <w:i/>
          <w:sz w:val="22"/>
        </w:rPr>
        <w:t>3.71</w:t>
      </w:r>
      <w:r w:rsidR="00A06C87" w:rsidRPr="003E1C31">
        <w:rPr>
          <w:rFonts w:cs="Times New Roman"/>
          <w:i/>
          <w:sz w:val="22"/>
        </w:rPr>
        <w:t>.att</w:t>
      </w:r>
      <w:r w:rsidR="00A06C87" w:rsidRPr="003E1C31">
        <w:rPr>
          <w:rFonts w:cs="Times New Roman"/>
          <w:sz w:val="22"/>
        </w:rPr>
        <w:t xml:space="preserve">. </w:t>
      </w:r>
      <w:r w:rsidR="00A06C87" w:rsidRPr="003E1C31">
        <w:rPr>
          <w:rFonts w:cs="Times New Roman"/>
          <w:b/>
          <w:sz w:val="22"/>
        </w:rPr>
        <w:t>Finansējums JPI “Publisko pakalpojumu pieejamības nodrošināšana saskaņā ar vienas</w:t>
      </w:r>
      <w:r w:rsidR="00A06C87" w:rsidRPr="00597C0A">
        <w:rPr>
          <w:rFonts w:cs="Times New Roman"/>
          <w:b/>
          <w:sz w:val="22"/>
        </w:rPr>
        <w:t xml:space="preserve"> pieturas aģentūras principu” ietvaros, </w:t>
      </w:r>
      <w:r w:rsidR="00A06C87" w:rsidRPr="00597C0A">
        <w:rPr>
          <w:rFonts w:cs="Times New Roman"/>
          <w:b/>
          <w:i/>
          <w:sz w:val="22"/>
        </w:rPr>
        <w:t>euro</w:t>
      </w:r>
    </w:p>
    <w:p w:rsidR="00A06C87" w:rsidRDefault="00A06C87" w:rsidP="00A06C87">
      <w:pPr>
        <w:ind w:firstLine="720"/>
        <w:jc w:val="both"/>
        <w:rPr>
          <w:rFonts w:cs="Times New Roman"/>
          <w:szCs w:val="24"/>
        </w:rPr>
      </w:pPr>
    </w:p>
    <w:p w:rsidR="00A06C87" w:rsidRPr="005428C7" w:rsidRDefault="00A06C87" w:rsidP="00A06C87">
      <w:pPr>
        <w:spacing w:after="120"/>
        <w:ind w:firstLine="720"/>
        <w:jc w:val="both"/>
        <w:rPr>
          <w:rFonts w:cs="Times New Roman"/>
          <w:szCs w:val="24"/>
        </w:rPr>
      </w:pPr>
      <w:r w:rsidRPr="005428C7">
        <w:rPr>
          <w:rFonts w:cs="Times New Roman"/>
          <w:szCs w:val="24"/>
        </w:rPr>
        <w:t>Papildu</w:t>
      </w:r>
      <w:r>
        <w:rPr>
          <w:rFonts w:cs="Times New Roman"/>
          <w:szCs w:val="24"/>
        </w:rPr>
        <w:t>s</w:t>
      </w:r>
      <w:r w:rsidRPr="005428C7">
        <w:rPr>
          <w:rFonts w:cs="Times New Roman"/>
          <w:szCs w:val="24"/>
        </w:rPr>
        <w:t xml:space="preserve"> inform</w:t>
      </w:r>
      <w:r>
        <w:rPr>
          <w:rFonts w:cs="Times New Roman"/>
          <w:szCs w:val="24"/>
        </w:rPr>
        <w:t>ējam, ka</w:t>
      </w:r>
      <w:r w:rsidRPr="005428C7">
        <w:rPr>
          <w:rFonts w:cs="Times New Roman"/>
          <w:szCs w:val="24"/>
        </w:rPr>
        <w:t xml:space="preserve"> 2017.gadā saskaņā ar VARAM info</w:t>
      </w:r>
      <w:r>
        <w:rPr>
          <w:rFonts w:cs="Times New Roman"/>
          <w:szCs w:val="24"/>
        </w:rPr>
        <w:t>rmatīvajā</w:t>
      </w:r>
      <w:r w:rsidRPr="005428C7">
        <w:rPr>
          <w:rFonts w:cs="Times New Roman"/>
          <w:szCs w:val="24"/>
        </w:rPr>
        <w:t xml:space="preserve"> ziņojum</w:t>
      </w:r>
      <w:r>
        <w:rPr>
          <w:rFonts w:cs="Times New Roman"/>
          <w:szCs w:val="24"/>
        </w:rPr>
        <w:t>ā “</w:t>
      </w:r>
      <w:r w:rsidRPr="005428C7">
        <w:rPr>
          <w:rFonts w:cs="Times New Roman"/>
          <w:szCs w:val="24"/>
        </w:rPr>
        <w:t>Par valsts un pašvaldību vienoto klientu apkalpošanas centru izveidi reģionālās nozīmes attīstības centros 2017.gadā</w:t>
      </w:r>
      <w:r>
        <w:rPr>
          <w:rFonts w:cs="Times New Roman"/>
          <w:szCs w:val="24"/>
        </w:rPr>
        <w:t>”</w:t>
      </w:r>
      <w:r w:rsidRPr="005428C7">
        <w:rPr>
          <w:rFonts w:cs="Times New Roman"/>
          <w:szCs w:val="24"/>
        </w:rPr>
        <w:t xml:space="preserve"> </w:t>
      </w:r>
      <w:r>
        <w:rPr>
          <w:rFonts w:cs="Times New Roman"/>
          <w:szCs w:val="24"/>
        </w:rPr>
        <w:t>sniegto informāciju līdz 2017.gada 28.aprīlim</w:t>
      </w:r>
      <w:r w:rsidRPr="005428C7">
        <w:rPr>
          <w:rFonts w:cs="Times New Roman"/>
          <w:szCs w:val="24"/>
        </w:rPr>
        <w:t xml:space="preserve"> izdevumiem nepiesaistītais finansējums ir 64 089 </w:t>
      </w:r>
      <w:r w:rsidRPr="00371CBB">
        <w:rPr>
          <w:rFonts w:cs="Times New Roman"/>
          <w:i/>
          <w:szCs w:val="24"/>
        </w:rPr>
        <w:t>euro</w:t>
      </w:r>
      <w:r>
        <w:rPr>
          <w:rFonts w:cs="Times New Roman"/>
          <w:szCs w:val="24"/>
        </w:rPr>
        <w:t>, attiecīgi sagaidāms, ka arī 2017.gadā varētu tikt konstatēta piešķirtā finansējuma neizpilde</w:t>
      </w:r>
      <w:r w:rsidRPr="005428C7">
        <w:rPr>
          <w:rFonts w:cs="Times New Roman"/>
          <w:szCs w:val="24"/>
        </w:rPr>
        <w:t>.</w:t>
      </w:r>
    </w:p>
    <w:p w:rsidR="00A06C87" w:rsidRDefault="00A06C87" w:rsidP="00A06C87">
      <w:pPr>
        <w:spacing w:after="120"/>
        <w:ind w:firstLine="720"/>
        <w:jc w:val="both"/>
        <w:rPr>
          <w:rFonts w:cs="Times New Roman"/>
          <w:szCs w:val="24"/>
        </w:rPr>
      </w:pPr>
      <w:r>
        <w:rPr>
          <w:rFonts w:cs="Times New Roman"/>
          <w:szCs w:val="24"/>
        </w:rPr>
        <w:t xml:space="preserve">Ņemot vērā minēto, </w:t>
      </w:r>
      <w:r w:rsidRPr="005F670E">
        <w:rPr>
          <w:rFonts w:cs="Times New Roman"/>
          <w:szCs w:val="24"/>
        </w:rPr>
        <w:t xml:space="preserve">uzskatām, ka 2018.gadā un turpmāk citām </w:t>
      </w:r>
      <w:r>
        <w:rPr>
          <w:rFonts w:cs="Times New Roman"/>
          <w:szCs w:val="24"/>
        </w:rPr>
        <w:t xml:space="preserve">VARAM </w:t>
      </w:r>
      <w:r w:rsidRPr="005F670E">
        <w:rPr>
          <w:rFonts w:cs="Times New Roman"/>
          <w:szCs w:val="24"/>
        </w:rPr>
        <w:t xml:space="preserve">aktualitātēm novirzāmais finansējums </w:t>
      </w:r>
      <w:r>
        <w:rPr>
          <w:rFonts w:cs="Times New Roman"/>
          <w:szCs w:val="24"/>
        </w:rPr>
        <w:t xml:space="preserve">ir konstatētās </w:t>
      </w:r>
      <w:r w:rsidRPr="00380ACD">
        <w:rPr>
          <w:rFonts w:cs="Times New Roman"/>
          <w:szCs w:val="24"/>
        </w:rPr>
        <w:t>neizpildes</w:t>
      </w:r>
      <w:r w:rsidRPr="00744632">
        <w:rPr>
          <w:rFonts w:cs="Times New Roman"/>
          <w:szCs w:val="24"/>
        </w:rPr>
        <w:t xml:space="preserve"> un </w:t>
      </w:r>
      <w:r>
        <w:rPr>
          <w:rFonts w:cs="Times New Roman"/>
          <w:szCs w:val="24"/>
        </w:rPr>
        <w:t>finansējuma samazinājuma 2015.-</w:t>
      </w:r>
      <w:r w:rsidRPr="00380ACD">
        <w:rPr>
          <w:rFonts w:cs="Times New Roman"/>
          <w:szCs w:val="24"/>
        </w:rPr>
        <w:t xml:space="preserve">2016.gada </w:t>
      </w:r>
      <w:r>
        <w:rPr>
          <w:rFonts w:cs="Times New Roman"/>
          <w:szCs w:val="24"/>
        </w:rPr>
        <w:t xml:space="preserve">kopsummas </w:t>
      </w:r>
      <w:r w:rsidRPr="00380ACD">
        <w:rPr>
          <w:rFonts w:cs="Times New Roman"/>
          <w:szCs w:val="24"/>
        </w:rPr>
        <w:t>vidēj</w:t>
      </w:r>
      <w:r>
        <w:rPr>
          <w:rFonts w:cs="Times New Roman"/>
          <w:szCs w:val="24"/>
        </w:rPr>
        <w:t>ais</w:t>
      </w:r>
      <w:r w:rsidRPr="00380ACD">
        <w:rPr>
          <w:rFonts w:cs="Times New Roman"/>
          <w:szCs w:val="24"/>
        </w:rPr>
        <w:t xml:space="preserve"> rādītāj</w:t>
      </w:r>
      <w:r>
        <w:rPr>
          <w:rFonts w:cs="Times New Roman"/>
          <w:szCs w:val="24"/>
        </w:rPr>
        <w:t>s budžeta programmā 32.00.00 plānotajam JPI finansējumu (301 950 </w:t>
      </w:r>
      <w:r w:rsidRPr="00F77607">
        <w:rPr>
          <w:rFonts w:cs="Times New Roman"/>
          <w:i/>
          <w:szCs w:val="24"/>
        </w:rPr>
        <w:t>euro</w:t>
      </w:r>
      <w:r>
        <w:rPr>
          <w:rFonts w:cs="Times New Roman"/>
          <w:szCs w:val="24"/>
        </w:rPr>
        <w:t>), kā arī 2015. un 2016.gada neizpildes vidējais rādītājs budžeta programmā 97.00.00</w:t>
      </w:r>
      <w:r w:rsidRPr="00F77607">
        <w:rPr>
          <w:rFonts w:cs="Times New Roman"/>
          <w:szCs w:val="24"/>
        </w:rPr>
        <w:t xml:space="preserve"> </w:t>
      </w:r>
      <w:r>
        <w:rPr>
          <w:rFonts w:cs="Times New Roman"/>
          <w:szCs w:val="24"/>
        </w:rPr>
        <w:t xml:space="preserve">plānotajam JPI finansējumu (25 533 </w:t>
      </w:r>
      <w:r w:rsidRPr="00F77607">
        <w:rPr>
          <w:rFonts w:cs="Times New Roman"/>
          <w:i/>
          <w:szCs w:val="24"/>
        </w:rPr>
        <w:t>euro</w:t>
      </w:r>
      <w:r>
        <w:rPr>
          <w:rFonts w:cs="Times New Roman"/>
          <w:szCs w:val="24"/>
        </w:rPr>
        <w:t>), kas kopā ir</w:t>
      </w:r>
      <w:r w:rsidRPr="00380ACD">
        <w:rPr>
          <w:rFonts w:cs="Times New Roman"/>
          <w:szCs w:val="24"/>
        </w:rPr>
        <w:t xml:space="preserve"> </w:t>
      </w:r>
      <w:r>
        <w:rPr>
          <w:rFonts w:cs="Times New Roman"/>
          <w:szCs w:val="24"/>
        </w:rPr>
        <w:t xml:space="preserve">327 483 </w:t>
      </w:r>
      <w:r w:rsidRPr="00596C08">
        <w:rPr>
          <w:rFonts w:cs="Times New Roman"/>
          <w:i/>
          <w:szCs w:val="24"/>
        </w:rPr>
        <w:t>euro</w:t>
      </w:r>
      <w:r>
        <w:rPr>
          <w:rFonts w:cs="Times New Roman"/>
          <w:szCs w:val="24"/>
        </w:rPr>
        <w:t>.</w:t>
      </w:r>
    </w:p>
    <w:p w:rsidR="00A06C87" w:rsidRDefault="00307D99" w:rsidP="00EF4C25">
      <w:pPr>
        <w:spacing w:after="120"/>
        <w:ind w:firstLine="720"/>
        <w:jc w:val="both"/>
        <w:rPr>
          <w:rFonts w:cs="Times New Roman"/>
          <w:szCs w:val="24"/>
        </w:rPr>
      </w:pPr>
      <w:r w:rsidRPr="00307D99">
        <w:rPr>
          <w:rFonts w:cs="Times New Roman"/>
          <w:szCs w:val="24"/>
        </w:rPr>
        <w:t>VARAM ir sniegusi informāciju</w:t>
      </w:r>
      <w:r w:rsidRPr="00307D99">
        <w:rPr>
          <w:rStyle w:val="FootnoteReference"/>
          <w:rFonts w:cs="Times New Roman"/>
          <w:szCs w:val="24"/>
        </w:rPr>
        <w:footnoteReference w:id="92"/>
      </w:r>
      <w:r w:rsidRPr="00307D99">
        <w:rPr>
          <w:rFonts w:cs="Times New Roman"/>
          <w:szCs w:val="24"/>
        </w:rPr>
        <w:t>, ka JPI īstenošanai piešķirtais finansējums ietvaros nav pārskatāms,</w:t>
      </w:r>
      <w:r w:rsidRPr="00307D99">
        <w:t xml:space="preserve"> </w:t>
      </w:r>
      <w:r w:rsidRPr="00307D99">
        <w:rPr>
          <w:rFonts w:cs="Times New Roman"/>
          <w:szCs w:val="24"/>
        </w:rPr>
        <w:t>jo 2015.gadā piešķīra tikai daļu no nepieciešamā finansējuma un sniedzot 2017.gada prioritāro pasākumu priekšlikumus ir pieprasīts vēl papildus nepieciešamais finansējums Valsts un pašvaldību vienoto klientu apkalpošanas centru tīkla izveidošanai. Tomēr</w:t>
      </w:r>
      <w:r w:rsidR="00F208B8">
        <w:rPr>
          <w:rFonts w:cs="Times New Roman"/>
          <w:szCs w:val="24"/>
        </w:rPr>
        <w:t xml:space="preserve"> FM ieskatā </w:t>
      </w:r>
      <w:r w:rsidRPr="00307D99">
        <w:rPr>
          <w:rFonts w:cs="Times New Roman"/>
          <w:szCs w:val="24"/>
        </w:rPr>
        <w:t>situācijā, kad pie iepriekšējos gados neapgūta finansējuma un ierosināta finansējuma samazinājuma, JPI ietvaros plānotā pasākuma īstenošanai nav radušās kritiskas problēmas, tad piešķirtā finansējuma apmērs ir izvērtējams.</w:t>
      </w:r>
    </w:p>
    <w:p w:rsidR="00A06C87" w:rsidRDefault="00A06C87" w:rsidP="00EF4C25">
      <w:pPr>
        <w:spacing w:before="240" w:after="240"/>
        <w:jc w:val="both"/>
        <w:rPr>
          <w:rFonts w:cs="Times New Roman"/>
          <w:b/>
          <w:szCs w:val="24"/>
        </w:rPr>
      </w:pPr>
      <w:r w:rsidRPr="00EC5899">
        <w:rPr>
          <w:rFonts w:cs="Times New Roman"/>
          <w:b/>
          <w:szCs w:val="24"/>
        </w:rPr>
        <w:t>VARAM -</w:t>
      </w:r>
      <w:r w:rsidRPr="00EC5899">
        <w:t xml:space="preserve"> </w:t>
      </w:r>
      <w:r w:rsidRPr="00EC5899">
        <w:rPr>
          <w:rFonts w:cs="Times New Roman"/>
          <w:b/>
          <w:szCs w:val="24"/>
        </w:rPr>
        <w:t>Reģionālo uzņēmējdarbības centru izveide</w:t>
      </w:r>
    </w:p>
    <w:p w:rsidR="00A06C87" w:rsidRDefault="00A06C87" w:rsidP="00A06C87">
      <w:pPr>
        <w:spacing w:after="120"/>
        <w:ind w:firstLine="720"/>
        <w:jc w:val="both"/>
        <w:rPr>
          <w:rFonts w:cs="Times New Roman"/>
          <w:szCs w:val="24"/>
        </w:rPr>
      </w:pPr>
      <w:r w:rsidRPr="00246F35">
        <w:rPr>
          <w:rFonts w:cs="Times New Roman"/>
          <w:szCs w:val="24"/>
        </w:rPr>
        <w:t xml:space="preserve">VARAM budžeta </w:t>
      </w:r>
      <w:r>
        <w:rPr>
          <w:rFonts w:cs="Times New Roman"/>
          <w:szCs w:val="24"/>
        </w:rPr>
        <w:t>apakš</w:t>
      </w:r>
      <w:r w:rsidRPr="00246F35">
        <w:rPr>
          <w:rFonts w:cs="Times New Roman"/>
          <w:szCs w:val="24"/>
        </w:rPr>
        <w:t>programmā</w:t>
      </w:r>
      <w:r>
        <w:rPr>
          <w:rFonts w:cs="Times New Roman"/>
          <w:szCs w:val="24"/>
        </w:rPr>
        <w:t xml:space="preserve"> </w:t>
      </w:r>
      <w:r w:rsidRPr="00EC5899">
        <w:rPr>
          <w:rFonts w:cs="Times New Roman"/>
          <w:szCs w:val="24"/>
        </w:rPr>
        <w:t>97.00.00 “Nozaru vadība un politikas plānošana” 2015.-2017.gada ietvarā atbalstīts finansējums JPI</w:t>
      </w:r>
      <w:r>
        <w:rPr>
          <w:rFonts w:cs="Times New Roman"/>
          <w:szCs w:val="24"/>
        </w:rPr>
        <w:t xml:space="preserve"> “</w:t>
      </w:r>
      <w:r w:rsidRPr="00EC5899">
        <w:rPr>
          <w:rFonts w:cs="Times New Roman"/>
          <w:szCs w:val="24"/>
        </w:rPr>
        <w:t>Reģionālo uzņēmējdarbības centru izveide</w:t>
      </w:r>
      <w:r>
        <w:rPr>
          <w:rFonts w:cs="Times New Roman"/>
          <w:szCs w:val="24"/>
        </w:rPr>
        <w:t xml:space="preserve">” 2017. gadam  un turpmāk ik gadu 99 891 </w:t>
      </w:r>
      <w:r w:rsidRPr="00A21CC6">
        <w:rPr>
          <w:rFonts w:cs="Times New Roman"/>
          <w:i/>
          <w:szCs w:val="24"/>
        </w:rPr>
        <w:t xml:space="preserve">euro </w:t>
      </w:r>
      <w:r>
        <w:rPr>
          <w:rFonts w:cs="Times New Roman"/>
          <w:szCs w:val="24"/>
        </w:rPr>
        <w:t>apmērā.</w:t>
      </w:r>
      <w:r w:rsidRPr="00A41299">
        <w:t xml:space="preserve"> </w:t>
      </w:r>
      <w:r w:rsidRPr="00A41299">
        <w:rPr>
          <w:rFonts w:cs="Times New Roman"/>
          <w:szCs w:val="24"/>
        </w:rPr>
        <w:t>Finansējums paredzēts</w:t>
      </w:r>
      <w:r>
        <w:rPr>
          <w:rFonts w:cs="Times New Roman"/>
          <w:szCs w:val="24"/>
        </w:rPr>
        <w:t xml:space="preserve"> </w:t>
      </w:r>
      <w:r w:rsidRPr="00A45506">
        <w:rPr>
          <w:rFonts w:cs="Times New Roman"/>
          <w:szCs w:val="24"/>
        </w:rPr>
        <w:t xml:space="preserve">uzņēmuma līgumam ar </w:t>
      </w:r>
      <w:r>
        <w:rPr>
          <w:rFonts w:cs="Times New Roman"/>
          <w:szCs w:val="24"/>
        </w:rPr>
        <w:t>diviem</w:t>
      </w:r>
      <w:r w:rsidRPr="00A45506">
        <w:rPr>
          <w:rFonts w:cs="Times New Roman"/>
          <w:szCs w:val="24"/>
        </w:rPr>
        <w:t xml:space="preserve"> ekspertiem</w:t>
      </w:r>
      <w:r>
        <w:rPr>
          <w:rFonts w:cs="Times New Roman"/>
          <w:szCs w:val="24"/>
        </w:rPr>
        <w:t>,</w:t>
      </w:r>
      <w:r w:rsidRPr="00A45506">
        <w:t xml:space="preserve"> </w:t>
      </w:r>
      <w:r w:rsidRPr="00A45506">
        <w:rPr>
          <w:rFonts w:cs="Times New Roman"/>
          <w:szCs w:val="24"/>
        </w:rPr>
        <w:t xml:space="preserve">kuriem jānodrošina </w:t>
      </w:r>
      <w:r w:rsidRPr="002E203C">
        <w:rPr>
          <w:rFonts w:cs="Times New Roman"/>
          <w:szCs w:val="24"/>
        </w:rPr>
        <w:t>uzņēmējdarbības centru darbības pārraudzīb</w:t>
      </w:r>
      <w:r>
        <w:rPr>
          <w:rFonts w:cs="Times New Roman"/>
          <w:szCs w:val="24"/>
        </w:rPr>
        <w:t>a un metodiskā</w:t>
      </w:r>
      <w:r w:rsidRPr="002E203C">
        <w:rPr>
          <w:rFonts w:cs="Times New Roman"/>
          <w:szCs w:val="24"/>
        </w:rPr>
        <w:t xml:space="preserve"> vadīb</w:t>
      </w:r>
      <w:r>
        <w:rPr>
          <w:rFonts w:cs="Times New Roman"/>
          <w:szCs w:val="24"/>
        </w:rPr>
        <w:t xml:space="preserve">a </w:t>
      </w:r>
      <w:r w:rsidRPr="00F35992">
        <w:rPr>
          <w:rFonts w:cs="Times New Roman"/>
          <w:szCs w:val="24"/>
        </w:rPr>
        <w:t xml:space="preserve">(48 852 </w:t>
      </w:r>
      <w:r w:rsidRPr="008550A9">
        <w:rPr>
          <w:rFonts w:cs="Times New Roman"/>
          <w:i/>
          <w:szCs w:val="24"/>
        </w:rPr>
        <w:t>euro</w:t>
      </w:r>
      <w:r w:rsidRPr="007604A2">
        <w:rPr>
          <w:rFonts w:cs="Times New Roman"/>
          <w:szCs w:val="24"/>
        </w:rPr>
        <w:t>)</w:t>
      </w:r>
      <w:r w:rsidRPr="00F35992">
        <w:t xml:space="preserve"> </w:t>
      </w:r>
      <w:r>
        <w:t xml:space="preserve">un ārpakalpojumam </w:t>
      </w:r>
      <w:r w:rsidRPr="00F35992">
        <w:rPr>
          <w:rFonts w:cs="Times New Roman"/>
          <w:szCs w:val="24"/>
        </w:rPr>
        <w:t xml:space="preserve">ziņojumu/pētījumu </w:t>
      </w:r>
      <w:r w:rsidRPr="00F35992">
        <w:rPr>
          <w:rFonts w:cs="Times New Roman"/>
          <w:szCs w:val="24"/>
        </w:rPr>
        <w:lastRenderedPageBreak/>
        <w:t>sagatavošan</w:t>
      </w:r>
      <w:r>
        <w:rPr>
          <w:rFonts w:cs="Times New Roman"/>
          <w:szCs w:val="24"/>
        </w:rPr>
        <w:t>ā</w:t>
      </w:r>
      <w:r w:rsidRPr="00F35992">
        <w:rPr>
          <w:rFonts w:cs="Times New Roman"/>
          <w:szCs w:val="24"/>
        </w:rPr>
        <w:t xml:space="preserve"> par pašvaldību projektu ideju ietekmi uz teritoriju ekonomisko attīstību (51 039 </w:t>
      </w:r>
      <w:r w:rsidRPr="008550A9">
        <w:rPr>
          <w:rFonts w:cs="Times New Roman"/>
          <w:i/>
          <w:szCs w:val="24"/>
        </w:rPr>
        <w:t>euro</w:t>
      </w:r>
      <w:r w:rsidRPr="00F35992">
        <w:rPr>
          <w:rFonts w:cs="Times New Roman"/>
          <w:szCs w:val="24"/>
        </w:rPr>
        <w:t>)</w:t>
      </w:r>
      <w:r>
        <w:rPr>
          <w:rFonts w:cs="Times New Roman"/>
          <w:szCs w:val="24"/>
        </w:rPr>
        <w:t xml:space="preserve">. </w:t>
      </w:r>
    </w:p>
    <w:p w:rsidR="00A06C87" w:rsidRDefault="00A06C87" w:rsidP="00A06C87">
      <w:pPr>
        <w:spacing w:after="120"/>
        <w:ind w:firstLine="720"/>
        <w:jc w:val="both"/>
        <w:rPr>
          <w:rFonts w:cs="Times New Roman"/>
          <w:szCs w:val="24"/>
        </w:rPr>
      </w:pPr>
      <w:r w:rsidRPr="00756266">
        <w:rPr>
          <w:rFonts w:cs="Times New Roman"/>
          <w:szCs w:val="24"/>
        </w:rPr>
        <w:t>Aktivitātes īsten</w:t>
      </w:r>
      <w:r>
        <w:rPr>
          <w:rFonts w:cs="Times New Roman"/>
          <w:szCs w:val="24"/>
        </w:rPr>
        <w:t xml:space="preserve">ošana tiks uzsākta 2017.gadā un tās rezultāti būs vērtējami </w:t>
      </w:r>
      <w:r w:rsidRPr="00756266">
        <w:rPr>
          <w:rFonts w:cs="Times New Roman"/>
          <w:szCs w:val="24"/>
        </w:rPr>
        <w:t xml:space="preserve">2018.gadā, tomēr ņemot vērā to, ka </w:t>
      </w:r>
      <w:r>
        <w:rPr>
          <w:rFonts w:cs="Times New Roman"/>
          <w:szCs w:val="24"/>
        </w:rPr>
        <w:t>viena</w:t>
      </w:r>
      <w:r w:rsidRPr="00756266">
        <w:rPr>
          <w:rFonts w:cs="Times New Roman"/>
          <w:szCs w:val="24"/>
        </w:rPr>
        <w:t xml:space="preserve"> eksperta atalgojumam piešķirts 2</w:t>
      </w:r>
      <w:r>
        <w:rPr>
          <w:rFonts w:cs="Times New Roman"/>
          <w:szCs w:val="24"/>
        </w:rPr>
        <w:t xml:space="preserve"> </w:t>
      </w:r>
      <w:r w:rsidRPr="00756266">
        <w:rPr>
          <w:rFonts w:cs="Times New Roman"/>
          <w:szCs w:val="24"/>
        </w:rPr>
        <w:t xml:space="preserve">035 </w:t>
      </w:r>
      <w:r w:rsidRPr="009240BB">
        <w:rPr>
          <w:rFonts w:cs="Times New Roman"/>
          <w:i/>
          <w:szCs w:val="24"/>
        </w:rPr>
        <w:t>euro</w:t>
      </w:r>
      <w:r w:rsidRPr="00756266">
        <w:rPr>
          <w:rFonts w:cs="Times New Roman"/>
          <w:szCs w:val="24"/>
        </w:rPr>
        <w:t xml:space="preserve"> mēnesī,  ierosinām ziņojumu/pētījumu sagatavošanu par pašvaldību projektu ideju ietekmi uz teritoriju ekonomisko attīstību </w:t>
      </w:r>
      <w:r>
        <w:rPr>
          <w:rFonts w:cs="Times New Roman"/>
          <w:szCs w:val="24"/>
        </w:rPr>
        <w:t xml:space="preserve">paredzēt kā pienākumu JPI ietvaros finansētajiem 2 </w:t>
      </w:r>
      <w:r w:rsidRPr="00756266">
        <w:rPr>
          <w:rFonts w:cs="Times New Roman"/>
          <w:szCs w:val="24"/>
        </w:rPr>
        <w:t xml:space="preserve">ekspertiem, jo </w:t>
      </w:r>
      <w:r>
        <w:rPr>
          <w:rFonts w:cs="Times New Roman"/>
          <w:szCs w:val="24"/>
        </w:rPr>
        <w:t xml:space="preserve">uzskatām, ka </w:t>
      </w:r>
      <w:r w:rsidRPr="00756266">
        <w:rPr>
          <w:rFonts w:cs="Times New Roman"/>
          <w:szCs w:val="24"/>
        </w:rPr>
        <w:t>šādi pētījumi pēc būtības nav ikgadēji veicami pasākumi.</w:t>
      </w:r>
    </w:p>
    <w:p w:rsidR="00A06C87" w:rsidRPr="00B7187B" w:rsidRDefault="00A06C87" w:rsidP="00A06C87">
      <w:pPr>
        <w:spacing w:after="120"/>
        <w:ind w:firstLine="720"/>
        <w:jc w:val="both"/>
        <w:rPr>
          <w:rFonts w:cs="Times New Roman"/>
          <w:szCs w:val="24"/>
        </w:rPr>
      </w:pPr>
      <w:r w:rsidRPr="00030C2C">
        <w:rPr>
          <w:rFonts w:cs="Times New Roman"/>
          <w:szCs w:val="24"/>
        </w:rPr>
        <w:t>Ņemot vērā minēto, uzskatām, ka citām VARAM aktualitā</w:t>
      </w:r>
      <w:r>
        <w:rPr>
          <w:rFonts w:cs="Times New Roman"/>
          <w:szCs w:val="24"/>
        </w:rPr>
        <w:t>tēm novirzāmais finansējums 2018</w:t>
      </w:r>
      <w:r w:rsidRPr="00030C2C">
        <w:rPr>
          <w:rFonts w:cs="Times New Roman"/>
          <w:szCs w:val="24"/>
        </w:rPr>
        <w:t xml:space="preserve">.gadā un turpmāk ir </w:t>
      </w:r>
      <w:r>
        <w:rPr>
          <w:rFonts w:cs="Times New Roman"/>
          <w:szCs w:val="24"/>
        </w:rPr>
        <w:t>51 039</w:t>
      </w:r>
      <w:r w:rsidRPr="00030C2C">
        <w:rPr>
          <w:rFonts w:cs="Times New Roman"/>
          <w:szCs w:val="24"/>
        </w:rPr>
        <w:t xml:space="preserve"> </w:t>
      </w:r>
      <w:r w:rsidRPr="009240BB">
        <w:rPr>
          <w:rFonts w:cs="Times New Roman"/>
          <w:i/>
          <w:szCs w:val="24"/>
        </w:rPr>
        <w:t>euro</w:t>
      </w:r>
      <w:r>
        <w:rPr>
          <w:rFonts w:cs="Times New Roman"/>
          <w:szCs w:val="24"/>
        </w:rPr>
        <w:t>.</w:t>
      </w:r>
    </w:p>
    <w:p w:rsidR="00A06C87" w:rsidRDefault="000405EB" w:rsidP="00EF4C25">
      <w:pPr>
        <w:spacing w:after="120"/>
        <w:ind w:firstLine="720"/>
        <w:jc w:val="both"/>
        <w:rPr>
          <w:rFonts w:cs="Times New Roman"/>
          <w:szCs w:val="24"/>
        </w:rPr>
      </w:pPr>
      <w:r w:rsidRPr="000405EB">
        <w:rPr>
          <w:rFonts w:cs="Times New Roman"/>
          <w:szCs w:val="24"/>
        </w:rPr>
        <w:t>VARAM ir sniegusi informāciju</w:t>
      </w:r>
      <w:r w:rsidRPr="000405EB">
        <w:rPr>
          <w:rStyle w:val="FootnoteReference"/>
          <w:rFonts w:cs="Times New Roman"/>
          <w:szCs w:val="24"/>
        </w:rPr>
        <w:footnoteReference w:id="93"/>
      </w:r>
      <w:r w:rsidRPr="000405EB">
        <w:rPr>
          <w:rFonts w:cs="Times New Roman"/>
          <w:szCs w:val="24"/>
        </w:rPr>
        <w:t>, ka atbalsta citām VARAM aktualitātēm novirzāmā finansējuma pārskatīšanu.</w:t>
      </w:r>
    </w:p>
    <w:p w:rsidR="00A06C87" w:rsidRDefault="00A06C87" w:rsidP="00EF4C25">
      <w:pPr>
        <w:spacing w:before="240" w:after="240"/>
        <w:jc w:val="both"/>
        <w:rPr>
          <w:rFonts w:cs="Times New Roman"/>
          <w:b/>
          <w:szCs w:val="24"/>
        </w:rPr>
      </w:pPr>
      <w:r w:rsidRPr="009240BB">
        <w:rPr>
          <w:rFonts w:cs="Times New Roman"/>
          <w:b/>
          <w:szCs w:val="24"/>
        </w:rPr>
        <w:t>VARAM -Vides monitorings un zvejas kontrole</w:t>
      </w:r>
    </w:p>
    <w:p w:rsidR="00A06C87" w:rsidRDefault="00A06C87" w:rsidP="00A06C87">
      <w:pPr>
        <w:spacing w:before="120" w:after="120"/>
        <w:ind w:firstLine="720"/>
        <w:jc w:val="both"/>
        <w:rPr>
          <w:rFonts w:cs="Times New Roman"/>
          <w:szCs w:val="24"/>
        </w:rPr>
      </w:pPr>
      <w:r w:rsidRPr="008740F2">
        <w:rPr>
          <w:rFonts w:cs="Times New Roman"/>
          <w:szCs w:val="24"/>
        </w:rPr>
        <w:t>VARAM budžeta apakšprogrammā 97.00.00 “Nozaru vadība un politikas plānošana” 2015.-2017.gada ietvarā atbalstīts finansējums JPI</w:t>
      </w:r>
      <w:r>
        <w:rPr>
          <w:rFonts w:cs="Times New Roman"/>
          <w:szCs w:val="24"/>
        </w:rPr>
        <w:t xml:space="preserve"> “</w:t>
      </w:r>
      <w:r w:rsidRPr="00D84E1E">
        <w:rPr>
          <w:rFonts w:cs="Times New Roman"/>
          <w:szCs w:val="24"/>
        </w:rPr>
        <w:t>Vides monitorings un zvejas kontrole</w:t>
      </w:r>
      <w:r>
        <w:rPr>
          <w:rFonts w:cs="Times New Roman"/>
          <w:szCs w:val="24"/>
        </w:rPr>
        <w:t>”</w:t>
      </w:r>
      <w:r w:rsidRPr="00D84E1E">
        <w:rPr>
          <w:rFonts w:cs="Times New Roman"/>
          <w:szCs w:val="24"/>
        </w:rPr>
        <w:t xml:space="preserve"> 2017.gadam un turpmāk ik gadu </w:t>
      </w:r>
      <w:r>
        <w:rPr>
          <w:rFonts w:cs="Times New Roman"/>
          <w:szCs w:val="24"/>
        </w:rPr>
        <w:t xml:space="preserve"> 37 016 </w:t>
      </w:r>
      <w:r w:rsidRPr="009240BB">
        <w:rPr>
          <w:rFonts w:cs="Times New Roman"/>
          <w:i/>
          <w:szCs w:val="24"/>
        </w:rPr>
        <w:t>euro</w:t>
      </w:r>
      <w:r w:rsidRPr="00D84E1E">
        <w:rPr>
          <w:rFonts w:cs="Times New Roman"/>
          <w:szCs w:val="24"/>
        </w:rPr>
        <w:t xml:space="preserve"> apmērā</w:t>
      </w:r>
      <w:r>
        <w:rPr>
          <w:rFonts w:cs="Times New Roman"/>
          <w:szCs w:val="24"/>
        </w:rPr>
        <w:t xml:space="preserve">. </w:t>
      </w:r>
      <w:r w:rsidRPr="0073501D">
        <w:rPr>
          <w:rFonts w:cs="Times New Roman"/>
          <w:szCs w:val="24"/>
        </w:rPr>
        <w:t>Finansējums paredzēts maksājumiem par pakalpojumiem, lai nodrošinātu ikgadējas SEG inventarizācijas sagatavošanu no lauksaimniecības, zemes izmantošanas, zemes izmantošanas maiņas un mežsaimniecības, transporta un gala SEG emisiju un piesaistes prognožu sagatavošanu, nodrošinot vides monitoringa programmu īstenošanu (ūdens, gaiss, zeme, bioloģiskā daudzveidība) nepieciešamā apjomā un kvalitātē.</w:t>
      </w:r>
    </w:p>
    <w:p w:rsidR="00A06C87" w:rsidRDefault="00A06C87" w:rsidP="00A06C87">
      <w:pPr>
        <w:spacing w:before="120" w:after="120"/>
        <w:ind w:firstLine="720"/>
        <w:jc w:val="both"/>
        <w:rPr>
          <w:rFonts w:cs="Times New Roman"/>
          <w:szCs w:val="24"/>
        </w:rPr>
      </w:pPr>
      <w:r w:rsidRPr="0073501D">
        <w:rPr>
          <w:rFonts w:cs="Times New Roman"/>
          <w:szCs w:val="24"/>
        </w:rPr>
        <w:t>VARAM</w:t>
      </w:r>
      <w:r>
        <w:rPr>
          <w:rFonts w:cs="Times New Roman"/>
          <w:szCs w:val="24"/>
        </w:rPr>
        <w:t xml:space="preserve">, sniedzot informāciju par JPI pasākuma izpildi, </w:t>
      </w:r>
      <w:r w:rsidRPr="000A3593">
        <w:rPr>
          <w:rFonts w:cs="Times New Roman"/>
          <w:szCs w:val="24"/>
        </w:rPr>
        <w:t>nevarēja iesniegt JPI pasākuma ietvaros sasniegto rezultātu (ziņojumu vai prognozes), tā vietā norādot informāciju par finansējuma apguvi 100 %, tai skaitā komandējumiem, kas JPI ietvaros netika plānoti</w:t>
      </w:r>
      <w:r w:rsidRPr="000A3593">
        <w:rPr>
          <w:rStyle w:val="FootnoteReference"/>
          <w:rFonts w:cs="Times New Roman"/>
          <w:szCs w:val="24"/>
        </w:rPr>
        <w:footnoteReference w:id="94"/>
      </w:r>
      <w:r w:rsidRPr="000A3593">
        <w:rPr>
          <w:rFonts w:cs="Times New Roman"/>
          <w:szCs w:val="24"/>
        </w:rPr>
        <w:t>, attiecīgi  secināms, ka piešķirtais finansējums novirzīts citu pasākumu īstenošanai. Papildus vēršam uzmanību, ka līdzvērtīgs JPI pasākums ir atbalstīts arī 2015.-2017.gada ietvara JPI "Virzība uz oglekļa mazietilpīgu attīstību un pielāgošanās klimata pārmaiņām" ietvaros. Turklāt norādām, ka saskaņā ar līgumu par atsevišķu deleģēto pārvaldes uzdevumu izpildi starp VARAM un LVĢMC, par kuru VARAM piešķir valsts budžetu dotāciju LVĢMC, viens no LVĢMC uzdevumiem ir</w:t>
      </w:r>
      <w:r>
        <w:rPr>
          <w:rFonts w:cs="Times New Roman"/>
          <w:szCs w:val="24"/>
        </w:rPr>
        <w:t xml:space="preserve"> SEG </w:t>
      </w:r>
      <w:r w:rsidRPr="0073501D">
        <w:rPr>
          <w:rFonts w:cs="Times New Roman"/>
          <w:szCs w:val="24"/>
        </w:rPr>
        <w:t xml:space="preserve">inventarizācijas </w:t>
      </w:r>
      <w:r>
        <w:rPr>
          <w:rFonts w:cs="Times New Roman"/>
          <w:szCs w:val="24"/>
        </w:rPr>
        <w:t>sagatavošana</w:t>
      </w:r>
      <w:r w:rsidRPr="0073501D">
        <w:rPr>
          <w:rFonts w:cs="Times New Roman"/>
          <w:szCs w:val="24"/>
        </w:rPr>
        <w:t>.</w:t>
      </w:r>
    </w:p>
    <w:p w:rsidR="00A06C87" w:rsidRDefault="00A06C87" w:rsidP="00A06C87">
      <w:pPr>
        <w:spacing w:after="120"/>
        <w:ind w:firstLine="720"/>
        <w:jc w:val="both"/>
        <w:rPr>
          <w:rFonts w:cs="Times New Roman"/>
          <w:szCs w:val="24"/>
        </w:rPr>
      </w:pPr>
      <w:r w:rsidRPr="00A52B3B">
        <w:rPr>
          <w:rFonts w:cs="Times New Roman"/>
          <w:szCs w:val="24"/>
        </w:rPr>
        <w:t xml:space="preserve">Ņemot vērā minēto, uzskatām, ka citām VARAM aktualitātēm novirzāmais finansējums 2018.gadā un turpmāk ir </w:t>
      </w:r>
      <w:r>
        <w:rPr>
          <w:rFonts w:cs="Times New Roman"/>
          <w:szCs w:val="24"/>
        </w:rPr>
        <w:t>37 016</w:t>
      </w:r>
      <w:r w:rsidRPr="00A52B3B">
        <w:rPr>
          <w:rFonts w:cs="Times New Roman"/>
          <w:szCs w:val="24"/>
        </w:rPr>
        <w:t xml:space="preserve"> </w:t>
      </w:r>
      <w:r w:rsidRPr="009240BB">
        <w:rPr>
          <w:rFonts w:cs="Times New Roman"/>
          <w:i/>
          <w:szCs w:val="24"/>
        </w:rPr>
        <w:t>euro.</w:t>
      </w:r>
    </w:p>
    <w:p w:rsidR="000405EB" w:rsidRPr="004C5EAA" w:rsidRDefault="000405EB" w:rsidP="000405EB">
      <w:pPr>
        <w:spacing w:after="120"/>
        <w:ind w:firstLine="720"/>
        <w:jc w:val="both"/>
        <w:rPr>
          <w:rFonts w:cs="Times New Roman"/>
          <w:szCs w:val="24"/>
        </w:rPr>
      </w:pPr>
      <w:r w:rsidRPr="000405EB">
        <w:rPr>
          <w:rFonts w:cs="Times New Roman"/>
          <w:szCs w:val="24"/>
        </w:rPr>
        <w:t>VARAM ir sniegusi informāciju</w:t>
      </w:r>
      <w:r w:rsidRPr="000405EB">
        <w:rPr>
          <w:rStyle w:val="FootnoteReference"/>
          <w:rFonts w:cs="Times New Roman"/>
          <w:szCs w:val="24"/>
        </w:rPr>
        <w:footnoteReference w:id="95"/>
      </w:r>
      <w:r w:rsidRPr="000405EB">
        <w:rPr>
          <w:rFonts w:cs="Times New Roman"/>
          <w:szCs w:val="24"/>
        </w:rPr>
        <w:t>, ka JPI īstenošanai piešķirtais finansējums nav pārskatāms, jo SEG emisiju inventarizācija ietver pasākumu kopumu – deleģējuma līgumi, pētījumi, komandējumi, bet tajā pašā laikā VARAM ierosina SEG inventarizācijai paredzēto finansējumu noteikt kā pasākumu JPI “Virzība uz oglekļa mazietilpīgu attīstību un pielāgošanās klimata pārmaiņām" ietvaros, jo šīs aktivitātes ir saistītas.</w:t>
      </w:r>
      <w:r w:rsidRPr="000405EB">
        <w:t xml:space="preserve"> Tomēr, ņemot vērā, ka arī VARAM minētās JPI </w:t>
      </w:r>
      <w:r w:rsidRPr="000405EB">
        <w:rPr>
          <w:rFonts w:cs="Times New Roman"/>
          <w:szCs w:val="24"/>
        </w:rPr>
        <w:t xml:space="preserve">“Virzība uz oglekļa mazietilpīgu attīstību un pielāgošanās klimata pārmaiņām" </w:t>
      </w:r>
      <w:r w:rsidRPr="000405EB">
        <w:t>ietvaros arī ir konstatēti potenciālie iekšējie resursi, kā arī tās JPI ietvaros tiek plānots finansējums SEG inventarizācijai</w:t>
      </w:r>
      <w:r w:rsidRPr="000405EB">
        <w:rPr>
          <w:rFonts w:cs="Times New Roman"/>
          <w:szCs w:val="24"/>
        </w:rPr>
        <w:t>, tad uzskatām, ka šis finansējums ir pārskatāms.</w:t>
      </w:r>
    </w:p>
    <w:p w:rsidR="00A06C87" w:rsidRDefault="00A06C87" w:rsidP="00EF4C25">
      <w:pPr>
        <w:spacing w:before="240" w:after="240"/>
        <w:jc w:val="both"/>
        <w:rPr>
          <w:rFonts w:cs="Times New Roman"/>
          <w:szCs w:val="24"/>
        </w:rPr>
      </w:pPr>
      <w:r>
        <w:rPr>
          <w:rFonts w:cs="Times New Roman"/>
          <w:b/>
          <w:szCs w:val="24"/>
        </w:rPr>
        <w:t xml:space="preserve">VARAM - </w:t>
      </w:r>
      <w:r w:rsidRPr="0032491E">
        <w:rPr>
          <w:rFonts w:cs="Times New Roman"/>
          <w:b/>
          <w:szCs w:val="24"/>
        </w:rPr>
        <w:t>Virzība uz oglekļa mazietilpīgu attīstību un pielāgošanās klimata pārmaiņām</w:t>
      </w:r>
    </w:p>
    <w:p w:rsidR="00A06C87" w:rsidRDefault="00A06C87" w:rsidP="00A06C87">
      <w:pPr>
        <w:spacing w:after="120"/>
        <w:ind w:firstLine="720"/>
        <w:jc w:val="both"/>
        <w:rPr>
          <w:rFonts w:cs="Times New Roman"/>
          <w:szCs w:val="24"/>
        </w:rPr>
      </w:pPr>
      <w:r w:rsidRPr="00246F35">
        <w:rPr>
          <w:rFonts w:cs="Times New Roman"/>
          <w:szCs w:val="24"/>
        </w:rPr>
        <w:t xml:space="preserve">VARAM budžeta programmā </w:t>
      </w:r>
      <w:r>
        <w:rPr>
          <w:rFonts w:cs="Times New Roman"/>
          <w:szCs w:val="24"/>
        </w:rPr>
        <w:t>97</w:t>
      </w:r>
      <w:r w:rsidRPr="00246F35">
        <w:rPr>
          <w:rFonts w:cs="Times New Roman"/>
          <w:szCs w:val="24"/>
        </w:rPr>
        <w:t>.0</w:t>
      </w:r>
      <w:r>
        <w:rPr>
          <w:rFonts w:cs="Times New Roman"/>
          <w:szCs w:val="24"/>
        </w:rPr>
        <w:t>0</w:t>
      </w:r>
      <w:r w:rsidRPr="00246F35">
        <w:rPr>
          <w:rFonts w:cs="Times New Roman"/>
          <w:szCs w:val="24"/>
        </w:rPr>
        <w:t>.00 “</w:t>
      </w:r>
      <w:r w:rsidRPr="00F9725B">
        <w:rPr>
          <w:rFonts w:cs="Times New Roman"/>
          <w:szCs w:val="24"/>
        </w:rPr>
        <w:t>Nozaru vadība un politikas plānošana</w:t>
      </w:r>
      <w:r>
        <w:rPr>
          <w:rFonts w:cs="Times New Roman"/>
          <w:szCs w:val="24"/>
        </w:rPr>
        <w:t>” 2015.</w:t>
      </w:r>
      <w:r>
        <w:rPr>
          <w:rFonts w:cs="Times New Roman"/>
          <w:szCs w:val="24"/>
        </w:rPr>
        <w:noBreakHyphen/>
      </w:r>
      <w:r w:rsidRPr="00246F35">
        <w:rPr>
          <w:rFonts w:cs="Times New Roman"/>
          <w:szCs w:val="24"/>
        </w:rPr>
        <w:t>201</w:t>
      </w:r>
      <w:r>
        <w:rPr>
          <w:rFonts w:cs="Times New Roman"/>
          <w:szCs w:val="24"/>
        </w:rPr>
        <w:t>7</w:t>
      </w:r>
      <w:r w:rsidRPr="00246F35">
        <w:rPr>
          <w:rFonts w:cs="Times New Roman"/>
          <w:szCs w:val="24"/>
        </w:rPr>
        <w:t>.gada ietvarā atbalstīts finansējums JPI “</w:t>
      </w:r>
      <w:r w:rsidRPr="00F9725B">
        <w:rPr>
          <w:rFonts w:cs="Times New Roman"/>
          <w:szCs w:val="24"/>
        </w:rPr>
        <w:t xml:space="preserve">Virzība uz oglekļa mazietilpīgu attīstību un </w:t>
      </w:r>
      <w:r w:rsidRPr="00F9725B">
        <w:rPr>
          <w:rFonts w:cs="Times New Roman"/>
          <w:szCs w:val="24"/>
        </w:rPr>
        <w:lastRenderedPageBreak/>
        <w:t>pielāgošanās klimata pārmaiņām</w:t>
      </w:r>
      <w:r w:rsidRPr="00246F35">
        <w:rPr>
          <w:rFonts w:cs="Times New Roman"/>
          <w:szCs w:val="24"/>
        </w:rPr>
        <w:t>” 201</w:t>
      </w:r>
      <w:r>
        <w:rPr>
          <w:rFonts w:cs="Times New Roman"/>
          <w:szCs w:val="24"/>
        </w:rPr>
        <w:t>5</w:t>
      </w:r>
      <w:r w:rsidRPr="00246F35">
        <w:rPr>
          <w:rFonts w:cs="Times New Roman"/>
          <w:szCs w:val="24"/>
        </w:rPr>
        <w:t>.</w:t>
      </w:r>
      <w:r>
        <w:rPr>
          <w:rFonts w:cs="Times New Roman"/>
          <w:szCs w:val="24"/>
        </w:rPr>
        <w:t xml:space="preserve">-2016.gadam </w:t>
      </w:r>
      <w:r w:rsidRPr="00F9725B">
        <w:rPr>
          <w:rFonts w:cs="Times New Roman"/>
          <w:szCs w:val="24"/>
        </w:rPr>
        <w:t>234</w:t>
      </w:r>
      <w:r>
        <w:rPr>
          <w:rFonts w:cs="Times New Roman"/>
          <w:szCs w:val="24"/>
        </w:rPr>
        <w:t> </w:t>
      </w:r>
      <w:r w:rsidRPr="00F9725B">
        <w:rPr>
          <w:rFonts w:cs="Times New Roman"/>
          <w:szCs w:val="24"/>
        </w:rPr>
        <w:t>657</w:t>
      </w:r>
      <w:r>
        <w:rPr>
          <w:rFonts w:cs="Times New Roman"/>
          <w:szCs w:val="24"/>
        </w:rPr>
        <w:t xml:space="preserve"> </w:t>
      </w:r>
      <w:r w:rsidRPr="007A0856">
        <w:rPr>
          <w:rFonts w:cs="Times New Roman"/>
          <w:i/>
          <w:szCs w:val="24"/>
        </w:rPr>
        <w:t>euro</w:t>
      </w:r>
      <w:r>
        <w:rPr>
          <w:rFonts w:cs="Times New Roman"/>
          <w:szCs w:val="24"/>
        </w:rPr>
        <w:t xml:space="preserve"> ik gadu un</w:t>
      </w:r>
      <w:r w:rsidRPr="00246F35">
        <w:rPr>
          <w:rFonts w:cs="Times New Roman"/>
          <w:szCs w:val="24"/>
        </w:rPr>
        <w:t xml:space="preserve"> 201</w:t>
      </w:r>
      <w:r>
        <w:rPr>
          <w:rFonts w:cs="Times New Roman"/>
          <w:szCs w:val="24"/>
        </w:rPr>
        <w:t>7</w:t>
      </w:r>
      <w:r w:rsidRPr="00246F35">
        <w:rPr>
          <w:rFonts w:cs="Times New Roman"/>
          <w:szCs w:val="24"/>
        </w:rPr>
        <w:t xml:space="preserve">.gadam </w:t>
      </w:r>
      <w:r w:rsidRPr="00F9725B">
        <w:rPr>
          <w:rFonts w:cs="Times New Roman"/>
          <w:szCs w:val="24"/>
        </w:rPr>
        <w:t>307</w:t>
      </w:r>
      <w:r>
        <w:rPr>
          <w:rFonts w:cs="Times New Roman"/>
          <w:szCs w:val="24"/>
        </w:rPr>
        <w:t> </w:t>
      </w:r>
      <w:r w:rsidRPr="00F9725B">
        <w:rPr>
          <w:rFonts w:cs="Times New Roman"/>
          <w:szCs w:val="24"/>
        </w:rPr>
        <w:t xml:space="preserve">857 </w:t>
      </w:r>
      <w:r w:rsidRPr="007A0856">
        <w:rPr>
          <w:rFonts w:cs="Times New Roman"/>
          <w:i/>
          <w:szCs w:val="24"/>
        </w:rPr>
        <w:t>euro</w:t>
      </w:r>
      <w:r w:rsidRPr="00246F35">
        <w:rPr>
          <w:rFonts w:cs="Times New Roman"/>
          <w:szCs w:val="24"/>
        </w:rPr>
        <w:t xml:space="preserve"> apmērā</w:t>
      </w:r>
      <w:r w:rsidR="003E1C31">
        <w:rPr>
          <w:rFonts w:cs="Times New Roman"/>
          <w:szCs w:val="24"/>
        </w:rPr>
        <w:t xml:space="preserve"> (skat. tabulu Nr.3.42</w:t>
      </w:r>
      <w:r w:rsidR="00D86274">
        <w:rPr>
          <w:rFonts w:cs="Times New Roman"/>
          <w:szCs w:val="24"/>
        </w:rPr>
        <w:t>.</w:t>
      </w:r>
      <w:r w:rsidR="003E1C31">
        <w:rPr>
          <w:rFonts w:cs="Times New Roman"/>
          <w:szCs w:val="24"/>
        </w:rPr>
        <w:t>)</w:t>
      </w:r>
      <w:r>
        <w:rPr>
          <w:rFonts w:cs="Times New Roman"/>
          <w:szCs w:val="24"/>
        </w:rPr>
        <w:t xml:space="preserve">. Finansējums paredzēts ES mērķa nodrošināšanai </w:t>
      </w:r>
      <w:r w:rsidRPr="00EB0F15">
        <w:rPr>
          <w:rFonts w:cs="Times New Roman"/>
          <w:szCs w:val="24"/>
        </w:rPr>
        <w:t>līdz 2050.gadam samazināt emisijas par 80-95% un iespējamo 20</w:t>
      </w:r>
      <w:r>
        <w:rPr>
          <w:rFonts w:cs="Times New Roman"/>
          <w:szCs w:val="24"/>
        </w:rPr>
        <w:t xml:space="preserve">30.gada mērķi, izstrādājot un </w:t>
      </w:r>
      <w:r w:rsidRPr="00EB0F15">
        <w:rPr>
          <w:rFonts w:cs="Times New Roman"/>
          <w:szCs w:val="24"/>
        </w:rPr>
        <w:t xml:space="preserve">ieviešot politiku oglekļa mazietilpīgai attīstībai, nodrošinot finansējumu šādām aktivitātēm: </w:t>
      </w:r>
    </w:p>
    <w:p w:rsidR="00A06C87" w:rsidRPr="008E116B" w:rsidRDefault="00A06C87" w:rsidP="00B837BF">
      <w:pPr>
        <w:pStyle w:val="ListParagraph"/>
        <w:numPr>
          <w:ilvl w:val="0"/>
          <w:numId w:val="7"/>
        </w:numPr>
        <w:spacing w:after="60"/>
        <w:ind w:left="993" w:hanging="284"/>
        <w:contextualSpacing w:val="0"/>
        <w:jc w:val="both"/>
        <w:rPr>
          <w:rFonts w:cs="Times New Roman"/>
          <w:szCs w:val="24"/>
        </w:rPr>
      </w:pPr>
      <w:r w:rsidRPr="008E116B">
        <w:rPr>
          <w:rFonts w:cs="Times New Roman"/>
          <w:szCs w:val="24"/>
        </w:rPr>
        <w:t>darbinieku atlīdzība</w:t>
      </w:r>
      <w:r>
        <w:rPr>
          <w:rFonts w:cs="Times New Roman"/>
          <w:szCs w:val="24"/>
        </w:rPr>
        <w:t>i</w:t>
      </w:r>
      <w:r w:rsidRPr="008E116B">
        <w:rPr>
          <w:rFonts w:cs="Times New Roman"/>
          <w:szCs w:val="24"/>
        </w:rPr>
        <w:t>;</w:t>
      </w:r>
    </w:p>
    <w:p w:rsidR="00A06C87" w:rsidRPr="008E116B" w:rsidRDefault="00A06C87" w:rsidP="00B837BF">
      <w:pPr>
        <w:pStyle w:val="ListParagraph"/>
        <w:numPr>
          <w:ilvl w:val="0"/>
          <w:numId w:val="7"/>
        </w:numPr>
        <w:spacing w:after="60"/>
        <w:ind w:left="993" w:hanging="284"/>
        <w:contextualSpacing w:val="0"/>
        <w:jc w:val="both"/>
        <w:rPr>
          <w:rFonts w:cs="Times New Roman"/>
          <w:szCs w:val="24"/>
        </w:rPr>
      </w:pPr>
      <w:r w:rsidRPr="008E116B">
        <w:rPr>
          <w:rFonts w:cs="Times New Roman"/>
          <w:szCs w:val="24"/>
        </w:rPr>
        <w:t>komandējumi</w:t>
      </w:r>
      <w:r>
        <w:rPr>
          <w:rFonts w:cs="Times New Roman"/>
          <w:szCs w:val="24"/>
        </w:rPr>
        <w:t>em</w:t>
      </w:r>
      <w:r w:rsidRPr="008E116B">
        <w:rPr>
          <w:rFonts w:cs="Times New Roman"/>
          <w:szCs w:val="24"/>
        </w:rPr>
        <w:t xml:space="preserve"> (25 braucieni);</w:t>
      </w:r>
    </w:p>
    <w:p w:rsidR="00A06C87" w:rsidRPr="008E116B" w:rsidRDefault="00A06C87" w:rsidP="00B837BF">
      <w:pPr>
        <w:pStyle w:val="ListParagraph"/>
        <w:numPr>
          <w:ilvl w:val="0"/>
          <w:numId w:val="7"/>
        </w:numPr>
        <w:spacing w:after="60"/>
        <w:ind w:left="993" w:hanging="284"/>
        <w:contextualSpacing w:val="0"/>
        <w:jc w:val="both"/>
        <w:rPr>
          <w:rFonts w:cs="Times New Roman"/>
          <w:szCs w:val="24"/>
        </w:rPr>
      </w:pPr>
      <w:r w:rsidRPr="008E116B">
        <w:rPr>
          <w:rFonts w:cs="Times New Roman"/>
          <w:szCs w:val="24"/>
        </w:rPr>
        <w:t>publicitātes pasākumi</w:t>
      </w:r>
      <w:r>
        <w:rPr>
          <w:rFonts w:cs="Times New Roman"/>
          <w:szCs w:val="24"/>
        </w:rPr>
        <w:t>em</w:t>
      </w:r>
      <w:r w:rsidRPr="008E116B">
        <w:rPr>
          <w:rFonts w:cs="Times New Roman"/>
          <w:szCs w:val="24"/>
        </w:rPr>
        <w:t>;</w:t>
      </w:r>
    </w:p>
    <w:p w:rsidR="00A06C87" w:rsidRPr="008E116B" w:rsidRDefault="00A06C87" w:rsidP="00B837BF">
      <w:pPr>
        <w:pStyle w:val="ListParagraph"/>
        <w:numPr>
          <w:ilvl w:val="0"/>
          <w:numId w:val="7"/>
        </w:numPr>
        <w:spacing w:after="60"/>
        <w:ind w:left="993" w:hanging="284"/>
        <w:contextualSpacing w:val="0"/>
        <w:jc w:val="both"/>
        <w:rPr>
          <w:rFonts w:cs="Times New Roman"/>
          <w:szCs w:val="24"/>
        </w:rPr>
      </w:pPr>
      <w:r w:rsidRPr="008E116B">
        <w:rPr>
          <w:rFonts w:cs="Times New Roman"/>
          <w:szCs w:val="24"/>
        </w:rPr>
        <w:t>mājas lapas uzturēšana</w:t>
      </w:r>
      <w:r>
        <w:rPr>
          <w:rFonts w:cs="Times New Roman"/>
          <w:szCs w:val="24"/>
        </w:rPr>
        <w:t>i</w:t>
      </w:r>
      <w:r w:rsidRPr="008E116B">
        <w:rPr>
          <w:rFonts w:cs="Times New Roman"/>
          <w:szCs w:val="24"/>
        </w:rPr>
        <w:t>, citi</w:t>
      </w:r>
      <w:r>
        <w:rPr>
          <w:rFonts w:cs="Times New Roman"/>
          <w:szCs w:val="24"/>
        </w:rPr>
        <w:t>em</w:t>
      </w:r>
      <w:r w:rsidRPr="008E116B">
        <w:rPr>
          <w:rFonts w:cs="Times New Roman"/>
          <w:szCs w:val="24"/>
        </w:rPr>
        <w:t xml:space="preserve"> pasākumi</w:t>
      </w:r>
      <w:r>
        <w:rPr>
          <w:rFonts w:cs="Times New Roman"/>
          <w:szCs w:val="24"/>
        </w:rPr>
        <w:t>em</w:t>
      </w:r>
      <w:r w:rsidRPr="008E116B">
        <w:rPr>
          <w:rFonts w:cs="Times New Roman"/>
          <w:szCs w:val="24"/>
        </w:rPr>
        <w:t>, videoklipi</w:t>
      </w:r>
      <w:r>
        <w:rPr>
          <w:rFonts w:cs="Times New Roman"/>
          <w:szCs w:val="24"/>
        </w:rPr>
        <w:t>em</w:t>
      </w:r>
      <w:r w:rsidRPr="008E116B">
        <w:rPr>
          <w:rFonts w:cs="Times New Roman"/>
          <w:szCs w:val="24"/>
        </w:rPr>
        <w:t xml:space="preserve"> un filma</w:t>
      </w:r>
      <w:r>
        <w:rPr>
          <w:rFonts w:cs="Times New Roman"/>
          <w:szCs w:val="24"/>
        </w:rPr>
        <w:t>i</w:t>
      </w:r>
      <w:r w:rsidRPr="008E116B">
        <w:rPr>
          <w:rFonts w:cs="Times New Roman"/>
          <w:szCs w:val="24"/>
        </w:rPr>
        <w:t>;</w:t>
      </w:r>
    </w:p>
    <w:p w:rsidR="00A06C87" w:rsidRPr="008E116B" w:rsidRDefault="00A06C87" w:rsidP="00B837BF">
      <w:pPr>
        <w:pStyle w:val="ListParagraph"/>
        <w:numPr>
          <w:ilvl w:val="0"/>
          <w:numId w:val="7"/>
        </w:numPr>
        <w:spacing w:after="60"/>
        <w:ind w:left="993" w:hanging="284"/>
        <w:contextualSpacing w:val="0"/>
        <w:jc w:val="both"/>
        <w:rPr>
          <w:rFonts w:cs="Times New Roman"/>
          <w:szCs w:val="24"/>
        </w:rPr>
      </w:pPr>
      <w:r w:rsidRPr="008E116B">
        <w:rPr>
          <w:rFonts w:cs="Times New Roman"/>
          <w:szCs w:val="24"/>
        </w:rPr>
        <w:t>ikgadēj</w:t>
      </w:r>
      <w:r>
        <w:rPr>
          <w:rFonts w:cs="Times New Roman"/>
          <w:szCs w:val="24"/>
        </w:rPr>
        <w:t>am</w:t>
      </w:r>
      <w:r w:rsidRPr="008E116B">
        <w:rPr>
          <w:rFonts w:cs="Times New Roman"/>
          <w:szCs w:val="24"/>
        </w:rPr>
        <w:t xml:space="preserve"> konkurs</w:t>
      </w:r>
      <w:r>
        <w:rPr>
          <w:rFonts w:cs="Times New Roman"/>
          <w:szCs w:val="24"/>
        </w:rPr>
        <w:t>am</w:t>
      </w:r>
      <w:r w:rsidRPr="008E116B">
        <w:rPr>
          <w:rFonts w:cs="Times New Roman"/>
          <w:szCs w:val="24"/>
        </w:rPr>
        <w:t xml:space="preserve"> par labāko klimata iniciatīvu;</w:t>
      </w:r>
    </w:p>
    <w:p w:rsidR="00A06C87" w:rsidRPr="008E116B" w:rsidRDefault="00A06C87" w:rsidP="00B837BF">
      <w:pPr>
        <w:pStyle w:val="ListParagraph"/>
        <w:numPr>
          <w:ilvl w:val="0"/>
          <w:numId w:val="7"/>
        </w:numPr>
        <w:spacing w:after="60"/>
        <w:ind w:left="993" w:hanging="284"/>
        <w:contextualSpacing w:val="0"/>
        <w:jc w:val="both"/>
        <w:rPr>
          <w:rFonts w:cs="Times New Roman"/>
          <w:szCs w:val="24"/>
        </w:rPr>
      </w:pPr>
      <w:r w:rsidRPr="008E116B">
        <w:rPr>
          <w:rFonts w:cs="Times New Roman"/>
          <w:szCs w:val="24"/>
        </w:rPr>
        <w:t>koncepta sagatavošana</w:t>
      </w:r>
      <w:r>
        <w:rPr>
          <w:rFonts w:cs="Times New Roman"/>
          <w:szCs w:val="24"/>
        </w:rPr>
        <w:t>i</w:t>
      </w:r>
      <w:r w:rsidRPr="008E116B">
        <w:rPr>
          <w:rFonts w:cs="Times New Roman"/>
          <w:szCs w:val="24"/>
        </w:rPr>
        <w:t xml:space="preserve"> vienotas institūcijas attīstīšanai SEG emisiju inventarizācijai un prognozēšanai; </w:t>
      </w:r>
    </w:p>
    <w:p w:rsidR="00A06C87" w:rsidRPr="00EC47EA" w:rsidRDefault="00A06C87" w:rsidP="00B837BF">
      <w:pPr>
        <w:pStyle w:val="ListParagraph"/>
        <w:numPr>
          <w:ilvl w:val="0"/>
          <w:numId w:val="7"/>
        </w:numPr>
        <w:spacing w:after="60"/>
        <w:ind w:left="993" w:hanging="284"/>
        <w:contextualSpacing w:val="0"/>
        <w:jc w:val="both"/>
        <w:rPr>
          <w:rFonts w:cs="Times New Roman"/>
          <w:szCs w:val="24"/>
        </w:rPr>
      </w:pPr>
      <w:r w:rsidRPr="008E116B">
        <w:rPr>
          <w:rFonts w:cs="Times New Roman"/>
          <w:szCs w:val="24"/>
        </w:rPr>
        <w:t>administratīvie</w:t>
      </w:r>
      <w:r>
        <w:rPr>
          <w:rFonts w:cs="Times New Roman"/>
          <w:szCs w:val="24"/>
        </w:rPr>
        <w:t>m</w:t>
      </w:r>
      <w:r w:rsidRPr="008E116B">
        <w:rPr>
          <w:rFonts w:cs="Times New Roman"/>
          <w:szCs w:val="24"/>
        </w:rPr>
        <w:t xml:space="preserve"> izdevumi</w:t>
      </w:r>
      <w:r>
        <w:rPr>
          <w:rFonts w:cs="Times New Roman"/>
          <w:szCs w:val="24"/>
        </w:rPr>
        <w:t>em</w:t>
      </w:r>
      <w:r w:rsidRPr="008E116B">
        <w:rPr>
          <w:rFonts w:cs="Times New Roman"/>
          <w:szCs w:val="24"/>
        </w:rPr>
        <w:t>.</w:t>
      </w:r>
    </w:p>
    <w:p w:rsidR="00A06C87" w:rsidRPr="000A3593" w:rsidRDefault="00A06C87" w:rsidP="00A06C87">
      <w:pPr>
        <w:spacing w:before="120"/>
        <w:ind w:firstLine="720"/>
        <w:jc w:val="both"/>
        <w:rPr>
          <w:rFonts w:cs="Times New Roman"/>
          <w:szCs w:val="24"/>
        </w:rPr>
      </w:pPr>
      <w:r w:rsidRPr="000A3593">
        <w:rPr>
          <w:rFonts w:cs="Times New Roman"/>
          <w:szCs w:val="24"/>
        </w:rPr>
        <w:t>Līdzšinējais JPI piešķirtais finansējums apgūts nodrošinot atlīdzību ekspertiem, administratīvajiem izdevumiem, nodrošinot plānotos komandējumus un noslēdzot līgumu par Latvijas nozaru politikas vispusīgu skrīningu par ietekmi uz klimata politiku un koncepta sagatavošanu vienotas institūcijas attīstīšanai SEG emisiju inventarizācijai un prognozēšanai. VARAM sniedzot informāciju par atsevišķu JPI finansējuma izpildi un attiecībā uz šo JPI norādīja, ka līdz šim piešķirtais finansējums nav apgūts pilnā apmērā</w:t>
      </w:r>
      <w:r w:rsidRPr="000A3593">
        <w:rPr>
          <w:rStyle w:val="FootnoteReference"/>
          <w:rFonts w:cs="Times New Roman"/>
          <w:szCs w:val="24"/>
        </w:rPr>
        <w:footnoteReference w:id="96"/>
      </w:r>
      <w:r w:rsidRPr="000A3593">
        <w:rPr>
          <w:rFonts w:cs="Times New Roman"/>
          <w:szCs w:val="24"/>
        </w:rPr>
        <w:t>, kā arī norādīja, ka piešķirtais finansējums izlietots pasākumiem, kas JPI ietvaros netika sākotnēji plānoti, tādējādi secinot, ka JPI finansējums tiek novirzīts citu pasākumu īstenošanai.</w:t>
      </w:r>
    </w:p>
    <w:p w:rsidR="00A06C87" w:rsidRPr="000A3593" w:rsidRDefault="003E1C31" w:rsidP="00EF4C25">
      <w:pPr>
        <w:spacing w:before="120"/>
        <w:ind w:firstLine="720"/>
        <w:jc w:val="right"/>
        <w:rPr>
          <w:rFonts w:cs="Times New Roman"/>
          <w:szCs w:val="24"/>
        </w:rPr>
      </w:pPr>
      <w:r>
        <w:rPr>
          <w:rFonts w:cs="Times New Roman"/>
          <w:szCs w:val="24"/>
        </w:rPr>
        <w:t>Tabula Nr.3.42</w:t>
      </w:r>
      <w:r w:rsidR="00D86274">
        <w:rPr>
          <w:rFonts w:cs="Times New Roman"/>
          <w:szCs w:val="24"/>
        </w:rPr>
        <w:t>.</w:t>
      </w:r>
    </w:p>
    <w:p w:rsidR="00A06C87" w:rsidRDefault="00A06C87" w:rsidP="00EF4C25">
      <w:pPr>
        <w:spacing w:before="240" w:after="120"/>
        <w:ind w:firstLine="284"/>
        <w:jc w:val="center"/>
        <w:rPr>
          <w:rFonts w:cs="Times New Roman"/>
          <w:szCs w:val="24"/>
        </w:rPr>
      </w:pPr>
      <w:r w:rsidRPr="000A3593">
        <w:rPr>
          <w:rFonts w:cs="Times New Roman"/>
          <w:b/>
          <w:sz w:val="22"/>
        </w:rPr>
        <w:t xml:space="preserve">Finansējums JPI “Virzība uz oglekļa mazietilpīgu attīstību un pielāgošanās klimata pārmaiņām”, </w:t>
      </w:r>
      <w:r w:rsidRPr="000A3593">
        <w:rPr>
          <w:rFonts w:cs="Times New Roman"/>
          <w:b/>
          <w:i/>
          <w:sz w:val="22"/>
        </w:rPr>
        <w:t>euro</w:t>
      </w:r>
    </w:p>
    <w:tbl>
      <w:tblPr>
        <w:tblW w:w="9506" w:type="dxa"/>
        <w:tblLook w:val="04A0" w:firstRow="1" w:lastRow="0" w:firstColumn="1" w:lastColumn="0" w:noHBand="0" w:noVBand="1"/>
      </w:tblPr>
      <w:tblGrid>
        <w:gridCol w:w="3539"/>
        <w:gridCol w:w="992"/>
        <w:gridCol w:w="993"/>
        <w:gridCol w:w="992"/>
        <w:gridCol w:w="992"/>
        <w:gridCol w:w="992"/>
        <w:gridCol w:w="1006"/>
      </w:tblGrid>
      <w:tr w:rsidR="00A06C87" w:rsidRPr="00B65FA7" w:rsidTr="00647367">
        <w:trPr>
          <w:trHeight w:val="300"/>
          <w:tblHeader/>
        </w:trPr>
        <w:tc>
          <w:tcPr>
            <w:tcW w:w="3539" w:type="dxa"/>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JPI pasākums</w:t>
            </w:r>
          </w:p>
        </w:tc>
        <w:tc>
          <w:tcPr>
            <w:tcW w:w="1985" w:type="dxa"/>
            <w:gridSpan w:val="2"/>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2015</w:t>
            </w:r>
          </w:p>
        </w:tc>
        <w:tc>
          <w:tcPr>
            <w:tcW w:w="1984" w:type="dxa"/>
            <w:gridSpan w:val="2"/>
            <w:tcBorders>
              <w:top w:val="single" w:sz="4" w:space="0" w:color="auto"/>
              <w:left w:val="nil"/>
              <w:bottom w:val="single" w:sz="4" w:space="0" w:color="auto"/>
              <w:right w:val="single" w:sz="4" w:space="0" w:color="000000"/>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2016</w:t>
            </w:r>
          </w:p>
        </w:tc>
        <w:tc>
          <w:tcPr>
            <w:tcW w:w="99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2017</w:t>
            </w:r>
          </w:p>
        </w:tc>
        <w:tc>
          <w:tcPr>
            <w:tcW w:w="1006"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2018</w:t>
            </w:r>
          </w:p>
        </w:tc>
      </w:tr>
      <w:tr w:rsidR="00A06C87" w:rsidRPr="00B65FA7" w:rsidTr="00647367">
        <w:trPr>
          <w:trHeight w:val="300"/>
          <w:tblHeader/>
        </w:trPr>
        <w:tc>
          <w:tcPr>
            <w:tcW w:w="3539" w:type="dxa"/>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rsidR="00A06C87" w:rsidRPr="000A3593" w:rsidRDefault="00A06C87" w:rsidP="00647367">
            <w:pPr>
              <w:rPr>
                <w:rFonts w:eastAsia="Times New Roman" w:cs="Times New Roman"/>
                <w:b/>
                <w:bCs/>
                <w:color w:val="000000"/>
                <w:sz w:val="22"/>
                <w:lang w:eastAsia="lv-LV"/>
              </w:rPr>
            </w:pPr>
          </w:p>
        </w:tc>
        <w:tc>
          <w:tcPr>
            <w:tcW w:w="992" w:type="dxa"/>
            <w:tcBorders>
              <w:top w:val="nil"/>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Plāns</w:t>
            </w:r>
          </w:p>
        </w:tc>
        <w:tc>
          <w:tcPr>
            <w:tcW w:w="993" w:type="dxa"/>
            <w:tcBorders>
              <w:top w:val="nil"/>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Izpilde</w:t>
            </w:r>
          </w:p>
        </w:tc>
        <w:tc>
          <w:tcPr>
            <w:tcW w:w="992" w:type="dxa"/>
            <w:tcBorders>
              <w:top w:val="nil"/>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Plāns</w:t>
            </w:r>
          </w:p>
        </w:tc>
        <w:tc>
          <w:tcPr>
            <w:tcW w:w="992" w:type="dxa"/>
            <w:tcBorders>
              <w:top w:val="nil"/>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Izpilde</w:t>
            </w:r>
          </w:p>
        </w:tc>
        <w:tc>
          <w:tcPr>
            <w:tcW w:w="992" w:type="dxa"/>
            <w:tcBorders>
              <w:top w:val="nil"/>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Plāns</w:t>
            </w:r>
          </w:p>
        </w:tc>
        <w:tc>
          <w:tcPr>
            <w:tcW w:w="1006" w:type="dxa"/>
            <w:tcBorders>
              <w:top w:val="nil"/>
              <w:left w:val="nil"/>
              <w:bottom w:val="single" w:sz="4" w:space="0" w:color="auto"/>
              <w:right w:val="single" w:sz="4" w:space="0" w:color="auto"/>
            </w:tcBorders>
            <w:shd w:val="clear" w:color="auto" w:fill="C5E0B3" w:themeFill="accent6" w:themeFillTint="66"/>
            <w:noWrap/>
            <w:vAlign w:val="center"/>
            <w:hideMark/>
          </w:tcPr>
          <w:p w:rsidR="00A06C87" w:rsidRPr="000A3593" w:rsidRDefault="00A06C87" w:rsidP="00647367">
            <w:pPr>
              <w:jc w:val="center"/>
              <w:rPr>
                <w:rFonts w:eastAsia="Times New Roman" w:cs="Times New Roman"/>
                <w:b/>
                <w:bCs/>
                <w:color w:val="000000"/>
                <w:sz w:val="22"/>
                <w:lang w:eastAsia="lv-LV"/>
              </w:rPr>
            </w:pPr>
            <w:r w:rsidRPr="000A3593">
              <w:rPr>
                <w:rFonts w:eastAsia="Times New Roman" w:cs="Times New Roman"/>
                <w:b/>
                <w:bCs/>
                <w:color w:val="000000"/>
                <w:sz w:val="22"/>
                <w:lang w:eastAsia="lv-LV"/>
              </w:rPr>
              <w:t>Plāns</w:t>
            </w:r>
          </w:p>
        </w:tc>
      </w:tr>
      <w:tr w:rsidR="00A06C87" w:rsidRPr="00B65FA7" w:rsidTr="005A72A2">
        <w:trPr>
          <w:trHeight w:val="3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rPr>
                <w:rFonts w:eastAsia="Times New Roman" w:cs="Times New Roman"/>
                <w:color w:val="000000"/>
                <w:sz w:val="22"/>
                <w:lang w:eastAsia="lv-LV"/>
              </w:rPr>
            </w:pPr>
            <w:r w:rsidRPr="000A3593">
              <w:rPr>
                <w:rFonts w:eastAsia="Times New Roman" w:cs="Times New Roman"/>
                <w:color w:val="000000"/>
                <w:sz w:val="22"/>
                <w:lang w:eastAsia="lv-LV"/>
              </w:rPr>
              <w:t xml:space="preserve">Komandējumi  </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25 000</w:t>
            </w:r>
          </w:p>
        </w:tc>
        <w:tc>
          <w:tcPr>
            <w:tcW w:w="993"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30 355</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25 000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50 000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50 000</w:t>
            </w:r>
          </w:p>
        </w:tc>
        <w:tc>
          <w:tcPr>
            <w:tcW w:w="1006"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50 000</w:t>
            </w:r>
          </w:p>
        </w:tc>
      </w:tr>
      <w:tr w:rsidR="00A06C87" w:rsidRPr="00B65FA7" w:rsidTr="005A72A2">
        <w:trPr>
          <w:trHeight w:val="3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rPr>
                <w:rFonts w:eastAsia="Times New Roman" w:cs="Times New Roman"/>
                <w:color w:val="000000"/>
                <w:sz w:val="22"/>
                <w:lang w:eastAsia="lv-LV"/>
              </w:rPr>
            </w:pPr>
            <w:r w:rsidRPr="000A3593">
              <w:rPr>
                <w:rFonts w:eastAsia="Times New Roman" w:cs="Times New Roman"/>
                <w:color w:val="000000"/>
                <w:sz w:val="22"/>
                <w:lang w:eastAsia="lv-LV"/>
              </w:rPr>
              <w:t xml:space="preserve">Darbinieku atlīdzība </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24 426</w:t>
            </w:r>
          </w:p>
        </w:tc>
        <w:tc>
          <w:tcPr>
            <w:tcW w:w="993"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24 426</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24 426</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29 110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24 426</w:t>
            </w:r>
          </w:p>
        </w:tc>
        <w:tc>
          <w:tcPr>
            <w:tcW w:w="1006"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24 426</w:t>
            </w:r>
          </w:p>
        </w:tc>
      </w:tr>
      <w:tr w:rsidR="00A06C87" w:rsidRPr="00B65FA7" w:rsidTr="005A72A2">
        <w:trPr>
          <w:trHeight w:val="3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rPr>
                <w:rFonts w:eastAsia="Times New Roman" w:cs="Times New Roman"/>
                <w:color w:val="000000"/>
                <w:sz w:val="22"/>
                <w:lang w:eastAsia="lv-LV"/>
              </w:rPr>
            </w:pPr>
            <w:r w:rsidRPr="000A3593">
              <w:rPr>
                <w:rFonts w:eastAsia="Times New Roman" w:cs="Times New Roman"/>
                <w:color w:val="000000"/>
                <w:sz w:val="22"/>
                <w:lang w:eastAsia="lv-LV"/>
              </w:rPr>
              <w:t xml:space="preserve">Administratīvie izdevumi  </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13 940</w:t>
            </w:r>
          </w:p>
        </w:tc>
        <w:tc>
          <w:tcPr>
            <w:tcW w:w="993"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13 940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13 940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13 965</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13 940</w:t>
            </w:r>
          </w:p>
        </w:tc>
        <w:tc>
          <w:tcPr>
            <w:tcW w:w="1006"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13 940</w:t>
            </w:r>
          </w:p>
        </w:tc>
      </w:tr>
      <w:tr w:rsidR="00A06C87" w:rsidRPr="00B65FA7" w:rsidTr="005A72A2">
        <w:trPr>
          <w:trHeight w:val="3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rPr>
                <w:rFonts w:eastAsia="Times New Roman" w:cs="Times New Roman"/>
                <w:color w:val="000000"/>
                <w:sz w:val="22"/>
                <w:lang w:eastAsia="lv-LV"/>
              </w:rPr>
            </w:pPr>
            <w:r w:rsidRPr="000A3593">
              <w:rPr>
                <w:rFonts w:eastAsia="Times New Roman" w:cs="Times New Roman"/>
                <w:color w:val="000000"/>
                <w:sz w:val="22"/>
                <w:lang w:eastAsia="lv-LV"/>
              </w:rPr>
              <w:t>Publicitātes pasākumi (pasākumi, videoklipi, mājas lapas uzturēšana, konkurss par labāko klimata iniciatīvu, filma)</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78 036</w:t>
            </w:r>
          </w:p>
        </w:tc>
        <w:tc>
          <w:tcPr>
            <w:tcW w:w="993"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78 036</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78 036</w:t>
            </w:r>
          </w:p>
        </w:tc>
        <w:tc>
          <w:tcPr>
            <w:tcW w:w="1006"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238 366</w:t>
            </w:r>
          </w:p>
        </w:tc>
      </w:tr>
      <w:tr w:rsidR="00A06C87" w:rsidRPr="00B65FA7" w:rsidTr="005A72A2">
        <w:trPr>
          <w:trHeight w:val="509"/>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rPr>
                <w:rFonts w:eastAsia="Times New Roman" w:cs="Times New Roman"/>
                <w:color w:val="000000"/>
                <w:sz w:val="22"/>
                <w:lang w:eastAsia="lv-LV"/>
              </w:rPr>
            </w:pPr>
            <w:r w:rsidRPr="000A3593">
              <w:rPr>
                <w:rFonts w:eastAsia="Times New Roman" w:cs="Times New Roman"/>
                <w:color w:val="000000"/>
                <w:sz w:val="22"/>
                <w:lang w:eastAsia="lv-LV"/>
              </w:rPr>
              <w:t>Koncepta sagatavošana vienotas institūcijas attīstīšanai SEG emisiju inventarizācijai un prognozēšanai</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3"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32 064</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48 200</w:t>
            </w:r>
          </w:p>
        </w:tc>
        <w:tc>
          <w:tcPr>
            <w:tcW w:w="1006"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61 800</w:t>
            </w:r>
          </w:p>
        </w:tc>
      </w:tr>
      <w:tr w:rsidR="00A06C87" w:rsidRPr="00B65FA7" w:rsidTr="005A72A2">
        <w:trPr>
          <w:trHeight w:val="605"/>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rPr>
                <w:rFonts w:eastAsia="Times New Roman" w:cs="Times New Roman"/>
                <w:color w:val="000000"/>
                <w:sz w:val="22"/>
                <w:lang w:eastAsia="lv-LV"/>
              </w:rPr>
            </w:pPr>
            <w:r w:rsidRPr="000A3593">
              <w:rPr>
                <w:rFonts w:eastAsia="Times New Roman" w:cs="Times New Roman"/>
                <w:color w:val="000000"/>
                <w:sz w:val="22"/>
                <w:lang w:eastAsia="lv-LV"/>
              </w:rPr>
              <w:t xml:space="preserve"> LV nozaru politikas vispusīgs skrīnings par ietekmi uz klimata politiku</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93 255</w:t>
            </w:r>
          </w:p>
        </w:tc>
        <w:tc>
          <w:tcPr>
            <w:tcW w:w="993"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93 255</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27 561</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93 255</w:t>
            </w:r>
          </w:p>
        </w:tc>
        <w:tc>
          <w:tcPr>
            <w:tcW w:w="1006"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93 255</w:t>
            </w:r>
          </w:p>
        </w:tc>
      </w:tr>
      <w:tr w:rsidR="00A06C87" w:rsidRPr="00B65FA7" w:rsidTr="005A72A2">
        <w:trPr>
          <w:trHeight w:val="3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rPr>
                <w:rFonts w:eastAsia="Times New Roman" w:cs="Times New Roman"/>
                <w:color w:val="000000"/>
                <w:sz w:val="22"/>
                <w:lang w:eastAsia="lv-LV"/>
              </w:rPr>
            </w:pPr>
            <w:r w:rsidRPr="000A3593">
              <w:rPr>
                <w:rFonts w:eastAsia="Times New Roman" w:cs="Times New Roman"/>
                <w:color w:val="000000"/>
                <w:sz w:val="22"/>
                <w:lang w:eastAsia="lv-LV"/>
              </w:rPr>
              <w:t>JPI ietvaros sākotnēji neplānotie pasākumi</w:t>
            </w:r>
            <w:r w:rsidRPr="000A3593">
              <w:rPr>
                <w:rStyle w:val="FootnoteReference"/>
                <w:rFonts w:eastAsia="Times New Roman" w:cs="Times New Roman"/>
                <w:color w:val="000000"/>
                <w:sz w:val="22"/>
                <w:lang w:eastAsia="lv-LV"/>
              </w:rPr>
              <w:footnoteReference w:id="97"/>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3"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57 401</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10 086</w:t>
            </w:r>
          </w:p>
        </w:tc>
        <w:tc>
          <w:tcPr>
            <w:tcW w:w="992"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c>
          <w:tcPr>
            <w:tcW w:w="1006" w:type="dxa"/>
            <w:tcBorders>
              <w:top w:val="nil"/>
              <w:left w:val="nil"/>
              <w:bottom w:val="single" w:sz="4" w:space="0" w:color="auto"/>
              <w:right w:val="single" w:sz="4" w:space="0" w:color="auto"/>
            </w:tcBorders>
            <w:shd w:val="clear" w:color="auto" w:fill="auto"/>
            <w:noWrap/>
            <w:vAlign w:val="center"/>
            <w:hideMark/>
          </w:tcPr>
          <w:p w:rsidR="00A06C87" w:rsidRPr="000A3593" w:rsidRDefault="00A06C87" w:rsidP="00647367">
            <w:pPr>
              <w:jc w:val="center"/>
              <w:rPr>
                <w:rFonts w:eastAsia="Times New Roman" w:cs="Times New Roman"/>
                <w:color w:val="000000"/>
                <w:sz w:val="22"/>
                <w:lang w:eastAsia="lv-LV"/>
              </w:rPr>
            </w:pPr>
            <w:r w:rsidRPr="000A3593">
              <w:rPr>
                <w:rFonts w:eastAsia="Times New Roman" w:cs="Times New Roman"/>
                <w:color w:val="000000"/>
                <w:sz w:val="22"/>
                <w:lang w:eastAsia="lv-LV"/>
              </w:rPr>
              <w:t>0</w:t>
            </w:r>
          </w:p>
        </w:tc>
      </w:tr>
      <w:tr w:rsidR="00A06C87" w:rsidRPr="00E41B6D" w:rsidTr="005A72A2">
        <w:trPr>
          <w:trHeight w:val="3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A06C87" w:rsidRPr="000A3593" w:rsidRDefault="00A06C87" w:rsidP="00647367">
            <w:pPr>
              <w:jc w:val="right"/>
              <w:rPr>
                <w:rFonts w:eastAsia="Times New Roman" w:cs="Times New Roman"/>
                <w:b/>
                <w:bCs/>
                <w:color w:val="000000"/>
                <w:sz w:val="22"/>
                <w:lang w:eastAsia="lv-LV"/>
              </w:rPr>
            </w:pPr>
            <w:r w:rsidRPr="000A3593">
              <w:rPr>
                <w:rFonts w:eastAsia="Times New Roman" w:cs="Times New Roman"/>
                <w:b/>
                <w:bCs/>
                <w:color w:val="000000"/>
                <w:sz w:val="22"/>
                <w:lang w:eastAsia="lv-LV"/>
              </w:rPr>
              <w:t>Kopā</w:t>
            </w:r>
            <w:r w:rsidR="00EF4C25">
              <w:rPr>
                <w:rFonts w:eastAsia="Times New Roman" w:cs="Times New Roman"/>
                <w:b/>
                <w:bCs/>
                <w:color w:val="000000"/>
                <w:sz w:val="22"/>
                <w:lang w:eastAsia="lv-LV"/>
              </w:rPr>
              <w:t>:</w:t>
            </w:r>
            <w:r w:rsidRPr="000A3593">
              <w:rPr>
                <w:rFonts w:eastAsia="Times New Roman" w:cs="Times New Roman"/>
                <w:b/>
                <w:bCs/>
                <w:color w:val="000000"/>
                <w:sz w:val="22"/>
                <w:lang w:eastAsia="lv-LV"/>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rsidR="00A06C87" w:rsidRPr="000A3593" w:rsidRDefault="00A06C87" w:rsidP="00647367">
            <w:pPr>
              <w:jc w:val="right"/>
              <w:rPr>
                <w:rFonts w:eastAsia="Times New Roman" w:cs="Times New Roman"/>
                <w:b/>
                <w:bCs/>
                <w:color w:val="000000"/>
                <w:sz w:val="22"/>
                <w:lang w:eastAsia="lv-LV"/>
              </w:rPr>
            </w:pPr>
            <w:r w:rsidRPr="000A3593">
              <w:rPr>
                <w:rFonts w:eastAsia="Times New Roman" w:cs="Times New Roman"/>
                <w:b/>
                <w:bCs/>
                <w:color w:val="000000"/>
                <w:sz w:val="22"/>
                <w:lang w:eastAsia="lv-LV"/>
              </w:rPr>
              <w:t>234 657</w:t>
            </w:r>
          </w:p>
        </w:tc>
        <w:tc>
          <w:tcPr>
            <w:tcW w:w="993" w:type="dxa"/>
            <w:tcBorders>
              <w:top w:val="nil"/>
              <w:left w:val="nil"/>
              <w:bottom w:val="single" w:sz="4" w:space="0" w:color="auto"/>
              <w:right w:val="single" w:sz="4" w:space="0" w:color="auto"/>
            </w:tcBorders>
            <w:shd w:val="clear" w:color="auto" w:fill="auto"/>
            <w:noWrap/>
            <w:vAlign w:val="bottom"/>
            <w:hideMark/>
          </w:tcPr>
          <w:p w:rsidR="00A06C87" w:rsidRPr="000A3593" w:rsidRDefault="00A06C87" w:rsidP="00647367">
            <w:pPr>
              <w:jc w:val="right"/>
              <w:rPr>
                <w:rFonts w:eastAsia="Times New Roman" w:cs="Times New Roman"/>
                <w:b/>
                <w:bCs/>
                <w:color w:val="000000"/>
                <w:sz w:val="22"/>
                <w:lang w:eastAsia="lv-LV"/>
              </w:rPr>
            </w:pPr>
            <w:r w:rsidRPr="000A3593">
              <w:rPr>
                <w:rFonts w:eastAsia="Times New Roman" w:cs="Times New Roman"/>
                <w:b/>
                <w:bCs/>
                <w:color w:val="000000"/>
                <w:sz w:val="22"/>
                <w:lang w:eastAsia="lv-LV"/>
              </w:rPr>
              <w:t>126 122</w:t>
            </w:r>
          </w:p>
        </w:tc>
        <w:tc>
          <w:tcPr>
            <w:tcW w:w="992" w:type="dxa"/>
            <w:tcBorders>
              <w:top w:val="nil"/>
              <w:left w:val="nil"/>
              <w:bottom w:val="single" w:sz="4" w:space="0" w:color="auto"/>
              <w:right w:val="single" w:sz="4" w:space="0" w:color="auto"/>
            </w:tcBorders>
            <w:shd w:val="clear" w:color="auto" w:fill="auto"/>
            <w:noWrap/>
            <w:vAlign w:val="bottom"/>
            <w:hideMark/>
          </w:tcPr>
          <w:p w:rsidR="00A06C87" w:rsidRPr="000A3593" w:rsidRDefault="00A06C87" w:rsidP="00647367">
            <w:pPr>
              <w:jc w:val="right"/>
              <w:rPr>
                <w:rFonts w:eastAsia="Times New Roman" w:cs="Times New Roman"/>
                <w:b/>
                <w:bCs/>
                <w:color w:val="000000"/>
                <w:sz w:val="22"/>
                <w:lang w:eastAsia="lv-LV"/>
              </w:rPr>
            </w:pPr>
            <w:r w:rsidRPr="000A3593">
              <w:rPr>
                <w:rFonts w:eastAsia="Times New Roman" w:cs="Times New Roman"/>
                <w:b/>
                <w:bCs/>
                <w:color w:val="000000"/>
                <w:sz w:val="22"/>
                <w:lang w:eastAsia="lv-LV"/>
              </w:rPr>
              <w:t>234 657</w:t>
            </w:r>
          </w:p>
        </w:tc>
        <w:tc>
          <w:tcPr>
            <w:tcW w:w="992" w:type="dxa"/>
            <w:tcBorders>
              <w:top w:val="nil"/>
              <w:left w:val="nil"/>
              <w:bottom w:val="single" w:sz="4" w:space="0" w:color="auto"/>
              <w:right w:val="single" w:sz="4" w:space="0" w:color="auto"/>
            </w:tcBorders>
            <w:shd w:val="clear" w:color="auto" w:fill="auto"/>
            <w:noWrap/>
            <w:vAlign w:val="bottom"/>
            <w:hideMark/>
          </w:tcPr>
          <w:p w:rsidR="00A06C87" w:rsidRPr="000A3593" w:rsidRDefault="00A06C87" w:rsidP="00647367">
            <w:pPr>
              <w:jc w:val="right"/>
              <w:rPr>
                <w:rFonts w:eastAsia="Times New Roman" w:cs="Times New Roman"/>
                <w:b/>
                <w:bCs/>
                <w:color w:val="000000"/>
                <w:sz w:val="22"/>
                <w:lang w:eastAsia="lv-LV"/>
              </w:rPr>
            </w:pPr>
            <w:r w:rsidRPr="000A3593">
              <w:rPr>
                <w:rFonts w:eastAsia="Times New Roman" w:cs="Times New Roman"/>
                <w:b/>
                <w:bCs/>
                <w:color w:val="000000"/>
                <w:sz w:val="22"/>
                <w:lang w:eastAsia="lv-LV"/>
              </w:rPr>
              <w:t>162 786</w:t>
            </w:r>
          </w:p>
        </w:tc>
        <w:tc>
          <w:tcPr>
            <w:tcW w:w="992" w:type="dxa"/>
            <w:tcBorders>
              <w:top w:val="nil"/>
              <w:left w:val="nil"/>
              <w:bottom w:val="single" w:sz="4" w:space="0" w:color="auto"/>
              <w:right w:val="single" w:sz="4" w:space="0" w:color="auto"/>
            </w:tcBorders>
            <w:shd w:val="clear" w:color="auto" w:fill="auto"/>
            <w:noWrap/>
            <w:vAlign w:val="bottom"/>
            <w:hideMark/>
          </w:tcPr>
          <w:p w:rsidR="00A06C87" w:rsidRPr="000A3593" w:rsidRDefault="00A06C87" w:rsidP="00647367">
            <w:pPr>
              <w:jc w:val="right"/>
              <w:rPr>
                <w:rFonts w:eastAsia="Times New Roman" w:cs="Times New Roman"/>
                <w:b/>
                <w:bCs/>
                <w:color w:val="000000"/>
                <w:sz w:val="22"/>
                <w:lang w:eastAsia="lv-LV"/>
              </w:rPr>
            </w:pPr>
            <w:r w:rsidRPr="000A3593">
              <w:rPr>
                <w:rFonts w:eastAsia="Times New Roman" w:cs="Times New Roman"/>
                <w:b/>
                <w:bCs/>
                <w:color w:val="000000"/>
                <w:sz w:val="22"/>
                <w:lang w:eastAsia="lv-LV"/>
              </w:rPr>
              <w:t>307 857</w:t>
            </w:r>
          </w:p>
        </w:tc>
        <w:tc>
          <w:tcPr>
            <w:tcW w:w="1006" w:type="dxa"/>
            <w:tcBorders>
              <w:top w:val="nil"/>
              <w:left w:val="nil"/>
              <w:bottom w:val="single" w:sz="4" w:space="0" w:color="auto"/>
              <w:right w:val="single" w:sz="4" w:space="0" w:color="auto"/>
            </w:tcBorders>
            <w:shd w:val="clear" w:color="auto" w:fill="auto"/>
            <w:noWrap/>
            <w:vAlign w:val="bottom"/>
            <w:hideMark/>
          </w:tcPr>
          <w:p w:rsidR="00A06C87" w:rsidRPr="000A3593" w:rsidRDefault="00A06C87" w:rsidP="00647367">
            <w:pPr>
              <w:jc w:val="right"/>
              <w:rPr>
                <w:rFonts w:eastAsia="Times New Roman" w:cs="Times New Roman"/>
                <w:b/>
                <w:bCs/>
                <w:color w:val="000000"/>
                <w:sz w:val="22"/>
                <w:lang w:eastAsia="lv-LV"/>
              </w:rPr>
            </w:pPr>
            <w:r w:rsidRPr="000A3593">
              <w:rPr>
                <w:rFonts w:eastAsia="Times New Roman" w:cs="Times New Roman"/>
                <w:b/>
                <w:bCs/>
                <w:color w:val="000000"/>
                <w:sz w:val="22"/>
                <w:lang w:eastAsia="lv-LV"/>
              </w:rPr>
              <w:t>481 787</w:t>
            </w:r>
          </w:p>
        </w:tc>
      </w:tr>
    </w:tbl>
    <w:p w:rsidR="00A06C87" w:rsidRPr="001A6B25" w:rsidRDefault="00A06C87" w:rsidP="00A06C87">
      <w:pPr>
        <w:jc w:val="both"/>
        <w:rPr>
          <w:rFonts w:cs="Times New Roman"/>
          <w:szCs w:val="24"/>
        </w:rPr>
      </w:pPr>
    </w:p>
    <w:p w:rsidR="00A06C87" w:rsidRPr="000A3593" w:rsidRDefault="00A06C87" w:rsidP="00A06C87">
      <w:pPr>
        <w:spacing w:after="120"/>
        <w:ind w:firstLine="720"/>
        <w:jc w:val="both"/>
        <w:rPr>
          <w:rFonts w:cs="Times New Roman"/>
          <w:szCs w:val="24"/>
        </w:rPr>
      </w:pPr>
      <w:r w:rsidRPr="000A3593">
        <w:rPr>
          <w:rFonts w:cs="Times New Roman"/>
          <w:szCs w:val="24"/>
        </w:rPr>
        <w:t xml:space="preserve">Vērtējot līdzšinējā JPI finansējuma neapguvi, var secināt, ka gan 2015.gadā, gan 2016.gadā nav veikti izdevumi publicitātes pasākumiem, turklāt sākot ar 2018.gadu un turpmāk </w:t>
      </w:r>
      <w:r w:rsidRPr="000A3593">
        <w:rPr>
          <w:rFonts w:cs="Times New Roman"/>
          <w:szCs w:val="24"/>
        </w:rPr>
        <w:lastRenderedPageBreak/>
        <w:t xml:space="preserve">finansējums ar publicitāti saistītiem pasākumiem palielinās vairāk kā 2 reizes (līdz 238 366 </w:t>
      </w:r>
      <w:r w:rsidRPr="000A3593">
        <w:rPr>
          <w:rFonts w:cs="Times New Roman"/>
          <w:i/>
          <w:szCs w:val="24"/>
        </w:rPr>
        <w:t>euro</w:t>
      </w:r>
      <w:r w:rsidRPr="000A3593">
        <w:rPr>
          <w:rFonts w:cs="Times New Roman"/>
          <w:szCs w:val="24"/>
        </w:rPr>
        <w:t>), kā arī vispusīgā skrīninga nodrošināšanai finansējums nav nepieciešams tādā apmērā kā sākotnēji plānots, turklāt ir paredzēts finansējums tādiem pasākumiem, kas dublē pasākumus citu JPI ietvaros un kuriem līdzvērtīgus nodrošina LVĢMC atsevišķu pārvaldes uzdevumu deleģējuma līguma ietvaros. Attiecīgi ierosinām, ka:</w:t>
      </w:r>
    </w:p>
    <w:p w:rsidR="00A06C87" w:rsidRPr="000A3593" w:rsidRDefault="00A06C87" w:rsidP="008C25BB">
      <w:pPr>
        <w:pStyle w:val="ListParagraph"/>
        <w:numPr>
          <w:ilvl w:val="0"/>
          <w:numId w:val="40"/>
        </w:numPr>
        <w:spacing w:after="120"/>
        <w:contextualSpacing w:val="0"/>
        <w:jc w:val="both"/>
        <w:rPr>
          <w:rFonts w:cs="Times New Roman"/>
          <w:szCs w:val="24"/>
        </w:rPr>
      </w:pPr>
      <w:r w:rsidRPr="000A3593">
        <w:rPr>
          <w:rFonts w:cs="Times New Roman"/>
          <w:szCs w:val="24"/>
        </w:rPr>
        <w:t>publicitātes pasākumiem pieejamais finansējums sākot ar 2018.gad</w:t>
      </w:r>
      <w:r w:rsidR="001D19CD">
        <w:rPr>
          <w:rFonts w:cs="Times New Roman"/>
          <w:szCs w:val="24"/>
        </w:rPr>
        <w:t>u</w:t>
      </w:r>
      <w:r w:rsidRPr="000A3593">
        <w:rPr>
          <w:rFonts w:cs="Times New Roman"/>
          <w:szCs w:val="24"/>
        </w:rPr>
        <w:t xml:space="preserve"> jāsaglabā 2017.gada līmenī (78 036 </w:t>
      </w:r>
      <w:r w:rsidRPr="000A3593">
        <w:rPr>
          <w:rFonts w:cs="Times New Roman"/>
          <w:i/>
          <w:szCs w:val="24"/>
        </w:rPr>
        <w:t>euro</w:t>
      </w:r>
      <w:r w:rsidRPr="000A3593">
        <w:rPr>
          <w:rFonts w:cs="Times New Roman"/>
          <w:szCs w:val="24"/>
        </w:rPr>
        <w:t>), jo ar publicitāti saistītiem pasākumiem ik gadu piešķirtais finansējums netiek izlietots piešķirtajā apmērā;</w:t>
      </w:r>
    </w:p>
    <w:p w:rsidR="00A06C87" w:rsidRPr="000A3593" w:rsidRDefault="00A06C87" w:rsidP="008C25BB">
      <w:pPr>
        <w:pStyle w:val="ListParagraph"/>
        <w:numPr>
          <w:ilvl w:val="0"/>
          <w:numId w:val="40"/>
        </w:numPr>
        <w:spacing w:after="120"/>
        <w:contextualSpacing w:val="0"/>
        <w:jc w:val="both"/>
        <w:rPr>
          <w:rFonts w:cs="Times New Roman"/>
          <w:szCs w:val="24"/>
        </w:rPr>
      </w:pPr>
      <w:r w:rsidRPr="000A3593">
        <w:rPr>
          <w:rFonts w:cs="Times New Roman"/>
          <w:szCs w:val="24"/>
        </w:rPr>
        <w:t>Latvijas nozaru politikas vispusīg</w:t>
      </w:r>
      <w:r w:rsidR="001D19CD">
        <w:rPr>
          <w:rFonts w:cs="Times New Roman"/>
          <w:szCs w:val="24"/>
        </w:rPr>
        <w:t>am</w:t>
      </w:r>
      <w:r w:rsidRPr="000A3593">
        <w:rPr>
          <w:rFonts w:cs="Times New Roman"/>
          <w:szCs w:val="24"/>
        </w:rPr>
        <w:t xml:space="preserve"> skrīningam par ietekmi uz klimata politiku plānotais finansējums jāparedz tādā līmenī, kā 2016.gada noslēgtais līgums</w:t>
      </w:r>
      <w:r w:rsidRPr="000A3593">
        <w:rPr>
          <w:rStyle w:val="FootnoteReference"/>
          <w:rFonts w:cs="Times New Roman"/>
          <w:szCs w:val="24"/>
        </w:rPr>
        <w:footnoteReference w:id="98"/>
      </w:r>
      <w:r w:rsidRPr="000A3593">
        <w:rPr>
          <w:rFonts w:cs="Times New Roman"/>
          <w:szCs w:val="24"/>
        </w:rPr>
        <w:t xml:space="preserve">, proti, 16 214 </w:t>
      </w:r>
      <w:r w:rsidRPr="000A3593">
        <w:rPr>
          <w:rFonts w:cs="Times New Roman"/>
          <w:i/>
          <w:szCs w:val="24"/>
        </w:rPr>
        <w:t>euro</w:t>
      </w:r>
      <w:r w:rsidRPr="000A3593">
        <w:rPr>
          <w:rFonts w:cs="Times New Roman"/>
          <w:szCs w:val="24"/>
        </w:rPr>
        <w:t>;</w:t>
      </w:r>
    </w:p>
    <w:p w:rsidR="00A06C87" w:rsidRPr="000A3593" w:rsidRDefault="00A06C87" w:rsidP="008C25BB">
      <w:pPr>
        <w:pStyle w:val="ListParagraph"/>
        <w:numPr>
          <w:ilvl w:val="0"/>
          <w:numId w:val="40"/>
        </w:numPr>
        <w:spacing w:after="120"/>
        <w:contextualSpacing w:val="0"/>
        <w:jc w:val="both"/>
        <w:rPr>
          <w:rFonts w:cs="Times New Roman"/>
          <w:szCs w:val="24"/>
        </w:rPr>
      </w:pPr>
      <w:r w:rsidRPr="000A3593">
        <w:rPr>
          <w:rFonts w:cs="Times New Roman"/>
          <w:szCs w:val="24"/>
        </w:rPr>
        <w:t xml:space="preserve">ņemot vērā, ka saskaņā ar līgumu par atsevišķu deleģēto pārvaldes uzdevumu izpildi starp VARAM un LVĢMC, par kuru VARAM piešķir valsts budžetu dotāciju LVĢMC, viens no LVĢMC uzdevumiem ir SEG inventarizācijas sagatavošana, tad JPI ietvaros plānotā pasākuma SEG emisiju inventarizācijai un prognozēšanai piešķirtais finansējums ir samazināms par 50% (30 900 </w:t>
      </w:r>
      <w:r w:rsidRPr="000A3593">
        <w:rPr>
          <w:rFonts w:cs="Times New Roman"/>
          <w:i/>
          <w:szCs w:val="24"/>
        </w:rPr>
        <w:t>euro</w:t>
      </w:r>
      <w:r w:rsidRPr="000A3593">
        <w:rPr>
          <w:rFonts w:cs="Times New Roman"/>
          <w:szCs w:val="24"/>
        </w:rPr>
        <w:t xml:space="preserve">). </w:t>
      </w:r>
    </w:p>
    <w:p w:rsidR="00A06C87" w:rsidRDefault="00A06C87" w:rsidP="00A06C87">
      <w:pPr>
        <w:spacing w:after="120"/>
        <w:ind w:firstLine="720"/>
        <w:jc w:val="both"/>
        <w:rPr>
          <w:rFonts w:cs="Times New Roman"/>
          <w:szCs w:val="24"/>
        </w:rPr>
      </w:pPr>
      <w:r w:rsidRPr="000A3593">
        <w:rPr>
          <w:rFonts w:cs="Times New Roman"/>
          <w:szCs w:val="24"/>
        </w:rPr>
        <w:t xml:space="preserve">Ņemot vērā minēto, uzskatām, ka 2018.gadā un turpmāk citām VARAM aktualitātēm novirzāmais finansējums 268 271 </w:t>
      </w:r>
      <w:r w:rsidRPr="000A3593">
        <w:rPr>
          <w:rFonts w:cs="Times New Roman"/>
          <w:i/>
          <w:szCs w:val="24"/>
        </w:rPr>
        <w:t>euro</w:t>
      </w:r>
      <w:r w:rsidRPr="000A3593">
        <w:rPr>
          <w:rFonts w:cs="Times New Roman"/>
          <w:szCs w:val="24"/>
        </w:rPr>
        <w:t>.</w:t>
      </w:r>
    </w:p>
    <w:p w:rsidR="00FE625A" w:rsidRPr="00C02513" w:rsidRDefault="00851576" w:rsidP="00C02513">
      <w:pPr>
        <w:spacing w:after="120"/>
        <w:ind w:firstLine="720"/>
        <w:jc w:val="both"/>
        <w:rPr>
          <w:rFonts w:cs="Times New Roman"/>
          <w:szCs w:val="24"/>
        </w:rPr>
      </w:pPr>
      <w:r w:rsidRPr="00851576">
        <w:rPr>
          <w:rFonts w:cs="Times New Roman"/>
          <w:szCs w:val="24"/>
        </w:rPr>
        <w:t>VARAM ir sniegusi informāciju</w:t>
      </w:r>
      <w:r w:rsidRPr="00851576">
        <w:rPr>
          <w:rStyle w:val="FootnoteReference"/>
          <w:rFonts w:cs="Times New Roman"/>
          <w:szCs w:val="24"/>
        </w:rPr>
        <w:footnoteReference w:id="99"/>
      </w:r>
      <w:r w:rsidRPr="00851576">
        <w:rPr>
          <w:rFonts w:cs="Times New Roman"/>
          <w:szCs w:val="24"/>
        </w:rPr>
        <w:t>, piekrītot, ka JPI ietvaros publicitātes pasākumiem finansējums turpmākajiem gadiem ir saglabājams 2017.gada līmenī un tas ir novirzāms jaunā prioritārā pasākuma “Virzības uz aprites ekonomiku veicināšana” īstenošanai, kā arī norāda, ka būtu izvērtējama J</w:t>
      </w:r>
      <w:r w:rsidR="00B416FA">
        <w:rPr>
          <w:rFonts w:cs="Times New Roman"/>
          <w:szCs w:val="24"/>
        </w:rPr>
        <w:t>PI ietvaros veicamā</w:t>
      </w:r>
      <w:r w:rsidRPr="00851576">
        <w:rPr>
          <w:rFonts w:cs="Times New Roman"/>
          <w:szCs w:val="24"/>
        </w:rPr>
        <w:t xml:space="preserve"> pasākuma “LV nozaru politikas vispusīgs skrīnings par ietekmi uz klimata politiku” finansējuma novirzīšana dažādiem pētījumiem, tādējādi norādot, ka VARAM jau šobrīd plāno JPI finansējumu daļēji novirzīt citām aktualitātēm. </w:t>
      </w:r>
    </w:p>
    <w:p w:rsidR="00794BDF" w:rsidRDefault="00587315" w:rsidP="00C02513">
      <w:pPr>
        <w:spacing w:before="240" w:after="240"/>
        <w:jc w:val="both"/>
        <w:rPr>
          <w:rFonts w:cs="Times New Roman"/>
          <w:b/>
          <w:szCs w:val="24"/>
        </w:rPr>
      </w:pPr>
      <w:r>
        <w:rPr>
          <w:rFonts w:cs="Times New Roman"/>
          <w:b/>
          <w:szCs w:val="24"/>
        </w:rPr>
        <w:t>KM</w:t>
      </w:r>
      <w:r w:rsidR="00771236">
        <w:rPr>
          <w:rFonts w:cs="Times New Roman"/>
          <w:b/>
          <w:szCs w:val="24"/>
        </w:rPr>
        <w:t xml:space="preserve"> - </w:t>
      </w:r>
      <w:r w:rsidR="00771236" w:rsidRPr="00771236">
        <w:rPr>
          <w:rFonts w:eastAsia="Times New Roman" w:cs="Times New Roman"/>
          <w:b/>
          <w:color w:val="000000"/>
          <w:szCs w:val="24"/>
          <w:lang w:eastAsia="lv-LV"/>
        </w:rPr>
        <w:t>Finansējums kultūras institūciju prioritāro izdevumu segšanai</w:t>
      </w:r>
    </w:p>
    <w:p w:rsidR="000E653D" w:rsidRDefault="000E653D" w:rsidP="000E653D">
      <w:pPr>
        <w:spacing w:after="120"/>
        <w:ind w:firstLine="709"/>
        <w:jc w:val="both"/>
        <w:rPr>
          <w:rFonts w:eastAsia="Times New Roman" w:cs="Times New Roman"/>
          <w:color w:val="000000"/>
          <w:szCs w:val="24"/>
          <w:lang w:eastAsia="lv-LV"/>
        </w:rPr>
      </w:pPr>
      <w:r w:rsidRPr="00E863CE">
        <w:rPr>
          <w:rFonts w:eastAsia="Times New Roman" w:cs="Times New Roman"/>
          <w:color w:val="000000"/>
          <w:szCs w:val="24"/>
          <w:lang w:eastAsia="lv-LV"/>
        </w:rPr>
        <w:t xml:space="preserve">Kultūras ministrijai programmā 21.00.00 “Kultūras mantojums” 2014. – 2016.gada ietvarā piešķirts finansējums </w:t>
      </w:r>
      <w:r w:rsidR="006D55D4">
        <w:rPr>
          <w:rFonts w:eastAsia="Times New Roman" w:cs="Times New Roman"/>
          <w:color w:val="000000"/>
          <w:szCs w:val="24"/>
          <w:lang w:eastAsia="lv-LV"/>
        </w:rPr>
        <w:t>JPI</w:t>
      </w:r>
      <w:r w:rsidRPr="00E863CE">
        <w:rPr>
          <w:rFonts w:eastAsia="Times New Roman" w:cs="Times New Roman"/>
          <w:color w:val="000000"/>
          <w:szCs w:val="24"/>
          <w:lang w:eastAsia="lv-LV"/>
        </w:rPr>
        <w:t xml:space="preserve"> “Finansējums kultūras institūciju prioritāro izdevumu segšanai” 2014.gadam 1 468 111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2015.gadā 1 299 284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un 2016.gadā 1 144 049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pamatā izdevumus paredzot ekspozīciju izveidošanai un papildināšanai, izstāžu darbības nodrošināšanai un krājumu papildināšanai. </w:t>
      </w:r>
    </w:p>
    <w:p w:rsidR="000E653D" w:rsidRPr="00C02513" w:rsidRDefault="000E653D" w:rsidP="00C02513">
      <w:pPr>
        <w:spacing w:after="120"/>
        <w:ind w:firstLine="709"/>
        <w:jc w:val="both"/>
        <w:rPr>
          <w:rFonts w:cs="Times New Roman"/>
          <w:szCs w:val="24"/>
        </w:rPr>
      </w:pPr>
      <w:r>
        <w:rPr>
          <w:rFonts w:eastAsia="Times New Roman" w:cs="Times New Roman"/>
          <w:color w:val="000000"/>
          <w:szCs w:val="24"/>
          <w:lang w:eastAsia="lv-LV"/>
        </w:rPr>
        <w:t xml:space="preserve">Attiecīgais finansējums ir saglabāts arī turpmākajos gados. </w:t>
      </w:r>
      <w:r w:rsidRPr="00E863CE">
        <w:rPr>
          <w:rFonts w:eastAsia="Times New Roman" w:cs="Times New Roman"/>
          <w:color w:val="000000"/>
          <w:szCs w:val="24"/>
          <w:lang w:eastAsia="lv-LV"/>
        </w:rPr>
        <w:t xml:space="preserve">Ņemot vērā, ka iepriekšējos gados līdzekļi novirzīti pēc būtības vienreizēju pasākumu nodrošināšanai, finansējums 1 144 049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ir novirzāms aktuālāku pasākumu īstenošanai.</w:t>
      </w:r>
    </w:p>
    <w:p w:rsidR="00D9317A" w:rsidRPr="00C02513" w:rsidRDefault="00587315" w:rsidP="00C02513">
      <w:pPr>
        <w:spacing w:before="240" w:after="240"/>
        <w:jc w:val="both"/>
        <w:rPr>
          <w:rFonts w:cs="Times New Roman"/>
          <w:b/>
          <w:szCs w:val="24"/>
        </w:rPr>
      </w:pPr>
      <w:r>
        <w:rPr>
          <w:rFonts w:cs="Times New Roman"/>
          <w:b/>
          <w:szCs w:val="24"/>
        </w:rPr>
        <w:t>KM</w:t>
      </w:r>
      <w:r w:rsidR="00D9317A">
        <w:rPr>
          <w:rFonts w:cs="Times New Roman"/>
          <w:b/>
          <w:szCs w:val="24"/>
        </w:rPr>
        <w:t xml:space="preserve"> - </w:t>
      </w:r>
      <w:r w:rsidR="00D9317A" w:rsidRPr="00D9317A">
        <w:rPr>
          <w:rFonts w:eastAsia="Times New Roman" w:cs="Times New Roman"/>
          <w:b/>
          <w:color w:val="000000"/>
          <w:szCs w:val="24"/>
          <w:lang w:eastAsia="lv-LV"/>
        </w:rPr>
        <w:t>Dziesmu svētku procesa ilgtspējīgai attīstībai</w:t>
      </w:r>
    </w:p>
    <w:p w:rsidR="000E653D" w:rsidRPr="00E863CE" w:rsidRDefault="000E653D" w:rsidP="000E653D">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KM</w:t>
      </w:r>
      <w:r w:rsidRPr="00E863CE">
        <w:rPr>
          <w:rFonts w:eastAsia="Times New Roman" w:cs="Times New Roman"/>
          <w:color w:val="000000"/>
          <w:szCs w:val="24"/>
          <w:lang w:eastAsia="lv-LV"/>
        </w:rPr>
        <w:t xml:space="preserve"> programmās 21.00.00 “Kultūras mantojums” un 97.00.00 “Nozaru vadība un politikas plānošana” 2014. – 2016.gada ietvarā piešķirts finansējums </w:t>
      </w:r>
      <w:r w:rsidR="006D55D4">
        <w:rPr>
          <w:rFonts w:eastAsia="Times New Roman" w:cs="Times New Roman"/>
          <w:color w:val="000000"/>
          <w:szCs w:val="24"/>
          <w:lang w:eastAsia="lv-LV"/>
        </w:rPr>
        <w:t>JPI</w:t>
      </w:r>
      <w:r w:rsidRPr="00E863CE">
        <w:rPr>
          <w:rFonts w:eastAsia="Times New Roman" w:cs="Times New Roman"/>
          <w:color w:val="000000"/>
          <w:szCs w:val="24"/>
          <w:lang w:eastAsia="lv-LV"/>
        </w:rPr>
        <w:t xml:space="preserve"> “Dziesmu svētku procesa ilgtspējīgai attīstībai” 2014.gadam 426 861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2015.gadā 431 841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un 2016.gadā 452 985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izdevumus paredzot māksliniecisko kolektīvu vadītāju darba samaksai un valsts sociālās apdrošināšanas obligātajām iemaksām, Dziesmu un deju svētku tradīcijas kā UNESCO Cilvēces mutvārdu un nemateriālā kultūras mantojuma meistardarba ilgtspējai – procesa nepārtrauktībai un kvalitātei un  XXVI Vispārējo latviešu un </w:t>
      </w:r>
      <w:r w:rsidRPr="00E863CE">
        <w:rPr>
          <w:rFonts w:eastAsia="Times New Roman" w:cs="Times New Roman"/>
          <w:color w:val="000000"/>
          <w:szCs w:val="24"/>
          <w:lang w:eastAsia="lv-LV"/>
        </w:rPr>
        <w:lastRenderedPageBreak/>
        <w:t>XVI Deju svētku gatavošanās nodrošināšanai 2018.gadā (koncepciju konkursiem svētku starpnozarēs, jaundarbiem, koprepertuāra nodrošināšanai, starpsvētku pasākumiem u.c. pasākumiem).</w:t>
      </w:r>
      <w:r>
        <w:rPr>
          <w:rFonts w:eastAsia="Times New Roman" w:cs="Times New Roman"/>
          <w:color w:val="000000"/>
          <w:szCs w:val="24"/>
          <w:lang w:eastAsia="lv-LV"/>
        </w:rPr>
        <w:t xml:space="preserve"> Attiecīgais finansējums ir saglabāts arī turpmākajos gados.</w:t>
      </w:r>
    </w:p>
    <w:p w:rsidR="00771236" w:rsidRPr="00572CDA" w:rsidRDefault="000E653D" w:rsidP="00572CDA">
      <w:pPr>
        <w:spacing w:after="120"/>
        <w:ind w:firstLine="720"/>
        <w:jc w:val="both"/>
        <w:rPr>
          <w:rFonts w:eastAsia="Times New Roman" w:cs="Times New Roman"/>
          <w:color w:val="000000"/>
          <w:szCs w:val="24"/>
          <w:lang w:eastAsia="lv-LV"/>
        </w:rPr>
      </w:pPr>
      <w:r w:rsidRPr="00E863CE">
        <w:rPr>
          <w:rFonts w:eastAsia="Times New Roman" w:cs="Times New Roman"/>
          <w:color w:val="000000"/>
          <w:szCs w:val="24"/>
          <w:lang w:eastAsia="lv-LV"/>
        </w:rPr>
        <w:t xml:space="preserve">2018.gadā norisināsies XXVI Vispārējie latviešu dziesmu un XVI Deju svētki. Pēc šo svētku norises, svētku sagatavošanai un starpsvētku pasākumiem plānotais finansējums 452 985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varētu tikt novirzīts aktuālāku pasākumu īstenošanai, piemēram, XII Skolu jaunatnes dziesmu un deju s</w:t>
      </w:r>
      <w:r w:rsidR="00572CDA">
        <w:rPr>
          <w:rFonts w:eastAsia="Times New Roman" w:cs="Times New Roman"/>
          <w:color w:val="000000"/>
          <w:szCs w:val="24"/>
          <w:lang w:eastAsia="lv-LV"/>
        </w:rPr>
        <w:t>vētku sagatavošanai un norisei.</w:t>
      </w:r>
    </w:p>
    <w:p w:rsidR="000E653D" w:rsidRDefault="000E653D" w:rsidP="00572CDA">
      <w:pPr>
        <w:spacing w:before="240" w:after="240"/>
        <w:jc w:val="both"/>
        <w:rPr>
          <w:rFonts w:cs="Times New Roman"/>
          <w:b/>
          <w:szCs w:val="24"/>
        </w:rPr>
      </w:pPr>
      <w:r>
        <w:rPr>
          <w:rFonts w:cs="Times New Roman"/>
          <w:b/>
          <w:szCs w:val="24"/>
        </w:rPr>
        <w:t xml:space="preserve">KM - </w:t>
      </w:r>
      <w:r w:rsidRPr="000E653D">
        <w:rPr>
          <w:rFonts w:eastAsia="Times New Roman" w:cs="Times New Roman"/>
          <w:b/>
          <w:color w:val="000000"/>
          <w:szCs w:val="24"/>
          <w:lang w:eastAsia="lv-LV"/>
        </w:rPr>
        <w:t>Finansējums radošo industriju attīstībai</w:t>
      </w:r>
    </w:p>
    <w:p w:rsidR="000E653D" w:rsidRDefault="004F57CD" w:rsidP="000E653D">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KM</w:t>
      </w:r>
      <w:r w:rsidR="000E653D" w:rsidRPr="00E863CE">
        <w:rPr>
          <w:rFonts w:eastAsia="Times New Roman" w:cs="Times New Roman"/>
          <w:color w:val="000000"/>
          <w:szCs w:val="24"/>
          <w:lang w:eastAsia="lv-LV"/>
        </w:rPr>
        <w:t xml:space="preserve"> apakšprogrammā 19.07.00 “Mākslas un literatūra” un programmās 20.00.00 “Kultūrizglītība” un 97.00.00 “Nozaru vadība un politikas plānošana” 2014. – 2016.gada ietvarā piešķirts finansējums </w:t>
      </w:r>
      <w:r w:rsidR="006D55D4">
        <w:rPr>
          <w:rFonts w:eastAsia="Times New Roman" w:cs="Times New Roman"/>
          <w:color w:val="000000"/>
          <w:szCs w:val="24"/>
          <w:lang w:eastAsia="lv-LV"/>
        </w:rPr>
        <w:t>JPI</w:t>
      </w:r>
      <w:r w:rsidR="000E653D" w:rsidRPr="00E863CE">
        <w:rPr>
          <w:rFonts w:eastAsia="Times New Roman" w:cs="Times New Roman"/>
          <w:color w:val="000000"/>
          <w:szCs w:val="24"/>
          <w:lang w:eastAsia="lv-LV"/>
        </w:rPr>
        <w:t xml:space="preserve"> “Finansējums radošo industriju attīstībai” 2014. – 2016.gadam 498 004 </w:t>
      </w:r>
      <w:r w:rsidR="000E653D" w:rsidRPr="00E863CE">
        <w:rPr>
          <w:rFonts w:eastAsia="Times New Roman" w:cs="Times New Roman"/>
          <w:i/>
          <w:iCs/>
          <w:color w:val="000000"/>
          <w:szCs w:val="24"/>
          <w:lang w:eastAsia="lv-LV"/>
        </w:rPr>
        <w:t>euro</w:t>
      </w:r>
      <w:r w:rsidR="000E653D" w:rsidRPr="00E863CE">
        <w:rPr>
          <w:rFonts w:eastAsia="Times New Roman" w:cs="Times New Roman"/>
          <w:color w:val="000000"/>
          <w:szCs w:val="24"/>
          <w:lang w:eastAsia="lv-LV"/>
        </w:rPr>
        <w:t xml:space="preserve"> apmērā ik gadu, pamatā izdevumus plānojot Latvijas populārās mūzikas industrijas izaugsmes un eksporta attīstībai, t.sk. valsts pārstāvniecības nodrošināšanai starptautiskos tirgos, mesēs un skatēs, Latvijas digitālās kultūras kartes uzturē</w:t>
      </w:r>
      <w:r w:rsidR="000E653D">
        <w:rPr>
          <w:rFonts w:eastAsia="Times New Roman" w:cs="Times New Roman"/>
          <w:color w:val="000000"/>
          <w:szCs w:val="24"/>
          <w:lang w:eastAsia="lv-LV"/>
        </w:rPr>
        <w:t>šanai un regulārai attīstībai, r</w:t>
      </w:r>
      <w:r w:rsidR="000E653D" w:rsidRPr="00E863CE">
        <w:rPr>
          <w:rFonts w:eastAsia="Times New Roman" w:cs="Times New Roman"/>
          <w:color w:val="000000"/>
          <w:szCs w:val="24"/>
          <w:lang w:eastAsia="lv-LV"/>
        </w:rPr>
        <w:t xml:space="preserve">adošo industriju komunikācijas platformas uzturēšanai un attīstībai, lai nodrošinātu vienotu informācijas plūsmu par radošo industriju aktualitātēm, sekmētu sabiedrības izpratnes veicināšanu par </w:t>
      </w:r>
      <w:r w:rsidR="000E653D">
        <w:rPr>
          <w:rFonts w:eastAsia="Times New Roman" w:cs="Times New Roman"/>
          <w:color w:val="000000"/>
          <w:szCs w:val="24"/>
          <w:lang w:eastAsia="lv-LV"/>
        </w:rPr>
        <w:t>r</w:t>
      </w:r>
      <w:r w:rsidR="000E653D" w:rsidRPr="00E863CE">
        <w:rPr>
          <w:rFonts w:eastAsia="Times New Roman" w:cs="Times New Roman"/>
          <w:color w:val="000000"/>
          <w:szCs w:val="24"/>
          <w:lang w:eastAsia="lv-LV"/>
        </w:rPr>
        <w:t>adošo industriju būtību, darbību un potenciālu Latvijas ekonomikā, nodrošinātu informāciju par finansējuma piesaistes iespējām un uzņēmējdarbības attīstības jautājumiem, Dizaina inovāciju un attīstības centra izveidei.</w:t>
      </w:r>
      <w:r w:rsidR="000E653D">
        <w:rPr>
          <w:rFonts w:eastAsia="Times New Roman" w:cs="Times New Roman"/>
          <w:color w:val="000000"/>
          <w:szCs w:val="24"/>
          <w:lang w:eastAsia="lv-LV"/>
        </w:rPr>
        <w:t xml:space="preserve"> </w:t>
      </w:r>
    </w:p>
    <w:p w:rsidR="000E653D" w:rsidRPr="00572CDA" w:rsidRDefault="00F208B8" w:rsidP="00572CDA">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 xml:space="preserve">Uzskatām, ka </w:t>
      </w:r>
      <w:r w:rsidR="000E653D">
        <w:rPr>
          <w:rFonts w:eastAsia="Times New Roman" w:cs="Times New Roman"/>
          <w:color w:val="000000"/>
          <w:szCs w:val="24"/>
          <w:lang w:eastAsia="lv-LV"/>
        </w:rPr>
        <w:t xml:space="preserve">šo uzdevumu koordinēšanai </w:t>
      </w:r>
      <w:r w:rsidR="004F57CD">
        <w:rPr>
          <w:rFonts w:eastAsia="Times New Roman" w:cs="Times New Roman"/>
          <w:color w:val="000000"/>
          <w:szCs w:val="24"/>
          <w:lang w:eastAsia="lv-LV"/>
        </w:rPr>
        <w:t>KM</w:t>
      </w:r>
      <w:r w:rsidR="000E653D">
        <w:rPr>
          <w:rFonts w:eastAsia="Times New Roman" w:cs="Times New Roman"/>
          <w:color w:val="000000"/>
          <w:szCs w:val="24"/>
          <w:lang w:eastAsia="lv-LV"/>
        </w:rPr>
        <w:t xml:space="preserve"> līdzšinējo 3 amata vietu vietā būtu paredzama viena amata</w:t>
      </w:r>
      <w:r w:rsidR="000E653D" w:rsidRPr="00E863CE">
        <w:rPr>
          <w:rFonts w:eastAsia="Times New Roman" w:cs="Times New Roman"/>
          <w:color w:val="000000"/>
          <w:szCs w:val="24"/>
          <w:lang w:eastAsia="lv-LV"/>
        </w:rPr>
        <w:t xml:space="preserve"> vieta, līdz ar to finansējums 63 555 </w:t>
      </w:r>
      <w:r w:rsidR="000E653D" w:rsidRPr="00E863CE">
        <w:rPr>
          <w:rFonts w:eastAsia="Times New Roman" w:cs="Times New Roman"/>
          <w:i/>
          <w:iCs/>
          <w:color w:val="000000"/>
          <w:szCs w:val="24"/>
          <w:lang w:eastAsia="lv-LV"/>
        </w:rPr>
        <w:t>euro</w:t>
      </w:r>
      <w:r w:rsidR="000E653D" w:rsidRPr="00E863CE">
        <w:rPr>
          <w:rFonts w:eastAsia="Times New Roman" w:cs="Times New Roman"/>
          <w:color w:val="000000"/>
          <w:szCs w:val="24"/>
          <w:lang w:eastAsia="lv-LV"/>
        </w:rPr>
        <w:t xml:space="preserve"> apmērā ir novirzāms aktuālāku pasākumu īstenošan</w:t>
      </w:r>
      <w:r w:rsidR="00572CDA">
        <w:rPr>
          <w:rFonts w:eastAsia="Times New Roman" w:cs="Times New Roman"/>
          <w:color w:val="000000"/>
          <w:szCs w:val="24"/>
          <w:lang w:eastAsia="lv-LV"/>
        </w:rPr>
        <w:t>ai.</w:t>
      </w:r>
    </w:p>
    <w:p w:rsidR="005826A5" w:rsidRDefault="004F57CD" w:rsidP="00572CDA">
      <w:pPr>
        <w:spacing w:before="240" w:after="240"/>
        <w:jc w:val="both"/>
        <w:rPr>
          <w:rFonts w:cs="Times New Roman"/>
          <w:b/>
          <w:szCs w:val="24"/>
        </w:rPr>
      </w:pPr>
      <w:r>
        <w:rPr>
          <w:rFonts w:cs="Times New Roman"/>
          <w:b/>
          <w:szCs w:val="24"/>
        </w:rPr>
        <w:t xml:space="preserve">KM - </w:t>
      </w:r>
      <w:r w:rsidRPr="004F57CD">
        <w:rPr>
          <w:rFonts w:eastAsia="Times New Roman" w:cs="Times New Roman"/>
          <w:b/>
          <w:color w:val="000000"/>
          <w:szCs w:val="24"/>
          <w:lang w:eastAsia="lv-LV"/>
        </w:rPr>
        <w:t>Publiskā patapinājuma atlīdzības izdevumu segšanai</w:t>
      </w:r>
    </w:p>
    <w:p w:rsidR="004F57CD" w:rsidRPr="00E863CE" w:rsidRDefault="004F57CD" w:rsidP="004F57CD">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KM</w:t>
      </w:r>
      <w:r w:rsidRPr="00E863CE">
        <w:rPr>
          <w:rFonts w:eastAsia="Times New Roman" w:cs="Times New Roman"/>
          <w:color w:val="000000"/>
          <w:szCs w:val="24"/>
          <w:lang w:eastAsia="lv-LV"/>
        </w:rPr>
        <w:t xml:space="preserve"> apakšprogrammā 19.07.00 “Mākslas un literatūra” 2014. – 2016.gada ietvarā piešķirts finansējums </w:t>
      </w:r>
      <w:r w:rsidR="005260CE">
        <w:rPr>
          <w:rFonts w:eastAsia="Times New Roman" w:cs="Times New Roman"/>
          <w:color w:val="000000"/>
          <w:szCs w:val="24"/>
          <w:lang w:eastAsia="lv-LV"/>
        </w:rPr>
        <w:t>JPI</w:t>
      </w:r>
      <w:r w:rsidRPr="00E863CE">
        <w:rPr>
          <w:rFonts w:eastAsia="Times New Roman" w:cs="Times New Roman"/>
          <w:color w:val="000000"/>
          <w:szCs w:val="24"/>
          <w:lang w:eastAsia="lv-LV"/>
        </w:rPr>
        <w:t xml:space="preserve"> “Publiskā patapinājuma atlīdzības izdevumu segšanai” 2014.gadam 183 097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un 2015. un 2016.gadam 244 025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ik gadu, paredzot ikgadējās atlīdzības lielumu palielināt no 5% uz 10% no summas, kas valsts un pašvaldību bibliotēkām iepriekšējā gadā piešķirta to krājumu papildināšanai, un obligāto eksemplāru vērtības.</w:t>
      </w:r>
    </w:p>
    <w:p w:rsidR="004F57CD" w:rsidRPr="00E863CE" w:rsidRDefault="004F57CD" w:rsidP="004F57CD">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Pirms papildu finansējuma piešķiršanas</w:t>
      </w:r>
      <w:r w:rsidRPr="00E863CE">
        <w:rPr>
          <w:rFonts w:eastAsia="Times New Roman" w:cs="Times New Roman"/>
          <w:color w:val="000000"/>
          <w:szCs w:val="24"/>
          <w:lang w:eastAsia="lv-LV"/>
        </w:rPr>
        <w:t xml:space="preserve"> </w:t>
      </w:r>
      <w:r>
        <w:rPr>
          <w:rFonts w:eastAsia="Times New Roman" w:cs="Times New Roman"/>
          <w:color w:val="000000"/>
          <w:szCs w:val="24"/>
          <w:lang w:eastAsia="lv-LV"/>
        </w:rPr>
        <w:t>KM</w:t>
      </w:r>
      <w:r w:rsidRPr="00E863CE">
        <w:rPr>
          <w:rFonts w:eastAsia="Times New Roman" w:cs="Times New Roman"/>
          <w:color w:val="000000"/>
          <w:szCs w:val="24"/>
          <w:lang w:eastAsia="lv-LV"/>
        </w:rPr>
        <w:t xml:space="preserve"> budžetā </w:t>
      </w:r>
      <w:r w:rsidRPr="00E863CE">
        <w:rPr>
          <w:rFonts w:eastAsia="Times New Roman" w:cs="Times New Roman"/>
          <w:iCs/>
          <w:color w:val="000000"/>
          <w:szCs w:val="24"/>
          <w:lang w:eastAsia="lv-LV"/>
        </w:rPr>
        <w:t>publiskā patapinājuma atlīdzības izmaksai tika p</w:t>
      </w:r>
      <w:r>
        <w:rPr>
          <w:rFonts w:eastAsia="Times New Roman" w:cs="Times New Roman"/>
          <w:iCs/>
          <w:color w:val="000000"/>
          <w:szCs w:val="24"/>
          <w:lang w:eastAsia="lv-LV"/>
        </w:rPr>
        <w:t>lānots</w:t>
      </w:r>
      <w:r w:rsidRPr="00E863CE">
        <w:rPr>
          <w:rFonts w:eastAsia="Times New Roman" w:cs="Times New Roman"/>
          <w:iCs/>
          <w:color w:val="000000"/>
          <w:szCs w:val="24"/>
          <w:lang w:eastAsia="lv-LV"/>
        </w:rPr>
        <w:t xml:space="preserve"> </w:t>
      </w:r>
      <w:r w:rsidRPr="00E863CE">
        <w:rPr>
          <w:rFonts w:eastAsia="Times New Roman" w:cs="Times New Roman"/>
          <w:color w:val="000000"/>
          <w:szCs w:val="24"/>
          <w:lang w:eastAsia="lv-LV"/>
        </w:rPr>
        <w:t xml:space="preserve">finansējums </w:t>
      </w:r>
      <w:r w:rsidRPr="00E863CE">
        <w:rPr>
          <w:rFonts w:eastAsia="Times New Roman" w:cs="Times New Roman"/>
          <w:iCs/>
          <w:color w:val="000000"/>
          <w:szCs w:val="24"/>
          <w:lang w:eastAsia="lv-LV"/>
        </w:rPr>
        <w:t>121 548</w:t>
      </w:r>
      <w:r w:rsidRPr="00E863CE">
        <w:rPr>
          <w:rFonts w:eastAsia="Times New Roman" w:cs="Times New Roman"/>
          <w:color w:val="000000"/>
          <w:szCs w:val="24"/>
          <w:lang w:eastAsia="lv-LV"/>
        </w:rPr>
        <w:t xml:space="preserve"> </w:t>
      </w:r>
      <w:r w:rsidRPr="00E863CE">
        <w:rPr>
          <w:rFonts w:eastAsia="Times New Roman" w:cs="Times New Roman"/>
          <w:i/>
          <w:color w:val="000000"/>
          <w:szCs w:val="24"/>
          <w:lang w:eastAsia="lv-LV"/>
        </w:rPr>
        <w:t>euro</w:t>
      </w:r>
      <w:r w:rsidRPr="00E863CE">
        <w:rPr>
          <w:rFonts w:eastAsia="Times New Roman" w:cs="Times New Roman"/>
          <w:color w:val="000000"/>
          <w:szCs w:val="24"/>
          <w:lang w:eastAsia="lv-LV"/>
        </w:rPr>
        <w:t xml:space="preserve"> apmērā. Līdz ar to kopējais finansējums, lai nodrošinātu publiskā patapinājuma atlīdzības izdevumu segšanu 10% 2014.gadam bija 304 645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un 2015. un 2016.gadam 365 573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Ņemot vērā, ka </w:t>
      </w:r>
      <w:r>
        <w:rPr>
          <w:rFonts w:eastAsia="Times New Roman" w:cs="Times New Roman"/>
          <w:color w:val="000000"/>
          <w:szCs w:val="24"/>
          <w:lang w:eastAsia="lv-LV"/>
        </w:rPr>
        <w:t>faktiski</w:t>
      </w:r>
      <w:r w:rsidRPr="00E863CE">
        <w:rPr>
          <w:rFonts w:eastAsia="Times New Roman" w:cs="Times New Roman"/>
          <w:color w:val="000000"/>
          <w:szCs w:val="24"/>
          <w:lang w:eastAsia="lv-LV"/>
        </w:rPr>
        <w:t xml:space="preserve"> nepieciešamais finansējums </w:t>
      </w:r>
      <w:r w:rsidRPr="00E863CE">
        <w:rPr>
          <w:rFonts w:eastAsia="Times New Roman" w:cs="Times New Roman"/>
          <w:iCs/>
          <w:color w:val="000000"/>
          <w:szCs w:val="24"/>
          <w:lang w:eastAsia="lv-LV"/>
        </w:rPr>
        <w:t>publiskā patapinājuma atlīdzības izmaksai</w:t>
      </w:r>
      <w:r w:rsidRPr="00E863CE">
        <w:rPr>
          <w:rFonts w:eastAsia="Times New Roman" w:cs="Times New Roman"/>
          <w:color w:val="000000"/>
          <w:szCs w:val="24"/>
          <w:lang w:eastAsia="lv-LV"/>
        </w:rPr>
        <w:t xml:space="preserve"> 2015.gadā bija 296 808 </w:t>
      </w:r>
      <w:r w:rsidRPr="00E863CE">
        <w:rPr>
          <w:rFonts w:eastAsia="Times New Roman" w:cs="Times New Roman"/>
          <w:i/>
          <w:color w:val="000000"/>
          <w:szCs w:val="24"/>
          <w:lang w:eastAsia="lv-LV"/>
        </w:rPr>
        <w:t>euro</w:t>
      </w:r>
      <w:r w:rsidRPr="00E863CE">
        <w:rPr>
          <w:rFonts w:eastAsia="Times New Roman" w:cs="Times New Roman"/>
          <w:color w:val="000000"/>
          <w:szCs w:val="24"/>
          <w:lang w:eastAsia="lv-LV"/>
        </w:rPr>
        <w:t xml:space="preserve"> un 307 362 </w:t>
      </w:r>
      <w:r w:rsidRPr="00E863CE">
        <w:rPr>
          <w:rFonts w:eastAsia="Times New Roman" w:cs="Times New Roman"/>
          <w:i/>
          <w:color w:val="000000"/>
          <w:szCs w:val="24"/>
          <w:lang w:eastAsia="lv-LV"/>
        </w:rPr>
        <w:t xml:space="preserve">euro </w:t>
      </w:r>
      <w:r w:rsidRPr="00E863CE">
        <w:rPr>
          <w:rFonts w:eastAsia="Times New Roman" w:cs="Times New Roman"/>
          <w:color w:val="000000"/>
          <w:szCs w:val="24"/>
          <w:lang w:eastAsia="lv-LV"/>
        </w:rPr>
        <w:t xml:space="preserve">2016.gadā, starpība, kas veidojas no piešķirtā un </w:t>
      </w:r>
      <w:r>
        <w:rPr>
          <w:rFonts w:eastAsia="Times New Roman" w:cs="Times New Roman"/>
          <w:color w:val="000000"/>
          <w:szCs w:val="24"/>
          <w:lang w:eastAsia="lv-LV"/>
        </w:rPr>
        <w:t xml:space="preserve">faktiski </w:t>
      </w:r>
      <w:r w:rsidRPr="00E863CE">
        <w:rPr>
          <w:rFonts w:eastAsia="Times New Roman" w:cs="Times New Roman"/>
          <w:color w:val="000000"/>
          <w:szCs w:val="24"/>
          <w:lang w:eastAsia="lv-LV"/>
        </w:rPr>
        <w:t>nepieciešamā finansējuma 6</w:t>
      </w:r>
      <w:r w:rsidR="00F92905">
        <w:rPr>
          <w:rFonts w:eastAsia="Times New Roman" w:cs="Times New Roman"/>
          <w:color w:val="000000"/>
          <w:szCs w:val="24"/>
          <w:lang w:eastAsia="lv-LV"/>
        </w:rPr>
        <w:t>3 488</w:t>
      </w:r>
      <w:r w:rsidRPr="00E863CE">
        <w:rPr>
          <w:rFonts w:eastAsia="Times New Roman" w:cs="Times New Roman"/>
          <w:i/>
          <w:color w:val="000000"/>
          <w:szCs w:val="24"/>
          <w:lang w:eastAsia="lv-LV"/>
        </w:rPr>
        <w:t xml:space="preserve"> euro</w:t>
      </w:r>
      <w:r w:rsidRPr="00E863CE">
        <w:rPr>
          <w:rFonts w:eastAsia="Times New Roman" w:cs="Times New Roman"/>
          <w:color w:val="000000"/>
          <w:szCs w:val="24"/>
          <w:lang w:eastAsia="lv-LV"/>
        </w:rPr>
        <w:t xml:space="preserve"> apmērā ir novirzāma aktuālāku izdevumu segšanai.</w:t>
      </w:r>
    </w:p>
    <w:p w:rsidR="00995BDE" w:rsidRDefault="00995BDE" w:rsidP="00572CDA">
      <w:pPr>
        <w:spacing w:before="240" w:after="240"/>
        <w:jc w:val="both"/>
        <w:rPr>
          <w:rFonts w:cs="Times New Roman"/>
          <w:b/>
          <w:szCs w:val="24"/>
        </w:rPr>
      </w:pPr>
      <w:r>
        <w:rPr>
          <w:rFonts w:cs="Times New Roman"/>
          <w:b/>
          <w:szCs w:val="24"/>
        </w:rPr>
        <w:t xml:space="preserve">KM - </w:t>
      </w:r>
      <w:r w:rsidRPr="00995BDE">
        <w:rPr>
          <w:rFonts w:eastAsia="Times New Roman" w:cs="Times New Roman"/>
          <w:b/>
          <w:color w:val="000000"/>
          <w:szCs w:val="24"/>
          <w:lang w:eastAsia="lv-LV"/>
        </w:rPr>
        <w:t>Reģionālo koncertzāļu valsts pasūtījuma profesionālās mākslas izpildījumam reģionos un M.Rotko centram izstāžu zāles nodrošinājumam</w:t>
      </w:r>
    </w:p>
    <w:p w:rsidR="00995BDE" w:rsidRDefault="00995BDE" w:rsidP="00995BDE">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KM</w:t>
      </w:r>
      <w:r w:rsidRPr="00E863CE">
        <w:rPr>
          <w:rFonts w:eastAsia="Times New Roman" w:cs="Times New Roman"/>
          <w:color w:val="000000"/>
          <w:szCs w:val="24"/>
          <w:lang w:eastAsia="lv-LV"/>
        </w:rPr>
        <w:t xml:space="preserve"> apakšprogrammā 19.07.00 “Mākslas un literatūra” 2014. – 2016.gada ietvarā piešķirts finansējums </w:t>
      </w:r>
      <w:r w:rsidR="005260CE">
        <w:rPr>
          <w:rFonts w:eastAsia="Times New Roman" w:cs="Times New Roman"/>
          <w:color w:val="000000"/>
          <w:szCs w:val="24"/>
          <w:lang w:eastAsia="lv-LV"/>
        </w:rPr>
        <w:t>JPI</w:t>
      </w:r>
      <w:r w:rsidRPr="00E863CE">
        <w:rPr>
          <w:rFonts w:eastAsia="Times New Roman" w:cs="Times New Roman"/>
          <w:color w:val="000000"/>
          <w:szCs w:val="24"/>
          <w:lang w:eastAsia="lv-LV"/>
        </w:rPr>
        <w:t xml:space="preserve"> “Reģionālo koncertzāļu valsts pasūtījuma profesionālās mākslas izpildījumam reģionos un M.Rotko centram izstāžu zāles nodrošinājumam” 2014.gadam 569 149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un 2015. un 2016.gadā 782 579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ik gadu, pamatā izdevumus paredzot kultūras pasākumu nodrošināšanai.  </w:t>
      </w:r>
    </w:p>
    <w:p w:rsidR="00995BDE" w:rsidRPr="00E863CE" w:rsidRDefault="00995BDE" w:rsidP="00995BDE">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lastRenderedPageBreak/>
        <w:t>Vienlaikus KM</w:t>
      </w:r>
      <w:r w:rsidRPr="00E863CE">
        <w:rPr>
          <w:rFonts w:eastAsia="Times New Roman" w:cs="Times New Roman"/>
          <w:color w:val="000000"/>
          <w:szCs w:val="24"/>
          <w:lang w:eastAsia="lv-LV"/>
        </w:rPr>
        <w:t xml:space="preserve"> apakšprogrammā 22.02.00 “Kultūras pasākumi, sadarbības līgumi un programmas” 2014. – 2016.gada ietvarā piešķirts finansējums </w:t>
      </w:r>
      <w:r w:rsidR="005260CE">
        <w:rPr>
          <w:rFonts w:eastAsia="Times New Roman" w:cs="Times New Roman"/>
          <w:color w:val="000000"/>
          <w:szCs w:val="24"/>
          <w:lang w:eastAsia="lv-LV"/>
        </w:rPr>
        <w:t>JPI</w:t>
      </w:r>
      <w:r w:rsidRPr="00E863CE">
        <w:rPr>
          <w:rFonts w:eastAsia="Times New Roman" w:cs="Times New Roman"/>
          <w:color w:val="000000"/>
          <w:szCs w:val="24"/>
          <w:lang w:eastAsia="lv-LV"/>
        </w:rPr>
        <w:t xml:space="preserve"> “Starptautiskā sadarbība – finansējums noslēgto starpvalstu sadarbības programmu ietvaros kultūras sadarbībai un valstiski nozīmīgiem kultūras pasākumiem” 2014.gadam 853 723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un 2015. un 2016.gadā 924 867 </w:t>
      </w:r>
      <w:r w:rsidRPr="00E863CE">
        <w:rPr>
          <w:rFonts w:eastAsia="Times New Roman" w:cs="Times New Roman"/>
          <w:i/>
          <w:iCs/>
          <w:color w:val="000000"/>
          <w:szCs w:val="24"/>
          <w:lang w:eastAsia="lv-LV"/>
        </w:rPr>
        <w:t>euro</w:t>
      </w:r>
      <w:r w:rsidRPr="00E863CE">
        <w:rPr>
          <w:rFonts w:eastAsia="Times New Roman" w:cs="Times New Roman"/>
          <w:color w:val="000000"/>
          <w:szCs w:val="24"/>
          <w:lang w:eastAsia="lv-LV"/>
        </w:rPr>
        <w:t xml:space="preserve"> apmērā ik gadu, pamatā izdevumus paredzot starpvalstu līgumu programmu izpildei, starptautisko sakaru un kultūras pasākumu nodrošināšanai.  </w:t>
      </w:r>
    </w:p>
    <w:p w:rsidR="00995BDE" w:rsidRPr="00FD320F" w:rsidRDefault="00995BDE" w:rsidP="00FD320F">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Ņemot vērā KM sniegto informāciju, no 2016.gada</w:t>
      </w:r>
      <w:r w:rsidRPr="00B54F1A">
        <w:rPr>
          <w:rFonts w:eastAsia="Times New Roman" w:cs="Times New Roman"/>
          <w:color w:val="000000"/>
          <w:szCs w:val="24"/>
          <w:lang w:eastAsia="lv-LV"/>
        </w:rPr>
        <w:t xml:space="preserve"> veikta funkciju pārdale</w:t>
      </w:r>
      <w:r>
        <w:rPr>
          <w:rFonts w:eastAsia="Times New Roman" w:cs="Times New Roman"/>
          <w:color w:val="000000"/>
          <w:szCs w:val="24"/>
          <w:lang w:eastAsia="lv-LV"/>
        </w:rPr>
        <w:t xml:space="preserve"> starp Kultūras ministriju un Valsts kultūrkapitāla fondu</w:t>
      </w:r>
      <w:r w:rsidRPr="00B54F1A">
        <w:rPr>
          <w:rFonts w:eastAsia="Times New Roman" w:cs="Times New Roman"/>
          <w:color w:val="000000"/>
          <w:szCs w:val="24"/>
          <w:lang w:eastAsia="lv-LV"/>
        </w:rPr>
        <w:t>, vienojoties, ka koncertzāļu mākslinieciskā satura un pasākumu nodro</w:t>
      </w:r>
      <w:r>
        <w:rPr>
          <w:rFonts w:eastAsia="Times New Roman" w:cs="Times New Roman"/>
          <w:color w:val="000000"/>
          <w:szCs w:val="24"/>
          <w:lang w:eastAsia="lv-LV"/>
        </w:rPr>
        <w:t>šinājuma jautājumus izskata Valsts kultūrkapitāla fonds</w:t>
      </w:r>
      <w:r w:rsidRPr="00B54F1A">
        <w:rPr>
          <w:rFonts w:eastAsia="Times New Roman" w:cs="Times New Roman"/>
          <w:color w:val="000000"/>
          <w:szCs w:val="24"/>
          <w:lang w:eastAsia="lv-LV"/>
        </w:rPr>
        <w:t>, bet kultūras nozares balvu vērtēšanas un pasniegšanas norisi tur</w:t>
      </w:r>
      <w:r>
        <w:rPr>
          <w:rFonts w:eastAsia="Times New Roman" w:cs="Times New Roman"/>
          <w:color w:val="000000"/>
          <w:szCs w:val="24"/>
          <w:lang w:eastAsia="lv-LV"/>
        </w:rPr>
        <w:t>pmāk īsteno Kultūras ministrija. Lai novērstu dubulta</w:t>
      </w:r>
      <w:r w:rsidRPr="00E863CE">
        <w:rPr>
          <w:rFonts w:eastAsia="Times New Roman" w:cs="Times New Roman"/>
          <w:color w:val="000000"/>
          <w:szCs w:val="24"/>
          <w:lang w:eastAsia="lv-LV"/>
        </w:rPr>
        <w:t xml:space="preserve"> finansējuma piešķiršanu nozares balvām, Venēcijas biennālei un starptautiskajai sadarbībai, ņemot vērā, ka līdzekļi minētajiem mērķiem jau plānoti jaunās politikas iniciatīvas “Starptautiskā sadarbība – finansējums noslēgto starpvalstu sadarbības programmu ietvaros kultūras sadarbībai un valstiski nozīmīgiem kultūras pasākumiem” ietvaros</w:t>
      </w:r>
      <w:r>
        <w:rPr>
          <w:rFonts w:eastAsia="Times New Roman" w:cs="Times New Roman"/>
          <w:color w:val="000000"/>
          <w:szCs w:val="24"/>
          <w:lang w:eastAsia="lv-LV"/>
        </w:rPr>
        <w:t>, f</w:t>
      </w:r>
      <w:r w:rsidRPr="00E863CE">
        <w:rPr>
          <w:rFonts w:eastAsia="Times New Roman" w:cs="Times New Roman"/>
          <w:color w:val="000000"/>
          <w:szCs w:val="24"/>
          <w:lang w:eastAsia="lv-LV"/>
        </w:rPr>
        <w:t>inansējums 569 523</w:t>
      </w:r>
      <w:r w:rsidRPr="00E863CE">
        <w:rPr>
          <w:rFonts w:eastAsia="Times New Roman" w:cs="Times New Roman"/>
          <w:i/>
          <w:color w:val="000000"/>
          <w:szCs w:val="24"/>
          <w:lang w:eastAsia="lv-LV"/>
        </w:rPr>
        <w:t xml:space="preserve"> euro</w:t>
      </w:r>
      <w:r w:rsidRPr="00E863CE">
        <w:rPr>
          <w:rFonts w:eastAsia="Times New Roman" w:cs="Times New Roman"/>
          <w:color w:val="000000"/>
          <w:szCs w:val="24"/>
          <w:lang w:eastAsia="lv-LV"/>
        </w:rPr>
        <w:t xml:space="preserve"> apmērā paredz</w:t>
      </w:r>
      <w:r>
        <w:rPr>
          <w:rFonts w:eastAsia="Times New Roman" w:cs="Times New Roman"/>
          <w:color w:val="000000"/>
          <w:szCs w:val="24"/>
          <w:lang w:eastAsia="lv-LV"/>
        </w:rPr>
        <w:t>ams aktuālāku izdevumu segšanai</w:t>
      </w:r>
      <w:r w:rsidRPr="00E863CE">
        <w:rPr>
          <w:rFonts w:eastAsia="Times New Roman" w:cs="Times New Roman"/>
          <w:color w:val="000000"/>
          <w:szCs w:val="24"/>
          <w:lang w:eastAsia="lv-LV"/>
        </w:rPr>
        <w:t>.</w:t>
      </w:r>
    </w:p>
    <w:p w:rsidR="00794BDF" w:rsidRDefault="00587315" w:rsidP="00786A89">
      <w:pPr>
        <w:jc w:val="both"/>
        <w:rPr>
          <w:rFonts w:cs="Times New Roman"/>
          <w:b/>
          <w:szCs w:val="24"/>
        </w:rPr>
      </w:pPr>
      <w:r>
        <w:rPr>
          <w:rFonts w:cs="Times New Roman"/>
          <w:b/>
          <w:szCs w:val="24"/>
        </w:rPr>
        <w:t>VM</w:t>
      </w:r>
      <w:r w:rsidR="00794BDF">
        <w:rPr>
          <w:rFonts w:cs="Times New Roman"/>
          <w:b/>
          <w:szCs w:val="24"/>
        </w:rPr>
        <w:t xml:space="preserve"> - </w:t>
      </w:r>
      <w:r w:rsidR="00794BDF" w:rsidRPr="00794BDF">
        <w:rPr>
          <w:rFonts w:eastAsia="Times New Roman" w:cs="Times New Roman"/>
          <w:b/>
          <w:color w:val="000000"/>
          <w:szCs w:val="24"/>
          <w:lang w:eastAsia="lv-LV"/>
        </w:rPr>
        <w:t>Veselības ministrijas dalība OECD</w:t>
      </w:r>
    </w:p>
    <w:p w:rsidR="00794BDF" w:rsidRDefault="00794BDF" w:rsidP="00794BDF">
      <w:pPr>
        <w:pStyle w:val="ListParagraph"/>
        <w:ind w:left="0" w:firstLine="709"/>
        <w:jc w:val="both"/>
        <w:rPr>
          <w:rFonts w:cs="Times New Roman"/>
          <w:szCs w:val="24"/>
        </w:rPr>
      </w:pPr>
    </w:p>
    <w:p w:rsidR="00794BDF" w:rsidRPr="00DD4B48" w:rsidRDefault="00587315" w:rsidP="00794BDF">
      <w:pPr>
        <w:pStyle w:val="ListParagraph"/>
        <w:spacing w:after="120"/>
        <w:ind w:left="0" w:firstLine="709"/>
        <w:contextualSpacing w:val="0"/>
        <w:jc w:val="both"/>
        <w:rPr>
          <w:rFonts w:cs="Times New Roman"/>
          <w:szCs w:val="24"/>
        </w:rPr>
      </w:pPr>
      <w:r>
        <w:rPr>
          <w:rFonts w:cs="Times New Roman"/>
          <w:szCs w:val="24"/>
        </w:rPr>
        <w:t>VM</w:t>
      </w:r>
      <w:r w:rsidR="00794BDF" w:rsidRPr="00DD4B48">
        <w:rPr>
          <w:rFonts w:cs="Times New Roman"/>
          <w:szCs w:val="24"/>
        </w:rPr>
        <w:t xml:space="preserve"> programmā 97.00.00 “Nozares vadīb</w:t>
      </w:r>
      <w:r w:rsidR="00794BDF">
        <w:rPr>
          <w:rFonts w:cs="Times New Roman"/>
          <w:szCs w:val="24"/>
        </w:rPr>
        <w:t>a un politikas plānošana” 2014.</w:t>
      </w:r>
      <w:r w:rsidR="00794BDF">
        <w:rPr>
          <w:rFonts w:cs="Times New Roman"/>
          <w:szCs w:val="24"/>
        </w:rPr>
        <w:noBreakHyphen/>
      </w:r>
      <w:r w:rsidR="00794BDF" w:rsidRPr="00DD4B48">
        <w:rPr>
          <w:rFonts w:cs="Times New Roman"/>
          <w:szCs w:val="24"/>
        </w:rPr>
        <w:t xml:space="preserve">2016.gada ietvarā piešķirts finansējums </w:t>
      </w:r>
      <w:r>
        <w:rPr>
          <w:rFonts w:cs="Times New Roman"/>
          <w:szCs w:val="24"/>
        </w:rPr>
        <w:t>JPI</w:t>
      </w:r>
      <w:r w:rsidR="00794BDF" w:rsidRPr="00DD4B48">
        <w:rPr>
          <w:rFonts w:cs="Times New Roman"/>
          <w:szCs w:val="24"/>
        </w:rPr>
        <w:t xml:space="preserve"> “</w:t>
      </w:r>
      <w:r w:rsidR="00794BDF" w:rsidRPr="00DD4B48">
        <w:rPr>
          <w:rFonts w:eastAsia="Times New Roman" w:cs="Times New Roman"/>
          <w:color w:val="000000"/>
          <w:szCs w:val="24"/>
          <w:lang w:eastAsia="lv-LV"/>
        </w:rPr>
        <w:t>Veselības ministrijas dalība OECD</w:t>
      </w:r>
      <w:r w:rsidR="00794BDF" w:rsidRPr="00DD4B48">
        <w:rPr>
          <w:rFonts w:cs="Times New Roman"/>
          <w:szCs w:val="24"/>
        </w:rPr>
        <w:t xml:space="preserve">” 2014.gadam un turpmāk ik gadu 22 901 </w:t>
      </w:r>
      <w:r w:rsidR="00794BDF" w:rsidRPr="00DD4B48">
        <w:rPr>
          <w:rFonts w:cs="Times New Roman"/>
          <w:i/>
          <w:szCs w:val="24"/>
        </w:rPr>
        <w:t>euro</w:t>
      </w:r>
      <w:r w:rsidR="00794BDF" w:rsidRPr="00DD4B48">
        <w:rPr>
          <w:rFonts w:cs="Times New Roman"/>
          <w:szCs w:val="24"/>
        </w:rPr>
        <w:t xml:space="preserve"> apmērā.</w:t>
      </w:r>
    </w:p>
    <w:p w:rsidR="00794BDF" w:rsidRDefault="00794BDF" w:rsidP="00B127E1">
      <w:pPr>
        <w:pStyle w:val="ListParagraph"/>
        <w:spacing w:after="120"/>
        <w:ind w:left="0" w:firstLine="709"/>
        <w:contextualSpacing w:val="0"/>
        <w:jc w:val="both"/>
        <w:rPr>
          <w:rFonts w:cs="Times New Roman"/>
          <w:szCs w:val="24"/>
        </w:rPr>
      </w:pPr>
      <w:r w:rsidRPr="00DD4B48">
        <w:rPr>
          <w:rFonts w:cs="Times New Roman"/>
          <w:szCs w:val="24"/>
        </w:rPr>
        <w:t xml:space="preserve">Plānojot izdevumus </w:t>
      </w:r>
      <w:r w:rsidR="00587315">
        <w:rPr>
          <w:rFonts w:eastAsia="Times New Roman" w:cs="Times New Roman"/>
          <w:color w:val="000000"/>
          <w:szCs w:val="24"/>
          <w:lang w:eastAsia="lv-LV"/>
        </w:rPr>
        <w:t>VM</w:t>
      </w:r>
      <w:r w:rsidRPr="00DD4B48">
        <w:rPr>
          <w:rFonts w:eastAsia="Times New Roman" w:cs="Times New Roman"/>
          <w:color w:val="000000"/>
          <w:szCs w:val="24"/>
          <w:lang w:eastAsia="lv-LV"/>
        </w:rPr>
        <w:t xml:space="preserve"> dalībai OECD,</w:t>
      </w:r>
      <w:r w:rsidRPr="00DD4B48">
        <w:rPr>
          <w:rFonts w:cs="Times New Roman"/>
          <w:szCs w:val="24"/>
        </w:rPr>
        <w:t xml:space="preserve"> vidēji </w:t>
      </w:r>
      <w:r>
        <w:rPr>
          <w:rFonts w:cs="Times New Roman"/>
          <w:szCs w:val="24"/>
        </w:rPr>
        <w:t>2016.</w:t>
      </w:r>
      <w:r w:rsidRPr="00DD4B48">
        <w:rPr>
          <w:rFonts w:cs="Times New Roman"/>
          <w:szCs w:val="24"/>
        </w:rPr>
        <w:t xml:space="preserve">gadā tika plānoti 9 komandējumi vienam pārstāvim, tomēr faktiski 2016.gadā Veselības ministrijas divi eksperti piedalījās tikai divās sanāksmēs (4 komandējumi). Līdz ar to, ņemot vērā </w:t>
      </w:r>
      <w:r w:rsidR="00587315">
        <w:rPr>
          <w:rFonts w:cs="Times New Roman"/>
          <w:szCs w:val="24"/>
        </w:rPr>
        <w:t>VM</w:t>
      </w:r>
      <w:r w:rsidRPr="00DD4B48">
        <w:rPr>
          <w:rFonts w:cs="Times New Roman"/>
          <w:szCs w:val="24"/>
        </w:rPr>
        <w:t xml:space="preserve"> faktisko 2016.gada izdevumu izpildi komandējumiem saistībā ar dalību OECD, kas ir par 7 906 </w:t>
      </w:r>
      <w:r w:rsidRPr="00DD4B48">
        <w:rPr>
          <w:rFonts w:cs="Times New Roman"/>
          <w:i/>
          <w:szCs w:val="24"/>
        </w:rPr>
        <w:t>euro</w:t>
      </w:r>
      <w:r w:rsidRPr="00DD4B48">
        <w:rPr>
          <w:rFonts w:cs="Times New Roman"/>
          <w:szCs w:val="24"/>
        </w:rPr>
        <w:t xml:space="preserve"> mazāka nekā tika plānots,  finansējums 7 906 </w:t>
      </w:r>
      <w:r w:rsidRPr="00DD4B48">
        <w:rPr>
          <w:rFonts w:cs="Times New Roman"/>
          <w:i/>
          <w:szCs w:val="24"/>
        </w:rPr>
        <w:t>euro</w:t>
      </w:r>
      <w:r w:rsidRPr="00DD4B48">
        <w:rPr>
          <w:rFonts w:cs="Times New Roman"/>
          <w:szCs w:val="24"/>
        </w:rPr>
        <w:t xml:space="preserve"> apmērā</w:t>
      </w:r>
      <w:r>
        <w:rPr>
          <w:rFonts w:cs="Times New Roman"/>
          <w:szCs w:val="24"/>
        </w:rPr>
        <w:t>,</w:t>
      </w:r>
      <w:r w:rsidRPr="00DD4B48">
        <w:rPr>
          <w:rFonts w:cs="Times New Roman"/>
          <w:szCs w:val="24"/>
        </w:rPr>
        <w:t xml:space="preserve"> sākot ar 2018.gadu</w:t>
      </w:r>
      <w:r>
        <w:rPr>
          <w:rFonts w:cs="Times New Roman"/>
          <w:szCs w:val="24"/>
        </w:rPr>
        <w:t>,</w:t>
      </w:r>
      <w:r w:rsidRPr="00DD4B48">
        <w:rPr>
          <w:rFonts w:cs="Times New Roman"/>
          <w:szCs w:val="24"/>
        </w:rPr>
        <w:t xml:space="preserve"> ir novirzāms </w:t>
      </w:r>
      <w:r w:rsidR="00711F89">
        <w:rPr>
          <w:rFonts w:cs="Times New Roman"/>
          <w:szCs w:val="24"/>
        </w:rPr>
        <w:t>aktuālāko pasākumu īstenošanai</w:t>
      </w:r>
      <w:r w:rsidR="00B127E1">
        <w:rPr>
          <w:rFonts w:cs="Times New Roman"/>
          <w:szCs w:val="24"/>
        </w:rPr>
        <w:t>.</w:t>
      </w:r>
    </w:p>
    <w:p w:rsidR="00BE6F9C" w:rsidRPr="00BE6F9C" w:rsidRDefault="00BE6F9C" w:rsidP="00BE6F9C">
      <w:pPr>
        <w:jc w:val="both"/>
        <w:rPr>
          <w:rFonts w:cs="Times New Roman"/>
          <w:b/>
          <w:szCs w:val="24"/>
        </w:rPr>
      </w:pPr>
      <w:r w:rsidRPr="00BE6F9C">
        <w:rPr>
          <w:rFonts w:cs="Times New Roman"/>
          <w:b/>
          <w:szCs w:val="24"/>
        </w:rPr>
        <w:t xml:space="preserve">VM - </w:t>
      </w:r>
      <w:r w:rsidRPr="00BE6F9C">
        <w:rPr>
          <w:rFonts w:eastAsia="Times New Roman" w:cs="Times New Roman"/>
          <w:b/>
          <w:color w:val="000000"/>
          <w:szCs w:val="24"/>
          <w:lang w:eastAsia="lv-LV"/>
        </w:rPr>
        <w:t>Ēnu ekonomikas apkarošanas un godīgas konkurences nodrošināšana veselības nozarē</w:t>
      </w:r>
    </w:p>
    <w:p w:rsidR="00BE6F9C" w:rsidRPr="00BE6F9C" w:rsidRDefault="00BE6F9C" w:rsidP="00BE6F9C">
      <w:pPr>
        <w:jc w:val="both"/>
        <w:rPr>
          <w:rFonts w:cs="Times New Roman"/>
          <w:szCs w:val="24"/>
        </w:rPr>
      </w:pPr>
    </w:p>
    <w:p w:rsidR="00BE6F9C" w:rsidRPr="00BE6F9C" w:rsidRDefault="00BE6F9C" w:rsidP="00BE6F9C">
      <w:pPr>
        <w:spacing w:after="120"/>
        <w:ind w:firstLine="720"/>
        <w:jc w:val="both"/>
        <w:rPr>
          <w:rFonts w:cs="Times New Roman"/>
          <w:szCs w:val="24"/>
        </w:rPr>
      </w:pPr>
      <w:r w:rsidRPr="00BE6F9C">
        <w:rPr>
          <w:rFonts w:cs="Times New Roman"/>
          <w:szCs w:val="24"/>
        </w:rPr>
        <w:t>VM apakšprogrammā 46.01.00 “Uzraudzība un kontrole” 2015.</w:t>
      </w:r>
      <w:r w:rsidRPr="00BE6F9C">
        <w:rPr>
          <w:rFonts w:cs="Times New Roman"/>
          <w:szCs w:val="24"/>
        </w:rPr>
        <w:noBreakHyphen/>
        <w:t xml:space="preserve">2017.gada ietvarā piešķirts finansējums JPI “Ēnu ekonomikas apkarošanas un godīgas konkurences nodrošināšana veselības nozarē” īstenošanai 2015.gadam un turpmāk ik gadu 201 165 </w:t>
      </w:r>
      <w:r w:rsidRPr="00BE6F9C">
        <w:rPr>
          <w:rFonts w:cs="Times New Roman"/>
          <w:i/>
          <w:szCs w:val="24"/>
        </w:rPr>
        <w:t>euro</w:t>
      </w:r>
      <w:r>
        <w:rPr>
          <w:rFonts w:cs="Times New Roman"/>
          <w:szCs w:val="24"/>
        </w:rPr>
        <w:t xml:space="preserve"> apmērā,</w:t>
      </w:r>
      <w:r w:rsidRPr="00BE6F9C">
        <w:rPr>
          <w:rFonts w:cs="Times New Roman"/>
          <w:szCs w:val="24"/>
        </w:rPr>
        <w:t xml:space="preserve"> paredzot izveidot 10 amata vietas, lai Veselības inspekcija nodrošinātu ēnu ekonomikas apkarošanu un godīgas konkurences nodrošināšanu veselības nozarē.</w:t>
      </w:r>
    </w:p>
    <w:p w:rsidR="00BE6F9C" w:rsidRPr="00BE6F9C" w:rsidRDefault="00BE6F9C" w:rsidP="00BE6F9C">
      <w:pPr>
        <w:tabs>
          <w:tab w:val="left" w:pos="142"/>
        </w:tabs>
        <w:spacing w:after="120"/>
        <w:ind w:firstLine="720"/>
        <w:jc w:val="both"/>
        <w:rPr>
          <w:szCs w:val="24"/>
        </w:rPr>
      </w:pPr>
      <w:r w:rsidRPr="00BE6F9C">
        <w:rPr>
          <w:rStyle w:val="BodyText1"/>
          <w:rFonts w:eastAsiaTheme="minorHAnsi"/>
          <w:sz w:val="24"/>
          <w:szCs w:val="24"/>
        </w:rPr>
        <w:t xml:space="preserve">Saskaņā ar </w:t>
      </w:r>
      <w:r w:rsidRPr="00BE6F9C">
        <w:rPr>
          <w:szCs w:val="24"/>
        </w:rPr>
        <w:t>V</w:t>
      </w:r>
      <w:r w:rsidR="00F208B8">
        <w:rPr>
          <w:szCs w:val="24"/>
        </w:rPr>
        <w:t xml:space="preserve">Ko </w:t>
      </w:r>
      <w:r w:rsidRPr="00BE6F9C">
        <w:rPr>
          <w:szCs w:val="24"/>
        </w:rPr>
        <w:t>revīzijas “Par Veselības ministrijas 2016.gada pārskatu” ziņojumā norādīto:</w:t>
      </w:r>
    </w:p>
    <w:p w:rsidR="00BE6F9C" w:rsidRPr="00BE6F9C" w:rsidRDefault="00BE6F9C" w:rsidP="008C25BB">
      <w:pPr>
        <w:pStyle w:val="ListParagraph"/>
        <w:numPr>
          <w:ilvl w:val="0"/>
          <w:numId w:val="55"/>
        </w:numPr>
        <w:spacing w:after="120"/>
        <w:ind w:left="0" w:firstLine="493"/>
        <w:contextualSpacing w:val="0"/>
        <w:jc w:val="both"/>
        <w:rPr>
          <w:rFonts w:cs="Times New Roman"/>
          <w:szCs w:val="24"/>
        </w:rPr>
      </w:pPr>
      <w:r w:rsidRPr="00BE6F9C">
        <w:rPr>
          <w:rStyle w:val="BodyText1"/>
          <w:rFonts w:eastAsiaTheme="minorHAnsi"/>
          <w:sz w:val="24"/>
          <w:szCs w:val="24"/>
        </w:rPr>
        <w:t>Veselības inspekcija informēja, ka par veselības aprūpes pakalpojumu pieejamības un budžeta līdzekļu izlietojuma uzraudzības pārbaužu veikšanu ir atbildīga Veselības aprūpes uzraudzības un kontroles departamenta Līgumu uzraudzības nodaļa un Pakalpojumu uzraudzības nodaļa. Visi nodaļu darbinieki ir iesaistīti minēto pārbaužu veikšanā.</w:t>
      </w:r>
      <w:r w:rsidRPr="00BE6F9C">
        <w:rPr>
          <w:rStyle w:val="Tablecaption0"/>
          <w:rFonts w:eastAsiaTheme="minorHAnsi"/>
          <w:sz w:val="24"/>
          <w:szCs w:val="24"/>
        </w:rPr>
        <w:t xml:space="preserve"> </w:t>
      </w:r>
      <w:r w:rsidRPr="00BE6F9C">
        <w:rPr>
          <w:rStyle w:val="BodyText1"/>
          <w:rFonts w:eastAsiaTheme="minorHAnsi"/>
          <w:sz w:val="24"/>
          <w:szCs w:val="24"/>
        </w:rPr>
        <w:t>2015.gada sākumā iepriekš minētajās nodaļās bija nodarbināti 13 inspektori, 2015.gada oktobrī darbā tika pieņemts viens inspektors u</w:t>
      </w:r>
      <w:r w:rsidR="00C23B30">
        <w:rPr>
          <w:rStyle w:val="BodyText1"/>
          <w:rFonts w:eastAsiaTheme="minorHAnsi"/>
          <w:sz w:val="24"/>
          <w:szCs w:val="24"/>
        </w:rPr>
        <w:t>n 2016.gadā vēl divi inspektori;</w:t>
      </w:r>
      <w:r w:rsidRPr="00BE6F9C">
        <w:rPr>
          <w:szCs w:val="24"/>
        </w:rPr>
        <w:t xml:space="preserve"> </w:t>
      </w:r>
    </w:p>
    <w:p w:rsidR="00BE6F9C" w:rsidRPr="00BE6F9C" w:rsidRDefault="00BE6F9C" w:rsidP="008C25BB">
      <w:pPr>
        <w:pStyle w:val="ListParagraph"/>
        <w:numPr>
          <w:ilvl w:val="0"/>
          <w:numId w:val="55"/>
        </w:numPr>
        <w:spacing w:after="120"/>
        <w:ind w:left="0" w:firstLine="493"/>
        <w:contextualSpacing w:val="0"/>
        <w:jc w:val="both"/>
        <w:rPr>
          <w:rStyle w:val="BodyText1"/>
          <w:rFonts w:eastAsiaTheme="minorHAnsi"/>
          <w:sz w:val="24"/>
          <w:szCs w:val="24"/>
        </w:rPr>
      </w:pPr>
      <w:r w:rsidRPr="00BE6F9C">
        <w:rPr>
          <w:rStyle w:val="BodyText1"/>
          <w:rFonts w:eastAsiaTheme="minorHAnsi"/>
          <w:sz w:val="24"/>
          <w:szCs w:val="24"/>
        </w:rPr>
        <w:t>atbilstoši V</w:t>
      </w:r>
      <w:r w:rsidR="00F208B8">
        <w:rPr>
          <w:rStyle w:val="BodyText1"/>
          <w:rFonts w:eastAsiaTheme="minorHAnsi"/>
          <w:sz w:val="24"/>
          <w:szCs w:val="24"/>
        </w:rPr>
        <w:t xml:space="preserve">Ko </w:t>
      </w:r>
      <w:r w:rsidRPr="00BE6F9C">
        <w:rPr>
          <w:rStyle w:val="BodyText1"/>
          <w:rFonts w:eastAsiaTheme="minorHAnsi"/>
          <w:sz w:val="24"/>
          <w:szCs w:val="24"/>
        </w:rPr>
        <w:t>aprēķiniem katrs inspektors 2014.gadā veica vidēji 19 uzraudzības pārbaudes. Veselības inspekcija plānoja, ka, pārbaudēm piesaistot jaunus darbiniekus, tiks nodrošināta 345 uzraudzības pārbaužu veikšana gan 2015., gan 2016.gadā, tas ir, katram inspektoram būtu jānodrošina vidēji vien 15 pārbaužu veikšana, kas ir vidēji par četrām pārbaudēm mazāk, nekā faktiski veikts 2014.gadā. Lai gan pārbaužu veikšanai ir piesaistīts mazāks inspektoru skaits, tomēr revīzijas laikā konstatēts, ka 2015.gadā veikto uzrau</w:t>
      </w:r>
      <w:r w:rsidR="003E1C31">
        <w:rPr>
          <w:rStyle w:val="BodyText1"/>
          <w:rFonts w:eastAsiaTheme="minorHAnsi"/>
          <w:sz w:val="24"/>
          <w:szCs w:val="24"/>
        </w:rPr>
        <w:t xml:space="preserve">dzības </w:t>
      </w:r>
      <w:r w:rsidR="003E1C31">
        <w:rPr>
          <w:rStyle w:val="BodyText1"/>
          <w:rFonts w:eastAsiaTheme="minorHAnsi"/>
          <w:sz w:val="24"/>
          <w:szCs w:val="24"/>
        </w:rPr>
        <w:lastRenderedPageBreak/>
        <w:t>pārbaužu skaits sasniedz</w:t>
      </w:r>
      <w:r w:rsidRPr="00BE6F9C">
        <w:rPr>
          <w:rStyle w:val="BodyText1"/>
          <w:rFonts w:eastAsiaTheme="minorHAnsi"/>
          <w:sz w:val="24"/>
          <w:szCs w:val="24"/>
        </w:rPr>
        <w:t xml:space="preserve"> 90 % no plānotā rādītāja, savukārt 2016.gadā par septiņiem procentiem pārsniedz plānoto pārbaužu skaitu, kā arī abos gados ir pieaudzis veselības aprūpes pakalpojumu sniedzēju skaits, kuru pārbaudēs nav konstatēti pārkāpumi un ierosinātas administratīvās lietas. Katrs inspektors 2015.gadā veica vidēji 22 uzraudzības pārbaudes, bet 2016.gadā </w:t>
      </w:r>
      <w:r w:rsidR="00C23B30">
        <w:rPr>
          <w:rStyle w:val="BodyText1"/>
          <w:rFonts w:eastAsiaTheme="minorHAnsi"/>
          <w:sz w:val="24"/>
          <w:szCs w:val="24"/>
        </w:rPr>
        <w:t>– 24 uzraudzības pārbaudes</w:t>
      </w:r>
      <w:r w:rsidR="005A72A2">
        <w:rPr>
          <w:rStyle w:val="BodyText1"/>
          <w:rFonts w:eastAsiaTheme="minorHAnsi"/>
          <w:sz w:val="24"/>
          <w:szCs w:val="24"/>
        </w:rPr>
        <w:t xml:space="preserve"> (</w:t>
      </w:r>
      <w:r w:rsidR="005A72A2" w:rsidRPr="003E1C31">
        <w:t xml:space="preserve">skat. </w:t>
      </w:r>
      <w:r w:rsidR="005A72A2" w:rsidRPr="005A72A2">
        <w:t>tabulu Nr.3.4</w:t>
      </w:r>
      <w:r w:rsidR="005A72A2">
        <w:t>3</w:t>
      </w:r>
      <w:r w:rsidR="00D86274">
        <w:t>.</w:t>
      </w:r>
      <w:r w:rsidR="005A72A2" w:rsidRPr="005A72A2">
        <w:t>)</w:t>
      </w:r>
      <w:r w:rsidR="00C23B30">
        <w:rPr>
          <w:rStyle w:val="BodyText1"/>
          <w:rFonts w:eastAsiaTheme="minorHAnsi"/>
          <w:sz w:val="24"/>
          <w:szCs w:val="24"/>
        </w:rPr>
        <w:t>;</w:t>
      </w:r>
    </w:p>
    <w:p w:rsidR="00BE6F9C" w:rsidRPr="00C23B30" w:rsidRDefault="003E1C31" w:rsidP="00C23B30">
      <w:pPr>
        <w:pStyle w:val="BodyText6"/>
        <w:shd w:val="clear" w:color="auto" w:fill="auto"/>
        <w:spacing w:before="0" w:after="76" w:line="220" w:lineRule="exact"/>
        <w:ind w:left="1440" w:right="20" w:firstLine="0"/>
        <w:jc w:val="right"/>
        <w:rPr>
          <w:rStyle w:val="Tablecaption"/>
          <w:sz w:val="24"/>
          <w:szCs w:val="24"/>
        </w:rPr>
      </w:pPr>
      <w:r w:rsidRPr="003E1C31">
        <w:rPr>
          <w:rStyle w:val="BodyText3"/>
          <w:sz w:val="24"/>
          <w:szCs w:val="24"/>
        </w:rPr>
        <w:t>Tabula Nr.3.43</w:t>
      </w:r>
      <w:r w:rsidR="00D86274">
        <w:rPr>
          <w:rStyle w:val="BodyText3"/>
          <w:sz w:val="24"/>
          <w:szCs w:val="24"/>
        </w:rPr>
        <w:t>.</w:t>
      </w:r>
    </w:p>
    <w:p w:rsidR="00BE6F9C" w:rsidRPr="00C23B30" w:rsidRDefault="00BE6F9C" w:rsidP="00C23B30">
      <w:pPr>
        <w:pStyle w:val="ListParagraph"/>
        <w:spacing w:after="120"/>
        <w:ind w:left="0"/>
        <w:contextualSpacing w:val="0"/>
        <w:jc w:val="center"/>
        <w:rPr>
          <w:rStyle w:val="Tablecaption"/>
          <w:rFonts w:eastAsiaTheme="minorHAnsi"/>
          <w:b/>
          <w:sz w:val="24"/>
          <w:szCs w:val="24"/>
        </w:rPr>
      </w:pPr>
      <w:r w:rsidRPr="00C23B30">
        <w:rPr>
          <w:rStyle w:val="Tablecaption"/>
          <w:rFonts w:eastAsiaTheme="minorHAnsi"/>
          <w:b/>
          <w:sz w:val="24"/>
          <w:szCs w:val="24"/>
        </w:rPr>
        <w:t>Informācija par plānoto un faktiski veikto pārbaužu skaitu 2014., 2015. un 2016.gadu</w:t>
      </w:r>
    </w:p>
    <w:tbl>
      <w:tblPr>
        <w:tblStyle w:val="TableGrid"/>
        <w:tblW w:w="5000" w:type="pct"/>
        <w:tblLook w:val="04A0" w:firstRow="1" w:lastRow="0" w:firstColumn="1" w:lastColumn="0" w:noHBand="0" w:noVBand="1"/>
      </w:tblPr>
      <w:tblGrid>
        <w:gridCol w:w="1813"/>
        <w:gridCol w:w="1812"/>
        <w:gridCol w:w="1812"/>
        <w:gridCol w:w="1812"/>
        <w:gridCol w:w="1812"/>
      </w:tblGrid>
      <w:tr w:rsidR="00BE6F9C" w:rsidRPr="00C23B30" w:rsidTr="000F28B9">
        <w:trPr>
          <w:trHeight w:val="550"/>
          <w:tblHeader/>
        </w:trPr>
        <w:tc>
          <w:tcPr>
            <w:tcW w:w="1000" w:type="pct"/>
            <w:shd w:val="clear" w:color="auto" w:fill="C5E0B3" w:themeFill="accent6" w:themeFillTint="66"/>
            <w:vAlign w:val="center"/>
          </w:tcPr>
          <w:p w:rsidR="00BE6F9C" w:rsidRPr="00C23B30" w:rsidRDefault="00BE6F9C" w:rsidP="00C23B30">
            <w:pPr>
              <w:jc w:val="center"/>
              <w:rPr>
                <w:rFonts w:cs="Times New Roman"/>
                <w:b/>
                <w:sz w:val="22"/>
              </w:rPr>
            </w:pPr>
            <w:r w:rsidRPr="00C23B30">
              <w:rPr>
                <w:rFonts w:cs="Times New Roman"/>
                <w:b/>
                <w:sz w:val="22"/>
              </w:rPr>
              <w:t>Rezultatīvais rādītājs</w:t>
            </w:r>
          </w:p>
        </w:tc>
        <w:tc>
          <w:tcPr>
            <w:tcW w:w="1000" w:type="pct"/>
            <w:shd w:val="clear" w:color="auto" w:fill="C5E0B3" w:themeFill="accent6" w:themeFillTint="66"/>
            <w:vAlign w:val="center"/>
          </w:tcPr>
          <w:p w:rsidR="00BE6F9C" w:rsidRPr="00C23B30" w:rsidRDefault="00BE6F9C" w:rsidP="00C23B30">
            <w:pPr>
              <w:jc w:val="center"/>
              <w:rPr>
                <w:rFonts w:cs="Times New Roman"/>
                <w:b/>
                <w:sz w:val="22"/>
              </w:rPr>
            </w:pPr>
            <w:r w:rsidRPr="00C23B30">
              <w:rPr>
                <w:rFonts w:cs="Times New Roman"/>
                <w:b/>
                <w:sz w:val="22"/>
              </w:rPr>
              <w:t>Rezultatīvais rādītājs</w:t>
            </w:r>
          </w:p>
        </w:tc>
        <w:tc>
          <w:tcPr>
            <w:tcW w:w="1000" w:type="pct"/>
            <w:shd w:val="clear" w:color="auto" w:fill="C5E0B3" w:themeFill="accent6" w:themeFillTint="66"/>
            <w:vAlign w:val="center"/>
          </w:tcPr>
          <w:p w:rsidR="00BE6F9C" w:rsidRPr="00C23B30" w:rsidRDefault="00BE6F9C" w:rsidP="00C23B30">
            <w:pPr>
              <w:jc w:val="center"/>
              <w:rPr>
                <w:rFonts w:cs="Times New Roman"/>
                <w:b/>
                <w:sz w:val="22"/>
              </w:rPr>
            </w:pPr>
            <w:r w:rsidRPr="00C23B30">
              <w:rPr>
                <w:rFonts w:cs="Times New Roman"/>
                <w:b/>
                <w:sz w:val="22"/>
              </w:rPr>
              <w:t>2014</w:t>
            </w:r>
          </w:p>
        </w:tc>
        <w:tc>
          <w:tcPr>
            <w:tcW w:w="1000" w:type="pct"/>
            <w:shd w:val="clear" w:color="auto" w:fill="C5E0B3" w:themeFill="accent6" w:themeFillTint="66"/>
            <w:vAlign w:val="center"/>
          </w:tcPr>
          <w:p w:rsidR="00BE6F9C" w:rsidRPr="00C23B30" w:rsidRDefault="00BE6F9C" w:rsidP="00C23B30">
            <w:pPr>
              <w:jc w:val="center"/>
              <w:rPr>
                <w:rFonts w:cs="Times New Roman"/>
                <w:b/>
                <w:sz w:val="22"/>
              </w:rPr>
            </w:pPr>
            <w:r w:rsidRPr="00C23B30">
              <w:rPr>
                <w:rFonts w:cs="Times New Roman"/>
                <w:b/>
                <w:sz w:val="22"/>
              </w:rPr>
              <w:t>2015</w:t>
            </w:r>
          </w:p>
        </w:tc>
        <w:tc>
          <w:tcPr>
            <w:tcW w:w="1000" w:type="pct"/>
            <w:shd w:val="clear" w:color="auto" w:fill="C5E0B3" w:themeFill="accent6" w:themeFillTint="66"/>
            <w:vAlign w:val="center"/>
          </w:tcPr>
          <w:p w:rsidR="00BE6F9C" w:rsidRPr="00C23B30" w:rsidRDefault="00BE6F9C" w:rsidP="00C23B30">
            <w:pPr>
              <w:jc w:val="center"/>
              <w:rPr>
                <w:rFonts w:cs="Times New Roman"/>
                <w:b/>
                <w:sz w:val="22"/>
              </w:rPr>
            </w:pPr>
            <w:r w:rsidRPr="00C23B30">
              <w:rPr>
                <w:rFonts w:cs="Times New Roman"/>
                <w:b/>
                <w:sz w:val="22"/>
              </w:rPr>
              <w:t>2016</w:t>
            </w:r>
          </w:p>
        </w:tc>
      </w:tr>
      <w:tr w:rsidR="00BE6F9C" w:rsidRPr="00C23B30" w:rsidTr="000F28B9">
        <w:trPr>
          <w:trHeight w:val="414"/>
        </w:trPr>
        <w:tc>
          <w:tcPr>
            <w:tcW w:w="1000" w:type="pct"/>
            <w:vMerge w:val="restart"/>
            <w:shd w:val="clear" w:color="auto" w:fill="C5E0B3" w:themeFill="accent6" w:themeFillTint="66"/>
            <w:vAlign w:val="center"/>
          </w:tcPr>
          <w:p w:rsidR="00BE6F9C" w:rsidRPr="00C23B30" w:rsidRDefault="00BE6F9C" w:rsidP="00C23B30">
            <w:pPr>
              <w:jc w:val="center"/>
              <w:rPr>
                <w:rFonts w:cs="Times New Roman"/>
                <w:b/>
                <w:sz w:val="22"/>
              </w:rPr>
            </w:pPr>
            <w:r w:rsidRPr="00C23B30">
              <w:rPr>
                <w:rFonts w:cs="Times New Roman"/>
                <w:b/>
                <w:sz w:val="22"/>
              </w:rPr>
              <w:t>Veikto pārbaužu skaits</w:t>
            </w:r>
          </w:p>
        </w:tc>
        <w:tc>
          <w:tcPr>
            <w:tcW w:w="1000" w:type="pct"/>
            <w:vAlign w:val="center"/>
          </w:tcPr>
          <w:p w:rsidR="00BE6F9C" w:rsidRPr="00C23B30" w:rsidRDefault="00BE6F9C" w:rsidP="00C23B30">
            <w:pPr>
              <w:rPr>
                <w:rFonts w:cs="Times New Roman"/>
                <w:b/>
                <w:sz w:val="22"/>
              </w:rPr>
            </w:pPr>
            <w:r w:rsidRPr="00C23B30">
              <w:rPr>
                <w:rFonts w:cs="Times New Roman"/>
                <w:b/>
                <w:sz w:val="22"/>
              </w:rPr>
              <w:t>Plānotais</w:t>
            </w:r>
          </w:p>
        </w:tc>
        <w:tc>
          <w:tcPr>
            <w:tcW w:w="1000" w:type="pct"/>
          </w:tcPr>
          <w:p w:rsidR="00BE6F9C" w:rsidRPr="00C23B30" w:rsidRDefault="00BE6F9C" w:rsidP="00C23B30">
            <w:pPr>
              <w:jc w:val="center"/>
              <w:rPr>
                <w:rFonts w:cs="Times New Roman"/>
                <w:sz w:val="22"/>
              </w:rPr>
            </w:pPr>
            <w:r w:rsidRPr="00C23B30">
              <w:rPr>
                <w:rFonts w:cs="Times New Roman"/>
                <w:sz w:val="22"/>
              </w:rPr>
              <w:t>180</w:t>
            </w:r>
          </w:p>
        </w:tc>
        <w:tc>
          <w:tcPr>
            <w:tcW w:w="1000" w:type="pct"/>
          </w:tcPr>
          <w:p w:rsidR="00BE6F9C" w:rsidRPr="00C23B30" w:rsidRDefault="00BE6F9C" w:rsidP="00C23B30">
            <w:pPr>
              <w:jc w:val="center"/>
              <w:rPr>
                <w:rFonts w:cs="Times New Roman"/>
                <w:sz w:val="22"/>
              </w:rPr>
            </w:pPr>
            <w:r w:rsidRPr="00C23B30">
              <w:rPr>
                <w:rFonts w:cs="Times New Roman"/>
                <w:sz w:val="22"/>
              </w:rPr>
              <w:t>345</w:t>
            </w:r>
          </w:p>
        </w:tc>
        <w:tc>
          <w:tcPr>
            <w:tcW w:w="1000" w:type="pct"/>
          </w:tcPr>
          <w:p w:rsidR="00BE6F9C" w:rsidRPr="00C23B30" w:rsidRDefault="00BE6F9C" w:rsidP="00C23B30">
            <w:pPr>
              <w:jc w:val="center"/>
              <w:rPr>
                <w:rFonts w:cs="Times New Roman"/>
                <w:sz w:val="22"/>
              </w:rPr>
            </w:pPr>
            <w:r w:rsidRPr="00C23B30">
              <w:rPr>
                <w:rFonts w:cs="Times New Roman"/>
                <w:sz w:val="22"/>
              </w:rPr>
              <w:t>345</w:t>
            </w:r>
          </w:p>
        </w:tc>
      </w:tr>
      <w:tr w:rsidR="00BE6F9C" w:rsidRPr="00C23B30" w:rsidTr="000F28B9">
        <w:trPr>
          <w:trHeight w:val="475"/>
        </w:trPr>
        <w:tc>
          <w:tcPr>
            <w:tcW w:w="1000" w:type="pct"/>
            <w:vMerge/>
            <w:shd w:val="clear" w:color="auto" w:fill="C5E0B3" w:themeFill="accent6" w:themeFillTint="66"/>
          </w:tcPr>
          <w:p w:rsidR="00BE6F9C" w:rsidRPr="00C23B30" w:rsidRDefault="00BE6F9C" w:rsidP="00C23B30">
            <w:pPr>
              <w:rPr>
                <w:rFonts w:cs="Times New Roman"/>
                <w:b/>
                <w:sz w:val="22"/>
              </w:rPr>
            </w:pPr>
          </w:p>
        </w:tc>
        <w:tc>
          <w:tcPr>
            <w:tcW w:w="1000" w:type="pct"/>
            <w:vAlign w:val="center"/>
          </w:tcPr>
          <w:p w:rsidR="00BE6F9C" w:rsidRPr="00C23B30" w:rsidRDefault="00BE6F9C" w:rsidP="00C23B30">
            <w:pPr>
              <w:rPr>
                <w:rFonts w:cs="Times New Roman"/>
                <w:b/>
                <w:sz w:val="22"/>
              </w:rPr>
            </w:pPr>
            <w:r w:rsidRPr="00C23B30">
              <w:rPr>
                <w:rFonts w:cs="Times New Roman"/>
                <w:b/>
                <w:sz w:val="22"/>
              </w:rPr>
              <w:t>Faktiskais</w:t>
            </w:r>
          </w:p>
        </w:tc>
        <w:tc>
          <w:tcPr>
            <w:tcW w:w="1000" w:type="pct"/>
          </w:tcPr>
          <w:p w:rsidR="00BE6F9C" w:rsidRPr="00C23B30" w:rsidRDefault="00BE6F9C" w:rsidP="00C23B30">
            <w:pPr>
              <w:jc w:val="center"/>
              <w:rPr>
                <w:rFonts w:cs="Times New Roman"/>
                <w:sz w:val="22"/>
              </w:rPr>
            </w:pPr>
            <w:r w:rsidRPr="00C23B30">
              <w:rPr>
                <w:rFonts w:cs="Times New Roman"/>
                <w:sz w:val="22"/>
              </w:rPr>
              <w:t>254</w:t>
            </w:r>
          </w:p>
        </w:tc>
        <w:tc>
          <w:tcPr>
            <w:tcW w:w="1000" w:type="pct"/>
          </w:tcPr>
          <w:p w:rsidR="00BE6F9C" w:rsidRPr="00C23B30" w:rsidRDefault="00BE6F9C" w:rsidP="00C23B30">
            <w:pPr>
              <w:jc w:val="center"/>
              <w:rPr>
                <w:rFonts w:cs="Times New Roman"/>
                <w:sz w:val="22"/>
              </w:rPr>
            </w:pPr>
            <w:r w:rsidRPr="00C23B30">
              <w:rPr>
                <w:rFonts w:cs="Times New Roman"/>
                <w:sz w:val="22"/>
              </w:rPr>
              <w:t>312</w:t>
            </w:r>
          </w:p>
        </w:tc>
        <w:tc>
          <w:tcPr>
            <w:tcW w:w="1000" w:type="pct"/>
          </w:tcPr>
          <w:p w:rsidR="00BE6F9C" w:rsidRPr="00C23B30" w:rsidRDefault="00BE6F9C" w:rsidP="00C23B30">
            <w:pPr>
              <w:jc w:val="center"/>
              <w:rPr>
                <w:rFonts w:cs="Times New Roman"/>
                <w:sz w:val="22"/>
              </w:rPr>
            </w:pPr>
            <w:r w:rsidRPr="00C23B30">
              <w:rPr>
                <w:rFonts w:cs="Times New Roman"/>
                <w:sz w:val="22"/>
              </w:rPr>
              <w:t>368</w:t>
            </w:r>
          </w:p>
        </w:tc>
      </w:tr>
      <w:tr w:rsidR="00BE6F9C" w:rsidRPr="00C23B30" w:rsidTr="000F28B9">
        <w:trPr>
          <w:trHeight w:val="407"/>
        </w:trPr>
        <w:tc>
          <w:tcPr>
            <w:tcW w:w="1000" w:type="pct"/>
            <w:vMerge/>
            <w:shd w:val="clear" w:color="auto" w:fill="C5E0B3" w:themeFill="accent6" w:themeFillTint="66"/>
          </w:tcPr>
          <w:p w:rsidR="00BE6F9C" w:rsidRPr="00C23B30" w:rsidRDefault="00BE6F9C" w:rsidP="00C23B30">
            <w:pPr>
              <w:rPr>
                <w:rFonts w:cs="Times New Roman"/>
                <w:b/>
                <w:sz w:val="22"/>
              </w:rPr>
            </w:pPr>
          </w:p>
        </w:tc>
        <w:tc>
          <w:tcPr>
            <w:tcW w:w="1000" w:type="pct"/>
            <w:vAlign w:val="center"/>
          </w:tcPr>
          <w:p w:rsidR="00BE6F9C" w:rsidRPr="00C23B30" w:rsidRDefault="00BE6F9C" w:rsidP="00C23B30">
            <w:pPr>
              <w:rPr>
                <w:rFonts w:cs="Times New Roman"/>
                <w:b/>
                <w:sz w:val="22"/>
              </w:rPr>
            </w:pPr>
            <w:r w:rsidRPr="00C23B30">
              <w:rPr>
                <w:rFonts w:cs="Times New Roman"/>
                <w:b/>
                <w:sz w:val="22"/>
              </w:rPr>
              <w:t>Izpilde,%</w:t>
            </w:r>
          </w:p>
        </w:tc>
        <w:tc>
          <w:tcPr>
            <w:tcW w:w="1000" w:type="pct"/>
          </w:tcPr>
          <w:p w:rsidR="00BE6F9C" w:rsidRPr="00C23B30" w:rsidRDefault="00BE6F9C" w:rsidP="00C23B30">
            <w:pPr>
              <w:jc w:val="center"/>
              <w:rPr>
                <w:rFonts w:cs="Times New Roman"/>
                <w:sz w:val="22"/>
              </w:rPr>
            </w:pPr>
            <w:r w:rsidRPr="00C23B30">
              <w:rPr>
                <w:rFonts w:cs="Times New Roman"/>
                <w:sz w:val="22"/>
              </w:rPr>
              <w:t>141</w:t>
            </w:r>
          </w:p>
        </w:tc>
        <w:tc>
          <w:tcPr>
            <w:tcW w:w="1000" w:type="pct"/>
          </w:tcPr>
          <w:p w:rsidR="00BE6F9C" w:rsidRPr="00C23B30" w:rsidRDefault="00BE6F9C" w:rsidP="00C23B30">
            <w:pPr>
              <w:jc w:val="center"/>
              <w:rPr>
                <w:rFonts w:cs="Times New Roman"/>
                <w:sz w:val="22"/>
              </w:rPr>
            </w:pPr>
            <w:r w:rsidRPr="00C23B30">
              <w:rPr>
                <w:rFonts w:cs="Times New Roman"/>
                <w:sz w:val="22"/>
              </w:rPr>
              <w:t>90</w:t>
            </w:r>
          </w:p>
        </w:tc>
        <w:tc>
          <w:tcPr>
            <w:tcW w:w="1000" w:type="pct"/>
          </w:tcPr>
          <w:p w:rsidR="00BE6F9C" w:rsidRPr="00C23B30" w:rsidRDefault="00BE6F9C" w:rsidP="00C23B30">
            <w:pPr>
              <w:jc w:val="center"/>
              <w:rPr>
                <w:rFonts w:cs="Times New Roman"/>
                <w:sz w:val="22"/>
              </w:rPr>
            </w:pPr>
            <w:r w:rsidRPr="00C23B30">
              <w:rPr>
                <w:rFonts w:cs="Times New Roman"/>
                <w:sz w:val="22"/>
              </w:rPr>
              <w:t>107</w:t>
            </w:r>
          </w:p>
        </w:tc>
      </w:tr>
      <w:tr w:rsidR="00BE6F9C" w:rsidRPr="00C23B30" w:rsidTr="000F28B9">
        <w:trPr>
          <w:trHeight w:val="466"/>
        </w:trPr>
        <w:tc>
          <w:tcPr>
            <w:tcW w:w="1000" w:type="pct"/>
            <w:vMerge w:val="restart"/>
            <w:shd w:val="clear" w:color="auto" w:fill="C5E0B3" w:themeFill="accent6" w:themeFillTint="66"/>
            <w:vAlign w:val="center"/>
          </w:tcPr>
          <w:p w:rsidR="00BE6F9C" w:rsidRPr="00C23B30" w:rsidRDefault="00BE6F9C" w:rsidP="00C23B30">
            <w:pPr>
              <w:jc w:val="center"/>
              <w:rPr>
                <w:rFonts w:cs="Times New Roman"/>
                <w:b/>
                <w:sz w:val="22"/>
              </w:rPr>
            </w:pPr>
            <w:r w:rsidRPr="00C23B30">
              <w:rPr>
                <w:rFonts w:cs="Times New Roman"/>
                <w:b/>
                <w:sz w:val="22"/>
              </w:rPr>
              <w:t>Pārbaužu skaits,</w:t>
            </w:r>
            <w:r w:rsidR="00C23B30">
              <w:rPr>
                <w:rFonts w:cs="Times New Roman"/>
                <w:b/>
                <w:sz w:val="22"/>
              </w:rPr>
              <w:t xml:space="preserve"> </w:t>
            </w:r>
            <w:r w:rsidRPr="00C23B30">
              <w:rPr>
                <w:rFonts w:cs="Times New Roman"/>
                <w:b/>
                <w:sz w:val="22"/>
              </w:rPr>
              <w:t>kurās nav konstatētas neatbilstības (% no kopējā pārbaužu skaita)</w:t>
            </w:r>
          </w:p>
        </w:tc>
        <w:tc>
          <w:tcPr>
            <w:tcW w:w="1000" w:type="pct"/>
            <w:vAlign w:val="center"/>
          </w:tcPr>
          <w:p w:rsidR="00BE6F9C" w:rsidRPr="00C23B30" w:rsidRDefault="00BE6F9C" w:rsidP="00C23B30">
            <w:pPr>
              <w:rPr>
                <w:rFonts w:cs="Times New Roman"/>
                <w:b/>
                <w:sz w:val="22"/>
              </w:rPr>
            </w:pPr>
            <w:r w:rsidRPr="00C23B30">
              <w:rPr>
                <w:rFonts w:cs="Times New Roman"/>
                <w:b/>
                <w:sz w:val="22"/>
              </w:rPr>
              <w:t>Plānotais</w:t>
            </w:r>
          </w:p>
        </w:tc>
        <w:tc>
          <w:tcPr>
            <w:tcW w:w="1000" w:type="pct"/>
          </w:tcPr>
          <w:p w:rsidR="00BE6F9C" w:rsidRPr="00C23B30" w:rsidRDefault="00BE6F9C" w:rsidP="00F208B8">
            <w:pPr>
              <w:jc w:val="center"/>
              <w:rPr>
                <w:rFonts w:cs="Times New Roman"/>
                <w:sz w:val="22"/>
              </w:rPr>
            </w:pPr>
            <w:r w:rsidRPr="00C23B30">
              <w:rPr>
                <w:rFonts w:cs="Times New Roman"/>
                <w:sz w:val="22"/>
              </w:rPr>
              <w:t>-</w:t>
            </w:r>
            <w:r w:rsidR="00F208B8">
              <w:rPr>
                <w:rStyle w:val="FootnoteReference"/>
                <w:rFonts w:cs="Times New Roman"/>
                <w:sz w:val="22"/>
              </w:rPr>
              <w:footnoteReference w:id="100"/>
            </w:r>
          </w:p>
        </w:tc>
        <w:tc>
          <w:tcPr>
            <w:tcW w:w="1000" w:type="pct"/>
          </w:tcPr>
          <w:p w:rsidR="00BE6F9C" w:rsidRPr="00C23B30" w:rsidRDefault="00BE6F9C" w:rsidP="00C23B30">
            <w:pPr>
              <w:jc w:val="center"/>
              <w:rPr>
                <w:rFonts w:cs="Times New Roman"/>
                <w:sz w:val="22"/>
              </w:rPr>
            </w:pPr>
            <w:r w:rsidRPr="00C23B30">
              <w:rPr>
                <w:rFonts w:cs="Times New Roman"/>
                <w:sz w:val="22"/>
              </w:rPr>
              <w:t>7 (24 pārbaude)</w:t>
            </w:r>
          </w:p>
        </w:tc>
        <w:tc>
          <w:tcPr>
            <w:tcW w:w="1000" w:type="pct"/>
          </w:tcPr>
          <w:p w:rsidR="00BE6F9C" w:rsidRPr="00C23B30" w:rsidRDefault="00BE6F9C" w:rsidP="00C23B30">
            <w:pPr>
              <w:jc w:val="center"/>
              <w:rPr>
                <w:rFonts w:cs="Times New Roman"/>
                <w:sz w:val="22"/>
              </w:rPr>
            </w:pPr>
            <w:r w:rsidRPr="00C23B30">
              <w:rPr>
                <w:rFonts w:cs="Times New Roman"/>
                <w:sz w:val="22"/>
              </w:rPr>
              <w:t>7 (24 pārbaude)</w:t>
            </w:r>
          </w:p>
        </w:tc>
      </w:tr>
      <w:tr w:rsidR="00BE6F9C" w:rsidRPr="00C23B30" w:rsidTr="000F28B9">
        <w:trPr>
          <w:trHeight w:val="541"/>
        </w:trPr>
        <w:tc>
          <w:tcPr>
            <w:tcW w:w="1000" w:type="pct"/>
            <w:vMerge/>
            <w:shd w:val="clear" w:color="auto" w:fill="C5E0B3" w:themeFill="accent6" w:themeFillTint="66"/>
          </w:tcPr>
          <w:p w:rsidR="00BE6F9C" w:rsidRPr="00C23B30" w:rsidRDefault="00BE6F9C" w:rsidP="00C23B30">
            <w:pPr>
              <w:rPr>
                <w:rFonts w:cs="Times New Roman"/>
                <w:sz w:val="22"/>
              </w:rPr>
            </w:pPr>
          </w:p>
        </w:tc>
        <w:tc>
          <w:tcPr>
            <w:tcW w:w="1000" w:type="pct"/>
            <w:vAlign w:val="center"/>
          </w:tcPr>
          <w:p w:rsidR="00BE6F9C" w:rsidRPr="00C23B30" w:rsidRDefault="00BE6F9C" w:rsidP="00C23B30">
            <w:pPr>
              <w:rPr>
                <w:rFonts w:cs="Times New Roman"/>
                <w:b/>
                <w:sz w:val="22"/>
              </w:rPr>
            </w:pPr>
            <w:r w:rsidRPr="00C23B30">
              <w:rPr>
                <w:rFonts w:cs="Times New Roman"/>
                <w:b/>
                <w:sz w:val="22"/>
              </w:rPr>
              <w:t>Faktiskais</w:t>
            </w:r>
          </w:p>
        </w:tc>
        <w:tc>
          <w:tcPr>
            <w:tcW w:w="1000" w:type="pct"/>
          </w:tcPr>
          <w:p w:rsidR="00BE6F9C" w:rsidRPr="00C23B30" w:rsidRDefault="00BE6F9C" w:rsidP="00C23B30">
            <w:pPr>
              <w:jc w:val="center"/>
              <w:rPr>
                <w:rFonts w:cs="Times New Roman"/>
                <w:sz w:val="22"/>
              </w:rPr>
            </w:pPr>
            <w:r w:rsidRPr="00C23B30">
              <w:rPr>
                <w:rFonts w:cs="Times New Roman"/>
                <w:sz w:val="22"/>
              </w:rPr>
              <w:t>16 (41 pārbaude)</w:t>
            </w:r>
          </w:p>
        </w:tc>
        <w:tc>
          <w:tcPr>
            <w:tcW w:w="1000" w:type="pct"/>
          </w:tcPr>
          <w:p w:rsidR="00BE6F9C" w:rsidRPr="00C23B30" w:rsidRDefault="00BE6F9C" w:rsidP="00C23B30">
            <w:pPr>
              <w:jc w:val="center"/>
              <w:rPr>
                <w:rFonts w:cs="Times New Roman"/>
                <w:sz w:val="22"/>
              </w:rPr>
            </w:pPr>
            <w:r w:rsidRPr="00C23B30">
              <w:rPr>
                <w:rFonts w:cs="Times New Roman"/>
                <w:sz w:val="22"/>
              </w:rPr>
              <w:t>14 (43 pārbaude)</w:t>
            </w:r>
          </w:p>
        </w:tc>
        <w:tc>
          <w:tcPr>
            <w:tcW w:w="1000" w:type="pct"/>
          </w:tcPr>
          <w:p w:rsidR="00BE6F9C" w:rsidRPr="00C23B30" w:rsidRDefault="00BE6F9C" w:rsidP="00C23B30">
            <w:pPr>
              <w:jc w:val="center"/>
              <w:rPr>
                <w:rFonts w:cs="Times New Roman"/>
                <w:sz w:val="22"/>
              </w:rPr>
            </w:pPr>
            <w:r w:rsidRPr="00C23B30">
              <w:rPr>
                <w:rFonts w:cs="Times New Roman"/>
                <w:sz w:val="22"/>
              </w:rPr>
              <w:t>17 (62 pārbaude)</w:t>
            </w:r>
          </w:p>
        </w:tc>
      </w:tr>
      <w:tr w:rsidR="00BE6F9C" w:rsidRPr="00C23B30" w:rsidTr="000F28B9">
        <w:tc>
          <w:tcPr>
            <w:tcW w:w="1000" w:type="pct"/>
            <w:vMerge/>
            <w:shd w:val="clear" w:color="auto" w:fill="C5E0B3" w:themeFill="accent6" w:themeFillTint="66"/>
          </w:tcPr>
          <w:p w:rsidR="00BE6F9C" w:rsidRPr="00C23B30" w:rsidRDefault="00BE6F9C" w:rsidP="00C23B30">
            <w:pPr>
              <w:rPr>
                <w:rFonts w:cs="Times New Roman"/>
                <w:sz w:val="22"/>
              </w:rPr>
            </w:pPr>
          </w:p>
        </w:tc>
        <w:tc>
          <w:tcPr>
            <w:tcW w:w="1000" w:type="pct"/>
            <w:vAlign w:val="center"/>
          </w:tcPr>
          <w:p w:rsidR="00BE6F9C" w:rsidRPr="00C23B30" w:rsidRDefault="00BE6F9C" w:rsidP="00C23B30">
            <w:pPr>
              <w:rPr>
                <w:rFonts w:cs="Times New Roman"/>
                <w:b/>
                <w:sz w:val="22"/>
              </w:rPr>
            </w:pPr>
            <w:r w:rsidRPr="00C23B30">
              <w:rPr>
                <w:rFonts w:cs="Times New Roman"/>
                <w:b/>
                <w:sz w:val="22"/>
              </w:rPr>
              <w:t>Izpilde,%</w:t>
            </w:r>
          </w:p>
        </w:tc>
        <w:tc>
          <w:tcPr>
            <w:tcW w:w="1000" w:type="pct"/>
          </w:tcPr>
          <w:p w:rsidR="00BE6F9C" w:rsidRPr="00C23B30" w:rsidRDefault="00BE6F9C" w:rsidP="00F208B8">
            <w:pPr>
              <w:jc w:val="center"/>
              <w:rPr>
                <w:rFonts w:cs="Times New Roman"/>
                <w:sz w:val="22"/>
              </w:rPr>
            </w:pPr>
            <w:r w:rsidRPr="00C23B30">
              <w:rPr>
                <w:rFonts w:cs="Times New Roman"/>
                <w:sz w:val="22"/>
              </w:rPr>
              <w:t>-</w:t>
            </w:r>
            <w:r w:rsidR="00F208B8" w:rsidRPr="00F208B8">
              <w:rPr>
                <w:rFonts w:cs="Times New Roman"/>
                <w:sz w:val="22"/>
                <w:vertAlign w:val="superscript"/>
              </w:rPr>
              <w:t>1</w:t>
            </w:r>
          </w:p>
        </w:tc>
        <w:tc>
          <w:tcPr>
            <w:tcW w:w="1000" w:type="pct"/>
          </w:tcPr>
          <w:p w:rsidR="00BE6F9C" w:rsidRPr="00C23B30" w:rsidRDefault="00BE6F9C" w:rsidP="00C23B30">
            <w:pPr>
              <w:jc w:val="center"/>
              <w:rPr>
                <w:rFonts w:cs="Times New Roman"/>
                <w:sz w:val="22"/>
              </w:rPr>
            </w:pPr>
            <w:r w:rsidRPr="00C23B30">
              <w:rPr>
                <w:rFonts w:cs="Times New Roman"/>
                <w:sz w:val="22"/>
              </w:rPr>
              <w:t>200</w:t>
            </w:r>
          </w:p>
        </w:tc>
        <w:tc>
          <w:tcPr>
            <w:tcW w:w="1000" w:type="pct"/>
          </w:tcPr>
          <w:p w:rsidR="00BE6F9C" w:rsidRPr="00C23B30" w:rsidRDefault="00BE6F9C" w:rsidP="00C23B30">
            <w:pPr>
              <w:jc w:val="center"/>
              <w:rPr>
                <w:rFonts w:cs="Times New Roman"/>
                <w:sz w:val="22"/>
              </w:rPr>
            </w:pPr>
            <w:r w:rsidRPr="00C23B30">
              <w:rPr>
                <w:rFonts w:cs="Times New Roman"/>
                <w:sz w:val="22"/>
              </w:rPr>
              <w:t>243</w:t>
            </w:r>
          </w:p>
        </w:tc>
      </w:tr>
    </w:tbl>
    <w:p w:rsidR="00BE6F9C" w:rsidRPr="00BE6F9C" w:rsidRDefault="00BE6F9C" w:rsidP="00BE6F9C">
      <w:pPr>
        <w:pStyle w:val="ListParagraph"/>
        <w:ind w:left="1440"/>
        <w:rPr>
          <w:rStyle w:val="BodyText1"/>
          <w:rFonts w:eastAsiaTheme="minorHAnsi"/>
          <w:sz w:val="18"/>
          <w:szCs w:val="18"/>
        </w:rPr>
      </w:pPr>
    </w:p>
    <w:p w:rsidR="00BE6F9C" w:rsidRPr="007C1F10" w:rsidRDefault="00C23B30" w:rsidP="007C1F10">
      <w:pPr>
        <w:pStyle w:val="ListParagraph"/>
        <w:numPr>
          <w:ilvl w:val="0"/>
          <w:numId w:val="56"/>
        </w:numPr>
        <w:ind w:left="142" w:firstLine="218"/>
        <w:jc w:val="both"/>
        <w:rPr>
          <w:rStyle w:val="BodyText1"/>
          <w:rFonts w:eastAsiaTheme="minorHAnsi" w:cstheme="minorBidi"/>
          <w:color w:val="auto"/>
          <w:sz w:val="24"/>
          <w:shd w:val="clear" w:color="auto" w:fill="auto"/>
          <w:lang w:eastAsia="en-US" w:bidi="ar-SA"/>
        </w:rPr>
      </w:pPr>
      <w:r>
        <w:t>izvērtējot</w:t>
      </w:r>
      <w:r w:rsidR="00BE6F9C" w:rsidRPr="00BE6F9C">
        <w:t xml:space="preserve"> Veselības inspekcijas sniegto informāciju par politikas iniciatīvai piešķirtā finansējuma izlietojumu, konstatēts, ka inspekcija ir veikusi iniciatīvas īstenošanai plānoto līdzekļu pārdali gan 2015., gan 2016.gadā, jo faktiskais līdzekļu izlietoju</w:t>
      </w:r>
      <w:r w:rsidR="003E1C31">
        <w:t>ms ir attiecīgi 8% un 22% (</w:t>
      </w:r>
      <w:r w:rsidR="003E1C31" w:rsidRPr="003E1C31">
        <w:t>skat.</w:t>
      </w:r>
      <w:r w:rsidR="00BE6F9C" w:rsidRPr="003E1C31">
        <w:t xml:space="preserve"> </w:t>
      </w:r>
      <w:r w:rsidRPr="005A72A2">
        <w:t>tabulu Nr</w:t>
      </w:r>
      <w:r w:rsidR="00A931A3" w:rsidRPr="005A72A2">
        <w:t>.</w:t>
      </w:r>
      <w:r w:rsidR="003E1C31" w:rsidRPr="005A72A2">
        <w:t>3.4</w:t>
      </w:r>
      <w:r w:rsidR="005A72A2" w:rsidRPr="005A72A2">
        <w:t>4</w:t>
      </w:r>
      <w:r w:rsidR="00D86274">
        <w:t>.</w:t>
      </w:r>
      <w:r w:rsidR="003E1C31" w:rsidRPr="005A72A2">
        <w:t>).</w:t>
      </w:r>
    </w:p>
    <w:p w:rsidR="00BE6F9C" w:rsidRPr="00C23B30" w:rsidRDefault="00BE6F9C" w:rsidP="00C23B30">
      <w:pPr>
        <w:pStyle w:val="BodyText6"/>
        <w:shd w:val="clear" w:color="auto" w:fill="auto"/>
        <w:spacing w:before="0" w:after="76" w:line="220" w:lineRule="exact"/>
        <w:ind w:right="20" w:firstLine="0"/>
        <w:jc w:val="right"/>
        <w:rPr>
          <w:rStyle w:val="BodyText3"/>
          <w:sz w:val="24"/>
          <w:szCs w:val="24"/>
        </w:rPr>
      </w:pPr>
      <w:r w:rsidRPr="00C23B30">
        <w:rPr>
          <w:rStyle w:val="BodyText3"/>
          <w:sz w:val="24"/>
          <w:szCs w:val="24"/>
        </w:rPr>
        <w:t>Tabula Nr.</w:t>
      </w:r>
      <w:r w:rsidR="005A72A2">
        <w:rPr>
          <w:rStyle w:val="BodyText3"/>
          <w:sz w:val="24"/>
          <w:szCs w:val="24"/>
        </w:rPr>
        <w:t>3.44</w:t>
      </w:r>
      <w:r w:rsidR="00D86274">
        <w:rPr>
          <w:rStyle w:val="BodyText3"/>
          <w:sz w:val="24"/>
          <w:szCs w:val="24"/>
        </w:rPr>
        <w:t>.</w:t>
      </w:r>
    </w:p>
    <w:p w:rsidR="00C23B30" w:rsidRDefault="00C23B30" w:rsidP="00C23B30">
      <w:pPr>
        <w:pStyle w:val="BodyText6"/>
        <w:shd w:val="clear" w:color="auto" w:fill="auto"/>
        <w:spacing w:before="0" w:after="76" w:line="220" w:lineRule="exact"/>
        <w:ind w:right="20" w:firstLine="0"/>
        <w:jc w:val="center"/>
        <w:rPr>
          <w:rStyle w:val="Tablecaption"/>
          <w:rFonts w:eastAsiaTheme="minorHAnsi"/>
          <w:b/>
          <w:sz w:val="24"/>
          <w:szCs w:val="24"/>
        </w:rPr>
      </w:pPr>
    </w:p>
    <w:p w:rsidR="00BE6F9C" w:rsidRPr="00C23B30" w:rsidRDefault="00BE6F9C" w:rsidP="00C23B30">
      <w:pPr>
        <w:pStyle w:val="BodyText6"/>
        <w:shd w:val="clear" w:color="auto" w:fill="auto"/>
        <w:spacing w:before="0" w:after="120" w:line="240" w:lineRule="auto"/>
        <w:ind w:right="23" w:firstLine="0"/>
        <w:jc w:val="center"/>
        <w:rPr>
          <w:sz w:val="24"/>
          <w:szCs w:val="24"/>
        </w:rPr>
      </w:pPr>
      <w:r w:rsidRPr="00C23B30">
        <w:rPr>
          <w:rStyle w:val="Tablecaption"/>
          <w:rFonts w:eastAsiaTheme="minorHAnsi"/>
          <w:b/>
          <w:sz w:val="24"/>
          <w:szCs w:val="24"/>
        </w:rPr>
        <w:t>Informācija par iniciatīvas īstenošanai piešķirtā finansējuma izlietojumu 2015. un 2016.gadā</w:t>
      </w:r>
    </w:p>
    <w:tbl>
      <w:tblPr>
        <w:tblStyle w:val="TableGrid"/>
        <w:tblW w:w="5003" w:type="pct"/>
        <w:tblLook w:val="04A0" w:firstRow="1" w:lastRow="0" w:firstColumn="1" w:lastColumn="0" w:noHBand="0" w:noVBand="1"/>
      </w:tblPr>
      <w:tblGrid>
        <w:gridCol w:w="1573"/>
        <w:gridCol w:w="939"/>
        <w:gridCol w:w="919"/>
        <w:gridCol w:w="926"/>
        <w:gridCol w:w="950"/>
        <w:gridCol w:w="881"/>
        <w:gridCol w:w="919"/>
        <w:gridCol w:w="926"/>
        <w:gridCol w:w="1033"/>
      </w:tblGrid>
      <w:tr w:rsidR="00C23B30" w:rsidRPr="00C23B30" w:rsidTr="000F28B9">
        <w:trPr>
          <w:tblHeader/>
        </w:trPr>
        <w:tc>
          <w:tcPr>
            <w:tcW w:w="842" w:type="pct"/>
            <w:vMerge w:val="restart"/>
            <w:shd w:val="clear" w:color="auto" w:fill="C5E0B3" w:themeFill="accent6" w:themeFillTint="66"/>
          </w:tcPr>
          <w:p w:rsidR="00BE6F9C" w:rsidRPr="00C23B30" w:rsidRDefault="00BE6F9C" w:rsidP="00C23B30">
            <w:pPr>
              <w:pStyle w:val="ListParagraph"/>
              <w:ind w:left="0"/>
              <w:rPr>
                <w:rFonts w:cs="Times New Roman"/>
                <w:b/>
                <w:sz w:val="22"/>
              </w:rPr>
            </w:pPr>
          </w:p>
        </w:tc>
        <w:tc>
          <w:tcPr>
            <w:tcW w:w="2047" w:type="pct"/>
            <w:gridSpan w:val="4"/>
            <w:shd w:val="clear" w:color="auto" w:fill="C5E0B3" w:themeFill="accent6" w:themeFillTint="66"/>
          </w:tcPr>
          <w:p w:rsidR="00BE6F9C" w:rsidRPr="00C23B30" w:rsidRDefault="00BE6F9C" w:rsidP="00C23B30">
            <w:pPr>
              <w:pStyle w:val="ListParagraph"/>
              <w:ind w:left="0"/>
              <w:jc w:val="center"/>
              <w:rPr>
                <w:rFonts w:cs="Times New Roman"/>
                <w:b/>
                <w:sz w:val="22"/>
              </w:rPr>
            </w:pPr>
            <w:r w:rsidRPr="00C23B30">
              <w:rPr>
                <w:rFonts w:cs="Times New Roman"/>
                <w:b/>
                <w:sz w:val="22"/>
              </w:rPr>
              <w:t>2015</w:t>
            </w:r>
          </w:p>
        </w:tc>
        <w:tc>
          <w:tcPr>
            <w:tcW w:w="2112" w:type="pct"/>
            <w:gridSpan w:val="4"/>
            <w:shd w:val="clear" w:color="auto" w:fill="C5E0B3" w:themeFill="accent6" w:themeFillTint="66"/>
          </w:tcPr>
          <w:p w:rsidR="00BE6F9C" w:rsidRPr="00C23B30" w:rsidRDefault="00BE6F9C" w:rsidP="00C23B30">
            <w:pPr>
              <w:pStyle w:val="ListParagraph"/>
              <w:ind w:left="0"/>
              <w:jc w:val="center"/>
              <w:rPr>
                <w:rFonts w:cs="Times New Roman"/>
                <w:b/>
                <w:sz w:val="22"/>
              </w:rPr>
            </w:pPr>
            <w:r w:rsidRPr="00C23B30">
              <w:rPr>
                <w:rFonts w:cs="Times New Roman"/>
                <w:b/>
                <w:sz w:val="22"/>
              </w:rPr>
              <w:t>2016</w:t>
            </w:r>
          </w:p>
        </w:tc>
      </w:tr>
      <w:tr w:rsidR="00C23B30" w:rsidRPr="00C23B30" w:rsidTr="000F28B9">
        <w:trPr>
          <w:tblHeader/>
        </w:trPr>
        <w:tc>
          <w:tcPr>
            <w:tcW w:w="842" w:type="pct"/>
            <w:vMerge/>
            <w:shd w:val="clear" w:color="auto" w:fill="C5E0B3" w:themeFill="accent6" w:themeFillTint="66"/>
          </w:tcPr>
          <w:p w:rsidR="00BE6F9C" w:rsidRPr="00C23B30" w:rsidRDefault="00BE6F9C" w:rsidP="00C23B30">
            <w:pPr>
              <w:pStyle w:val="ListParagraph"/>
              <w:ind w:left="0"/>
              <w:rPr>
                <w:rFonts w:cs="Times New Roman"/>
                <w:b/>
                <w:sz w:val="22"/>
              </w:rPr>
            </w:pPr>
          </w:p>
        </w:tc>
        <w:tc>
          <w:tcPr>
            <w:tcW w:w="552"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Plāns,</w:t>
            </w:r>
          </w:p>
        </w:tc>
        <w:tc>
          <w:tcPr>
            <w:tcW w:w="492"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Izpilde,</w:t>
            </w:r>
          </w:p>
        </w:tc>
        <w:tc>
          <w:tcPr>
            <w:tcW w:w="495"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Izpilde,</w:t>
            </w:r>
          </w:p>
        </w:tc>
        <w:tc>
          <w:tcPr>
            <w:tcW w:w="508"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Pārdale</w:t>
            </w:r>
          </w:p>
        </w:tc>
        <w:tc>
          <w:tcPr>
            <w:tcW w:w="520"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Plāns,</w:t>
            </w:r>
          </w:p>
        </w:tc>
        <w:tc>
          <w:tcPr>
            <w:tcW w:w="492"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Izpilde,</w:t>
            </w:r>
          </w:p>
        </w:tc>
        <w:tc>
          <w:tcPr>
            <w:tcW w:w="495"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Izpilde,</w:t>
            </w:r>
          </w:p>
        </w:tc>
        <w:tc>
          <w:tcPr>
            <w:tcW w:w="604"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Pārdale</w:t>
            </w:r>
          </w:p>
        </w:tc>
      </w:tr>
      <w:tr w:rsidR="00C23B30" w:rsidRPr="00C23B30" w:rsidTr="000F28B9">
        <w:trPr>
          <w:tblHeader/>
        </w:trPr>
        <w:tc>
          <w:tcPr>
            <w:tcW w:w="842" w:type="pct"/>
            <w:vMerge/>
            <w:shd w:val="clear" w:color="auto" w:fill="C5E0B3" w:themeFill="accent6" w:themeFillTint="66"/>
          </w:tcPr>
          <w:p w:rsidR="00BE6F9C" w:rsidRPr="00C23B30" w:rsidRDefault="00BE6F9C" w:rsidP="00C23B30">
            <w:pPr>
              <w:pStyle w:val="ListParagraph"/>
              <w:ind w:left="0"/>
              <w:rPr>
                <w:rFonts w:cs="Times New Roman"/>
                <w:b/>
                <w:sz w:val="22"/>
              </w:rPr>
            </w:pPr>
          </w:p>
        </w:tc>
        <w:tc>
          <w:tcPr>
            <w:tcW w:w="552" w:type="pct"/>
            <w:shd w:val="clear" w:color="auto" w:fill="C5E0B3" w:themeFill="accent6" w:themeFillTint="66"/>
            <w:vAlign w:val="center"/>
          </w:tcPr>
          <w:p w:rsidR="00BE6F9C" w:rsidRPr="00C23B30" w:rsidRDefault="00BE6F9C" w:rsidP="00C23B30">
            <w:pPr>
              <w:pStyle w:val="ListParagraph"/>
              <w:ind w:left="0"/>
              <w:jc w:val="center"/>
              <w:rPr>
                <w:rFonts w:cs="Times New Roman"/>
                <w:b/>
                <w:i/>
                <w:sz w:val="22"/>
              </w:rPr>
            </w:pPr>
            <w:r w:rsidRPr="00C23B30">
              <w:rPr>
                <w:rFonts w:cs="Times New Roman"/>
                <w:b/>
                <w:i/>
                <w:sz w:val="22"/>
              </w:rPr>
              <w:t>euro</w:t>
            </w:r>
          </w:p>
        </w:tc>
        <w:tc>
          <w:tcPr>
            <w:tcW w:w="492"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i/>
                <w:sz w:val="22"/>
              </w:rPr>
              <w:t>euro</w:t>
            </w:r>
          </w:p>
        </w:tc>
        <w:tc>
          <w:tcPr>
            <w:tcW w:w="495"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 no plānotā</w:t>
            </w:r>
          </w:p>
        </w:tc>
        <w:tc>
          <w:tcPr>
            <w:tcW w:w="508"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i/>
                <w:sz w:val="22"/>
              </w:rPr>
              <w:t>euro</w:t>
            </w:r>
          </w:p>
        </w:tc>
        <w:tc>
          <w:tcPr>
            <w:tcW w:w="520" w:type="pct"/>
            <w:shd w:val="clear" w:color="auto" w:fill="C5E0B3" w:themeFill="accent6" w:themeFillTint="66"/>
            <w:vAlign w:val="center"/>
          </w:tcPr>
          <w:p w:rsidR="00BE6F9C" w:rsidRPr="00C23B30" w:rsidRDefault="00BE6F9C" w:rsidP="00C23B30">
            <w:pPr>
              <w:pStyle w:val="ListParagraph"/>
              <w:ind w:left="0"/>
              <w:jc w:val="center"/>
              <w:rPr>
                <w:rFonts w:cs="Times New Roman"/>
                <w:b/>
                <w:i/>
                <w:sz w:val="22"/>
              </w:rPr>
            </w:pPr>
            <w:r w:rsidRPr="00C23B30">
              <w:rPr>
                <w:rFonts w:cs="Times New Roman"/>
                <w:b/>
                <w:i/>
                <w:sz w:val="22"/>
              </w:rPr>
              <w:t>euro</w:t>
            </w:r>
          </w:p>
        </w:tc>
        <w:tc>
          <w:tcPr>
            <w:tcW w:w="492"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i/>
                <w:sz w:val="22"/>
              </w:rPr>
              <w:t>euro</w:t>
            </w:r>
          </w:p>
        </w:tc>
        <w:tc>
          <w:tcPr>
            <w:tcW w:w="495"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 no plānotā</w:t>
            </w:r>
          </w:p>
        </w:tc>
        <w:tc>
          <w:tcPr>
            <w:tcW w:w="604"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i/>
                <w:sz w:val="22"/>
              </w:rPr>
              <w:t>euro</w:t>
            </w:r>
          </w:p>
        </w:tc>
      </w:tr>
      <w:tr w:rsidR="00C23B30" w:rsidRPr="00C23B30" w:rsidTr="000F28B9">
        <w:tc>
          <w:tcPr>
            <w:tcW w:w="842"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Atalgojums</w:t>
            </w:r>
          </w:p>
        </w:tc>
        <w:tc>
          <w:tcPr>
            <w:tcW w:w="552" w:type="pct"/>
          </w:tcPr>
          <w:p w:rsidR="00BE6F9C" w:rsidRPr="00C23B30" w:rsidRDefault="00BE6F9C" w:rsidP="00C23B30">
            <w:pPr>
              <w:pStyle w:val="ListParagraph"/>
              <w:ind w:left="0"/>
              <w:jc w:val="center"/>
              <w:rPr>
                <w:rFonts w:cs="Times New Roman"/>
                <w:sz w:val="22"/>
              </w:rPr>
            </w:pPr>
            <w:r w:rsidRPr="00C23B30">
              <w:rPr>
                <w:rFonts w:cs="Times New Roman"/>
                <w:sz w:val="22"/>
              </w:rPr>
              <w:t>176 149</w:t>
            </w:r>
          </w:p>
        </w:tc>
        <w:tc>
          <w:tcPr>
            <w:tcW w:w="492" w:type="pct"/>
          </w:tcPr>
          <w:p w:rsidR="00BE6F9C" w:rsidRPr="00C23B30" w:rsidRDefault="00BE6F9C" w:rsidP="00C23B30">
            <w:pPr>
              <w:pStyle w:val="ListParagraph"/>
              <w:ind w:left="0"/>
              <w:jc w:val="center"/>
              <w:rPr>
                <w:rFonts w:cs="Times New Roman"/>
                <w:sz w:val="22"/>
              </w:rPr>
            </w:pPr>
            <w:r w:rsidRPr="00C23B30">
              <w:rPr>
                <w:rFonts w:cs="Times New Roman"/>
                <w:sz w:val="22"/>
              </w:rPr>
              <w:t>1 745</w:t>
            </w:r>
          </w:p>
        </w:tc>
        <w:tc>
          <w:tcPr>
            <w:tcW w:w="495" w:type="pct"/>
          </w:tcPr>
          <w:p w:rsidR="00BE6F9C" w:rsidRPr="00C23B30" w:rsidRDefault="00BE6F9C" w:rsidP="00C23B30">
            <w:pPr>
              <w:pStyle w:val="ListParagraph"/>
              <w:ind w:left="0"/>
              <w:jc w:val="center"/>
              <w:rPr>
                <w:rFonts w:cs="Times New Roman"/>
                <w:sz w:val="22"/>
              </w:rPr>
            </w:pPr>
            <w:r w:rsidRPr="00C23B30">
              <w:rPr>
                <w:rFonts w:cs="Times New Roman"/>
                <w:sz w:val="22"/>
              </w:rPr>
              <w:t>1</w:t>
            </w:r>
          </w:p>
        </w:tc>
        <w:tc>
          <w:tcPr>
            <w:tcW w:w="508" w:type="pct"/>
          </w:tcPr>
          <w:p w:rsidR="00BE6F9C" w:rsidRPr="00C23B30" w:rsidRDefault="00BE6F9C" w:rsidP="00C23B30">
            <w:pPr>
              <w:pStyle w:val="ListParagraph"/>
              <w:ind w:left="0"/>
              <w:jc w:val="center"/>
              <w:rPr>
                <w:rFonts w:cs="Times New Roman"/>
                <w:sz w:val="22"/>
              </w:rPr>
            </w:pPr>
            <w:r w:rsidRPr="00C23B30">
              <w:rPr>
                <w:rFonts w:cs="Times New Roman"/>
                <w:sz w:val="22"/>
              </w:rPr>
              <w:t>174 404</w:t>
            </w:r>
          </w:p>
        </w:tc>
        <w:tc>
          <w:tcPr>
            <w:tcW w:w="520" w:type="pct"/>
          </w:tcPr>
          <w:p w:rsidR="00BE6F9C" w:rsidRPr="00C23B30" w:rsidRDefault="00BE6F9C" w:rsidP="00C23B30">
            <w:pPr>
              <w:pStyle w:val="ListParagraph"/>
              <w:ind w:left="-29"/>
              <w:jc w:val="center"/>
              <w:rPr>
                <w:rFonts w:cs="Times New Roman"/>
                <w:sz w:val="22"/>
              </w:rPr>
            </w:pPr>
            <w:r w:rsidRPr="00C23B30">
              <w:rPr>
                <w:rFonts w:cs="Times New Roman"/>
                <w:sz w:val="22"/>
              </w:rPr>
              <w:t>176 149</w:t>
            </w:r>
          </w:p>
        </w:tc>
        <w:tc>
          <w:tcPr>
            <w:tcW w:w="492" w:type="pct"/>
          </w:tcPr>
          <w:p w:rsidR="00BE6F9C" w:rsidRPr="00C23B30" w:rsidRDefault="00BE6F9C" w:rsidP="00C23B30">
            <w:pPr>
              <w:pStyle w:val="ListParagraph"/>
              <w:ind w:left="0"/>
              <w:jc w:val="center"/>
              <w:rPr>
                <w:rFonts w:cs="Times New Roman"/>
                <w:sz w:val="22"/>
              </w:rPr>
            </w:pPr>
            <w:r w:rsidRPr="00C23B30">
              <w:rPr>
                <w:rFonts w:cs="Times New Roman"/>
                <w:sz w:val="22"/>
              </w:rPr>
              <w:t>45 126</w:t>
            </w:r>
          </w:p>
        </w:tc>
        <w:tc>
          <w:tcPr>
            <w:tcW w:w="495" w:type="pct"/>
          </w:tcPr>
          <w:p w:rsidR="00BE6F9C" w:rsidRPr="00C23B30" w:rsidRDefault="00BE6F9C" w:rsidP="00C23B30">
            <w:pPr>
              <w:pStyle w:val="ListParagraph"/>
              <w:ind w:left="0"/>
              <w:jc w:val="center"/>
              <w:rPr>
                <w:rFonts w:cs="Times New Roman"/>
                <w:sz w:val="22"/>
              </w:rPr>
            </w:pPr>
            <w:r w:rsidRPr="00C23B30">
              <w:rPr>
                <w:rFonts w:cs="Times New Roman"/>
                <w:sz w:val="22"/>
              </w:rPr>
              <w:t>26</w:t>
            </w:r>
          </w:p>
        </w:tc>
        <w:tc>
          <w:tcPr>
            <w:tcW w:w="604" w:type="pct"/>
          </w:tcPr>
          <w:p w:rsidR="00BE6F9C" w:rsidRPr="00C23B30" w:rsidRDefault="00BE6F9C" w:rsidP="00C23B30">
            <w:pPr>
              <w:pStyle w:val="ListParagraph"/>
              <w:ind w:left="0"/>
              <w:jc w:val="center"/>
              <w:rPr>
                <w:rFonts w:cs="Times New Roman"/>
                <w:sz w:val="22"/>
              </w:rPr>
            </w:pPr>
            <w:r w:rsidRPr="00C23B30">
              <w:rPr>
                <w:rFonts w:cs="Times New Roman"/>
                <w:sz w:val="22"/>
              </w:rPr>
              <w:t>131 023</w:t>
            </w:r>
          </w:p>
        </w:tc>
      </w:tr>
      <w:tr w:rsidR="00C23B30" w:rsidRPr="00C23B30" w:rsidTr="000F28B9">
        <w:tc>
          <w:tcPr>
            <w:tcW w:w="842" w:type="pct"/>
            <w:shd w:val="clear" w:color="auto" w:fill="C5E0B3" w:themeFill="accent6" w:themeFillTint="66"/>
          </w:tcPr>
          <w:p w:rsidR="00BE6F9C" w:rsidRPr="00C23B30" w:rsidRDefault="00BE6F9C" w:rsidP="00C23B30">
            <w:pPr>
              <w:pStyle w:val="ListParagraph"/>
              <w:ind w:left="0"/>
              <w:jc w:val="center"/>
              <w:rPr>
                <w:rFonts w:cs="Times New Roman"/>
                <w:b/>
                <w:sz w:val="22"/>
              </w:rPr>
            </w:pPr>
            <w:r w:rsidRPr="00C23B30">
              <w:rPr>
                <w:rFonts w:cs="Times New Roman"/>
                <w:b/>
                <w:sz w:val="22"/>
              </w:rPr>
              <w:t>Preces un pakalpojumi</w:t>
            </w:r>
          </w:p>
        </w:tc>
        <w:tc>
          <w:tcPr>
            <w:tcW w:w="552" w:type="pct"/>
          </w:tcPr>
          <w:p w:rsidR="00BE6F9C" w:rsidRPr="00C23B30" w:rsidRDefault="00BE6F9C" w:rsidP="00C23B30">
            <w:pPr>
              <w:pStyle w:val="ListParagraph"/>
              <w:ind w:left="0"/>
              <w:jc w:val="center"/>
              <w:rPr>
                <w:rFonts w:cs="Times New Roman"/>
                <w:sz w:val="22"/>
              </w:rPr>
            </w:pPr>
            <w:r w:rsidRPr="00C23B30">
              <w:rPr>
                <w:rFonts w:cs="Times New Roman"/>
                <w:sz w:val="22"/>
              </w:rPr>
              <w:t>17 716</w:t>
            </w:r>
          </w:p>
        </w:tc>
        <w:tc>
          <w:tcPr>
            <w:tcW w:w="492" w:type="pct"/>
          </w:tcPr>
          <w:p w:rsidR="00BE6F9C" w:rsidRPr="00C23B30" w:rsidRDefault="00BE6F9C" w:rsidP="00C23B30">
            <w:pPr>
              <w:pStyle w:val="ListParagraph"/>
              <w:ind w:left="0"/>
              <w:jc w:val="center"/>
              <w:rPr>
                <w:rFonts w:cs="Times New Roman"/>
                <w:sz w:val="22"/>
              </w:rPr>
            </w:pPr>
            <w:r w:rsidRPr="00C23B30">
              <w:rPr>
                <w:rFonts w:cs="Times New Roman"/>
                <w:sz w:val="22"/>
              </w:rPr>
              <w:t>6 676</w:t>
            </w:r>
          </w:p>
        </w:tc>
        <w:tc>
          <w:tcPr>
            <w:tcW w:w="495" w:type="pct"/>
          </w:tcPr>
          <w:p w:rsidR="00BE6F9C" w:rsidRPr="00C23B30" w:rsidRDefault="00BE6F9C" w:rsidP="00C23B30">
            <w:pPr>
              <w:pStyle w:val="ListParagraph"/>
              <w:ind w:left="0"/>
              <w:jc w:val="center"/>
              <w:rPr>
                <w:rFonts w:cs="Times New Roman"/>
                <w:sz w:val="22"/>
              </w:rPr>
            </w:pPr>
            <w:r w:rsidRPr="00C23B30">
              <w:rPr>
                <w:rFonts w:cs="Times New Roman"/>
                <w:sz w:val="22"/>
              </w:rPr>
              <w:t>38</w:t>
            </w:r>
          </w:p>
        </w:tc>
        <w:tc>
          <w:tcPr>
            <w:tcW w:w="508" w:type="pct"/>
          </w:tcPr>
          <w:p w:rsidR="00BE6F9C" w:rsidRPr="00C23B30" w:rsidRDefault="00BE6F9C" w:rsidP="00C23B30">
            <w:pPr>
              <w:pStyle w:val="ListParagraph"/>
              <w:ind w:left="0"/>
              <w:jc w:val="center"/>
              <w:rPr>
                <w:rFonts w:cs="Times New Roman"/>
                <w:sz w:val="22"/>
              </w:rPr>
            </w:pPr>
            <w:r w:rsidRPr="00C23B30">
              <w:rPr>
                <w:rFonts w:cs="Times New Roman"/>
                <w:sz w:val="22"/>
              </w:rPr>
              <w:t>11 040</w:t>
            </w:r>
          </w:p>
        </w:tc>
        <w:tc>
          <w:tcPr>
            <w:tcW w:w="520" w:type="pct"/>
          </w:tcPr>
          <w:p w:rsidR="00BE6F9C" w:rsidRPr="00C23B30" w:rsidRDefault="00BE6F9C" w:rsidP="00C23B30">
            <w:pPr>
              <w:pStyle w:val="ListParagraph"/>
              <w:ind w:left="0"/>
              <w:jc w:val="center"/>
              <w:rPr>
                <w:rFonts w:cs="Times New Roman"/>
                <w:sz w:val="22"/>
              </w:rPr>
            </w:pPr>
            <w:r w:rsidRPr="00C23B30">
              <w:rPr>
                <w:rFonts w:cs="Times New Roman"/>
                <w:sz w:val="22"/>
              </w:rPr>
              <w:t>25 016</w:t>
            </w:r>
          </w:p>
        </w:tc>
        <w:tc>
          <w:tcPr>
            <w:tcW w:w="492" w:type="pct"/>
          </w:tcPr>
          <w:p w:rsidR="00BE6F9C" w:rsidRPr="00C23B30" w:rsidRDefault="00BE6F9C" w:rsidP="00C23B30">
            <w:pPr>
              <w:pStyle w:val="ListParagraph"/>
              <w:ind w:left="0"/>
              <w:jc w:val="center"/>
              <w:rPr>
                <w:rFonts w:cs="Times New Roman"/>
                <w:sz w:val="22"/>
              </w:rPr>
            </w:pPr>
            <w:r w:rsidRPr="00C23B30">
              <w:rPr>
                <w:rFonts w:cs="Times New Roman"/>
                <w:sz w:val="22"/>
              </w:rPr>
              <w:t>0</w:t>
            </w:r>
          </w:p>
        </w:tc>
        <w:tc>
          <w:tcPr>
            <w:tcW w:w="495" w:type="pct"/>
          </w:tcPr>
          <w:p w:rsidR="00BE6F9C" w:rsidRPr="00C23B30" w:rsidRDefault="00BE6F9C" w:rsidP="00C23B30">
            <w:pPr>
              <w:pStyle w:val="ListParagraph"/>
              <w:ind w:left="0"/>
              <w:jc w:val="center"/>
              <w:rPr>
                <w:rFonts w:cs="Times New Roman"/>
                <w:sz w:val="22"/>
              </w:rPr>
            </w:pPr>
            <w:r w:rsidRPr="00C23B30">
              <w:rPr>
                <w:rFonts w:cs="Times New Roman"/>
                <w:sz w:val="22"/>
              </w:rPr>
              <w:t>0</w:t>
            </w:r>
          </w:p>
        </w:tc>
        <w:tc>
          <w:tcPr>
            <w:tcW w:w="604" w:type="pct"/>
          </w:tcPr>
          <w:p w:rsidR="00BE6F9C" w:rsidRPr="00C23B30" w:rsidRDefault="00BE6F9C" w:rsidP="00C23B30">
            <w:pPr>
              <w:pStyle w:val="ListParagraph"/>
              <w:ind w:left="0"/>
              <w:jc w:val="center"/>
              <w:rPr>
                <w:rFonts w:cs="Times New Roman"/>
                <w:sz w:val="22"/>
              </w:rPr>
            </w:pPr>
            <w:r w:rsidRPr="00C23B30">
              <w:rPr>
                <w:rFonts w:cs="Times New Roman"/>
                <w:sz w:val="22"/>
              </w:rPr>
              <w:t>25 016</w:t>
            </w:r>
          </w:p>
        </w:tc>
      </w:tr>
      <w:tr w:rsidR="00C23B30" w:rsidRPr="00C23B30" w:rsidTr="000F28B9">
        <w:tc>
          <w:tcPr>
            <w:tcW w:w="842" w:type="pct"/>
            <w:shd w:val="clear" w:color="auto" w:fill="C5E0B3" w:themeFill="accent6" w:themeFillTint="66"/>
          </w:tcPr>
          <w:p w:rsidR="00BE6F9C" w:rsidRPr="00C23B30" w:rsidRDefault="00BE6F9C" w:rsidP="00C23B30">
            <w:pPr>
              <w:pStyle w:val="ListParagraph"/>
              <w:ind w:left="0"/>
              <w:jc w:val="center"/>
              <w:rPr>
                <w:rFonts w:cs="Times New Roman"/>
                <w:b/>
                <w:sz w:val="22"/>
              </w:rPr>
            </w:pPr>
            <w:r w:rsidRPr="00C23B30">
              <w:rPr>
                <w:rFonts w:cs="Times New Roman"/>
                <w:b/>
                <w:sz w:val="22"/>
              </w:rPr>
              <w:t>Pamatlīdzekļu iegāde</w:t>
            </w:r>
          </w:p>
        </w:tc>
        <w:tc>
          <w:tcPr>
            <w:tcW w:w="552" w:type="pct"/>
          </w:tcPr>
          <w:p w:rsidR="00BE6F9C" w:rsidRPr="00C23B30" w:rsidRDefault="00BE6F9C" w:rsidP="00C23B30">
            <w:pPr>
              <w:pStyle w:val="ListParagraph"/>
              <w:ind w:left="0"/>
              <w:jc w:val="center"/>
              <w:rPr>
                <w:rFonts w:cs="Times New Roman"/>
                <w:sz w:val="22"/>
              </w:rPr>
            </w:pPr>
            <w:r w:rsidRPr="00C23B30">
              <w:rPr>
                <w:rFonts w:cs="Times New Roman"/>
                <w:sz w:val="22"/>
              </w:rPr>
              <w:t>7 300</w:t>
            </w:r>
          </w:p>
        </w:tc>
        <w:tc>
          <w:tcPr>
            <w:tcW w:w="492" w:type="pct"/>
          </w:tcPr>
          <w:p w:rsidR="00BE6F9C" w:rsidRPr="00C23B30" w:rsidRDefault="00BE6F9C" w:rsidP="00C23B30">
            <w:pPr>
              <w:pStyle w:val="ListParagraph"/>
              <w:ind w:left="0"/>
              <w:jc w:val="center"/>
              <w:rPr>
                <w:rFonts w:cs="Times New Roman"/>
                <w:sz w:val="22"/>
              </w:rPr>
            </w:pPr>
            <w:r w:rsidRPr="00C23B30">
              <w:rPr>
                <w:rFonts w:cs="Times New Roman"/>
                <w:sz w:val="22"/>
              </w:rPr>
              <w:t>7 300</w:t>
            </w:r>
          </w:p>
        </w:tc>
        <w:tc>
          <w:tcPr>
            <w:tcW w:w="495" w:type="pct"/>
          </w:tcPr>
          <w:p w:rsidR="00BE6F9C" w:rsidRPr="00C23B30" w:rsidRDefault="00BE6F9C" w:rsidP="00C23B30">
            <w:pPr>
              <w:pStyle w:val="ListParagraph"/>
              <w:ind w:left="0"/>
              <w:jc w:val="center"/>
              <w:rPr>
                <w:rFonts w:cs="Times New Roman"/>
                <w:sz w:val="22"/>
              </w:rPr>
            </w:pPr>
            <w:r w:rsidRPr="00C23B30">
              <w:rPr>
                <w:rFonts w:cs="Times New Roman"/>
                <w:sz w:val="22"/>
              </w:rPr>
              <w:t>100</w:t>
            </w:r>
          </w:p>
        </w:tc>
        <w:tc>
          <w:tcPr>
            <w:tcW w:w="508" w:type="pct"/>
          </w:tcPr>
          <w:p w:rsidR="00BE6F9C" w:rsidRPr="00C23B30" w:rsidRDefault="00BE6F9C" w:rsidP="00C23B30">
            <w:pPr>
              <w:pStyle w:val="ListParagraph"/>
              <w:ind w:left="0"/>
              <w:jc w:val="center"/>
              <w:rPr>
                <w:rFonts w:cs="Times New Roman"/>
                <w:sz w:val="22"/>
              </w:rPr>
            </w:pPr>
            <w:r w:rsidRPr="00C23B30">
              <w:rPr>
                <w:rFonts w:cs="Times New Roman"/>
                <w:sz w:val="22"/>
              </w:rPr>
              <w:t>0</w:t>
            </w:r>
          </w:p>
        </w:tc>
        <w:tc>
          <w:tcPr>
            <w:tcW w:w="520" w:type="pct"/>
          </w:tcPr>
          <w:p w:rsidR="00BE6F9C" w:rsidRPr="00C23B30" w:rsidRDefault="00BE6F9C" w:rsidP="00C23B30">
            <w:pPr>
              <w:pStyle w:val="ListParagraph"/>
              <w:ind w:left="0"/>
              <w:jc w:val="center"/>
              <w:rPr>
                <w:rFonts w:cs="Times New Roman"/>
                <w:sz w:val="22"/>
              </w:rPr>
            </w:pPr>
            <w:r w:rsidRPr="00C23B30">
              <w:rPr>
                <w:rFonts w:cs="Times New Roman"/>
                <w:sz w:val="22"/>
              </w:rPr>
              <w:t>0</w:t>
            </w:r>
          </w:p>
        </w:tc>
        <w:tc>
          <w:tcPr>
            <w:tcW w:w="492" w:type="pct"/>
          </w:tcPr>
          <w:p w:rsidR="00BE6F9C" w:rsidRPr="00C23B30" w:rsidRDefault="00BE6F9C" w:rsidP="00C23B30">
            <w:pPr>
              <w:pStyle w:val="ListParagraph"/>
              <w:ind w:left="0"/>
              <w:jc w:val="center"/>
              <w:rPr>
                <w:rFonts w:cs="Times New Roman"/>
                <w:sz w:val="22"/>
              </w:rPr>
            </w:pPr>
            <w:r w:rsidRPr="00C23B30">
              <w:rPr>
                <w:rFonts w:cs="Times New Roman"/>
                <w:sz w:val="22"/>
              </w:rPr>
              <w:t>0</w:t>
            </w:r>
          </w:p>
        </w:tc>
        <w:tc>
          <w:tcPr>
            <w:tcW w:w="495" w:type="pct"/>
          </w:tcPr>
          <w:p w:rsidR="00BE6F9C" w:rsidRPr="00C23B30" w:rsidRDefault="00BE6F9C" w:rsidP="00C23B30">
            <w:pPr>
              <w:pStyle w:val="ListParagraph"/>
              <w:ind w:left="0"/>
              <w:jc w:val="center"/>
              <w:rPr>
                <w:rFonts w:cs="Times New Roman"/>
                <w:sz w:val="22"/>
              </w:rPr>
            </w:pPr>
            <w:r w:rsidRPr="00C23B30">
              <w:rPr>
                <w:rFonts w:cs="Times New Roman"/>
                <w:sz w:val="22"/>
              </w:rPr>
              <w:t>-</w:t>
            </w:r>
          </w:p>
        </w:tc>
        <w:tc>
          <w:tcPr>
            <w:tcW w:w="604" w:type="pct"/>
          </w:tcPr>
          <w:p w:rsidR="00BE6F9C" w:rsidRPr="00C23B30" w:rsidRDefault="00BE6F9C" w:rsidP="00C23B30">
            <w:pPr>
              <w:pStyle w:val="ListParagraph"/>
              <w:ind w:left="0"/>
              <w:jc w:val="center"/>
              <w:rPr>
                <w:rFonts w:cs="Times New Roman"/>
                <w:sz w:val="22"/>
              </w:rPr>
            </w:pPr>
            <w:r w:rsidRPr="00C23B30">
              <w:rPr>
                <w:rFonts w:cs="Times New Roman"/>
                <w:sz w:val="22"/>
              </w:rPr>
              <w:t>-</w:t>
            </w:r>
          </w:p>
        </w:tc>
      </w:tr>
      <w:tr w:rsidR="00C23B30" w:rsidRPr="00C23B30" w:rsidTr="000F28B9">
        <w:tc>
          <w:tcPr>
            <w:tcW w:w="842" w:type="pct"/>
            <w:shd w:val="clear" w:color="auto" w:fill="C5E0B3" w:themeFill="accent6" w:themeFillTint="66"/>
            <w:vAlign w:val="center"/>
          </w:tcPr>
          <w:p w:rsidR="00BE6F9C" w:rsidRPr="00C23B30" w:rsidRDefault="00BE6F9C" w:rsidP="00C23B30">
            <w:pPr>
              <w:pStyle w:val="ListParagraph"/>
              <w:ind w:left="0"/>
              <w:jc w:val="center"/>
              <w:rPr>
                <w:rFonts w:cs="Times New Roman"/>
                <w:b/>
                <w:sz w:val="22"/>
              </w:rPr>
            </w:pPr>
            <w:r w:rsidRPr="00C23B30">
              <w:rPr>
                <w:rFonts w:cs="Times New Roman"/>
                <w:b/>
                <w:sz w:val="22"/>
              </w:rPr>
              <w:t>Kopā</w:t>
            </w:r>
          </w:p>
        </w:tc>
        <w:tc>
          <w:tcPr>
            <w:tcW w:w="552" w:type="pct"/>
          </w:tcPr>
          <w:p w:rsidR="00BE6F9C" w:rsidRPr="00C23B30" w:rsidRDefault="00BE6F9C" w:rsidP="00C23B30">
            <w:pPr>
              <w:pStyle w:val="ListParagraph"/>
              <w:ind w:left="0"/>
              <w:jc w:val="center"/>
              <w:rPr>
                <w:rFonts w:cs="Times New Roman"/>
                <w:b/>
                <w:sz w:val="22"/>
              </w:rPr>
            </w:pPr>
            <w:r w:rsidRPr="00C23B30">
              <w:rPr>
                <w:rFonts w:cs="Times New Roman"/>
                <w:b/>
                <w:sz w:val="22"/>
              </w:rPr>
              <w:t>201 165</w:t>
            </w:r>
          </w:p>
        </w:tc>
        <w:tc>
          <w:tcPr>
            <w:tcW w:w="492" w:type="pct"/>
          </w:tcPr>
          <w:p w:rsidR="00BE6F9C" w:rsidRPr="00C23B30" w:rsidRDefault="00BE6F9C" w:rsidP="00C23B30">
            <w:pPr>
              <w:pStyle w:val="ListParagraph"/>
              <w:ind w:left="0"/>
              <w:jc w:val="center"/>
              <w:rPr>
                <w:rFonts w:cs="Times New Roman"/>
                <w:b/>
                <w:sz w:val="22"/>
              </w:rPr>
            </w:pPr>
            <w:r w:rsidRPr="00C23B30">
              <w:rPr>
                <w:rFonts w:cs="Times New Roman"/>
                <w:b/>
                <w:sz w:val="22"/>
              </w:rPr>
              <w:t>15 721</w:t>
            </w:r>
          </w:p>
        </w:tc>
        <w:tc>
          <w:tcPr>
            <w:tcW w:w="495" w:type="pct"/>
          </w:tcPr>
          <w:p w:rsidR="00BE6F9C" w:rsidRPr="00C23B30" w:rsidRDefault="00BE6F9C" w:rsidP="00C23B30">
            <w:pPr>
              <w:pStyle w:val="ListParagraph"/>
              <w:ind w:left="0"/>
              <w:jc w:val="center"/>
              <w:rPr>
                <w:rFonts w:cs="Times New Roman"/>
                <w:b/>
                <w:sz w:val="22"/>
              </w:rPr>
            </w:pPr>
            <w:r w:rsidRPr="00C23B30">
              <w:rPr>
                <w:rFonts w:cs="Times New Roman"/>
                <w:b/>
                <w:sz w:val="22"/>
              </w:rPr>
              <w:t>8</w:t>
            </w:r>
          </w:p>
        </w:tc>
        <w:tc>
          <w:tcPr>
            <w:tcW w:w="508" w:type="pct"/>
          </w:tcPr>
          <w:p w:rsidR="00BE6F9C" w:rsidRPr="00C23B30" w:rsidRDefault="00BE6F9C" w:rsidP="00C23B30">
            <w:pPr>
              <w:pStyle w:val="ListParagraph"/>
              <w:ind w:left="0"/>
              <w:jc w:val="center"/>
              <w:rPr>
                <w:rFonts w:cs="Times New Roman"/>
                <w:b/>
                <w:sz w:val="22"/>
              </w:rPr>
            </w:pPr>
            <w:r w:rsidRPr="00C23B30">
              <w:rPr>
                <w:rFonts w:cs="Times New Roman"/>
                <w:b/>
                <w:sz w:val="22"/>
              </w:rPr>
              <w:t>185 444</w:t>
            </w:r>
          </w:p>
        </w:tc>
        <w:tc>
          <w:tcPr>
            <w:tcW w:w="520" w:type="pct"/>
          </w:tcPr>
          <w:p w:rsidR="00BE6F9C" w:rsidRPr="00C23B30" w:rsidRDefault="00BE6F9C" w:rsidP="00C23B30">
            <w:pPr>
              <w:pStyle w:val="ListParagraph"/>
              <w:ind w:left="0"/>
              <w:jc w:val="center"/>
              <w:rPr>
                <w:rFonts w:cs="Times New Roman"/>
                <w:b/>
                <w:sz w:val="22"/>
              </w:rPr>
            </w:pPr>
            <w:r w:rsidRPr="00C23B30">
              <w:rPr>
                <w:rFonts w:cs="Times New Roman"/>
                <w:b/>
                <w:sz w:val="22"/>
              </w:rPr>
              <w:t>201 165</w:t>
            </w:r>
          </w:p>
        </w:tc>
        <w:tc>
          <w:tcPr>
            <w:tcW w:w="492" w:type="pct"/>
          </w:tcPr>
          <w:p w:rsidR="00BE6F9C" w:rsidRPr="00C23B30" w:rsidRDefault="00BE6F9C" w:rsidP="00C23B30">
            <w:pPr>
              <w:pStyle w:val="ListParagraph"/>
              <w:ind w:left="0"/>
              <w:jc w:val="center"/>
              <w:rPr>
                <w:rFonts w:cs="Times New Roman"/>
                <w:b/>
                <w:sz w:val="22"/>
              </w:rPr>
            </w:pPr>
            <w:r w:rsidRPr="00C23B30">
              <w:rPr>
                <w:rFonts w:cs="Times New Roman"/>
                <w:b/>
                <w:sz w:val="22"/>
              </w:rPr>
              <w:t>45 126</w:t>
            </w:r>
          </w:p>
        </w:tc>
        <w:tc>
          <w:tcPr>
            <w:tcW w:w="495" w:type="pct"/>
          </w:tcPr>
          <w:p w:rsidR="00BE6F9C" w:rsidRPr="00C23B30" w:rsidRDefault="00BE6F9C" w:rsidP="00C23B30">
            <w:pPr>
              <w:pStyle w:val="ListParagraph"/>
              <w:ind w:left="0"/>
              <w:jc w:val="center"/>
              <w:rPr>
                <w:rFonts w:cs="Times New Roman"/>
                <w:b/>
                <w:sz w:val="22"/>
              </w:rPr>
            </w:pPr>
            <w:r w:rsidRPr="00C23B30">
              <w:rPr>
                <w:rFonts w:cs="Times New Roman"/>
                <w:b/>
                <w:sz w:val="22"/>
              </w:rPr>
              <w:t>22</w:t>
            </w:r>
          </w:p>
        </w:tc>
        <w:tc>
          <w:tcPr>
            <w:tcW w:w="604" w:type="pct"/>
          </w:tcPr>
          <w:p w:rsidR="00BE6F9C" w:rsidRPr="00C23B30" w:rsidRDefault="00BE6F9C" w:rsidP="00C23B30">
            <w:pPr>
              <w:pStyle w:val="ListParagraph"/>
              <w:ind w:left="0"/>
              <w:jc w:val="center"/>
              <w:rPr>
                <w:rFonts w:cs="Times New Roman"/>
                <w:b/>
                <w:sz w:val="22"/>
              </w:rPr>
            </w:pPr>
            <w:r w:rsidRPr="00C23B30">
              <w:rPr>
                <w:rFonts w:cs="Times New Roman"/>
                <w:b/>
                <w:sz w:val="22"/>
              </w:rPr>
              <w:t>156 039</w:t>
            </w:r>
          </w:p>
        </w:tc>
      </w:tr>
    </w:tbl>
    <w:p w:rsidR="00BE6F9C" w:rsidRPr="00BE6F9C" w:rsidRDefault="00BE6F9C" w:rsidP="00C23B30">
      <w:pPr>
        <w:pStyle w:val="BodyText6"/>
        <w:shd w:val="clear" w:color="auto" w:fill="auto"/>
        <w:spacing w:before="0" w:after="120" w:line="220" w:lineRule="exact"/>
        <w:ind w:right="23" w:firstLine="0"/>
        <w:rPr>
          <w:rStyle w:val="BodyText1"/>
          <w:sz w:val="24"/>
          <w:szCs w:val="24"/>
        </w:rPr>
      </w:pPr>
      <w:r w:rsidRPr="00BE6F9C">
        <w:rPr>
          <w:rStyle w:val="BodyText3"/>
          <w:sz w:val="20"/>
          <w:szCs w:val="20"/>
        </w:rPr>
        <w:t xml:space="preserve">                                                                                                                                </w:t>
      </w:r>
    </w:p>
    <w:p w:rsidR="00BE6F9C" w:rsidRPr="00BE6F9C" w:rsidRDefault="00BE6F9C" w:rsidP="008C25BB">
      <w:pPr>
        <w:pStyle w:val="BodyText6"/>
        <w:numPr>
          <w:ilvl w:val="0"/>
          <w:numId w:val="56"/>
        </w:numPr>
        <w:shd w:val="clear" w:color="auto" w:fill="auto"/>
        <w:spacing w:before="0" w:after="120" w:line="264" w:lineRule="exact"/>
        <w:ind w:left="0" w:right="20" w:firstLine="360"/>
        <w:jc w:val="both"/>
        <w:rPr>
          <w:rStyle w:val="BodyText1"/>
          <w:sz w:val="24"/>
          <w:szCs w:val="24"/>
        </w:rPr>
      </w:pPr>
      <w:r w:rsidRPr="00BE6F9C">
        <w:rPr>
          <w:rStyle w:val="BodyText1"/>
          <w:sz w:val="24"/>
          <w:szCs w:val="24"/>
        </w:rPr>
        <w:t xml:space="preserve">Veselības inspekcija iniciatīvas īstenošanai neapgūtos līdzekļus 2015.gadā ir novirzījusi prēmiju par novērtēšanu izmaksai, nodokļu avansiem, veselības apdrošināšanas polišu iegādei un avansa maksājumiem par telpu uzturēšanu un apsaimniekošanu. Veselības inspekcijas darbiniekiem aprēķinātas prēmijas, naudas balvas un piemaksas par darba kvalitāti, novirzot attiecīgi 44 un 65% jeb kopsummā 219 426 </w:t>
      </w:r>
      <w:r w:rsidRPr="00BE6F9C">
        <w:rPr>
          <w:rStyle w:val="BodytextItalic"/>
          <w:sz w:val="24"/>
          <w:szCs w:val="24"/>
        </w:rPr>
        <w:t>euro</w:t>
      </w:r>
      <w:r w:rsidRPr="00BE6F9C">
        <w:rPr>
          <w:rStyle w:val="BodyText1"/>
          <w:sz w:val="24"/>
          <w:szCs w:val="24"/>
        </w:rPr>
        <w:t xml:space="preserve"> no </w:t>
      </w:r>
      <w:r w:rsidR="00077A99">
        <w:rPr>
          <w:rStyle w:val="BodyText1"/>
          <w:sz w:val="24"/>
          <w:szCs w:val="24"/>
        </w:rPr>
        <w:t>JPI</w:t>
      </w:r>
      <w:r w:rsidRPr="00BE6F9C">
        <w:rPr>
          <w:rStyle w:val="BodyText1"/>
          <w:sz w:val="24"/>
          <w:szCs w:val="24"/>
        </w:rPr>
        <w:t xml:space="preserve"> piešķirtā finansējuma 2015 un 2016.gadā.</w:t>
      </w:r>
      <w:r w:rsidRPr="00BE6F9C">
        <w:rPr>
          <w:rStyle w:val="FootnoteReference"/>
          <w:color w:val="000000"/>
          <w:sz w:val="24"/>
          <w:szCs w:val="24"/>
          <w:shd w:val="clear" w:color="auto" w:fill="FFFFFF"/>
          <w:lang w:eastAsia="lv-LV" w:bidi="lv-LV"/>
        </w:rPr>
        <w:footnoteReference w:id="101"/>
      </w:r>
    </w:p>
    <w:p w:rsidR="004D0F6A" w:rsidRPr="00A931A3" w:rsidRDefault="00BE6F9C" w:rsidP="00A931A3">
      <w:pPr>
        <w:pStyle w:val="ListParagraph"/>
        <w:spacing w:after="120"/>
        <w:ind w:left="0" w:firstLine="709"/>
        <w:contextualSpacing w:val="0"/>
        <w:jc w:val="both"/>
        <w:rPr>
          <w:rFonts w:cs="Times New Roman"/>
          <w:szCs w:val="24"/>
        </w:rPr>
      </w:pPr>
      <w:r w:rsidRPr="00BE6F9C">
        <w:rPr>
          <w:szCs w:val="24"/>
        </w:rPr>
        <w:lastRenderedPageBreak/>
        <w:t xml:space="preserve">Ņemot vērā </w:t>
      </w:r>
      <w:r w:rsidR="00077A99">
        <w:rPr>
          <w:szCs w:val="24"/>
        </w:rPr>
        <w:t>VKo</w:t>
      </w:r>
      <w:r w:rsidRPr="00BE6F9C">
        <w:rPr>
          <w:szCs w:val="24"/>
        </w:rPr>
        <w:t xml:space="preserve"> revīzijas ziņojumā konstatēto, ka </w:t>
      </w:r>
      <w:r w:rsidR="00077A99">
        <w:rPr>
          <w:szCs w:val="24"/>
        </w:rPr>
        <w:t>JPI</w:t>
      </w:r>
      <w:r w:rsidRPr="00BE6F9C">
        <w:rPr>
          <w:szCs w:val="24"/>
        </w:rPr>
        <w:t xml:space="preserve"> īstenošanai piešķirtais finansē</w:t>
      </w:r>
      <w:r w:rsidR="00077A99">
        <w:rPr>
          <w:szCs w:val="24"/>
        </w:rPr>
        <w:t>jums 2015.gadā apgūts 8% apmērā</w:t>
      </w:r>
      <w:r w:rsidRPr="00BE6F9C">
        <w:rPr>
          <w:szCs w:val="24"/>
        </w:rPr>
        <w:t xml:space="preserve"> un 2016.gadā apgūts 22% apmērā, kā arī to, ka 2015.gadā tika pieņemts viens inspektors un 2016.gadā divi inspektori, ierosinām, minētās </w:t>
      </w:r>
      <w:r w:rsidR="00077A99">
        <w:rPr>
          <w:szCs w:val="24"/>
        </w:rPr>
        <w:t>JPI</w:t>
      </w:r>
      <w:r w:rsidRPr="00BE6F9C">
        <w:rPr>
          <w:szCs w:val="24"/>
        </w:rPr>
        <w:t xml:space="preserve"> ietvaros piešķirto finansējumu 144 637 </w:t>
      </w:r>
      <w:r w:rsidRPr="00BE6F9C">
        <w:rPr>
          <w:i/>
          <w:szCs w:val="24"/>
        </w:rPr>
        <w:t>euro</w:t>
      </w:r>
      <w:r w:rsidRPr="00BE6F9C">
        <w:rPr>
          <w:szCs w:val="24"/>
        </w:rPr>
        <w:t xml:space="preserve"> apmērā, attiecīgi samazinot 7 amata vietas, sākot ar 2018.gadu, novirzīt ak</w:t>
      </w:r>
      <w:r w:rsidR="00077A99">
        <w:rPr>
          <w:szCs w:val="24"/>
        </w:rPr>
        <w:t>tuālāku pasākumu īstenošanai, kā</w:t>
      </w:r>
      <w:r w:rsidRPr="00BE6F9C">
        <w:rPr>
          <w:szCs w:val="24"/>
        </w:rPr>
        <w:t xml:space="preserve"> piemēram, veselības </w:t>
      </w:r>
      <w:r w:rsidRPr="00BE6F9C">
        <w:rPr>
          <w:rFonts w:cs="Times New Roman"/>
          <w:szCs w:val="24"/>
        </w:rPr>
        <w:t>aprūpes pakalpojumu pieejamības uzlabošanai vai kompensējamo medikamentu nodrošināšanai.</w:t>
      </w:r>
    </w:p>
    <w:p w:rsidR="00BE6F9C" w:rsidRPr="00BE6F9C" w:rsidRDefault="00BE6F9C" w:rsidP="004D0F6A">
      <w:pPr>
        <w:pStyle w:val="ListParagraph"/>
        <w:spacing w:before="120" w:after="120"/>
        <w:ind w:left="0" w:firstLine="709"/>
        <w:contextualSpacing w:val="0"/>
        <w:jc w:val="both"/>
        <w:rPr>
          <w:rFonts w:eastAsia="Times New Roman"/>
          <w:b/>
          <w:szCs w:val="24"/>
        </w:rPr>
      </w:pPr>
      <w:r w:rsidRPr="00BE6F9C">
        <w:rPr>
          <w:rFonts w:eastAsia="Times New Roman" w:cs="Times New Roman"/>
          <w:b/>
          <w:color w:val="000000"/>
          <w:szCs w:val="24"/>
          <w:lang w:eastAsia="lv-LV"/>
        </w:rPr>
        <w:t xml:space="preserve">VM </w:t>
      </w:r>
      <w:r w:rsidR="004D0F6A">
        <w:rPr>
          <w:rFonts w:eastAsia="Times New Roman" w:cs="Times New Roman"/>
          <w:b/>
          <w:color w:val="000000"/>
          <w:szCs w:val="24"/>
          <w:lang w:eastAsia="lv-LV"/>
        </w:rPr>
        <w:t xml:space="preserve">- </w:t>
      </w:r>
      <w:r w:rsidRPr="00BE6F9C">
        <w:rPr>
          <w:rFonts w:eastAsia="Times New Roman"/>
          <w:b/>
          <w:szCs w:val="24"/>
        </w:rPr>
        <w:t>Par normatīvo regulējumu un praksi ieslodzīto personu iesniegumu izskatīšanas kārtībai Veselības inspekcijā gadījumos, kas saistīti ar ieslodzīto personu nopietnu un akūtu saslimšanu</w:t>
      </w:r>
    </w:p>
    <w:p w:rsidR="00BE6F9C" w:rsidRPr="00A931A3" w:rsidRDefault="00BE6F9C" w:rsidP="00BE6F9C">
      <w:pPr>
        <w:tabs>
          <w:tab w:val="left" w:pos="142"/>
        </w:tabs>
        <w:spacing w:after="120"/>
        <w:jc w:val="both"/>
        <w:rPr>
          <w:rStyle w:val="BodyText1"/>
          <w:rFonts w:eastAsiaTheme="minorHAnsi"/>
          <w:sz w:val="24"/>
          <w:szCs w:val="24"/>
        </w:rPr>
      </w:pPr>
      <w:r w:rsidRPr="00BE6F9C">
        <w:rPr>
          <w:rStyle w:val="BodyText1"/>
          <w:rFonts w:eastAsiaTheme="minorHAnsi"/>
        </w:rPr>
        <w:tab/>
      </w:r>
      <w:r w:rsidRPr="00BE6F9C">
        <w:rPr>
          <w:rStyle w:val="BodyText1"/>
          <w:rFonts w:eastAsiaTheme="minorHAnsi"/>
        </w:rPr>
        <w:tab/>
      </w:r>
      <w:r w:rsidRPr="004D0F6A">
        <w:rPr>
          <w:rStyle w:val="BodyText1"/>
          <w:rFonts w:eastAsiaTheme="minorHAnsi"/>
          <w:sz w:val="24"/>
          <w:szCs w:val="24"/>
        </w:rPr>
        <w:t>VM apakšprogrammā 46.01.00 “Uzraudzība un kontrole” 2015.</w:t>
      </w:r>
      <w:r w:rsidRPr="004D0F6A">
        <w:rPr>
          <w:rStyle w:val="BodyText1"/>
          <w:rFonts w:eastAsiaTheme="minorHAnsi"/>
          <w:sz w:val="24"/>
          <w:szCs w:val="24"/>
        </w:rPr>
        <w:noBreakHyphen/>
        <w:t xml:space="preserve">2017.gada ietvarā piešķirts finansējums JPI “Par normatīvo regulējumu un praksi ieslodzīto personu iesniegumu izskatīšanas kārtībai Veselības inspekcijā gadījumos, kas saistīti ar ieslodzīto personu nopietnu un akūtu saslimšanu”  īstenošanai 2015.gadam 103 794 </w:t>
      </w:r>
      <w:r w:rsidRPr="004D0F6A">
        <w:rPr>
          <w:rStyle w:val="BodyText1"/>
          <w:rFonts w:eastAsiaTheme="minorHAnsi"/>
          <w:i/>
          <w:sz w:val="24"/>
          <w:szCs w:val="24"/>
        </w:rPr>
        <w:t>euro</w:t>
      </w:r>
      <w:r w:rsidR="00452E8C">
        <w:rPr>
          <w:rStyle w:val="BodyText1"/>
          <w:rFonts w:eastAsiaTheme="minorHAnsi"/>
          <w:sz w:val="24"/>
          <w:szCs w:val="24"/>
        </w:rPr>
        <w:t xml:space="preserve">  un turpmāk ik gadu 98 698</w:t>
      </w:r>
      <w:r w:rsidRPr="004D0F6A">
        <w:rPr>
          <w:rStyle w:val="BodyText1"/>
          <w:rFonts w:eastAsiaTheme="minorHAnsi"/>
          <w:sz w:val="24"/>
          <w:szCs w:val="24"/>
        </w:rPr>
        <w:t xml:space="preserve"> </w:t>
      </w:r>
      <w:r w:rsidRPr="004D0F6A">
        <w:rPr>
          <w:rStyle w:val="BodyText1"/>
          <w:rFonts w:eastAsiaTheme="minorHAnsi"/>
          <w:i/>
          <w:sz w:val="24"/>
          <w:szCs w:val="24"/>
        </w:rPr>
        <w:t>euro</w:t>
      </w:r>
      <w:r w:rsidRPr="004D0F6A">
        <w:rPr>
          <w:rStyle w:val="BodyText1"/>
          <w:rFonts w:eastAsiaTheme="minorHAnsi"/>
          <w:sz w:val="24"/>
          <w:szCs w:val="24"/>
        </w:rPr>
        <w:t xml:space="preserve"> apmērā, paredzot izveidot četras amata vietas, lai palielinātu Veselības inspekcijas kapacitāti saistībā ar ieslodzīto personu iesniegumu izskatīšanu, kas saistīti ar ieslodzīto personu nopietnu un akūtu </w:t>
      </w:r>
      <w:r w:rsidRPr="00A931A3">
        <w:rPr>
          <w:rStyle w:val="BodyText1"/>
          <w:rFonts w:eastAsiaTheme="minorHAnsi"/>
          <w:sz w:val="24"/>
          <w:szCs w:val="24"/>
        </w:rPr>
        <w:t xml:space="preserve">saslimšanu.  </w:t>
      </w:r>
    </w:p>
    <w:p w:rsidR="00BE6F9C" w:rsidRPr="00A931A3" w:rsidRDefault="00BE6F9C" w:rsidP="00BE6F9C">
      <w:pPr>
        <w:tabs>
          <w:tab w:val="left" w:pos="142"/>
        </w:tabs>
        <w:spacing w:after="120"/>
        <w:ind w:firstLine="720"/>
        <w:jc w:val="both"/>
        <w:rPr>
          <w:szCs w:val="24"/>
        </w:rPr>
      </w:pPr>
      <w:r w:rsidRPr="00A931A3">
        <w:rPr>
          <w:rStyle w:val="BodyText1"/>
          <w:rFonts w:eastAsiaTheme="minorHAnsi"/>
          <w:sz w:val="24"/>
          <w:szCs w:val="24"/>
        </w:rPr>
        <w:t xml:space="preserve">Saskaņā ar </w:t>
      </w:r>
      <w:r w:rsidRPr="00A931A3">
        <w:rPr>
          <w:szCs w:val="24"/>
        </w:rPr>
        <w:t>V</w:t>
      </w:r>
      <w:r w:rsidR="00F208B8">
        <w:rPr>
          <w:szCs w:val="24"/>
        </w:rPr>
        <w:t xml:space="preserve">Ko </w:t>
      </w:r>
      <w:r w:rsidRPr="00A931A3">
        <w:rPr>
          <w:szCs w:val="24"/>
        </w:rPr>
        <w:t>revīzijas “Par Veselības ministrijas 2016.gada pārskatu” ziņojumā norādīto:</w:t>
      </w:r>
    </w:p>
    <w:p w:rsidR="00BE6F9C" w:rsidRDefault="00BE6F9C" w:rsidP="008C25BB">
      <w:pPr>
        <w:pStyle w:val="ListParagraph"/>
        <w:numPr>
          <w:ilvl w:val="0"/>
          <w:numId w:val="57"/>
        </w:numPr>
        <w:tabs>
          <w:tab w:val="left" w:pos="142"/>
          <w:tab w:val="left" w:pos="851"/>
        </w:tabs>
        <w:spacing w:after="120"/>
        <w:ind w:left="0" w:firstLine="567"/>
        <w:jc w:val="both"/>
        <w:rPr>
          <w:rStyle w:val="BodyText1"/>
          <w:rFonts w:eastAsiaTheme="minorHAnsi"/>
          <w:sz w:val="24"/>
          <w:szCs w:val="24"/>
        </w:rPr>
      </w:pPr>
      <w:r w:rsidRPr="00452E8C">
        <w:rPr>
          <w:rStyle w:val="BodyText1"/>
          <w:rFonts w:eastAsiaTheme="minorHAnsi"/>
          <w:sz w:val="24"/>
          <w:szCs w:val="24"/>
        </w:rPr>
        <w:t xml:space="preserve">apkopojot informāciju par saņemto iesniegumu skaitu no ieslodzījuma vietām, konstatēts, ka kopš 2013.gada saņemto iesniegumu skaits ik gadu </w:t>
      </w:r>
      <w:r w:rsidRPr="005A72A2">
        <w:rPr>
          <w:rStyle w:val="BodyText1"/>
          <w:rFonts w:eastAsiaTheme="minorHAnsi"/>
          <w:sz w:val="24"/>
          <w:szCs w:val="24"/>
        </w:rPr>
        <w:t>samazinās (skat</w:t>
      </w:r>
      <w:r w:rsidR="005A72A2">
        <w:rPr>
          <w:rStyle w:val="BodyText1"/>
          <w:rFonts w:eastAsiaTheme="minorHAnsi"/>
          <w:sz w:val="24"/>
          <w:szCs w:val="24"/>
        </w:rPr>
        <w:t>.</w:t>
      </w:r>
      <w:r w:rsidRPr="005A72A2">
        <w:rPr>
          <w:rStyle w:val="BodyText1"/>
          <w:rFonts w:eastAsiaTheme="minorHAnsi"/>
          <w:sz w:val="24"/>
          <w:szCs w:val="24"/>
        </w:rPr>
        <w:t xml:space="preserve"> </w:t>
      </w:r>
      <w:r w:rsidR="005A72A2" w:rsidRPr="005A72A2">
        <w:rPr>
          <w:rStyle w:val="BodyText1"/>
          <w:rFonts w:eastAsiaTheme="minorHAnsi"/>
          <w:sz w:val="24"/>
          <w:szCs w:val="24"/>
        </w:rPr>
        <w:t>3.72.attēlu</w:t>
      </w:r>
      <w:r w:rsidRPr="005A72A2">
        <w:rPr>
          <w:rStyle w:val="BodyText1"/>
          <w:rFonts w:eastAsiaTheme="minorHAnsi"/>
          <w:sz w:val="24"/>
          <w:szCs w:val="24"/>
        </w:rPr>
        <w:t>).</w:t>
      </w:r>
      <w:r w:rsidRPr="00452E8C">
        <w:rPr>
          <w:rStyle w:val="BodyText1"/>
          <w:rFonts w:eastAsiaTheme="minorHAnsi"/>
          <w:sz w:val="24"/>
          <w:szCs w:val="24"/>
        </w:rPr>
        <w:t xml:space="preserve">  Lai gan Veselības inspekcija ir panākusi plānoto kapacitātes pieaugumu jau 2015.gadā, tomēr atbilstoši </w:t>
      </w:r>
      <w:r w:rsidR="00452E8C">
        <w:rPr>
          <w:rStyle w:val="BodyText1"/>
          <w:rFonts w:eastAsiaTheme="minorHAnsi"/>
          <w:sz w:val="24"/>
          <w:szCs w:val="24"/>
        </w:rPr>
        <w:t>VKo</w:t>
      </w:r>
      <w:r w:rsidRPr="00452E8C">
        <w:rPr>
          <w:rStyle w:val="BodyText1"/>
          <w:rFonts w:eastAsiaTheme="minorHAnsi"/>
          <w:sz w:val="24"/>
          <w:szCs w:val="24"/>
        </w:rPr>
        <w:t xml:space="preserve"> veiktajiem aprēķiniem ik gadu pagarinās vidējie iesniegumu izskatīšanas termiņi, piemēram, 2014.gadā viena ekspertīze vidēji bija veikta 39 dienās, 2015.gadā </w:t>
      </w:r>
      <w:r w:rsidR="00452E8C">
        <w:rPr>
          <w:rStyle w:val="BodyText1"/>
          <w:rFonts w:eastAsiaTheme="minorHAnsi"/>
          <w:sz w:val="24"/>
          <w:szCs w:val="24"/>
        </w:rPr>
        <w:t>–</w:t>
      </w:r>
      <w:r w:rsidRPr="00452E8C">
        <w:rPr>
          <w:rStyle w:val="BodyText1"/>
          <w:rFonts w:eastAsiaTheme="minorHAnsi"/>
          <w:sz w:val="24"/>
          <w:szCs w:val="24"/>
        </w:rPr>
        <w:t xml:space="preserve"> 45 dienās, savukārt 2016.gadā </w:t>
      </w:r>
      <w:r w:rsidR="00452E8C">
        <w:rPr>
          <w:rStyle w:val="BodyText1"/>
          <w:rFonts w:eastAsiaTheme="minorHAnsi"/>
          <w:sz w:val="24"/>
          <w:szCs w:val="24"/>
        </w:rPr>
        <w:t>–</w:t>
      </w:r>
      <w:r w:rsidRPr="00452E8C">
        <w:rPr>
          <w:rStyle w:val="BodyText1"/>
          <w:rFonts w:eastAsiaTheme="minorHAnsi"/>
          <w:sz w:val="24"/>
          <w:szCs w:val="24"/>
        </w:rPr>
        <w:t xml:space="preserve"> jau 51 dienā;</w:t>
      </w:r>
    </w:p>
    <w:p w:rsidR="00452E8C" w:rsidRPr="00452E8C" w:rsidRDefault="00452E8C" w:rsidP="00452E8C">
      <w:pPr>
        <w:pStyle w:val="ListParagraph"/>
        <w:tabs>
          <w:tab w:val="left" w:pos="142"/>
        </w:tabs>
        <w:ind w:left="1077"/>
        <w:contextualSpacing w:val="0"/>
        <w:jc w:val="both"/>
        <w:rPr>
          <w:rStyle w:val="BodyText1"/>
          <w:rFonts w:eastAsiaTheme="minorHAnsi"/>
          <w:sz w:val="24"/>
          <w:szCs w:val="24"/>
        </w:rPr>
      </w:pPr>
    </w:p>
    <w:p w:rsidR="00BE6F9C" w:rsidRPr="00BE6F9C" w:rsidRDefault="00BE6F9C" w:rsidP="00BE6F9C">
      <w:pPr>
        <w:jc w:val="center"/>
      </w:pPr>
      <w:r w:rsidRPr="00BE6F9C">
        <w:rPr>
          <w:noProof/>
          <w:lang w:eastAsia="lv-LV"/>
        </w:rPr>
        <w:drawing>
          <wp:inline distT="0" distB="0" distL="0" distR="0" wp14:anchorId="441AAAF9" wp14:editId="4E1DDF42">
            <wp:extent cx="5791200" cy="2752725"/>
            <wp:effectExtent l="0" t="0" r="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rsidR="00BE6F9C" w:rsidRPr="007C1F10" w:rsidRDefault="005A72A2" w:rsidP="00452E8C">
      <w:pPr>
        <w:pStyle w:val="BodyText6"/>
        <w:shd w:val="clear" w:color="auto" w:fill="auto"/>
        <w:spacing w:before="120" w:line="240" w:lineRule="auto"/>
        <w:ind w:right="23" w:firstLine="0"/>
        <w:jc w:val="center"/>
        <w:rPr>
          <w:rStyle w:val="BodyText3"/>
          <w:b/>
        </w:rPr>
      </w:pPr>
      <w:r w:rsidRPr="007C1F10">
        <w:rPr>
          <w:rStyle w:val="BodyText1"/>
          <w:i/>
        </w:rPr>
        <w:t>3.72</w:t>
      </w:r>
      <w:r w:rsidR="00BE6F9C" w:rsidRPr="007C1F10">
        <w:rPr>
          <w:rStyle w:val="BodyText1"/>
          <w:i/>
        </w:rPr>
        <w:t>.att.</w:t>
      </w:r>
      <w:r w:rsidR="00BE6F9C" w:rsidRPr="007C1F10">
        <w:rPr>
          <w:rStyle w:val="BodyText1"/>
        </w:rPr>
        <w:t xml:space="preserve"> </w:t>
      </w:r>
      <w:r w:rsidR="00BE6F9C" w:rsidRPr="007C1F10">
        <w:rPr>
          <w:rStyle w:val="BodyText3"/>
          <w:b/>
        </w:rPr>
        <w:t>No ieslodzījuma vietām Veselības inspekcijā saņemto iesniegumu, kas saistīti ar nopietnu vai akūtu saslimšanu, skaits laika periodā no 2010. līdz</w:t>
      </w:r>
      <w:r w:rsidR="00452E8C" w:rsidRPr="007C1F10">
        <w:rPr>
          <w:rStyle w:val="BodyText3"/>
          <w:b/>
        </w:rPr>
        <w:t xml:space="preserve"> 2016.gadam</w:t>
      </w:r>
    </w:p>
    <w:p w:rsidR="000F28B9" w:rsidRPr="00A931A3" w:rsidRDefault="00BE6F9C" w:rsidP="008C25BB">
      <w:pPr>
        <w:pStyle w:val="BodyText6"/>
        <w:numPr>
          <w:ilvl w:val="0"/>
          <w:numId w:val="57"/>
        </w:numPr>
        <w:shd w:val="clear" w:color="auto" w:fill="auto"/>
        <w:tabs>
          <w:tab w:val="left" w:pos="851"/>
        </w:tabs>
        <w:spacing w:before="317" w:line="264" w:lineRule="exact"/>
        <w:ind w:left="0" w:right="20" w:firstLine="567"/>
        <w:jc w:val="both"/>
        <w:rPr>
          <w:rStyle w:val="BodyText3"/>
          <w:sz w:val="24"/>
          <w:szCs w:val="24"/>
        </w:rPr>
      </w:pPr>
      <w:r w:rsidRPr="000F28B9">
        <w:rPr>
          <w:rStyle w:val="BodyText1"/>
          <w:sz w:val="24"/>
          <w:szCs w:val="24"/>
        </w:rPr>
        <w:t>atbilstoši Veselības inspekcijas sniegtajai informācijai faktiskais iniciatīvas īstenošanai piešķirtā finansējuma izlietojums ir 33% 2015.gadā un 52% 2016.gadā;</w:t>
      </w:r>
    </w:p>
    <w:p w:rsidR="00BE6F9C" w:rsidRDefault="00BE6F9C" w:rsidP="005A72A2">
      <w:pPr>
        <w:pStyle w:val="BodyText6"/>
        <w:shd w:val="clear" w:color="auto" w:fill="auto"/>
        <w:spacing w:before="120" w:line="240" w:lineRule="auto"/>
        <w:ind w:right="23" w:firstLine="0"/>
        <w:jc w:val="right"/>
        <w:rPr>
          <w:rStyle w:val="BodyText3"/>
          <w:sz w:val="24"/>
          <w:szCs w:val="24"/>
        </w:rPr>
      </w:pPr>
      <w:r w:rsidRPr="005A72A2">
        <w:rPr>
          <w:rStyle w:val="BodyText3"/>
          <w:sz w:val="24"/>
          <w:szCs w:val="24"/>
        </w:rPr>
        <w:lastRenderedPageBreak/>
        <w:t>Tabula</w:t>
      </w:r>
      <w:r w:rsidRPr="005A72A2">
        <w:rPr>
          <w:sz w:val="24"/>
          <w:szCs w:val="24"/>
        </w:rPr>
        <w:t xml:space="preserve"> Nr.</w:t>
      </w:r>
      <w:r w:rsidR="005A72A2" w:rsidRPr="005A72A2">
        <w:rPr>
          <w:sz w:val="24"/>
          <w:szCs w:val="24"/>
        </w:rPr>
        <w:t>3.45</w:t>
      </w:r>
      <w:r w:rsidR="00D86274">
        <w:rPr>
          <w:sz w:val="24"/>
          <w:szCs w:val="24"/>
        </w:rPr>
        <w:t>.</w:t>
      </w:r>
    </w:p>
    <w:p w:rsidR="00D80FDE" w:rsidRDefault="00D80FDE" w:rsidP="00D80FDE">
      <w:pPr>
        <w:pStyle w:val="BodyText6"/>
        <w:shd w:val="clear" w:color="auto" w:fill="auto"/>
        <w:spacing w:before="0" w:line="240" w:lineRule="auto"/>
        <w:ind w:right="23" w:firstLine="0"/>
        <w:rPr>
          <w:sz w:val="24"/>
          <w:szCs w:val="24"/>
        </w:rPr>
      </w:pPr>
    </w:p>
    <w:p w:rsidR="000F28B9" w:rsidRDefault="00BE6F9C" w:rsidP="00ED1159">
      <w:pPr>
        <w:pStyle w:val="BodyText6"/>
        <w:shd w:val="clear" w:color="auto" w:fill="auto"/>
        <w:spacing w:before="0" w:after="120" w:line="240" w:lineRule="auto"/>
        <w:ind w:right="79" w:firstLine="0"/>
        <w:jc w:val="center"/>
        <w:rPr>
          <w:rStyle w:val="BodyText3"/>
          <w:b/>
          <w:sz w:val="24"/>
          <w:szCs w:val="24"/>
        </w:rPr>
      </w:pPr>
      <w:r w:rsidRPr="000F28B9">
        <w:rPr>
          <w:rStyle w:val="BodyText3"/>
          <w:b/>
          <w:sz w:val="24"/>
          <w:szCs w:val="24"/>
        </w:rPr>
        <w:t xml:space="preserve">Informācija par </w:t>
      </w:r>
      <w:r w:rsidR="00ED1159">
        <w:rPr>
          <w:rStyle w:val="BodyText3"/>
          <w:b/>
          <w:sz w:val="24"/>
          <w:szCs w:val="24"/>
        </w:rPr>
        <w:t>JPI</w:t>
      </w:r>
      <w:r w:rsidRPr="000F28B9">
        <w:rPr>
          <w:rStyle w:val="BodyText3"/>
          <w:b/>
          <w:sz w:val="24"/>
          <w:szCs w:val="24"/>
        </w:rPr>
        <w:t xml:space="preserve"> īstenošanai piešķirtā finansējuma izlietojumu 2015. un</w:t>
      </w:r>
      <w:r w:rsidRPr="000F28B9">
        <w:rPr>
          <w:b/>
          <w:sz w:val="24"/>
          <w:szCs w:val="24"/>
        </w:rPr>
        <w:t xml:space="preserve"> </w:t>
      </w:r>
      <w:r w:rsidRPr="000F28B9">
        <w:rPr>
          <w:rStyle w:val="BodyText3"/>
          <w:b/>
          <w:sz w:val="24"/>
          <w:szCs w:val="24"/>
        </w:rPr>
        <w:t>2016.gadā</w:t>
      </w:r>
    </w:p>
    <w:tbl>
      <w:tblPr>
        <w:tblW w:w="5000" w:type="pct"/>
        <w:tblLook w:val="04A0" w:firstRow="1" w:lastRow="0" w:firstColumn="1" w:lastColumn="0" w:noHBand="0" w:noVBand="1"/>
      </w:tblPr>
      <w:tblGrid>
        <w:gridCol w:w="1475"/>
        <w:gridCol w:w="928"/>
        <w:gridCol w:w="930"/>
        <w:gridCol w:w="929"/>
        <w:gridCol w:w="1005"/>
        <w:gridCol w:w="929"/>
        <w:gridCol w:w="931"/>
        <w:gridCol w:w="929"/>
        <w:gridCol w:w="1005"/>
      </w:tblGrid>
      <w:tr w:rsidR="00D80FDE" w:rsidRPr="00D80FDE" w:rsidTr="00D80FDE">
        <w:trPr>
          <w:trHeight w:val="288"/>
          <w:tblHeader/>
        </w:trPr>
        <w:tc>
          <w:tcPr>
            <w:tcW w:w="799" w:type="pct"/>
            <w:vMerge w:val="restart"/>
            <w:tcBorders>
              <w:top w:val="single" w:sz="4" w:space="0" w:color="auto"/>
              <w:left w:val="single" w:sz="4" w:space="0" w:color="auto"/>
              <w:right w:val="nil"/>
            </w:tcBorders>
            <w:shd w:val="clear" w:color="auto" w:fill="C5E0B3" w:themeFill="accent6" w:themeFillTint="66"/>
            <w:vAlign w:val="center"/>
          </w:tcPr>
          <w:p w:rsidR="00D80FDE" w:rsidRPr="00D80FDE" w:rsidRDefault="00D80FDE" w:rsidP="003937FE">
            <w:pPr>
              <w:rPr>
                <w:rFonts w:eastAsia="Times New Roman" w:cs="Times New Roman"/>
                <w:sz w:val="22"/>
                <w:lang w:eastAsia="lv-LV"/>
              </w:rPr>
            </w:pPr>
          </w:p>
        </w:tc>
        <w:tc>
          <w:tcPr>
            <w:tcW w:w="2102" w:type="pct"/>
            <w:gridSpan w:val="4"/>
            <w:tcBorders>
              <w:top w:val="single" w:sz="4" w:space="0" w:color="auto"/>
              <w:left w:val="single" w:sz="4" w:space="0" w:color="auto"/>
              <w:bottom w:val="nil"/>
              <w:right w:val="single" w:sz="4" w:space="0" w:color="auto"/>
            </w:tcBorders>
            <w:shd w:val="clear" w:color="auto" w:fill="C5E0B3" w:themeFill="accent6" w:themeFillTint="66"/>
            <w:vAlign w:val="center"/>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2015</w:t>
            </w:r>
          </w:p>
        </w:tc>
        <w:tc>
          <w:tcPr>
            <w:tcW w:w="2099" w:type="pct"/>
            <w:gridSpan w:val="4"/>
            <w:tcBorders>
              <w:top w:val="single" w:sz="4" w:space="0" w:color="auto"/>
              <w:left w:val="nil"/>
              <w:bottom w:val="nil"/>
              <w:right w:val="single" w:sz="4" w:space="0" w:color="auto"/>
            </w:tcBorders>
            <w:shd w:val="clear" w:color="auto" w:fill="C5E0B3" w:themeFill="accent6" w:themeFillTint="66"/>
            <w:vAlign w:val="center"/>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2016</w:t>
            </w:r>
          </w:p>
        </w:tc>
      </w:tr>
      <w:tr w:rsidR="00D80FDE" w:rsidRPr="00D80FDE" w:rsidTr="00D80FDE">
        <w:trPr>
          <w:trHeight w:val="688"/>
          <w:tblHeader/>
        </w:trPr>
        <w:tc>
          <w:tcPr>
            <w:tcW w:w="799" w:type="pct"/>
            <w:vMerge/>
            <w:tcBorders>
              <w:left w:val="single" w:sz="4" w:space="0" w:color="auto"/>
              <w:bottom w:val="single" w:sz="4" w:space="0" w:color="auto"/>
              <w:right w:val="nil"/>
            </w:tcBorders>
            <w:shd w:val="clear" w:color="auto" w:fill="C5E0B3" w:themeFill="accent6" w:themeFillTint="66"/>
            <w:vAlign w:val="center"/>
            <w:hideMark/>
          </w:tcPr>
          <w:p w:rsidR="00D80FDE" w:rsidRPr="00D80FDE" w:rsidRDefault="00D80FDE" w:rsidP="003937FE">
            <w:pPr>
              <w:rPr>
                <w:rFonts w:eastAsia="Times New Roman" w:cs="Times New Roman"/>
                <w:sz w:val="22"/>
                <w:lang w:eastAsia="lv-LV"/>
              </w:rPr>
            </w:pPr>
          </w:p>
        </w:tc>
        <w:tc>
          <w:tcPr>
            <w:tcW w:w="525" w:type="pct"/>
            <w:tcBorders>
              <w:top w:val="single" w:sz="4" w:space="0" w:color="auto"/>
              <w:left w:val="single" w:sz="4" w:space="0" w:color="auto"/>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Plāns,</w:t>
            </w:r>
            <w:r w:rsidRPr="00D80FDE">
              <w:rPr>
                <w:rFonts w:eastAsia="Times New Roman" w:cs="Times New Roman"/>
                <w:b/>
                <w:color w:val="000000"/>
                <w:sz w:val="22"/>
                <w:lang w:eastAsia="lv-LV"/>
              </w:rPr>
              <w:br/>
            </w:r>
            <w:r w:rsidRPr="00D80FDE">
              <w:rPr>
                <w:rFonts w:eastAsia="Times New Roman" w:cs="Times New Roman"/>
                <w:b/>
                <w:i/>
                <w:color w:val="000000"/>
                <w:sz w:val="22"/>
                <w:lang w:eastAsia="lv-LV"/>
              </w:rPr>
              <w:t>euro</w:t>
            </w:r>
            <w:r w:rsidRPr="00D80FDE">
              <w:rPr>
                <w:rFonts w:eastAsia="Times New Roman" w:cs="Times New Roman"/>
                <w:b/>
                <w:color w:val="000000"/>
                <w:sz w:val="22"/>
                <w:lang w:eastAsia="lv-LV"/>
              </w:rPr>
              <w:t xml:space="preserve"> </w:t>
            </w:r>
          </w:p>
        </w:tc>
        <w:tc>
          <w:tcPr>
            <w:tcW w:w="526" w:type="pct"/>
            <w:tcBorders>
              <w:top w:val="single" w:sz="4" w:space="0" w:color="auto"/>
              <w:left w:val="nil"/>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Izpilde,</w:t>
            </w:r>
            <w:r w:rsidRPr="00D80FDE">
              <w:rPr>
                <w:rFonts w:eastAsia="Times New Roman" w:cs="Times New Roman"/>
                <w:b/>
                <w:color w:val="000000"/>
                <w:sz w:val="22"/>
                <w:lang w:eastAsia="lv-LV"/>
              </w:rPr>
              <w:br/>
            </w:r>
            <w:r w:rsidRPr="00D80FDE">
              <w:rPr>
                <w:rFonts w:eastAsia="Times New Roman" w:cs="Times New Roman"/>
                <w:b/>
                <w:i/>
                <w:color w:val="000000"/>
                <w:sz w:val="22"/>
                <w:lang w:eastAsia="lv-LV"/>
              </w:rPr>
              <w:t>euro</w:t>
            </w:r>
            <w:r w:rsidRPr="00D80FDE">
              <w:rPr>
                <w:rFonts w:eastAsia="Times New Roman" w:cs="Times New Roman"/>
                <w:b/>
                <w:color w:val="000000"/>
                <w:sz w:val="22"/>
                <w:lang w:eastAsia="lv-LV"/>
              </w:rPr>
              <w:t xml:space="preserve"> </w:t>
            </w:r>
          </w:p>
        </w:tc>
        <w:tc>
          <w:tcPr>
            <w:tcW w:w="525" w:type="pct"/>
            <w:tcBorders>
              <w:top w:val="single" w:sz="4" w:space="0" w:color="auto"/>
              <w:left w:val="nil"/>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Izpilde,</w:t>
            </w:r>
            <w:r w:rsidRPr="00D80FDE">
              <w:rPr>
                <w:rFonts w:eastAsia="Times New Roman" w:cs="Times New Roman"/>
                <w:b/>
                <w:color w:val="000000"/>
                <w:sz w:val="22"/>
                <w:lang w:eastAsia="lv-LV"/>
              </w:rPr>
              <w:br/>
              <w:t>% no plānotā</w:t>
            </w:r>
          </w:p>
        </w:tc>
        <w:tc>
          <w:tcPr>
            <w:tcW w:w="526" w:type="pct"/>
            <w:tcBorders>
              <w:top w:val="single" w:sz="4" w:space="0" w:color="auto"/>
              <w:left w:val="nil"/>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Pārdale,</w:t>
            </w:r>
            <w:r w:rsidRPr="00D80FDE">
              <w:rPr>
                <w:rFonts w:eastAsia="Times New Roman" w:cs="Times New Roman"/>
                <w:b/>
                <w:color w:val="000000"/>
                <w:sz w:val="22"/>
                <w:lang w:eastAsia="lv-LV"/>
              </w:rPr>
              <w:br/>
            </w:r>
            <w:r w:rsidRPr="00D80FDE">
              <w:rPr>
                <w:rFonts w:eastAsia="Times New Roman" w:cs="Times New Roman"/>
                <w:b/>
                <w:i/>
                <w:color w:val="000000"/>
                <w:sz w:val="22"/>
                <w:lang w:eastAsia="lv-LV"/>
              </w:rPr>
              <w:t>euro</w:t>
            </w:r>
            <w:r w:rsidRPr="00D80FDE">
              <w:rPr>
                <w:rFonts w:eastAsia="Times New Roman" w:cs="Times New Roman"/>
                <w:b/>
                <w:color w:val="000000"/>
                <w:sz w:val="22"/>
                <w:lang w:eastAsia="lv-LV"/>
              </w:rPr>
              <w:t xml:space="preserve"> </w:t>
            </w:r>
          </w:p>
        </w:tc>
        <w:tc>
          <w:tcPr>
            <w:tcW w:w="525" w:type="pct"/>
            <w:tcBorders>
              <w:top w:val="single" w:sz="4" w:space="0" w:color="auto"/>
              <w:left w:val="nil"/>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Plāns,</w:t>
            </w:r>
            <w:r w:rsidRPr="00D80FDE">
              <w:rPr>
                <w:rFonts w:eastAsia="Times New Roman" w:cs="Times New Roman"/>
                <w:b/>
                <w:color w:val="000000"/>
                <w:sz w:val="22"/>
                <w:lang w:eastAsia="lv-LV"/>
              </w:rPr>
              <w:br/>
            </w:r>
            <w:r w:rsidRPr="00D80FDE">
              <w:rPr>
                <w:rFonts w:eastAsia="Times New Roman" w:cs="Times New Roman"/>
                <w:b/>
                <w:i/>
                <w:color w:val="000000"/>
                <w:sz w:val="22"/>
                <w:lang w:eastAsia="lv-LV"/>
              </w:rPr>
              <w:t>euro</w:t>
            </w:r>
            <w:r w:rsidRPr="00D80FDE">
              <w:rPr>
                <w:rFonts w:eastAsia="Times New Roman" w:cs="Times New Roman"/>
                <w:b/>
                <w:color w:val="000000"/>
                <w:sz w:val="22"/>
                <w:lang w:eastAsia="lv-LV"/>
              </w:rPr>
              <w:t xml:space="preserve"> </w:t>
            </w:r>
          </w:p>
        </w:tc>
        <w:tc>
          <w:tcPr>
            <w:tcW w:w="526" w:type="pct"/>
            <w:tcBorders>
              <w:top w:val="single" w:sz="4" w:space="0" w:color="auto"/>
              <w:left w:val="nil"/>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Izpilde,</w:t>
            </w:r>
            <w:r w:rsidRPr="00D80FDE">
              <w:rPr>
                <w:rFonts w:eastAsia="Times New Roman" w:cs="Times New Roman"/>
                <w:b/>
                <w:color w:val="000000"/>
                <w:sz w:val="22"/>
                <w:lang w:eastAsia="lv-LV"/>
              </w:rPr>
              <w:br/>
            </w:r>
            <w:r w:rsidRPr="00D80FDE">
              <w:rPr>
                <w:rFonts w:eastAsia="Times New Roman" w:cs="Times New Roman"/>
                <w:b/>
                <w:i/>
                <w:color w:val="000000"/>
                <w:sz w:val="22"/>
                <w:lang w:eastAsia="lv-LV"/>
              </w:rPr>
              <w:t>euro</w:t>
            </w:r>
            <w:r w:rsidRPr="00D80FDE">
              <w:rPr>
                <w:rFonts w:eastAsia="Times New Roman" w:cs="Times New Roman"/>
                <w:b/>
                <w:color w:val="000000"/>
                <w:sz w:val="22"/>
                <w:lang w:eastAsia="lv-LV"/>
              </w:rPr>
              <w:t xml:space="preserve"> </w:t>
            </w:r>
          </w:p>
        </w:tc>
        <w:tc>
          <w:tcPr>
            <w:tcW w:w="525" w:type="pct"/>
            <w:tcBorders>
              <w:top w:val="single" w:sz="4" w:space="0" w:color="auto"/>
              <w:left w:val="nil"/>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Izpilde,</w:t>
            </w:r>
            <w:r w:rsidRPr="00D80FDE">
              <w:rPr>
                <w:rFonts w:eastAsia="Times New Roman" w:cs="Times New Roman"/>
                <w:b/>
                <w:color w:val="000000"/>
                <w:sz w:val="22"/>
                <w:lang w:eastAsia="lv-LV"/>
              </w:rPr>
              <w:br/>
              <w:t>% no plānotā</w:t>
            </w:r>
          </w:p>
        </w:tc>
        <w:tc>
          <w:tcPr>
            <w:tcW w:w="523" w:type="pct"/>
            <w:tcBorders>
              <w:top w:val="single" w:sz="4" w:space="0" w:color="auto"/>
              <w:left w:val="nil"/>
              <w:bottom w:val="nil"/>
              <w:right w:val="single" w:sz="4" w:space="0" w:color="auto"/>
            </w:tcBorders>
            <w:shd w:val="clear" w:color="auto" w:fill="C5E0B3" w:themeFill="accent6" w:themeFillTint="66"/>
            <w:vAlign w:val="center"/>
            <w:hideMark/>
          </w:tcPr>
          <w:p w:rsidR="00D80FDE" w:rsidRPr="00D80FDE" w:rsidRDefault="00D80FDE" w:rsidP="003937FE">
            <w:pPr>
              <w:jc w:val="center"/>
              <w:rPr>
                <w:rFonts w:eastAsia="Times New Roman" w:cs="Times New Roman"/>
                <w:b/>
                <w:color w:val="000000"/>
                <w:sz w:val="22"/>
                <w:lang w:eastAsia="lv-LV"/>
              </w:rPr>
            </w:pPr>
            <w:r w:rsidRPr="00D80FDE">
              <w:rPr>
                <w:rFonts w:eastAsia="Times New Roman" w:cs="Times New Roman"/>
                <w:b/>
                <w:color w:val="000000"/>
                <w:sz w:val="22"/>
                <w:lang w:eastAsia="lv-LV"/>
              </w:rPr>
              <w:t>Pārdale,</w:t>
            </w:r>
            <w:r w:rsidRPr="00D80FDE">
              <w:rPr>
                <w:rFonts w:eastAsia="Times New Roman" w:cs="Times New Roman"/>
                <w:b/>
                <w:color w:val="000000"/>
                <w:sz w:val="22"/>
                <w:lang w:eastAsia="lv-LV"/>
              </w:rPr>
              <w:br/>
            </w:r>
            <w:r w:rsidRPr="00D80FDE">
              <w:rPr>
                <w:rFonts w:eastAsia="Times New Roman" w:cs="Times New Roman"/>
                <w:b/>
                <w:i/>
                <w:color w:val="000000"/>
                <w:sz w:val="22"/>
                <w:lang w:eastAsia="lv-LV"/>
              </w:rPr>
              <w:t>euro</w:t>
            </w:r>
            <w:r w:rsidRPr="00D80FDE">
              <w:rPr>
                <w:rFonts w:eastAsia="Times New Roman" w:cs="Times New Roman"/>
                <w:b/>
                <w:color w:val="000000"/>
                <w:sz w:val="22"/>
                <w:lang w:eastAsia="lv-LV"/>
              </w:rPr>
              <w:t xml:space="preserve"> </w:t>
            </w:r>
          </w:p>
        </w:tc>
      </w:tr>
      <w:tr w:rsidR="001E2329" w:rsidRPr="00D80FDE" w:rsidTr="00D80FDE">
        <w:trPr>
          <w:trHeight w:val="287"/>
        </w:trPr>
        <w:tc>
          <w:tcPr>
            <w:tcW w:w="7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D80FDE">
            <w:pPr>
              <w:jc w:val="center"/>
              <w:rPr>
                <w:rFonts w:eastAsia="Times New Roman" w:cs="Times New Roman"/>
                <w:color w:val="000000"/>
                <w:sz w:val="22"/>
                <w:lang w:eastAsia="lv-LV"/>
              </w:rPr>
            </w:pPr>
            <w:r w:rsidRPr="00D80FDE">
              <w:rPr>
                <w:rFonts w:eastAsia="Times New Roman" w:cs="Times New Roman"/>
                <w:color w:val="000000"/>
                <w:sz w:val="22"/>
                <w:lang w:eastAsia="lv-LV"/>
              </w:rPr>
              <w:t>Atalgojums</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94 658</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24 975</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26</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69 683</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94 658</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47 080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50</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47 578</w:t>
            </w:r>
          </w:p>
        </w:tc>
      </w:tr>
      <w:tr w:rsidR="001E2329" w:rsidRPr="00D80FDE" w:rsidTr="00D80FDE">
        <w:trPr>
          <w:trHeight w:val="477"/>
        </w:trPr>
        <w:tc>
          <w:tcPr>
            <w:tcW w:w="799" w:type="pct"/>
            <w:tcBorders>
              <w:top w:val="nil"/>
              <w:left w:val="single" w:sz="4" w:space="0" w:color="auto"/>
              <w:bottom w:val="single" w:sz="4" w:space="0" w:color="auto"/>
              <w:right w:val="single" w:sz="4" w:space="0" w:color="auto"/>
            </w:tcBorders>
            <w:shd w:val="clear" w:color="auto" w:fill="auto"/>
            <w:vAlign w:val="center"/>
            <w:hideMark/>
          </w:tcPr>
          <w:p w:rsidR="001E2329" w:rsidRPr="00D80FDE" w:rsidRDefault="001E2329" w:rsidP="005A72A2">
            <w:pPr>
              <w:jc w:val="center"/>
              <w:rPr>
                <w:rFonts w:eastAsia="Times New Roman" w:cs="Times New Roman"/>
                <w:color w:val="000000"/>
                <w:sz w:val="22"/>
                <w:lang w:eastAsia="lv-LV"/>
              </w:rPr>
            </w:pPr>
            <w:r w:rsidRPr="00D80FDE">
              <w:rPr>
                <w:rFonts w:eastAsia="Times New Roman" w:cs="Times New Roman"/>
                <w:color w:val="000000"/>
                <w:sz w:val="22"/>
                <w:lang w:eastAsia="lv-LV"/>
              </w:rPr>
              <w:t xml:space="preserve">Preces un pakalpojumi </w:t>
            </w:r>
          </w:p>
        </w:tc>
        <w:tc>
          <w:tcPr>
            <w:tcW w:w="525"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6216</w:t>
            </w:r>
          </w:p>
        </w:tc>
        <w:tc>
          <w:tcPr>
            <w:tcW w:w="526"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6216</w:t>
            </w:r>
          </w:p>
        </w:tc>
        <w:tc>
          <w:tcPr>
            <w:tcW w:w="525"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100</w:t>
            </w:r>
          </w:p>
        </w:tc>
        <w:tc>
          <w:tcPr>
            <w:tcW w:w="526"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0</w:t>
            </w:r>
          </w:p>
        </w:tc>
        <w:tc>
          <w:tcPr>
            <w:tcW w:w="525"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4040</w:t>
            </w:r>
          </w:p>
        </w:tc>
        <w:tc>
          <w:tcPr>
            <w:tcW w:w="526"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4040</w:t>
            </w:r>
          </w:p>
        </w:tc>
        <w:tc>
          <w:tcPr>
            <w:tcW w:w="525"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100</w:t>
            </w:r>
          </w:p>
        </w:tc>
        <w:tc>
          <w:tcPr>
            <w:tcW w:w="523" w:type="pct"/>
            <w:tcBorders>
              <w:top w:val="nil"/>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 xml:space="preserve">- </w:t>
            </w:r>
          </w:p>
        </w:tc>
      </w:tr>
      <w:tr w:rsidR="001E2329" w:rsidRPr="00D80FDE" w:rsidTr="00D80FDE">
        <w:trPr>
          <w:trHeight w:val="431"/>
        </w:trPr>
        <w:tc>
          <w:tcPr>
            <w:tcW w:w="7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 xml:space="preserve">Pamatlīdzekļu iegāde </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2920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2920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100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0</w:t>
            </w:r>
          </w:p>
        </w:tc>
        <w:tc>
          <w:tcPr>
            <w:tcW w:w="5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color w:val="000000"/>
                <w:sz w:val="22"/>
                <w:lang w:eastAsia="lv-LV"/>
              </w:rPr>
            </w:pPr>
            <w:r w:rsidRPr="00D80FDE">
              <w:rPr>
                <w:rFonts w:eastAsia="Times New Roman" w:cs="Times New Roman"/>
                <w:color w:val="000000"/>
                <w:sz w:val="22"/>
                <w:lang w:eastAsia="lv-LV"/>
              </w:rPr>
              <w:t xml:space="preserve">- </w:t>
            </w:r>
          </w:p>
        </w:tc>
      </w:tr>
      <w:tr w:rsidR="001E2329" w:rsidRPr="00D80FDE" w:rsidTr="00D80FDE">
        <w:trPr>
          <w:trHeight w:val="225"/>
        </w:trPr>
        <w:tc>
          <w:tcPr>
            <w:tcW w:w="7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2329" w:rsidRPr="00D80FDE" w:rsidRDefault="001E2329" w:rsidP="003937FE">
            <w:pPr>
              <w:rPr>
                <w:rFonts w:eastAsia="Times New Roman" w:cs="Times New Roman"/>
                <w:b/>
                <w:bCs/>
                <w:color w:val="000000"/>
                <w:sz w:val="22"/>
                <w:lang w:eastAsia="lv-LV"/>
              </w:rPr>
            </w:pPr>
            <w:r w:rsidRPr="00D80FDE">
              <w:rPr>
                <w:rFonts w:eastAsia="Times New Roman" w:cs="Times New Roman"/>
                <w:b/>
                <w:bCs/>
                <w:color w:val="000000"/>
                <w:sz w:val="22"/>
                <w:lang w:eastAsia="lv-LV"/>
              </w:rPr>
              <w:t xml:space="preserve">Kopā </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103 794</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34 111</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33</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69 683</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98 698</w:t>
            </w:r>
          </w:p>
        </w:tc>
        <w:tc>
          <w:tcPr>
            <w:tcW w:w="526"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51 120</w:t>
            </w:r>
          </w:p>
        </w:tc>
        <w:tc>
          <w:tcPr>
            <w:tcW w:w="525"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52</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1E2329" w:rsidRPr="00D80FDE" w:rsidRDefault="001E2329" w:rsidP="003937FE">
            <w:pPr>
              <w:jc w:val="center"/>
              <w:rPr>
                <w:rFonts w:eastAsia="Times New Roman" w:cs="Times New Roman"/>
                <w:b/>
                <w:bCs/>
                <w:color w:val="000000"/>
                <w:sz w:val="22"/>
                <w:lang w:eastAsia="lv-LV"/>
              </w:rPr>
            </w:pPr>
            <w:r w:rsidRPr="00D80FDE">
              <w:rPr>
                <w:rFonts w:eastAsia="Times New Roman" w:cs="Times New Roman"/>
                <w:b/>
                <w:bCs/>
                <w:color w:val="000000"/>
                <w:sz w:val="22"/>
                <w:lang w:eastAsia="lv-LV"/>
              </w:rPr>
              <w:t>47 578</w:t>
            </w:r>
          </w:p>
        </w:tc>
      </w:tr>
    </w:tbl>
    <w:p w:rsidR="00BE6F9C" w:rsidRPr="00BE6F9C" w:rsidRDefault="00BE6F9C" w:rsidP="00BE6F9C">
      <w:pPr>
        <w:rPr>
          <w:sz w:val="2"/>
          <w:szCs w:val="2"/>
        </w:rPr>
      </w:pPr>
    </w:p>
    <w:p w:rsidR="00BE6F9C" w:rsidRPr="00ED1159" w:rsidRDefault="00BE6F9C" w:rsidP="008C25BB">
      <w:pPr>
        <w:pStyle w:val="BodyText6"/>
        <w:numPr>
          <w:ilvl w:val="0"/>
          <w:numId w:val="57"/>
        </w:numPr>
        <w:shd w:val="clear" w:color="auto" w:fill="auto"/>
        <w:tabs>
          <w:tab w:val="left" w:pos="851"/>
        </w:tabs>
        <w:spacing w:before="240" w:after="120" w:line="264" w:lineRule="exact"/>
        <w:ind w:left="0" w:right="23" w:firstLine="567"/>
        <w:jc w:val="both"/>
        <w:rPr>
          <w:rStyle w:val="BodyText1"/>
          <w:rFonts w:eastAsiaTheme="minorHAnsi"/>
          <w:sz w:val="24"/>
          <w:szCs w:val="24"/>
        </w:rPr>
      </w:pPr>
      <w:r w:rsidRPr="00ED1159">
        <w:rPr>
          <w:rStyle w:val="BodyText1"/>
          <w:rFonts w:eastAsiaTheme="minorHAnsi"/>
          <w:sz w:val="24"/>
          <w:szCs w:val="24"/>
        </w:rPr>
        <w:t>neapgūtie līdzekļi 2015.gadā tika novirzīti prēmiju par novērtēšanu izmaksai, nodokļa avansa maksājumam un veselības apdrošināšanas polišu iegādei</w:t>
      </w:r>
      <w:r w:rsidR="005A72A2">
        <w:rPr>
          <w:rStyle w:val="BodyText1"/>
          <w:rFonts w:eastAsiaTheme="minorHAnsi"/>
          <w:sz w:val="24"/>
          <w:szCs w:val="24"/>
        </w:rPr>
        <w:t xml:space="preserve"> (skat. tabulu Nr.3.45</w:t>
      </w:r>
      <w:r w:rsidR="00D86274">
        <w:rPr>
          <w:rStyle w:val="BodyText1"/>
          <w:rFonts w:eastAsiaTheme="minorHAnsi"/>
          <w:sz w:val="24"/>
          <w:szCs w:val="24"/>
        </w:rPr>
        <w:t>.</w:t>
      </w:r>
      <w:r w:rsidR="005A72A2">
        <w:rPr>
          <w:rStyle w:val="BodyText1"/>
          <w:rFonts w:eastAsiaTheme="minorHAnsi"/>
          <w:sz w:val="24"/>
          <w:szCs w:val="24"/>
        </w:rPr>
        <w:t>)</w:t>
      </w:r>
      <w:r w:rsidRPr="00ED1159">
        <w:rPr>
          <w:rStyle w:val="BodyText1"/>
          <w:rFonts w:eastAsiaTheme="minorHAnsi"/>
          <w:sz w:val="24"/>
          <w:szCs w:val="24"/>
        </w:rPr>
        <w:t xml:space="preserve">. Saskaņā ar Veselības inspekcijas sniegto informāciju darbinieku trūkuma dēļ regulāri tiek pagarināti lietu izskatīšanas termiņi, vakantie amati nav aizpildīti zemā atalgojuma dēļ, līdz ar to tiek radīta pārslodze nodaļas darbiniekiem, tāpēc Veselības inspekcijas komisijas sēdē 2016.gadā tika nolemts grozīt pārskata gada prioritātes un politikas iniciatīvai piešķirto finansējumu novirzīt Veselības aprūpes kvalitātes kontroles nodaļas kopējā darba nodrošināšanai, tas ir, jaunu darbinieku pieņemšanai darbā, kā arī dažāda veida piemaksu noteikšanai un veselības apdrošināšanas polišu iegādei nodaļas darbiniekiem motivēšanas nolūkos. Veselības inspekcijas darbiniekiem aprēķinātas prēmijas un piemaksas par darba kvalitāti, novirzot attiecīgi 19 un 18% jeb kopsummā 37 404 </w:t>
      </w:r>
      <w:r w:rsidRPr="00ED1159">
        <w:rPr>
          <w:rStyle w:val="BodyText1"/>
          <w:rFonts w:eastAsiaTheme="minorHAnsi"/>
          <w:i/>
          <w:sz w:val="24"/>
          <w:szCs w:val="24"/>
        </w:rPr>
        <w:t>euro</w:t>
      </w:r>
      <w:r w:rsidRPr="00ED1159">
        <w:rPr>
          <w:rStyle w:val="BodyText1"/>
          <w:rFonts w:eastAsiaTheme="minorHAnsi"/>
          <w:sz w:val="24"/>
          <w:szCs w:val="24"/>
        </w:rPr>
        <w:t xml:space="preserve"> no jaunās politikas iniciatīvai piešķirtā finansējuma 2015. un 2016.gadā;</w:t>
      </w:r>
    </w:p>
    <w:p w:rsidR="00BE6F9C" w:rsidRPr="00ED1159" w:rsidRDefault="00ED1159" w:rsidP="008C25BB">
      <w:pPr>
        <w:pStyle w:val="BodyText6"/>
        <w:numPr>
          <w:ilvl w:val="0"/>
          <w:numId w:val="57"/>
        </w:numPr>
        <w:shd w:val="clear" w:color="auto" w:fill="auto"/>
        <w:tabs>
          <w:tab w:val="left" w:pos="851"/>
        </w:tabs>
        <w:spacing w:before="120" w:after="120" w:line="264" w:lineRule="exact"/>
        <w:ind w:left="0" w:right="23" w:firstLine="567"/>
        <w:jc w:val="both"/>
        <w:rPr>
          <w:rStyle w:val="BodyText1"/>
          <w:rFonts w:eastAsiaTheme="minorHAnsi"/>
          <w:sz w:val="24"/>
          <w:szCs w:val="24"/>
        </w:rPr>
      </w:pPr>
      <w:r>
        <w:rPr>
          <w:rStyle w:val="BodyText1"/>
          <w:sz w:val="24"/>
          <w:szCs w:val="24"/>
        </w:rPr>
        <w:t>VKo</w:t>
      </w:r>
      <w:r w:rsidR="00BE6F9C" w:rsidRPr="00ED1159">
        <w:rPr>
          <w:rStyle w:val="BodyText1"/>
          <w:sz w:val="24"/>
          <w:szCs w:val="24"/>
        </w:rPr>
        <w:t xml:space="preserve"> ieskatā Veselības inspekcija finansējumu </w:t>
      </w:r>
      <w:r>
        <w:rPr>
          <w:rStyle w:val="BodyText1"/>
          <w:sz w:val="24"/>
          <w:szCs w:val="24"/>
        </w:rPr>
        <w:t>JPI</w:t>
      </w:r>
      <w:r w:rsidR="00BE6F9C" w:rsidRPr="00ED1159">
        <w:rPr>
          <w:rStyle w:val="BodyText1"/>
          <w:sz w:val="24"/>
          <w:szCs w:val="24"/>
        </w:rPr>
        <w:t xml:space="preserve"> īstenošanai ir pieprasījusi, neveicot detalizētu darbības analīzi, kā rezultātā, iespējams, papildu finansējums tika pieprasīts mazāk aktuāliem darbības virzieniem, jo piešķirtais finansējums ir novirzīts nodaļas, kas ir atbildīga par saņemto iesniegumu no ieslodzījuma vietām izskatīšanu, kopējā darba nodrošināšanai.</w:t>
      </w:r>
      <w:r w:rsidR="00BE6F9C" w:rsidRPr="00ED1159">
        <w:rPr>
          <w:rStyle w:val="FootnoteReference"/>
          <w:color w:val="000000"/>
          <w:sz w:val="24"/>
          <w:szCs w:val="24"/>
          <w:shd w:val="clear" w:color="auto" w:fill="FFFFFF"/>
          <w:lang w:eastAsia="lv-LV" w:bidi="lv-LV"/>
        </w:rPr>
        <w:footnoteReference w:id="102"/>
      </w:r>
    </w:p>
    <w:p w:rsidR="00BE6F9C" w:rsidRPr="00ED1159" w:rsidRDefault="00BE6F9C" w:rsidP="00BE6F9C">
      <w:pPr>
        <w:pStyle w:val="BodyText6"/>
        <w:shd w:val="clear" w:color="auto" w:fill="auto"/>
        <w:spacing w:before="0" w:line="264" w:lineRule="exact"/>
        <w:ind w:right="20" w:firstLine="720"/>
        <w:jc w:val="both"/>
        <w:rPr>
          <w:rFonts w:eastAsiaTheme="minorHAnsi"/>
          <w:sz w:val="24"/>
          <w:szCs w:val="24"/>
        </w:rPr>
      </w:pPr>
      <w:r w:rsidRPr="00ED1159">
        <w:rPr>
          <w:rStyle w:val="BodyText1"/>
          <w:rFonts w:eastAsiaTheme="minorHAnsi"/>
          <w:sz w:val="24"/>
          <w:szCs w:val="24"/>
        </w:rPr>
        <w:t xml:space="preserve">Ņemot vērā </w:t>
      </w:r>
      <w:r w:rsidR="00ED1159">
        <w:rPr>
          <w:rStyle w:val="BodyText1"/>
          <w:rFonts w:eastAsiaTheme="minorHAnsi"/>
          <w:sz w:val="24"/>
          <w:szCs w:val="24"/>
        </w:rPr>
        <w:t>VKo</w:t>
      </w:r>
      <w:r w:rsidRPr="00ED1159">
        <w:rPr>
          <w:rStyle w:val="BodyText1"/>
          <w:rFonts w:eastAsiaTheme="minorHAnsi"/>
          <w:sz w:val="24"/>
          <w:szCs w:val="24"/>
        </w:rPr>
        <w:t xml:space="preserve"> revīzijas ziņojumā konstatēto, ka iesniegumu skaits ik gadu būtiski samazinās un minētās </w:t>
      </w:r>
      <w:r w:rsidR="00ED1159">
        <w:rPr>
          <w:rStyle w:val="BodyText1"/>
          <w:rFonts w:eastAsiaTheme="minorHAnsi"/>
          <w:sz w:val="24"/>
          <w:szCs w:val="24"/>
        </w:rPr>
        <w:t>JPI</w:t>
      </w:r>
      <w:r w:rsidRPr="00ED1159">
        <w:rPr>
          <w:rStyle w:val="BodyText1"/>
          <w:rFonts w:eastAsiaTheme="minorHAnsi"/>
          <w:sz w:val="24"/>
          <w:szCs w:val="24"/>
        </w:rPr>
        <w:t xml:space="preserve"> īstenošanai piešķirtais finansējums apgūts  2015.gadā  33%  apmērā un 2016.gadā 52% apmērā no sākotn</w:t>
      </w:r>
      <w:r w:rsidR="00ED1159">
        <w:rPr>
          <w:rStyle w:val="BodyText1"/>
          <w:rFonts w:eastAsiaTheme="minorHAnsi"/>
          <w:sz w:val="24"/>
          <w:szCs w:val="24"/>
        </w:rPr>
        <w:t>ēji plānotā,</w:t>
      </w:r>
      <w:r w:rsidRPr="00ED1159">
        <w:rPr>
          <w:rStyle w:val="BodyText1"/>
          <w:rFonts w:eastAsiaTheme="minorHAnsi"/>
          <w:sz w:val="24"/>
          <w:szCs w:val="24"/>
        </w:rPr>
        <w:t xml:space="preserve"> ierosinām </w:t>
      </w:r>
      <w:r w:rsidR="00ED1159">
        <w:rPr>
          <w:rStyle w:val="BodyText3"/>
          <w:sz w:val="24"/>
          <w:szCs w:val="24"/>
        </w:rPr>
        <w:t>JPI</w:t>
      </w:r>
      <w:r w:rsidRPr="00ED1159">
        <w:rPr>
          <w:rStyle w:val="BodyText3"/>
          <w:sz w:val="24"/>
          <w:szCs w:val="24"/>
        </w:rPr>
        <w:t xml:space="preserve"> īstenošanai piešķirto finansējumu </w:t>
      </w:r>
      <w:r w:rsidRPr="00ED1159">
        <w:rPr>
          <w:rStyle w:val="BodyText1"/>
          <w:rFonts w:eastAsiaTheme="minorHAnsi"/>
          <w:sz w:val="24"/>
          <w:szCs w:val="24"/>
        </w:rPr>
        <w:t> saglabāt  2016.gada izpildes līmenī, t.i.</w:t>
      </w:r>
      <w:r w:rsidR="00ED1159">
        <w:rPr>
          <w:rStyle w:val="BodyText1"/>
          <w:rFonts w:eastAsiaTheme="minorHAnsi"/>
          <w:sz w:val="24"/>
          <w:szCs w:val="24"/>
        </w:rPr>
        <w:t>,</w:t>
      </w:r>
      <w:r w:rsidRPr="00ED1159">
        <w:rPr>
          <w:rStyle w:val="BodyText1"/>
          <w:rFonts w:eastAsiaTheme="minorHAnsi"/>
          <w:sz w:val="24"/>
          <w:szCs w:val="24"/>
        </w:rPr>
        <w:t xml:space="preserve"> 51 120 </w:t>
      </w:r>
      <w:r w:rsidRPr="00ED1159">
        <w:rPr>
          <w:rStyle w:val="BodyText1"/>
          <w:rFonts w:eastAsiaTheme="minorHAnsi"/>
          <w:i/>
          <w:sz w:val="24"/>
          <w:szCs w:val="24"/>
        </w:rPr>
        <w:t>euro</w:t>
      </w:r>
      <w:r w:rsidRPr="00ED1159">
        <w:rPr>
          <w:rStyle w:val="BodyText1"/>
          <w:rFonts w:eastAsiaTheme="minorHAnsi"/>
          <w:sz w:val="24"/>
          <w:szCs w:val="24"/>
        </w:rPr>
        <w:t>.</w:t>
      </w:r>
      <w:r w:rsidRPr="00ED1159">
        <w:rPr>
          <w:rStyle w:val="apple-converted-space"/>
          <w:rFonts w:ascii="Arial" w:hAnsi="Arial" w:cs="Arial"/>
          <w:color w:val="545454"/>
          <w:sz w:val="24"/>
          <w:szCs w:val="24"/>
        </w:rPr>
        <w:t> </w:t>
      </w:r>
      <w:r w:rsidRPr="00ED1159">
        <w:rPr>
          <w:rStyle w:val="apple-converted-space"/>
          <w:rFonts w:eastAsiaTheme="minorHAnsi"/>
          <w:sz w:val="24"/>
          <w:szCs w:val="24"/>
        </w:rPr>
        <w:t xml:space="preserve"> </w:t>
      </w:r>
      <w:r w:rsidRPr="00ED1159">
        <w:rPr>
          <w:rStyle w:val="BodyText1"/>
          <w:rFonts w:eastAsiaTheme="minorHAnsi"/>
          <w:sz w:val="24"/>
          <w:szCs w:val="24"/>
        </w:rPr>
        <w:t xml:space="preserve">Līdz ar </w:t>
      </w:r>
      <w:r w:rsidR="009C7A75">
        <w:rPr>
          <w:rStyle w:val="BodyText1"/>
          <w:rFonts w:eastAsiaTheme="minorHAnsi"/>
          <w:sz w:val="24"/>
          <w:szCs w:val="24"/>
        </w:rPr>
        <w:t xml:space="preserve">to </w:t>
      </w:r>
      <w:r w:rsidRPr="00ED1159">
        <w:rPr>
          <w:rStyle w:val="BodyText1"/>
          <w:rFonts w:eastAsiaTheme="minorHAnsi"/>
          <w:sz w:val="24"/>
          <w:szCs w:val="24"/>
        </w:rPr>
        <w:t xml:space="preserve">ierosinām finansējumu 47 578 </w:t>
      </w:r>
      <w:r w:rsidRPr="00ED1159">
        <w:rPr>
          <w:rStyle w:val="BodyText1"/>
          <w:rFonts w:eastAsiaTheme="minorHAnsi"/>
          <w:i/>
          <w:sz w:val="24"/>
          <w:szCs w:val="24"/>
        </w:rPr>
        <w:t>euro</w:t>
      </w:r>
      <w:r w:rsidRPr="00ED1159">
        <w:rPr>
          <w:rStyle w:val="BodyText1"/>
          <w:rFonts w:eastAsiaTheme="minorHAnsi"/>
          <w:sz w:val="24"/>
          <w:szCs w:val="24"/>
        </w:rPr>
        <w:t xml:space="preserve"> apmērā, sākot ar 2018.gadu, novirzīt aktuālāku pasākumu īstenošanai, kā piemēram, </w:t>
      </w:r>
      <w:r w:rsidRPr="00ED1159">
        <w:rPr>
          <w:sz w:val="24"/>
          <w:szCs w:val="24"/>
        </w:rPr>
        <w:t>veselības aprūpes pakalpojumu pieejamības uzlabošanai vai kompensējamo medikamentu nodrošināšanai.</w:t>
      </w:r>
    </w:p>
    <w:p w:rsidR="00D63829" w:rsidRPr="00A931A3" w:rsidRDefault="00D63829" w:rsidP="00A931A3">
      <w:pPr>
        <w:spacing w:before="120"/>
        <w:ind w:firstLine="720"/>
        <w:jc w:val="both"/>
      </w:pPr>
      <w:r>
        <w:t xml:space="preserve">Atbilstoši VM novērtējumam JPI “Ēnu ekonomikas apkarošanas un godīgas konkurences nodrošināšana veselības nozarē” un JPI “Par normatīvo regulējumu un praksi ieslodzīto personu iesniegumu izskatīšanas kārtībai Veselības inspekcijā gadījumos, kas saistīti ar ieslodzīto personu nopietnu un akūtu saslimšanu” ietvaros kopsummā ir izveidojusies finanšu līdzekļu ekonomija 138 022 </w:t>
      </w:r>
      <w:r>
        <w:rPr>
          <w:i/>
          <w:iCs/>
        </w:rPr>
        <w:t>euro</w:t>
      </w:r>
      <w:r>
        <w:t xml:space="preserve"> apmērā, kuru Veselības ministrija plāno novirzīt jauna prioritārā pasākuma “Pacientu iesniegumu/sūdzību izskatīšanas, tai skaitā Ārstniecības riska fonda ietvaros, nodrošināšana” īstenošanai 2018.-2020.gadam kā daļu no nepieciešamā papildu finansējuma.</w:t>
      </w:r>
    </w:p>
    <w:p w:rsidR="009C7A75" w:rsidRPr="00BE6F9C" w:rsidRDefault="009C7A75" w:rsidP="00A931A3">
      <w:pPr>
        <w:spacing w:before="120" w:after="120"/>
        <w:rPr>
          <w:rFonts w:eastAsia="Times New Roman" w:cs="Times New Roman"/>
          <w:b/>
          <w:color w:val="000000"/>
          <w:szCs w:val="24"/>
          <w:lang w:eastAsia="lv-LV"/>
        </w:rPr>
      </w:pPr>
      <w:r>
        <w:rPr>
          <w:rFonts w:eastAsia="Times New Roman" w:cs="Times New Roman"/>
          <w:b/>
          <w:color w:val="000000"/>
          <w:szCs w:val="24"/>
          <w:lang w:eastAsia="lv-LV"/>
        </w:rPr>
        <w:t xml:space="preserve">VM - </w:t>
      </w:r>
      <w:r w:rsidR="00BE6F9C" w:rsidRPr="00BE6F9C">
        <w:rPr>
          <w:rFonts w:eastAsia="Times New Roman" w:cs="Times New Roman"/>
          <w:b/>
          <w:color w:val="000000"/>
          <w:szCs w:val="24"/>
          <w:lang w:eastAsia="lv-LV"/>
        </w:rPr>
        <w:t>Rezidentu apmācības nodrošināšana</w:t>
      </w:r>
    </w:p>
    <w:p w:rsidR="009C7A75" w:rsidRPr="007C1F10" w:rsidRDefault="00BE6F9C" w:rsidP="007C1F10">
      <w:pPr>
        <w:ind w:firstLine="851"/>
        <w:jc w:val="both"/>
        <w:rPr>
          <w:rFonts w:eastAsia="Times New Roman" w:cs="Times New Roman"/>
          <w:szCs w:val="24"/>
          <w:lang w:eastAsia="lv-LV"/>
        </w:rPr>
      </w:pPr>
      <w:r w:rsidRPr="00BE6F9C">
        <w:rPr>
          <w:rFonts w:cs="Times New Roman"/>
          <w:szCs w:val="24"/>
        </w:rPr>
        <w:lastRenderedPageBreak/>
        <w:t>VM apakšprogrammā 02.04.00 “Rezidentu apmācība” 2015.</w:t>
      </w:r>
      <w:r w:rsidRPr="00BE6F9C">
        <w:rPr>
          <w:rFonts w:cs="Times New Roman"/>
          <w:szCs w:val="24"/>
        </w:rPr>
        <w:noBreakHyphen/>
        <w:t>2017.gada ietvarā piešķirts finansējums JPI “</w:t>
      </w:r>
      <w:r w:rsidRPr="00BE6F9C">
        <w:t>Rezidentu apmācības nodrošināšana</w:t>
      </w:r>
      <w:r w:rsidRPr="00BE6F9C">
        <w:rPr>
          <w:rFonts w:cs="Times New Roman"/>
          <w:szCs w:val="24"/>
        </w:rPr>
        <w:t xml:space="preserve">” īstenošanai </w:t>
      </w:r>
      <w:r w:rsidR="009C7A75">
        <w:t>2015.gadam</w:t>
      </w:r>
      <w:r w:rsidRPr="00BE6F9C">
        <w:t xml:space="preserve"> un turpmāk ik gadu </w:t>
      </w:r>
      <w:r w:rsidRPr="00BE6F9C">
        <w:rPr>
          <w:rFonts w:eastAsia="Times New Roman" w:cs="Times New Roman"/>
          <w:szCs w:val="24"/>
          <w:lang w:eastAsia="lv-LV"/>
        </w:rPr>
        <w:t xml:space="preserve">1 748 635 </w:t>
      </w:r>
      <w:r w:rsidRPr="009C7A75">
        <w:rPr>
          <w:rFonts w:eastAsia="Times New Roman" w:cs="Times New Roman"/>
          <w:i/>
          <w:szCs w:val="24"/>
          <w:lang w:eastAsia="lv-LV"/>
        </w:rPr>
        <w:t>euro</w:t>
      </w:r>
      <w:r w:rsidRPr="00BE6F9C">
        <w:rPr>
          <w:rFonts w:eastAsia="Times New Roman" w:cs="Times New Roman"/>
          <w:szCs w:val="24"/>
          <w:lang w:eastAsia="lv-LV"/>
        </w:rPr>
        <w:t xml:space="preserve"> apmērā, lai nodrošinātu 200 augstskolu</w:t>
      </w:r>
      <w:r w:rsidR="005A72A2">
        <w:rPr>
          <w:rFonts w:eastAsia="Times New Roman" w:cs="Times New Roman"/>
          <w:szCs w:val="24"/>
          <w:lang w:eastAsia="lv-LV"/>
        </w:rPr>
        <w:t xml:space="preserve"> beidzēju uzņemšanu rezidentūrā (skat. tabulu Nr.3.46</w:t>
      </w:r>
      <w:r w:rsidR="00D86274">
        <w:rPr>
          <w:rFonts w:eastAsia="Times New Roman" w:cs="Times New Roman"/>
          <w:szCs w:val="24"/>
          <w:lang w:eastAsia="lv-LV"/>
        </w:rPr>
        <w:t>.</w:t>
      </w:r>
      <w:r w:rsidR="005A72A2">
        <w:rPr>
          <w:rFonts w:eastAsia="Times New Roman" w:cs="Times New Roman"/>
          <w:szCs w:val="24"/>
          <w:lang w:eastAsia="lv-LV"/>
        </w:rPr>
        <w:t>)</w:t>
      </w:r>
    </w:p>
    <w:p w:rsidR="009C7A75" w:rsidRPr="00A931A3" w:rsidRDefault="00BE6F9C" w:rsidP="00A931A3">
      <w:pPr>
        <w:jc w:val="right"/>
        <w:rPr>
          <w:szCs w:val="24"/>
        </w:rPr>
      </w:pPr>
      <w:r w:rsidRPr="005A72A2">
        <w:rPr>
          <w:szCs w:val="24"/>
        </w:rPr>
        <w:t>Tabula Nr.</w:t>
      </w:r>
      <w:r w:rsidR="005A72A2" w:rsidRPr="005A72A2">
        <w:rPr>
          <w:szCs w:val="24"/>
        </w:rPr>
        <w:t>3.46</w:t>
      </w:r>
      <w:r w:rsidR="00D86274">
        <w:rPr>
          <w:szCs w:val="24"/>
        </w:rPr>
        <w:t>.</w:t>
      </w:r>
    </w:p>
    <w:p w:rsidR="00BE6F9C" w:rsidRPr="009C7A75" w:rsidRDefault="00BE6F9C" w:rsidP="009C7A75">
      <w:pPr>
        <w:spacing w:after="120"/>
        <w:jc w:val="center"/>
        <w:rPr>
          <w:rFonts w:eastAsia="Times New Roman" w:cs="Times New Roman"/>
          <w:b/>
          <w:szCs w:val="24"/>
          <w:lang w:eastAsia="lv-LV"/>
        </w:rPr>
      </w:pPr>
      <w:r w:rsidRPr="009C7A75">
        <w:rPr>
          <w:b/>
          <w:szCs w:val="24"/>
        </w:rPr>
        <w:t>Darbības rezultāti un to rezultatīvie rādītāji no 2014. līdz 2019.gadam</w:t>
      </w:r>
      <w:r w:rsidR="003F26CD">
        <w:rPr>
          <w:rStyle w:val="FootnoteReference"/>
          <w:rFonts w:eastAsia="Times New Roman" w:cs="Times New Roman"/>
          <w:b/>
          <w:szCs w:val="24"/>
          <w:lang w:eastAsia="lv-LV"/>
        </w:rPr>
        <w:footnoteReference w:id="103"/>
      </w:r>
    </w:p>
    <w:tbl>
      <w:tblPr>
        <w:tblStyle w:val="TableGrid"/>
        <w:tblW w:w="5000" w:type="pct"/>
        <w:tblLook w:val="04A0" w:firstRow="1" w:lastRow="0" w:firstColumn="1" w:lastColumn="0" w:noHBand="0" w:noVBand="1"/>
      </w:tblPr>
      <w:tblGrid>
        <w:gridCol w:w="1590"/>
        <w:gridCol w:w="1140"/>
        <w:gridCol w:w="1140"/>
        <w:gridCol w:w="1164"/>
        <w:gridCol w:w="1218"/>
        <w:gridCol w:w="1191"/>
        <w:gridCol w:w="1618"/>
      </w:tblGrid>
      <w:tr w:rsidR="00BE6F9C" w:rsidRPr="009C7A75" w:rsidTr="003F26CD">
        <w:trPr>
          <w:trHeight w:val="492"/>
          <w:tblHeader/>
        </w:trPr>
        <w:tc>
          <w:tcPr>
            <w:tcW w:w="878" w:type="pct"/>
            <w:shd w:val="clear" w:color="auto" w:fill="C5E0B3" w:themeFill="accent6" w:themeFillTint="66"/>
            <w:vAlign w:val="center"/>
          </w:tcPr>
          <w:p w:rsidR="00BE6F9C" w:rsidRPr="009C7A75" w:rsidRDefault="00BE6F9C" w:rsidP="002C0902">
            <w:pPr>
              <w:tabs>
                <w:tab w:val="left" w:pos="8789"/>
              </w:tabs>
              <w:jc w:val="center"/>
              <w:rPr>
                <w:rFonts w:cs="Times New Roman"/>
                <w:b/>
                <w:color w:val="FF0000"/>
                <w:sz w:val="22"/>
              </w:rPr>
            </w:pPr>
          </w:p>
        </w:tc>
        <w:tc>
          <w:tcPr>
            <w:tcW w:w="629" w:type="pct"/>
            <w:shd w:val="clear" w:color="auto" w:fill="C5E0B3" w:themeFill="accent6" w:themeFillTint="66"/>
            <w:vAlign w:val="center"/>
          </w:tcPr>
          <w:p w:rsidR="00BE6F9C" w:rsidRPr="009C7A75" w:rsidRDefault="00BE6F9C" w:rsidP="002C0902">
            <w:pPr>
              <w:tabs>
                <w:tab w:val="left" w:pos="8789"/>
              </w:tabs>
              <w:jc w:val="center"/>
              <w:rPr>
                <w:rFonts w:cs="Times New Roman"/>
                <w:b/>
                <w:color w:val="000000" w:themeColor="text1"/>
                <w:sz w:val="22"/>
              </w:rPr>
            </w:pPr>
            <w:r w:rsidRPr="009C7A75">
              <w:rPr>
                <w:rFonts w:cs="Times New Roman"/>
                <w:b/>
                <w:color w:val="000000" w:themeColor="text1"/>
                <w:sz w:val="22"/>
              </w:rPr>
              <w:t>2014.gads (izpilde)</w:t>
            </w:r>
          </w:p>
        </w:tc>
        <w:tc>
          <w:tcPr>
            <w:tcW w:w="629" w:type="pct"/>
            <w:shd w:val="clear" w:color="auto" w:fill="C5E0B3" w:themeFill="accent6" w:themeFillTint="66"/>
            <w:vAlign w:val="center"/>
          </w:tcPr>
          <w:p w:rsidR="00BE6F9C" w:rsidRPr="009C7A75" w:rsidRDefault="00BE6F9C" w:rsidP="002C0902">
            <w:pPr>
              <w:tabs>
                <w:tab w:val="left" w:pos="8789"/>
              </w:tabs>
              <w:jc w:val="center"/>
              <w:rPr>
                <w:rFonts w:cs="Times New Roman"/>
                <w:b/>
                <w:color w:val="000000" w:themeColor="text1"/>
                <w:sz w:val="22"/>
              </w:rPr>
            </w:pPr>
            <w:r w:rsidRPr="009C7A75">
              <w:rPr>
                <w:rFonts w:cs="Times New Roman"/>
                <w:b/>
                <w:color w:val="000000" w:themeColor="text1"/>
                <w:sz w:val="22"/>
              </w:rPr>
              <w:t>2015.gads (izpilde)</w:t>
            </w:r>
          </w:p>
        </w:tc>
        <w:tc>
          <w:tcPr>
            <w:tcW w:w="642" w:type="pct"/>
            <w:shd w:val="clear" w:color="auto" w:fill="C5E0B3" w:themeFill="accent6" w:themeFillTint="66"/>
            <w:vAlign w:val="center"/>
          </w:tcPr>
          <w:p w:rsidR="00BE6F9C" w:rsidRPr="009C7A75" w:rsidRDefault="00BE6F9C" w:rsidP="002C0902">
            <w:pPr>
              <w:tabs>
                <w:tab w:val="left" w:pos="8789"/>
              </w:tabs>
              <w:jc w:val="center"/>
              <w:rPr>
                <w:rFonts w:cs="Times New Roman"/>
                <w:b/>
                <w:color w:val="000000" w:themeColor="text1"/>
                <w:sz w:val="22"/>
              </w:rPr>
            </w:pPr>
            <w:r w:rsidRPr="009C7A75">
              <w:rPr>
                <w:rFonts w:cs="Times New Roman"/>
                <w:b/>
                <w:color w:val="000000" w:themeColor="text1"/>
                <w:sz w:val="22"/>
              </w:rPr>
              <w:t>2016.gada (izpilde)</w:t>
            </w:r>
          </w:p>
        </w:tc>
        <w:tc>
          <w:tcPr>
            <w:tcW w:w="672" w:type="pct"/>
            <w:shd w:val="clear" w:color="auto" w:fill="C5E0B3" w:themeFill="accent6" w:themeFillTint="66"/>
            <w:vAlign w:val="center"/>
          </w:tcPr>
          <w:p w:rsidR="00BE6F9C" w:rsidRPr="009C7A75" w:rsidRDefault="00BE6F9C" w:rsidP="002C0902">
            <w:pPr>
              <w:tabs>
                <w:tab w:val="left" w:pos="8789"/>
              </w:tabs>
              <w:jc w:val="center"/>
              <w:rPr>
                <w:rFonts w:cs="Times New Roman"/>
                <w:b/>
                <w:color w:val="000000" w:themeColor="text1"/>
                <w:sz w:val="22"/>
              </w:rPr>
            </w:pPr>
            <w:r w:rsidRPr="009C7A75">
              <w:rPr>
                <w:rFonts w:cs="Times New Roman"/>
                <w:b/>
                <w:color w:val="000000" w:themeColor="text1"/>
                <w:sz w:val="22"/>
              </w:rPr>
              <w:t>2017.gada plāns</w:t>
            </w:r>
          </w:p>
        </w:tc>
        <w:tc>
          <w:tcPr>
            <w:tcW w:w="657" w:type="pct"/>
            <w:shd w:val="clear" w:color="auto" w:fill="C5E0B3" w:themeFill="accent6" w:themeFillTint="66"/>
            <w:vAlign w:val="center"/>
          </w:tcPr>
          <w:p w:rsidR="00BE6F9C" w:rsidRPr="009C7A75" w:rsidRDefault="00BE6F9C" w:rsidP="002C0902">
            <w:pPr>
              <w:tabs>
                <w:tab w:val="left" w:pos="8789"/>
              </w:tabs>
              <w:jc w:val="center"/>
              <w:rPr>
                <w:rFonts w:cs="Times New Roman"/>
                <w:b/>
                <w:color w:val="000000" w:themeColor="text1"/>
                <w:sz w:val="22"/>
              </w:rPr>
            </w:pPr>
            <w:r w:rsidRPr="009C7A75">
              <w:rPr>
                <w:rFonts w:cs="Times New Roman"/>
                <w:b/>
                <w:color w:val="000000" w:themeColor="text1"/>
                <w:sz w:val="22"/>
              </w:rPr>
              <w:t>2018.gada prognoze</w:t>
            </w:r>
          </w:p>
        </w:tc>
        <w:tc>
          <w:tcPr>
            <w:tcW w:w="894" w:type="pct"/>
            <w:shd w:val="clear" w:color="auto" w:fill="C5E0B3" w:themeFill="accent6" w:themeFillTint="66"/>
            <w:vAlign w:val="center"/>
          </w:tcPr>
          <w:p w:rsidR="00BE6F9C" w:rsidRPr="009C7A75" w:rsidRDefault="00BE6F9C" w:rsidP="002C0902">
            <w:pPr>
              <w:tabs>
                <w:tab w:val="left" w:pos="8789"/>
              </w:tabs>
              <w:jc w:val="center"/>
              <w:rPr>
                <w:rFonts w:cs="Times New Roman"/>
                <w:b/>
                <w:color w:val="000000" w:themeColor="text1"/>
                <w:sz w:val="22"/>
              </w:rPr>
            </w:pPr>
            <w:r w:rsidRPr="009C7A75">
              <w:rPr>
                <w:rFonts w:cs="Times New Roman"/>
                <w:b/>
                <w:color w:val="000000" w:themeColor="text1"/>
                <w:sz w:val="22"/>
              </w:rPr>
              <w:t>2019.gada  prognoze</w:t>
            </w:r>
          </w:p>
        </w:tc>
      </w:tr>
      <w:tr w:rsidR="00BE6F9C" w:rsidRPr="009C7A75" w:rsidTr="009C7A75">
        <w:trPr>
          <w:trHeight w:val="219"/>
        </w:trPr>
        <w:tc>
          <w:tcPr>
            <w:tcW w:w="5000" w:type="pct"/>
            <w:gridSpan w:val="7"/>
          </w:tcPr>
          <w:p w:rsidR="00BE6F9C" w:rsidRPr="009C7A75" w:rsidRDefault="00BE6F9C" w:rsidP="002C0902">
            <w:pPr>
              <w:tabs>
                <w:tab w:val="left" w:pos="8789"/>
              </w:tabs>
              <w:jc w:val="center"/>
              <w:rPr>
                <w:rFonts w:cs="Times New Roman"/>
                <w:color w:val="000000" w:themeColor="text1"/>
                <w:sz w:val="22"/>
              </w:rPr>
            </w:pPr>
            <w:r w:rsidRPr="009C7A75">
              <w:rPr>
                <w:rFonts w:cs="Times New Roman"/>
                <w:color w:val="000000" w:themeColor="text1"/>
                <w:sz w:val="22"/>
              </w:rPr>
              <w:t>Nodrošināts nepieciešamais ārstu skaits specialitātēs</w:t>
            </w:r>
          </w:p>
        </w:tc>
      </w:tr>
      <w:tr w:rsidR="00BE6F9C" w:rsidRPr="009C7A75" w:rsidTr="003F26CD">
        <w:trPr>
          <w:trHeight w:val="495"/>
        </w:trPr>
        <w:tc>
          <w:tcPr>
            <w:tcW w:w="878" w:type="pct"/>
          </w:tcPr>
          <w:p w:rsidR="00BE6F9C" w:rsidRPr="009C7A75" w:rsidRDefault="00BE6F9C" w:rsidP="009C7A75">
            <w:pPr>
              <w:tabs>
                <w:tab w:val="left" w:pos="8789"/>
              </w:tabs>
              <w:jc w:val="both"/>
              <w:rPr>
                <w:rFonts w:cs="Times New Roman"/>
                <w:sz w:val="22"/>
              </w:rPr>
            </w:pPr>
            <w:r w:rsidRPr="009C7A75">
              <w:rPr>
                <w:rFonts w:cs="Times New Roman"/>
                <w:sz w:val="22"/>
              </w:rPr>
              <w:t>No valsts budžeta finansētās rezidentu vietas uz gada sākumu (skaits)</w:t>
            </w:r>
          </w:p>
        </w:tc>
        <w:tc>
          <w:tcPr>
            <w:tcW w:w="629" w:type="pct"/>
            <w:vAlign w:val="center"/>
          </w:tcPr>
          <w:p w:rsidR="00BE6F9C" w:rsidRPr="009C7A75" w:rsidRDefault="00BE6F9C" w:rsidP="009C7A75">
            <w:pPr>
              <w:tabs>
                <w:tab w:val="left" w:pos="8789"/>
              </w:tabs>
              <w:spacing w:after="120"/>
              <w:jc w:val="center"/>
              <w:rPr>
                <w:rFonts w:cs="Times New Roman"/>
                <w:color w:val="000000" w:themeColor="text1"/>
                <w:sz w:val="22"/>
              </w:rPr>
            </w:pPr>
            <w:r w:rsidRPr="009C7A75">
              <w:rPr>
                <w:rFonts w:cs="Times New Roman"/>
                <w:color w:val="000000" w:themeColor="text1"/>
                <w:sz w:val="22"/>
              </w:rPr>
              <w:t>623</w:t>
            </w:r>
          </w:p>
        </w:tc>
        <w:tc>
          <w:tcPr>
            <w:tcW w:w="629" w:type="pct"/>
            <w:vAlign w:val="center"/>
          </w:tcPr>
          <w:p w:rsidR="00BE6F9C" w:rsidRPr="009C7A75" w:rsidRDefault="00BE6F9C" w:rsidP="009C7A75">
            <w:pPr>
              <w:tabs>
                <w:tab w:val="left" w:pos="8789"/>
              </w:tabs>
              <w:spacing w:after="120"/>
              <w:jc w:val="center"/>
              <w:rPr>
                <w:rFonts w:cs="Times New Roman"/>
                <w:color w:val="000000" w:themeColor="text1"/>
                <w:sz w:val="22"/>
              </w:rPr>
            </w:pPr>
            <w:r w:rsidRPr="009C7A75">
              <w:rPr>
                <w:rFonts w:cs="Times New Roman"/>
                <w:color w:val="000000" w:themeColor="text1"/>
                <w:sz w:val="22"/>
              </w:rPr>
              <w:t>643</w:t>
            </w:r>
          </w:p>
        </w:tc>
        <w:tc>
          <w:tcPr>
            <w:tcW w:w="642" w:type="pct"/>
            <w:vAlign w:val="center"/>
          </w:tcPr>
          <w:p w:rsidR="00BE6F9C" w:rsidRPr="009C7A75" w:rsidRDefault="00BE6F9C" w:rsidP="009C7A75">
            <w:pPr>
              <w:tabs>
                <w:tab w:val="left" w:pos="8789"/>
              </w:tabs>
              <w:spacing w:after="120"/>
              <w:jc w:val="center"/>
              <w:rPr>
                <w:rFonts w:cs="Times New Roman"/>
                <w:color w:val="000000" w:themeColor="text1"/>
                <w:sz w:val="22"/>
              </w:rPr>
            </w:pPr>
            <w:r w:rsidRPr="009C7A75">
              <w:rPr>
                <w:rFonts w:cs="Times New Roman"/>
                <w:color w:val="000000" w:themeColor="text1"/>
                <w:sz w:val="22"/>
              </w:rPr>
              <w:t>679</w:t>
            </w:r>
          </w:p>
        </w:tc>
        <w:tc>
          <w:tcPr>
            <w:tcW w:w="672" w:type="pct"/>
            <w:vAlign w:val="center"/>
          </w:tcPr>
          <w:p w:rsidR="00BE6F9C" w:rsidRPr="009C7A75" w:rsidRDefault="00BE6F9C" w:rsidP="009C7A75">
            <w:pPr>
              <w:tabs>
                <w:tab w:val="left" w:pos="8789"/>
              </w:tabs>
              <w:spacing w:after="120"/>
              <w:jc w:val="center"/>
              <w:rPr>
                <w:rFonts w:cs="Times New Roman"/>
                <w:color w:val="000000" w:themeColor="text1"/>
                <w:sz w:val="22"/>
              </w:rPr>
            </w:pPr>
            <w:r w:rsidRPr="009C7A75">
              <w:rPr>
                <w:rFonts w:cs="Times New Roman"/>
                <w:color w:val="000000" w:themeColor="text1"/>
                <w:sz w:val="22"/>
              </w:rPr>
              <w:t>706</w:t>
            </w:r>
          </w:p>
        </w:tc>
        <w:tc>
          <w:tcPr>
            <w:tcW w:w="657" w:type="pct"/>
            <w:vAlign w:val="center"/>
          </w:tcPr>
          <w:p w:rsidR="00BE6F9C" w:rsidRPr="009C7A75" w:rsidRDefault="00BE6F9C" w:rsidP="009C7A75">
            <w:pPr>
              <w:tabs>
                <w:tab w:val="left" w:pos="8789"/>
              </w:tabs>
              <w:spacing w:after="120"/>
              <w:jc w:val="center"/>
              <w:rPr>
                <w:rFonts w:cs="Times New Roman"/>
                <w:color w:val="000000" w:themeColor="text1"/>
                <w:sz w:val="22"/>
              </w:rPr>
            </w:pPr>
            <w:r w:rsidRPr="009C7A75">
              <w:rPr>
                <w:rFonts w:cs="Times New Roman"/>
                <w:color w:val="000000" w:themeColor="text1"/>
                <w:sz w:val="22"/>
              </w:rPr>
              <w:t>704</w:t>
            </w:r>
          </w:p>
        </w:tc>
        <w:tc>
          <w:tcPr>
            <w:tcW w:w="894" w:type="pct"/>
            <w:vAlign w:val="center"/>
          </w:tcPr>
          <w:p w:rsidR="00BE6F9C" w:rsidRPr="009C7A75" w:rsidRDefault="00BE6F9C" w:rsidP="009C7A75">
            <w:pPr>
              <w:tabs>
                <w:tab w:val="left" w:pos="8789"/>
              </w:tabs>
              <w:spacing w:after="120"/>
              <w:jc w:val="center"/>
              <w:rPr>
                <w:rFonts w:cs="Times New Roman"/>
                <w:color w:val="000000" w:themeColor="text1"/>
                <w:sz w:val="22"/>
              </w:rPr>
            </w:pPr>
            <w:r w:rsidRPr="009C7A75">
              <w:rPr>
                <w:rFonts w:cs="Times New Roman"/>
                <w:color w:val="000000" w:themeColor="text1"/>
                <w:sz w:val="22"/>
              </w:rPr>
              <w:t>704</w:t>
            </w:r>
          </w:p>
        </w:tc>
      </w:tr>
      <w:tr w:rsidR="00BE6F9C" w:rsidRPr="009C7A75" w:rsidTr="003F26CD">
        <w:trPr>
          <w:trHeight w:val="632"/>
        </w:trPr>
        <w:tc>
          <w:tcPr>
            <w:tcW w:w="878" w:type="pct"/>
          </w:tcPr>
          <w:p w:rsidR="00BE6F9C" w:rsidRPr="009C7A75" w:rsidRDefault="00BE6F9C" w:rsidP="009C7A75">
            <w:pPr>
              <w:tabs>
                <w:tab w:val="left" w:pos="8789"/>
              </w:tabs>
              <w:jc w:val="both"/>
              <w:rPr>
                <w:rFonts w:cs="Times New Roman"/>
                <w:sz w:val="22"/>
              </w:rPr>
            </w:pPr>
            <w:r w:rsidRPr="009C7A75">
              <w:rPr>
                <w:rFonts w:cs="Times New Roman"/>
                <w:sz w:val="22"/>
              </w:rPr>
              <w:t>Rezidentūrā uzņemtie ārsti (skaits)</w:t>
            </w:r>
          </w:p>
        </w:tc>
        <w:tc>
          <w:tcPr>
            <w:tcW w:w="629"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197</w:t>
            </w:r>
          </w:p>
        </w:tc>
        <w:tc>
          <w:tcPr>
            <w:tcW w:w="629"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191</w:t>
            </w:r>
          </w:p>
        </w:tc>
        <w:tc>
          <w:tcPr>
            <w:tcW w:w="642"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200</w:t>
            </w:r>
          </w:p>
        </w:tc>
        <w:tc>
          <w:tcPr>
            <w:tcW w:w="672"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200</w:t>
            </w:r>
          </w:p>
        </w:tc>
        <w:tc>
          <w:tcPr>
            <w:tcW w:w="657"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200</w:t>
            </w:r>
          </w:p>
        </w:tc>
        <w:tc>
          <w:tcPr>
            <w:tcW w:w="894"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200</w:t>
            </w:r>
          </w:p>
        </w:tc>
      </w:tr>
      <w:tr w:rsidR="00BE6F9C" w:rsidRPr="009C7A75" w:rsidTr="003F26CD">
        <w:trPr>
          <w:trHeight w:val="800"/>
        </w:trPr>
        <w:tc>
          <w:tcPr>
            <w:tcW w:w="878" w:type="pct"/>
          </w:tcPr>
          <w:p w:rsidR="00BE6F9C" w:rsidRPr="009C7A75" w:rsidRDefault="00BE6F9C" w:rsidP="009C7A75">
            <w:pPr>
              <w:tabs>
                <w:tab w:val="left" w:pos="8789"/>
              </w:tabs>
              <w:jc w:val="both"/>
              <w:rPr>
                <w:rFonts w:cs="Times New Roman"/>
                <w:sz w:val="22"/>
              </w:rPr>
            </w:pPr>
            <w:r w:rsidRPr="009C7A75">
              <w:rPr>
                <w:rFonts w:cs="Times New Roman"/>
                <w:sz w:val="22"/>
              </w:rPr>
              <w:t>Rezidentūru pabeigušie speciālisti (skaits)</w:t>
            </w:r>
          </w:p>
        </w:tc>
        <w:tc>
          <w:tcPr>
            <w:tcW w:w="629" w:type="pct"/>
            <w:vAlign w:val="center"/>
          </w:tcPr>
          <w:p w:rsidR="00BE6F9C" w:rsidRPr="009C7A75" w:rsidRDefault="00BE6F9C" w:rsidP="003F26CD">
            <w:pPr>
              <w:tabs>
                <w:tab w:val="left" w:pos="8789"/>
              </w:tabs>
              <w:spacing w:after="120"/>
              <w:jc w:val="center"/>
              <w:rPr>
                <w:rFonts w:cs="Times New Roman"/>
                <w:sz w:val="22"/>
              </w:rPr>
            </w:pPr>
            <w:r w:rsidRPr="009C7A75">
              <w:rPr>
                <w:rFonts w:cs="Times New Roman"/>
                <w:sz w:val="22"/>
              </w:rPr>
              <w:t>151</w:t>
            </w:r>
            <w:r w:rsidR="003F26CD">
              <w:rPr>
                <w:rStyle w:val="FootnoteReference"/>
                <w:rFonts w:cs="Times New Roman"/>
                <w:sz w:val="22"/>
              </w:rPr>
              <w:footnoteReference w:id="104"/>
            </w:r>
          </w:p>
        </w:tc>
        <w:tc>
          <w:tcPr>
            <w:tcW w:w="629"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130</w:t>
            </w:r>
          </w:p>
        </w:tc>
        <w:tc>
          <w:tcPr>
            <w:tcW w:w="642"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175</w:t>
            </w:r>
          </w:p>
        </w:tc>
        <w:tc>
          <w:tcPr>
            <w:tcW w:w="672"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204</w:t>
            </w:r>
          </w:p>
        </w:tc>
        <w:tc>
          <w:tcPr>
            <w:tcW w:w="657" w:type="pct"/>
            <w:vAlign w:val="center"/>
          </w:tcPr>
          <w:p w:rsidR="00BE6F9C" w:rsidRPr="009C7A75" w:rsidRDefault="00BE6F9C" w:rsidP="009C7A75">
            <w:pPr>
              <w:tabs>
                <w:tab w:val="left" w:pos="8789"/>
              </w:tabs>
              <w:spacing w:after="120"/>
              <w:jc w:val="center"/>
              <w:rPr>
                <w:rFonts w:cs="Times New Roman"/>
                <w:sz w:val="22"/>
              </w:rPr>
            </w:pPr>
            <w:r w:rsidRPr="009C7A75">
              <w:rPr>
                <w:rFonts w:cs="Times New Roman"/>
                <w:sz w:val="22"/>
              </w:rPr>
              <w:t>196</w:t>
            </w:r>
          </w:p>
        </w:tc>
        <w:tc>
          <w:tcPr>
            <w:tcW w:w="894" w:type="pct"/>
            <w:vAlign w:val="center"/>
          </w:tcPr>
          <w:p w:rsidR="00BE6F9C" w:rsidRPr="009C7A75" w:rsidRDefault="00BE6F9C" w:rsidP="003F26CD">
            <w:pPr>
              <w:tabs>
                <w:tab w:val="left" w:pos="8789"/>
              </w:tabs>
              <w:spacing w:after="120"/>
              <w:jc w:val="center"/>
              <w:rPr>
                <w:rFonts w:cs="Times New Roman"/>
                <w:sz w:val="22"/>
              </w:rPr>
            </w:pPr>
            <w:r w:rsidRPr="009C7A75">
              <w:rPr>
                <w:rFonts w:cs="Times New Roman"/>
                <w:sz w:val="22"/>
              </w:rPr>
              <w:t>216</w:t>
            </w:r>
            <w:r w:rsidR="003F26CD">
              <w:rPr>
                <w:rStyle w:val="FootnoteReference"/>
                <w:rFonts w:cs="Times New Roman"/>
                <w:sz w:val="22"/>
              </w:rPr>
              <w:footnoteReference w:id="105"/>
            </w:r>
          </w:p>
        </w:tc>
      </w:tr>
    </w:tbl>
    <w:p w:rsidR="003F26CD" w:rsidRPr="00BE6F9C" w:rsidRDefault="003F26CD" w:rsidP="003F26CD">
      <w:pPr>
        <w:ind w:left="6481"/>
        <w:jc w:val="both"/>
        <w:rPr>
          <w:rFonts w:cs="Times New Roman"/>
          <w:szCs w:val="24"/>
          <w:lang w:eastAsia="lv-LV"/>
        </w:rPr>
      </w:pPr>
    </w:p>
    <w:p w:rsidR="003F26CD" w:rsidRPr="00BE6F9C" w:rsidRDefault="003F26CD" w:rsidP="003F26CD">
      <w:pPr>
        <w:spacing w:after="120"/>
        <w:ind w:firstLine="720"/>
        <w:jc w:val="both"/>
        <w:rPr>
          <w:rFonts w:cs="Times New Roman"/>
          <w:szCs w:val="24"/>
          <w:lang w:eastAsia="lv-LV"/>
        </w:rPr>
      </w:pPr>
      <w:r w:rsidRPr="00BE6F9C">
        <w:rPr>
          <w:rFonts w:cs="Times New Roman"/>
          <w:szCs w:val="24"/>
          <w:lang w:eastAsia="lv-LV"/>
        </w:rPr>
        <w:t xml:space="preserve">Saskaņā ar </w:t>
      </w:r>
      <w:r>
        <w:rPr>
          <w:rFonts w:cs="Times New Roman"/>
          <w:szCs w:val="24"/>
          <w:lang w:eastAsia="lv-LV"/>
        </w:rPr>
        <w:t>MK</w:t>
      </w:r>
      <w:r w:rsidRPr="00BE6F9C">
        <w:rPr>
          <w:rFonts w:cs="Times New Roman"/>
          <w:szCs w:val="24"/>
          <w:lang w:eastAsia="lv-LV"/>
        </w:rPr>
        <w:t xml:space="preserve"> 2011.gada 30.augusta noteikumu Nr.685 “Rezidentu sadales un rezidentūras finansēšanas noteikumi” (turpmāk</w:t>
      </w:r>
      <w:r>
        <w:rPr>
          <w:rFonts w:cs="Times New Roman"/>
          <w:szCs w:val="24"/>
          <w:lang w:eastAsia="lv-LV"/>
        </w:rPr>
        <w:t xml:space="preserve"> –</w:t>
      </w:r>
      <w:r w:rsidRPr="00BE6F9C">
        <w:rPr>
          <w:rFonts w:cs="Times New Roman"/>
          <w:szCs w:val="24"/>
          <w:lang w:eastAsia="lv-LV"/>
        </w:rPr>
        <w:t xml:space="preserve"> MK noteikumi Nr.685) 28.punktu</w:t>
      </w:r>
      <w:bookmarkStart w:id="28" w:name="p-585016"/>
      <w:bookmarkStart w:id="29" w:name="p28"/>
      <w:bookmarkEnd w:id="28"/>
      <w:bookmarkEnd w:id="29"/>
      <w:r w:rsidRPr="00BE6F9C">
        <w:rPr>
          <w:rFonts w:cs="Times New Roman"/>
          <w:szCs w:val="24"/>
          <w:lang w:eastAsia="lv-LV"/>
        </w:rPr>
        <w:t xml:space="preserve"> personai, kuras apmācība rezidentūrā finansēta no valsts budžeta līdzekļiem, pēc rezidentūras beigšanas turpmākos trīs gadus normālā darba laika jānostrādā attiecīgajā ārstniecības personas specialitātē Latvijas Republikas teritorijā publiskas personas izveidotā ārstniecības iestādē, ģimenes ārsta praksē, Veselības inspekcijā, Slimību profilakses un kontroles centrā vai pašvaldības norādītajā ārstniecības iestādē, ja ir nos</w:t>
      </w:r>
      <w:r>
        <w:rPr>
          <w:rFonts w:cs="Times New Roman"/>
          <w:szCs w:val="24"/>
          <w:lang w:eastAsia="lv-LV"/>
        </w:rPr>
        <w:t>lēgta</w:t>
      </w:r>
      <w:r w:rsidRPr="00BE6F9C">
        <w:rPr>
          <w:rFonts w:cs="Times New Roman"/>
          <w:szCs w:val="24"/>
          <w:lang w:eastAsia="lv-LV"/>
        </w:rPr>
        <w:t xml:space="preserve"> vienošanās ar pašvaldību</w:t>
      </w:r>
      <w:r w:rsidR="002A434A">
        <w:rPr>
          <w:rFonts w:cs="Times New Roman"/>
          <w:szCs w:val="24"/>
          <w:lang w:eastAsia="lv-LV"/>
        </w:rPr>
        <w:t xml:space="preserve"> </w:t>
      </w:r>
      <w:r w:rsidR="002A434A" w:rsidRPr="002A434A">
        <w:rPr>
          <w:rFonts w:cs="Times New Roman"/>
          <w:szCs w:val="24"/>
          <w:lang w:eastAsia="lv-LV"/>
        </w:rPr>
        <w:t>(skat. tabulu Nr.3.4</w:t>
      </w:r>
      <w:r w:rsidR="002A434A">
        <w:rPr>
          <w:rFonts w:cs="Times New Roman"/>
          <w:szCs w:val="24"/>
          <w:lang w:eastAsia="lv-LV"/>
        </w:rPr>
        <w:t>7</w:t>
      </w:r>
      <w:r w:rsidR="00D86274">
        <w:rPr>
          <w:rFonts w:cs="Times New Roman"/>
          <w:szCs w:val="24"/>
          <w:lang w:eastAsia="lv-LV"/>
        </w:rPr>
        <w:t>.</w:t>
      </w:r>
      <w:r w:rsidR="002A434A" w:rsidRPr="002A434A">
        <w:rPr>
          <w:rFonts w:cs="Times New Roman"/>
          <w:szCs w:val="24"/>
          <w:lang w:eastAsia="lv-LV"/>
        </w:rPr>
        <w:t>)</w:t>
      </w:r>
      <w:r w:rsidR="002A434A">
        <w:rPr>
          <w:rFonts w:cs="Times New Roman"/>
          <w:szCs w:val="24"/>
          <w:lang w:eastAsia="lv-LV"/>
        </w:rPr>
        <w:t>.</w:t>
      </w:r>
    </w:p>
    <w:p w:rsidR="00BE6F9C" w:rsidRPr="00B147A6" w:rsidRDefault="00BE6F9C" w:rsidP="002A434A">
      <w:pPr>
        <w:spacing w:after="120"/>
        <w:ind w:firstLine="51"/>
        <w:jc w:val="right"/>
        <w:rPr>
          <w:szCs w:val="24"/>
        </w:rPr>
      </w:pPr>
      <w:r w:rsidRPr="005A72A2">
        <w:rPr>
          <w:szCs w:val="24"/>
        </w:rPr>
        <w:t>Tabula Nr.</w:t>
      </w:r>
      <w:r w:rsidR="005A72A2" w:rsidRPr="005A72A2">
        <w:rPr>
          <w:szCs w:val="24"/>
        </w:rPr>
        <w:t>3.47</w:t>
      </w:r>
      <w:r w:rsidR="00D86274">
        <w:rPr>
          <w:szCs w:val="24"/>
        </w:rPr>
        <w:t>.</w:t>
      </w:r>
    </w:p>
    <w:p w:rsidR="00BE6F9C" w:rsidRPr="00B147A6" w:rsidRDefault="00BE6F9C" w:rsidP="00BE6F9C">
      <w:pPr>
        <w:tabs>
          <w:tab w:val="left" w:pos="8789"/>
        </w:tabs>
        <w:spacing w:after="120"/>
        <w:jc w:val="center"/>
        <w:rPr>
          <w:b/>
          <w:szCs w:val="24"/>
        </w:rPr>
      </w:pPr>
      <w:r w:rsidRPr="00B147A6">
        <w:rPr>
          <w:b/>
          <w:szCs w:val="24"/>
        </w:rPr>
        <w:t>Finansiālie rādītāji no 2014. līdz 2019.gadam</w:t>
      </w:r>
    </w:p>
    <w:tbl>
      <w:tblPr>
        <w:tblStyle w:val="TableGrid"/>
        <w:tblW w:w="5000" w:type="pct"/>
        <w:tblLook w:val="04A0" w:firstRow="1" w:lastRow="0" w:firstColumn="1" w:lastColumn="0" w:noHBand="0" w:noVBand="1"/>
      </w:tblPr>
      <w:tblGrid>
        <w:gridCol w:w="1161"/>
        <w:gridCol w:w="1038"/>
        <w:gridCol w:w="1142"/>
        <w:gridCol w:w="1153"/>
        <w:gridCol w:w="1229"/>
        <w:gridCol w:w="1076"/>
        <w:gridCol w:w="1153"/>
        <w:gridCol w:w="1109"/>
      </w:tblGrid>
      <w:tr w:rsidR="00BE6F9C" w:rsidRPr="00BE6F9C" w:rsidTr="003F26CD">
        <w:trPr>
          <w:trHeight w:val="487"/>
        </w:trPr>
        <w:tc>
          <w:tcPr>
            <w:tcW w:w="641" w:type="pct"/>
            <w:shd w:val="clear" w:color="auto" w:fill="C5E0B3" w:themeFill="accent6" w:themeFillTint="66"/>
            <w:tcMar>
              <w:left w:w="28" w:type="dxa"/>
              <w:right w:w="28" w:type="dxa"/>
            </w:tcMar>
            <w:vAlign w:val="center"/>
          </w:tcPr>
          <w:p w:rsidR="00BE6F9C" w:rsidRPr="00B147A6" w:rsidRDefault="00BE6F9C" w:rsidP="00B147A6">
            <w:pPr>
              <w:tabs>
                <w:tab w:val="left" w:pos="8789"/>
              </w:tabs>
              <w:spacing w:after="120"/>
              <w:jc w:val="center"/>
              <w:rPr>
                <w:b/>
                <w:sz w:val="22"/>
              </w:rPr>
            </w:pPr>
          </w:p>
        </w:tc>
        <w:tc>
          <w:tcPr>
            <w:tcW w:w="573" w:type="pct"/>
            <w:shd w:val="clear" w:color="auto" w:fill="C5E0B3" w:themeFill="accent6" w:themeFillTint="66"/>
            <w:tcMar>
              <w:left w:w="28" w:type="dxa"/>
              <w:right w:w="28" w:type="dxa"/>
            </w:tcMar>
            <w:vAlign w:val="center"/>
          </w:tcPr>
          <w:p w:rsidR="00BE6F9C" w:rsidRPr="00B147A6" w:rsidRDefault="00BE6F9C" w:rsidP="00B147A6">
            <w:pPr>
              <w:tabs>
                <w:tab w:val="left" w:pos="8789"/>
              </w:tabs>
              <w:jc w:val="center"/>
              <w:rPr>
                <w:b/>
                <w:sz w:val="22"/>
              </w:rPr>
            </w:pPr>
            <w:r w:rsidRPr="00B147A6">
              <w:rPr>
                <w:b/>
                <w:sz w:val="22"/>
              </w:rPr>
              <w:t>2014.gads (izpilde)</w:t>
            </w:r>
          </w:p>
        </w:tc>
        <w:tc>
          <w:tcPr>
            <w:tcW w:w="630" w:type="pct"/>
            <w:shd w:val="clear" w:color="auto" w:fill="C5E0B3" w:themeFill="accent6" w:themeFillTint="66"/>
            <w:tcMar>
              <w:left w:w="28" w:type="dxa"/>
              <w:right w:w="28" w:type="dxa"/>
            </w:tcMar>
            <w:vAlign w:val="center"/>
          </w:tcPr>
          <w:p w:rsidR="00BE6F9C" w:rsidRPr="00B147A6" w:rsidRDefault="00BE6F9C" w:rsidP="00B147A6">
            <w:pPr>
              <w:tabs>
                <w:tab w:val="left" w:pos="8789"/>
              </w:tabs>
              <w:jc w:val="center"/>
              <w:rPr>
                <w:b/>
                <w:sz w:val="22"/>
              </w:rPr>
            </w:pPr>
            <w:r w:rsidRPr="00B147A6">
              <w:rPr>
                <w:b/>
                <w:sz w:val="22"/>
              </w:rPr>
              <w:t>2015.gads (izpilde)</w:t>
            </w:r>
          </w:p>
        </w:tc>
        <w:tc>
          <w:tcPr>
            <w:tcW w:w="636" w:type="pct"/>
            <w:shd w:val="clear" w:color="auto" w:fill="C5E0B3" w:themeFill="accent6" w:themeFillTint="66"/>
            <w:tcMar>
              <w:left w:w="28" w:type="dxa"/>
              <w:right w:w="28" w:type="dxa"/>
            </w:tcMar>
            <w:vAlign w:val="center"/>
          </w:tcPr>
          <w:p w:rsidR="00BE6F9C" w:rsidRPr="00B147A6" w:rsidRDefault="00BE6F9C" w:rsidP="00B147A6">
            <w:pPr>
              <w:tabs>
                <w:tab w:val="left" w:pos="8789"/>
              </w:tabs>
              <w:jc w:val="center"/>
              <w:rPr>
                <w:b/>
                <w:sz w:val="22"/>
              </w:rPr>
            </w:pPr>
            <w:r w:rsidRPr="00B147A6">
              <w:rPr>
                <w:b/>
                <w:sz w:val="22"/>
              </w:rPr>
              <w:t>2016.gada (izpilde)</w:t>
            </w:r>
          </w:p>
        </w:tc>
        <w:tc>
          <w:tcPr>
            <w:tcW w:w="678" w:type="pct"/>
            <w:shd w:val="clear" w:color="auto" w:fill="C5E0B3" w:themeFill="accent6" w:themeFillTint="66"/>
            <w:tcMar>
              <w:left w:w="28" w:type="dxa"/>
              <w:right w:w="28" w:type="dxa"/>
            </w:tcMar>
            <w:vAlign w:val="center"/>
          </w:tcPr>
          <w:p w:rsidR="00BE6F9C" w:rsidRPr="00B147A6" w:rsidRDefault="00BE6F9C" w:rsidP="00B147A6">
            <w:pPr>
              <w:tabs>
                <w:tab w:val="left" w:pos="8789"/>
              </w:tabs>
              <w:jc w:val="center"/>
              <w:rPr>
                <w:b/>
                <w:sz w:val="22"/>
              </w:rPr>
            </w:pPr>
            <w:r w:rsidRPr="00B147A6">
              <w:rPr>
                <w:b/>
                <w:sz w:val="22"/>
              </w:rPr>
              <w:t>2017.gada plāns</w:t>
            </w:r>
          </w:p>
        </w:tc>
        <w:tc>
          <w:tcPr>
            <w:tcW w:w="594" w:type="pct"/>
            <w:shd w:val="clear" w:color="auto" w:fill="C5E0B3" w:themeFill="accent6" w:themeFillTint="66"/>
            <w:tcMar>
              <w:left w:w="28" w:type="dxa"/>
              <w:right w:w="28" w:type="dxa"/>
            </w:tcMar>
            <w:vAlign w:val="center"/>
          </w:tcPr>
          <w:p w:rsidR="00BE6F9C" w:rsidRPr="00B147A6" w:rsidRDefault="00BE6F9C" w:rsidP="00B147A6">
            <w:pPr>
              <w:tabs>
                <w:tab w:val="left" w:pos="8789"/>
              </w:tabs>
              <w:jc w:val="center"/>
              <w:rPr>
                <w:b/>
                <w:sz w:val="22"/>
              </w:rPr>
            </w:pPr>
            <w:r w:rsidRPr="00B147A6">
              <w:rPr>
                <w:b/>
                <w:sz w:val="22"/>
              </w:rPr>
              <w:t>2018.gada bāze</w:t>
            </w:r>
          </w:p>
        </w:tc>
        <w:tc>
          <w:tcPr>
            <w:tcW w:w="636" w:type="pct"/>
            <w:shd w:val="clear" w:color="auto" w:fill="C5E0B3" w:themeFill="accent6" w:themeFillTint="66"/>
            <w:tcMar>
              <w:left w:w="28" w:type="dxa"/>
              <w:right w:w="28" w:type="dxa"/>
            </w:tcMar>
            <w:vAlign w:val="center"/>
          </w:tcPr>
          <w:p w:rsidR="00BE6F9C" w:rsidRPr="00B147A6" w:rsidRDefault="00BE6F9C" w:rsidP="00B147A6">
            <w:pPr>
              <w:tabs>
                <w:tab w:val="left" w:pos="8789"/>
              </w:tabs>
              <w:jc w:val="center"/>
              <w:rPr>
                <w:b/>
                <w:sz w:val="22"/>
              </w:rPr>
            </w:pPr>
            <w:r w:rsidRPr="00B147A6">
              <w:rPr>
                <w:b/>
                <w:sz w:val="22"/>
              </w:rPr>
              <w:t>2019.gada bāze</w:t>
            </w:r>
          </w:p>
        </w:tc>
        <w:tc>
          <w:tcPr>
            <w:tcW w:w="612" w:type="pct"/>
            <w:shd w:val="clear" w:color="auto" w:fill="C5E0B3" w:themeFill="accent6" w:themeFillTint="66"/>
            <w:tcMar>
              <w:left w:w="28" w:type="dxa"/>
              <w:right w:w="28" w:type="dxa"/>
            </w:tcMar>
            <w:vAlign w:val="center"/>
          </w:tcPr>
          <w:p w:rsidR="00BE6F9C" w:rsidRPr="00B147A6" w:rsidRDefault="00BE6F9C" w:rsidP="00B147A6">
            <w:pPr>
              <w:tabs>
                <w:tab w:val="left" w:pos="8789"/>
              </w:tabs>
              <w:jc w:val="center"/>
              <w:rPr>
                <w:b/>
                <w:sz w:val="22"/>
              </w:rPr>
            </w:pPr>
            <w:r w:rsidRPr="00B147A6">
              <w:rPr>
                <w:b/>
                <w:sz w:val="22"/>
              </w:rPr>
              <w:t>2020.gada bāze</w:t>
            </w:r>
          </w:p>
        </w:tc>
      </w:tr>
      <w:tr w:rsidR="00BE6F9C" w:rsidRPr="00BE6F9C" w:rsidTr="00B147A6">
        <w:trPr>
          <w:trHeight w:val="413"/>
        </w:trPr>
        <w:tc>
          <w:tcPr>
            <w:tcW w:w="641" w:type="pct"/>
          </w:tcPr>
          <w:p w:rsidR="00BE6F9C" w:rsidRPr="00B147A6" w:rsidRDefault="00BE6F9C" w:rsidP="00B147A6">
            <w:pPr>
              <w:tabs>
                <w:tab w:val="left" w:pos="8789"/>
              </w:tabs>
              <w:jc w:val="both"/>
              <w:rPr>
                <w:sz w:val="22"/>
              </w:rPr>
            </w:pPr>
            <w:r w:rsidRPr="00B147A6">
              <w:rPr>
                <w:sz w:val="22"/>
              </w:rPr>
              <w:t xml:space="preserve">Kopējie izdevumi, </w:t>
            </w:r>
            <w:r w:rsidRPr="00B147A6">
              <w:rPr>
                <w:i/>
                <w:sz w:val="22"/>
              </w:rPr>
              <w:t>euro</w:t>
            </w:r>
          </w:p>
        </w:tc>
        <w:tc>
          <w:tcPr>
            <w:tcW w:w="573" w:type="pct"/>
            <w:vAlign w:val="center"/>
          </w:tcPr>
          <w:p w:rsidR="00BE6F9C" w:rsidRPr="005A72A2" w:rsidRDefault="00BE6F9C" w:rsidP="00B147A6">
            <w:pPr>
              <w:tabs>
                <w:tab w:val="left" w:pos="8789"/>
              </w:tabs>
              <w:jc w:val="center"/>
              <w:rPr>
                <w:sz w:val="18"/>
                <w:szCs w:val="18"/>
              </w:rPr>
            </w:pPr>
            <w:r w:rsidRPr="005A72A2">
              <w:rPr>
                <w:sz w:val="18"/>
                <w:szCs w:val="18"/>
              </w:rPr>
              <w:t>7 989 688</w:t>
            </w:r>
          </w:p>
        </w:tc>
        <w:tc>
          <w:tcPr>
            <w:tcW w:w="630" w:type="pct"/>
            <w:vAlign w:val="center"/>
          </w:tcPr>
          <w:p w:rsidR="00BE6F9C" w:rsidRPr="005A72A2" w:rsidRDefault="00BE6F9C" w:rsidP="00B147A6">
            <w:pPr>
              <w:tabs>
                <w:tab w:val="left" w:pos="8789"/>
              </w:tabs>
              <w:jc w:val="center"/>
              <w:rPr>
                <w:sz w:val="18"/>
                <w:szCs w:val="18"/>
              </w:rPr>
            </w:pPr>
            <w:r w:rsidRPr="005A72A2">
              <w:rPr>
                <w:sz w:val="18"/>
                <w:szCs w:val="18"/>
              </w:rPr>
              <w:t>9 733 249</w:t>
            </w:r>
          </w:p>
        </w:tc>
        <w:tc>
          <w:tcPr>
            <w:tcW w:w="636" w:type="pct"/>
            <w:vAlign w:val="center"/>
          </w:tcPr>
          <w:p w:rsidR="00BE6F9C" w:rsidRPr="005A72A2" w:rsidRDefault="00BE6F9C" w:rsidP="00B147A6">
            <w:pPr>
              <w:tabs>
                <w:tab w:val="left" w:pos="8789"/>
              </w:tabs>
              <w:jc w:val="center"/>
              <w:rPr>
                <w:sz w:val="18"/>
                <w:szCs w:val="18"/>
              </w:rPr>
            </w:pPr>
            <w:r w:rsidRPr="005A72A2">
              <w:rPr>
                <w:sz w:val="18"/>
                <w:szCs w:val="18"/>
              </w:rPr>
              <w:t>9 739 280</w:t>
            </w:r>
          </w:p>
        </w:tc>
        <w:tc>
          <w:tcPr>
            <w:tcW w:w="678" w:type="pct"/>
            <w:vAlign w:val="center"/>
          </w:tcPr>
          <w:p w:rsidR="00BE6F9C" w:rsidRPr="005A72A2" w:rsidRDefault="00B147A6" w:rsidP="00B147A6">
            <w:pPr>
              <w:jc w:val="center"/>
              <w:rPr>
                <w:sz w:val="18"/>
                <w:szCs w:val="18"/>
              </w:rPr>
            </w:pPr>
            <w:r w:rsidRPr="005A72A2">
              <w:rPr>
                <w:sz w:val="18"/>
                <w:szCs w:val="18"/>
              </w:rPr>
              <w:t>9 738 547</w:t>
            </w:r>
          </w:p>
        </w:tc>
        <w:tc>
          <w:tcPr>
            <w:tcW w:w="594" w:type="pct"/>
            <w:vAlign w:val="center"/>
          </w:tcPr>
          <w:p w:rsidR="00BE6F9C" w:rsidRPr="005A72A2" w:rsidRDefault="00BE6F9C" w:rsidP="00B147A6">
            <w:pPr>
              <w:tabs>
                <w:tab w:val="left" w:pos="8789"/>
              </w:tabs>
              <w:jc w:val="center"/>
              <w:rPr>
                <w:sz w:val="18"/>
                <w:szCs w:val="18"/>
              </w:rPr>
            </w:pPr>
            <w:r w:rsidRPr="005A72A2">
              <w:rPr>
                <w:sz w:val="18"/>
                <w:szCs w:val="18"/>
              </w:rPr>
              <w:t>9 738 547</w:t>
            </w:r>
          </w:p>
        </w:tc>
        <w:tc>
          <w:tcPr>
            <w:tcW w:w="636" w:type="pct"/>
            <w:vAlign w:val="center"/>
          </w:tcPr>
          <w:p w:rsidR="00BE6F9C" w:rsidRPr="005A72A2" w:rsidRDefault="00BE6F9C" w:rsidP="00B147A6">
            <w:pPr>
              <w:tabs>
                <w:tab w:val="left" w:pos="8789"/>
              </w:tabs>
              <w:jc w:val="center"/>
              <w:rPr>
                <w:sz w:val="18"/>
                <w:szCs w:val="18"/>
              </w:rPr>
            </w:pPr>
            <w:r w:rsidRPr="005A72A2">
              <w:rPr>
                <w:sz w:val="18"/>
                <w:szCs w:val="18"/>
              </w:rPr>
              <w:t>9 738 547</w:t>
            </w:r>
          </w:p>
        </w:tc>
        <w:tc>
          <w:tcPr>
            <w:tcW w:w="612" w:type="pct"/>
            <w:vAlign w:val="center"/>
          </w:tcPr>
          <w:p w:rsidR="00BE6F9C" w:rsidRPr="005A72A2" w:rsidRDefault="00BE6F9C" w:rsidP="00B147A6">
            <w:pPr>
              <w:tabs>
                <w:tab w:val="left" w:pos="8789"/>
              </w:tabs>
              <w:jc w:val="center"/>
              <w:rPr>
                <w:sz w:val="18"/>
                <w:szCs w:val="18"/>
              </w:rPr>
            </w:pPr>
            <w:r w:rsidRPr="005A72A2">
              <w:rPr>
                <w:sz w:val="18"/>
                <w:szCs w:val="18"/>
              </w:rPr>
              <w:t>9 738 547</w:t>
            </w:r>
          </w:p>
        </w:tc>
      </w:tr>
    </w:tbl>
    <w:p w:rsidR="00BE6F9C" w:rsidRPr="00BE6F9C" w:rsidRDefault="00B147A6" w:rsidP="005A72A2">
      <w:pPr>
        <w:spacing w:before="120" w:after="120"/>
        <w:ind w:firstLine="720"/>
        <w:jc w:val="both"/>
        <w:rPr>
          <w:rFonts w:cs="Times New Roman"/>
          <w:szCs w:val="24"/>
          <w:lang w:eastAsia="lv-LV"/>
        </w:rPr>
      </w:pPr>
      <w:r>
        <w:rPr>
          <w:rFonts w:cs="Times New Roman"/>
          <w:szCs w:val="24"/>
          <w:lang w:eastAsia="lv-LV"/>
        </w:rPr>
        <w:t>Savukārt</w:t>
      </w:r>
      <w:r w:rsidR="00BE6F9C" w:rsidRPr="00BE6F9C">
        <w:rPr>
          <w:rFonts w:cs="Times New Roman"/>
          <w:szCs w:val="24"/>
          <w:lang w:eastAsia="lv-LV"/>
        </w:rPr>
        <w:t xml:space="preserve"> atbilstoši MK noteikumu Nr.685 31.punktam VM augstāk minētā informācija jāpieprasa par ārstniecības iestādēm, pašvaldībām un Veselības inspekcijas</w:t>
      </w:r>
      <w:r>
        <w:rPr>
          <w:rFonts w:cs="Times New Roman"/>
          <w:szCs w:val="24"/>
          <w:lang w:eastAsia="lv-LV"/>
        </w:rPr>
        <w:t xml:space="preserve"> </w:t>
      </w:r>
      <w:r w:rsidR="00BE6F9C" w:rsidRPr="00BE6F9C">
        <w:rPr>
          <w:rFonts w:cs="Times New Roman"/>
          <w:szCs w:val="24"/>
          <w:lang w:eastAsia="lv-LV"/>
        </w:rPr>
        <w:t>- no Ārstniecības personu un ārstniecības atbalsta personu reģistra.</w:t>
      </w:r>
    </w:p>
    <w:p w:rsidR="00BE6F9C" w:rsidRPr="00BE6F9C" w:rsidRDefault="00B147A6" w:rsidP="005A72A2">
      <w:pPr>
        <w:ind w:firstLine="720"/>
        <w:jc w:val="both"/>
        <w:rPr>
          <w:rFonts w:eastAsia="Times New Roman" w:cs="Times New Roman"/>
          <w:color w:val="414142"/>
          <w:szCs w:val="24"/>
          <w:lang w:eastAsia="lv-LV"/>
        </w:rPr>
      </w:pPr>
      <w:r>
        <w:rPr>
          <w:rFonts w:eastAsia="Times New Roman" w:cs="Times New Roman"/>
          <w:color w:val="000000" w:themeColor="text1"/>
          <w:szCs w:val="24"/>
          <w:lang w:eastAsia="lv-LV"/>
        </w:rPr>
        <w:t>Vienlaikus</w:t>
      </w:r>
      <w:r w:rsidR="00BE6F9C" w:rsidRPr="00BE6F9C">
        <w:rPr>
          <w:rFonts w:eastAsia="Times New Roman" w:cs="Times New Roman"/>
          <w:color w:val="000000" w:themeColor="text1"/>
          <w:szCs w:val="24"/>
          <w:lang w:eastAsia="lv-LV"/>
        </w:rPr>
        <w:t xml:space="preserve"> </w:t>
      </w:r>
      <w:r w:rsidR="00BE6F9C" w:rsidRPr="00BE6F9C">
        <w:rPr>
          <w:rFonts w:cs="Times New Roman"/>
          <w:szCs w:val="24"/>
          <w:lang w:eastAsia="lv-LV"/>
        </w:rPr>
        <w:t>MK noteikumu Nr.685 32.punkts nosaka, j</w:t>
      </w:r>
      <w:bookmarkStart w:id="30" w:name="p-585022"/>
      <w:bookmarkStart w:id="31" w:name="p32"/>
      <w:bookmarkEnd w:id="30"/>
      <w:bookmarkEnd w:id="31"/>
      <w:r w:rsidR="00BE6F9C" w:rsidRPr="00BE6F9C">
        <w:rPr>
          <w:rFonts w:eastAsia="Times New Roman" w:cs="Times New Roman"/>
          <w:color w:val="000000" w:themeColor="text1"/>
          <w:szCs w:val="24"/>
          <w:lang w:eastAsia="lv-LV"/>
        </w:rPr>
        <w:t xml:space="preserve">a persona pēc rezidentūras beigšanas nepilda šo noteikumu </w:t>
      </w:r>
      <w:hyperlink r:id="rId134" w:anchor="p28" w:tgtFrame="_blank" w:history="1">
        <w:r>
          <w:rPr>
            <w:rFonts w:eastAsia="Times New Roman" w:cs="Times New Roman"/>
            <w:color w:val="000000" w:themeColor="text1"/>
            <w:szCs w:val="24"/>
            <w:lang w:eastAsia="lv-LV"/>
          </w:rPr>
          <w:t>28.</w:t>
        </w:r>
        <w:r w:rsidR="00BE6F9C" w:rsidRPr="00BE6F9C">
          <w:rPr>
            <w:rFonts w:eastAsia="Times New Roman" w:cs="Times New Roman"/>
            <w:color w:val="000000" w:themeColor="text1"/>
            <w:szCs w:val="24"/>
            <w:lang w:eastAsia="lv-LV"/>
          </w:rPr>
          <w:t>punktā</w:t>
        </w:r>
      </w:hyperlink>
      <w:r w:rsidR="00BE6F9C" w:rsidRPr="00BE6F9C">
        <w:rPr>
          <w:rFonts w:eastAsia="Times New Roman" w:cs="Times New Roman"/>
          <w:color w:val="000000" w:themeColor="text1"/>
          <w:szCs w:val="24"/>
          <w:lang w:eastAsia="lv-LV"/>
        </w:rPr>
        <w:t xml:space="preserve"> minētos nosacījumus (izņemot gadījumus, ja vienošanās tiek izbeigta no personas neatkarīgu iemeslu dēļ), ir izslēgta no studējošo saraksta nesekmības dēļ vai pārtrauc apmācību rezidentūrā no augstskolas neatkarīgu iemeslu dēļ, VM jāpieņem lēmums par rezidenta apmācībai izlietoto valsts budžeta līdzekļu atmaksu</w:t>
      </w:r>
      <w:r w:rsidR="00BE6F9C" w:rsidRPr="00BE6F9C">
        <w:rPr>
          <w:rFonts w:eastAsia="Times New Roman" w:cs="Times New Roman"/>
          <w:color w:val="414142"/>
          <w:szCs w:val="24"/>
          <w:lang w:eastAsia="lv-LV"/>
        </w:rPr>
        <w:t>.</w:t>
      </w:r>
    </w:p>
    <w:p w:rsidR="00BE6F9C" w:rsidRPr="00BE6F9C" w:rsidRDefault="00BE6F9C" w:rsidP="00B147A6">
      <w:pPr>
        <w:pStyle w:val="NormalWeb"/>
        <w:shd w:val="clear" w:color="auto" w:fill="FFFFFF"/>
        <w:spacing w:before="120" w:beforeAutospacing="0" w:after="120" w:afterAutospacing="0"/>
        <w:ind w:firstLine="720"/>
        <w:jc w:val="both"/>
        <w:rPr>
          <w:color w:val="000000"/>
        </w:rPr>
      </w:pPr>
      <w:r w:rsidRPr="00BE6F9C">
        <w:rPr>
          <w:color w:val="000000"/>
        </w:rPr>
        <w:lastRenderedPageBreak/>
        <w:t>Atbilstoši VM sniegtajai informācijai, ņemot vērā V</w:t>
      </w:r>
      <w:r w:rsidR="002A434A">
        <w:rPr>
          <w:color w:val="000000"/>
        </w:rPr>
        <w:t>Ko</w:t>
      </w:r>
      <w:r w:rsidRPr="00BE6F9C">
        <w:rPr>
          <w:color w:val="000000"/>
        </w:rPr>
        <w:t xml:space="preserve"> ieteikumus, VM 2017.gadā uzsākusi eksmatrikulēto rezidentu sakarā ar diploma saņemšanu uzraudzību. Par diplomus saņēmušiem un s</w:t>
      </w:r>
      <w:r w:rsidR="00B147A6">
        <w:rPr>
          <w:color w:val="000000"/>
        </w:rPr>
        <w:t>trādājošajiem rezidentiem datus</w:t>
      </w:r>
      <w:r w:rsidRPr="00BE6F9C">
        <w:rPr>
          <w:color w:val="000000"/>
        </w:rPr>
        <w:t xml:space="preserve"> VM varēs iesniegt tikai ilgākā laika posmā, jo saskaņā ar VM izstrādāto iekšējo kārtību pēc oficiālās informācijas saņemšanas no augstskolām VM vēršas Veselības inspekcijā, pieprasot saklasificētu informāciju no</w:t>
      </w:r>
      <w:r w:rsidR="00B147A6">
        <w:rPr>
          <w:color w:val="000000"/>
        </w:rPr>
        <w:t xml:space="preserve"> ārstniecības reģistra. Papildu</w:t>
      </w:r>
      <w:r w:rsidRPr="00BE6F9C">
        <w:rPr>
          <w:color w:val="000000"/>
        </w:rPr>
        <w:t xml:space="preserve"> VM norāda, ka plāno arī turpmāk uzraudzīt rezidentu pienākumu strādāt attiecīgā ārstniecības iestādē pēc rezidentūras pabeigšanas, VM šobrīd notiek darbs pie informācijas ieguves un personificēta rezidentu reģistra izveides. </w:t>
      </w:r>
    </w:p>
    <w:p w:rsidR="00794BDF" w:rsidRPr="00A931A3" w:rsidRDefault="00BE6F9C" w:rsidP="00A931A3">
      <w:pPr>
        <w:pStyle w:val="NormalWeb"/>
        <w:shd w:val="clear" w:color="auto" w:fill="FFFFFF"/>
        <w:spacing w:before="120" w:beforeAutospacing="0" w:after="120" w:afterAutospacing="0"/>
        <w:jc w:val="both"/>
        <w:rPr>
          <w:color w:val="000000"/>
        </w:rPr>
      </w:pPr>
      <w:r w:rsidRPr="00BE6F9C">
        <w:rPr>
          <w:color w:val="000000"/>
        </w:rPr>
        <w:tab/>
        <w:t>Līdz ar to var secināt, ka VM ir uzsākusi un ir turpināms darbs rezidentūru pabeigušo rezidentu pēcuzraudzības jomā.</w:t>
      </w:r>
      <w:r>
        <w:rPr>
          <w:color w:val="000000"/>
        </w:rPr>
        <w:t xml:space="preserve"> </w:t>
      </w:r>
    </w:p>
    <w:p w:rsidR="00786A89" w:rsidRPr="00A931A3" w:rsidRDefault="00587315" w:rsidP="00A931A3">
      <w:pPr>
        <w:spacing w:after="240"/>
        <w:jc w:val="both"/>
        <w:rPr>
          <w:rFonts w:cs="Times New Roman"/>
          <w:b/>
          <w:szCs w:val="24"/>
        </w:rPr>
      </w:pPr>
      <w:r>
        <w:rPr>
          <w:rFonts w:cs="Times New Roman"/>
          <w:b/>
          <w:szCs w:val="24"/>
        </w:rPr>
        <w:t>RTV</w:t>
      </w:r>
      <w:r w:rsidR="00786A89" w:rsidRPr="00786A89">
        <w:rPr>
          <w:rFonts w:cs="Times New Roman"/>
          <w:b/>
          <w:szCs w:val="24"/>
        </w:rPr>
        <w:t xml:space="preserve"> </w:t>
      </w:r>
    </w:p>
    <w:p w:rsidR="00C257ED" w:rsidRPr="00C257ED" w:rsidRDefault="00C257ED" w:rsidP="00C257ED">
      <w:pPr>
        <w:spacing w:after="120"/>
        <w:ind w:firstLine="720"/>
        <w:jc w:val="both"/>
        <w:rPr>
          <w:rFonts w:eastAsia="Times New Roman" w:cs="Times New Roman"/>
          <w:color w:val="000000"/>
          <w:szCs w:val="24"/>
          <w:lang w:eastAsia="lv-LV"/>
        </w:rPr>
      </w:pPr>
      <w:r w:rsidRPr="00C257ED">
        <w:rPr>
          <w:rFonts w:eastAsia="Times New Roman" w:cs="Times New Roman"/>
          <w:color w:val="000000"/>
          <w:szCs w:val="24"/>
          <w:lang w:eastAsia="lv-LV"/>
        </w:rPr>
        <w:t>47.resora “Radio un televīzija” programmā 02.00.00 “Latvijas Radio prog</w:t>
      </w:r>
      <w:r w:rsidR="00DE2413">
        <w:rPr>
          <w:rFonts w:eastAsia="Times New Roman" w:cs="Times New Roman"/>
          <w:color w:val="000000"/>
          <w:szCs w:val="24"/>
          <w:lang w:eastAsia="lv-LV"/>
        </w:rPr>
        <w:t xml:space="preserve">rammu veidošana un izplatīšana”, </w:t>
      </w:r>
      <w:r>
        <w:rPr>
          <w:rFonts w:eastAsia="Times New Roman" w:cs="Times New Roman"/>
          <w:color w:val="000000"/>
          <w:szCs w:val="24"/>
          <w:lang w:eastAsia="lv-LV"/>
        </w:rPr>
        <w:t xml:space="preserve">03.01.00 “Latvijas Televīzijas programmu veidošana un izplatīšana” un 04.00.00 “Komerciālās televīzijas un radio” </w:t>
      </w:r>
      <w:r w:rsidRPr="00C257ED">
        <w:rPr>
          <w:rFonts w:eastAsia="Times New Roman" w:cs="Times New Roman"/>
          <w:color w:val="000000"/>
          <w:szCs w:val="24"/>
          <w:lang w:eastAsia="lv-LV"/>
        </w:rPr>
        <w:t xml:space="preserve">2014. – 2016.gada un 2015. – 2017.gada ietvarā piešķirts finansējums 2 620 950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 xml:space="preserve"> apmērā šādām jaunajām politikas iniciatīvām:</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 xml:space="preserve">“Latvijas radio 5 darbības nodrošināšana” 2014.gadam 763 883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 xml:space="preserve">, 2015.gadā un ik gadu 568 950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 xml:space="preserve">“Bērnu un jaunatnes auditorijai atbilstoši informācijas, izglītības, kultūras un izklaides resursu nodrošināšana” Latvijas Televīzijai 2014.gadam un turpmāk 106 715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 xml:space="preserve">“Iedzīvotāju izglītošana un pilsoniskās izpratnes veicināšana par politikas, ekonomikas, kultūras, tiesību, vides, drošības un sociālajiem jautājumiem, nodrošinot to sistemātisku aptvērumu” Latvijas Televīzijai 2014.gadam un turpmāk 395 786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 xml:space="preserve">“Objektīvu, neatkarīgu un tematiski līdzsvarotu ziņu, analīzes un komentāru veidošana par notikumiem” Latvijas Televīzijai 2014.gadam un turpmāk 411 371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 xml:space="preserve">“Novadu ziņu veidošana” komerciālajām televīzijām 2014.gadam un turpmāk 113 830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 xml:space="preserve"> “2014.gadā uzsāktā papildu ziņu un aktuālo informācijas raidījuma apjoma krievu valodā turpināšana” Latvijas Televīzijai 2015.gadam un turpmāk 840 000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 xml:space="preserve"> “Latvijas radio 4 – “Doma laukums” – programmas stiprināšana ar ziņu un analītisko saturu krievu valodā” 2015.gadam un turpmāk 100 000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w:t>
      </w:r>
    </w:p>
    <w:p w:rsidR="00C257ED" w:rsidRPr="00C257ED" w:rsidRDefault="00C257ED" w:rsidP="008C25BB">
      <w:pPr>
        <w:pStyle w:val="ListParagraph"/>
        <w:numPr>
          <w:ilvl w:val="0"/>
          <w:numId w:val="10"/>
        </w:numPr>
        <w:spacing w:after="120"/>
        <w:jc w:val="both"/>
        <w:rPr>
          <w:rFonts w:eastAsia="Times New Roman" w:cs="Times New Roman"/>
          <w:color w:val="000000"/>
          <w:szCs w:val="24"/>
          <w:lang w:eastAsia="lv-LV"/>
        </w:rPr>
      </w:pPr>
      <w:r w:rsidRPr="00C257ED">
        <w:rPr>
          <w:rFonts w:eastAsia="Times New Roman" w:cs="Times New Roman"/>
          <w:color w:val="000000"/>
          <w:szCs w:val="24"/>
          <w:lang w:eastAsia="lv-LV"/>
        </w:rPr>
        <w:t>“2014.gadā uzsākto papildu ziņu un aktuālo informāciju raidījumu krievu valodā turpināšana radio programmās” 2015.gadam un turpmāk 84 298 euro.</w:t>
      </w:r>
    </w:p>
    <w:p w:rsidR="00C257ED" w:rsidRPr="00C257ED" w:rsidRDefault="00C257ED" w:rsidP="00C257ED">
      <w:pPr>
        <w:spacing w:after="120"/>
        <w:ind w:firstLine="720"/>
        <w:jc w:val="both"/>
        <w:rPr>
          <w:rFonts w:eastAsia="Times New Roman" w:cs="Times New Roman"/>
          <w:color w:val="000000"/>
          <w:szCs w:val="24"/>
          <w:lang w:eastAsia="lv-LV"/>
        </w:rPr>
      </w:pPr>
      <w:r w:rsidRPr="00C257ED">
        <w:rPr>
          <w:rFonts w:eastAsia="Times New Roman" w:cs="Times New Roman"/>
          <w:color w:val="000000"/>
          <w:szCs w:val="24"/>
          <w:lang w:eastAsia="lv-LV"/>
        </w:rPr>
        <w:t>Saskaņā ar pētījumu kompānijas Kantar TNS apkopotajiem jaunākajiem Radio auditorijas pētījuma rezultātiem Latvijas Radio 5 (Pieci.lv) kopējais radio stacijas klausītāju skaits vidēji nedēļā (Reach</w:t>
      </w:r>
      <w:r w:rsidR="00A931A3">
        <w:rPr>
          <w:rFonts w:eastAsia="Times New Roman" w:cs="Times New Roman"/>
          <w:color w:val="000000"/>
          <w:szCs w:val="24"/>
          <w:lang w:eastAsia="lv-LV"/>
        </w:rPr>
        <w:t xml:space="preserve"> '000) periodā “2016.gada ziema”</w:t>
      </w:r>
      <w:r w:rsidRPr="00C257ED">
        <w:rPr>
          <w:rFonts w:eastAsia="Times New Roman" w:cs="Times New Roman"/>
          <w:color w:val="000000"/>
          <w:szCs w:val="24"/>
          <w:lang w:eastAsia="lv-LV"/>
        </w:rPr>
        <w:t xml:space="preserve"> no 60 tūkstošiem ir samazināj</w:t>
      </w:r>
      <w:r w:rsidR="00A931A3">
        <w:rPr>
          <w:rFonts w:eastAsia="Times New Roman" w:cs="Times New Roman"/>
          <w:color w:val="000000"/>
          <w:szCs w:val="24"/>
          <w:lang w:eastAsia="lv-LV"/>
        </w:rPr>
        <w:t>ies līdz 39 tūkstošiem periodā “</w:t>
      </w:r>
      <w:r w:rsidRPr="00C257ED">
        <w:rPr>
          <w:rFonts w:eastAsia="Times New Roman" w:cs="Times New Roman"/>
          <w:color w:val="000000"/>
          <w:szCs w:val="24"/>
          <w:lang w:eastAsia="lv-LV"/>
        </w:rPr>
        <w:t>2016.gada rudens</w:t>
      </w:r>
      <w:r w:rsidR="00A931A3">
        <w:rPr>
          <w:rFonts w:eastAsia="Times New Roman" w:cs="Times New Roman"/>
          <w:color w:val="000000"/>
          <w:szCs w:val="24"/>
          <w:lang w:eastAsia="lv-LV"/>
        </w:rPr>
        <w:t>”</w:t>
      </w:r>
      <w:r w:rsidRPr="00C257ED">
        <w:rPr>
          <w:rFonts w:eastAsia="Times New Roman" w:cs="Times New Roman"/>
          <w:color w:val="000000"/>
          <w:szCs w:val="24"/>
          <w:lang w:eastAsia="lv-LV"/>
        </w:rPr>
        <w:t xml:space="preserve"> un Latvijas Radio 4 (“Doma laukums”) kopējais radio stacijas klausītāju skaits vidē</w:t>
      </w:r>
      <w:r w:rsidR="00A931A3">
        <w:rPr>
          <w:rFonts w:eastAsia="Times New Roman" w:cs="Times New Roman"/>
          <w:color w:val="000000"/>
          <w:szCs w:val="24"/>
          <w:lang w:eastAsia="lv-LV"/>
        </w:rPr>
        <w:t>ji nedēļā (Reach '000) periodā “</w:t>
      </w:r>
      <w:r w:rsidRPr="00C257ED">
        <w:rPr>
          <w:rFonts w:eastAsia="Times New Roman" w:cs="Times New Roman"/>
          <w:color w:val="000000"/>
          <w:szCs w:val="24"/>
          <w:lang w:eastAsia="lv-LV"/>
        </w:rPr>
        <w:t>2016.gada ziema</w:t>
      </w:r>
      <w:r w:rsidR="00A931A3">
        <w:rPr>
          <w:rFonts w:eastAsia="Times New Roman" w:cs="Times New Roman"/>
          <w:color w:val="000000"/>
          <w:szCs w:val="24"/>
          <w:lang w:eastAsia="lv-LV"/>
        </w:rPr>
        <w:t>”</w:t>
      </w:r>
      <w:r w:rsidRPr="00C257ED">
        <w:rPr>
          <w:rFonts w:eastAsia="Times New Roman" w:cs="Times New Roman"/>
          <w:color w:val="000000"/>
          <w:szCs w:val="24"/>
          <w:lang w:eastAsia="lv-LV"/>
        </w:rPr>
        <w:t xml:space="preserve"> no 130 tūkstošiem ir samazinājies līdz 124 tūkstošiem periodā "2016.gada rudens".</w:t>
      </w:r>
    </w:p>
    <w:p w:rsidR="00C257ED" w:rsidRPr="00C257ED" w:rsidRDefault="00C257ED" w:rsidP="00C257ED">
      <w:pPr>
        <w:spacing w:after="120"/>
        <w:ind w:firstLine="720"/>
        <w:jc w:val="both"/>
        <w:rPr>
          <w:rFonts w:eastAsia="Times New Roman" w:cs="Times New Roman"/>
          <w:color w:val="000000"/>
          <w:szCs w:val="24"/>
          <w:lang w:eastAsia="lv-LV"/>
        </w:rPr>
      </w:pPr>
      <w:r w:rsidRPr="00C257ED">
        <w:rPr>
          <w:rFonts w:eastAsia="Times New Roman" w:cs="Times New Roman"/>
          <w:color w:val="000000"/>
          <w:szCs w:val="24"/>
          <w:lang w:eastAsia="lv-LV"/>
        </w:rPr>
        <w:t>Latvijas Televīzijas pārskatā par 2016.gada sabiedriskā pasūtījuma izpildi (turpmāk – LTV pārskats) atspoguļots, ka 2016.gadā tikai diviem raidījumiem krievu valodā no sešiem izdevies palielināt vidējo mēnesī sasniegto auditoriju, četriem raidījumiem samazinājies vidējais skatītāju skaits. Tas liecina, ka piešķirtais finansējums nesasniedz plānoto mērķi.</w:t>
      </w:r>
    </w:p>
    <w:p w:rsidR="001F602D" w:rsidRPr="00C257ED" w:rsidRDefault="00C257ED" w:rsidP="00C257ED">
      <w:pPr>
        <w:spacing w:after="120"/>
        <w:ind w:firstLine="720"/>
        <w:jc w:val="both"/>
        <w:rPr>
          <w:rFonts w:eastAsia="Times New Roman" w:cs="Times New Roman"/>
          <w:color w:val="000000"/>
          <w:szCs w:val="24"/>
          <w:lang w:eastAsia="lv-LV"/>
        </w:rPr>
      </w:pPr>
      <w:r w:rsidRPr="00C257ED">
        <w:rPr>
          <w:rFonts w:eastAsia="Times New Roman" w:cs="Times New Roman"/>
          <w:color w:val="000000"/>
          <w:szCs w:val="24"/>
          <w:lang w:eastAsia="lv-LV"/>
        </w:rPr>
        <w:lastRenderedPageBreak/>
        <w:t xml:space="preserve">Papildus jāatzīmē, ka neraugoties uz to, ka jaunajām politikas iniciatīvām piešķirtais finansējums nav samazināts, tomēr vairākiem sabiedriskā pasūtījuma satura virzieniem pēc LTV pārskata datiem finansējums ir </w:t>
      </w:r>
      <w:r w:rsidR="001F602D">
        <w:rPr>
          <w:rFonts w:eastAsia="Times New Roman" w:cs="Times New Roman"/>
          <w:color w:val="000000"/>
          <w:szCs w:val="24"/>
          <w:lang w:eastAsia="lv-LV"/>
        </w:rPr>
        <w:t>pārdalīts</w:t>
      </w:r>
      <w:r w:rsidRPr="00C257ED">
        <w:rPr>
          <w:rFonts w:eastAsia="Times New Roman" w:cs="Times New Roman"/>
          <w:color w:val="000000"/>
          <w:szCs w:val="24"/>
          <w:lang w:eastAsia="lv-LV"/>
        </w:rPr>
        <w:t>.</w:t>
      </w:r>
    </w:p>
    <w:p w:rsidR="004E3A96" w:rsidRDefault="00C257ED" w:rsidP="00463906">
      <w:pPr>
        <w:spacing w:after="120"/>
        <w:ind w:firstLine="720"/>
        <w:jc w:val="both"/>
        <w:rPr>
          <w:rFonts w:eastAsia="Times New Roman" w:cs="Times New Roman"/>
          <w:szCs w:val="24"/>
          <w:lang w:eastAsia="lv-LV"/>
        </w:rPr>
      </w:pPr>
      <w:r w:rsidRPr="00C257ED">
        <w:rPr>
          <w:rFonts w:eastAsia="Times New Roman" w:cs="Times New Roman"/>
          <w:szCs w:val="24"/>
          <w:lang w:eastAsia="lv-LV"/>
        </w:rPr>
        <w:t xml:space="preserve">Ņemot vērā minēto, </w:t>
      </w:r>
      <w:r w:rsidRPr="00C257ED">
        <w:rPr>
          <w:rFonts w:eastAsia="Times New Roman" w:cs="Times New Roman"/>
          <w:color w:val="000000"/>
          <w:szCs w:val="24"/>
          <w:lang w:eastAsia="lv-LV"/>
        </w:rPr>
        <w:t xml:space="preserve">2 620 950 </w:t>
      </w:r>
      <w:r w:rsidRPr="00C257ED">
        <w:rPr>
          <w:rFonts w:eastAsia="Times New Roman" w:cs="Times New Roman"/>
          <w:i/>
          <w:color w:val="000000"/>
          <w:szCs w:val="24"/>
          <w:lang w:eastAsia="lv-LV"/>
        </w:rPr>
        <w:t>euro</w:t>
      </w:r>
      <w:r w:rsidRPr="00C257ED">
        <w:rPr>
          <w:rFonts w:eastAsia="Times New Roman" w:cs="Times New Roman"/>
          <w:color w:val="000000"/>
          <w:szCs w:val="24"/>
          <w:lang w:eastAsia="lv-LV"/>
        </w:rPr>
        <w:t xml:space="preserve"> novirzāmi</w:t>
      </w:r>
      <w:r w:rsidR="001F602D">
        <w:rPr>
          <w:rFonts w:eastAsia="Times New Roman" w:cs="Times New Roman"/>
          <w:color w:val="000000"/>
          <w:szCs w:val="24"/>
          <w:lang w:eastAsia="lv-LV"/>
        </w:rPr>
        <w:t xml:space="preserve"> nozares</w:t>
      </w:r>
      <w:r w:rsidRPr="00C257ED">
        <w:rPr>
          <w:rFonts w:eastAsia="Times New Roman" w:cs="Times New Roman"/>
          <w:szCs w:val="24"/>
          <w:lang w:eastAsia="lv-LV"/>
        </w:rPr>
        <w:t xml:space="preserve"> aktuālāku un pieprasījumam atbilstošāku pasākumu realizēšanai.</w:t>
      </w:r>
    </w:p>
    <w:p w:rsidR="004E3A96" w:rsidRDefault="00463906" w:rsidP="00463906">
      <w:pPr>
        <w:spacing w:before="120" w:after="120"/>
        <w:rPr>
          <w:rFonts w:eastAsia="Times New Roman" w:cs="Times New Roman"/>
          <w:b/>
          <w:szCs w:val="24"/>
          <w:lang w:eastAsia="lv-LV"/>
        </w:rPr>
      </w:pPr>
      <w:r>
        <w:rPr>
          <w:rFonts w:eastAsia="Times New Roman" w:cs="Times New Roman"/>
          <w:b/>
          <w:szCs w:val="24"/>
          <w:lang w:eastAsia="lv-LV"/>
        </w:rPr>
        <w:t>Citi ar</w:t>
      </w:r>
      <w:r w:rsidR="004E3A96" w:rsidRPr="004E3A96">
        <w:rPr>
          <w:rFonts w:eastAsia="Times New Roman" w:cs="Times New Roman"/>
          <w:b/>
          <w:szCs w:val="24"/>
          <w:lang w:eastAsia="lv-LV"/>
        </w:rPr>
        <w:t xml:space="preserve"> </w:t>
      </w:r>
      <w:r w:rsidR="003F26CD">
        <w:rPr>
          <w:rFonts w:eastAsia="Times New Roman" w:cs="Times New Roman"/>
          <w:b/>
          <w:szCs w:val="24"/>
          <w:lang w:eastAsia="lv-LV"/>
        </w:rPr>
        <w:t xml:space="preserve">izdevumu </w:t>
      </w:r>
      <w:r w:rsidR="004E3A96" w:rsidRPr="004E3A96">
        <w:rPr>
          <w:rFonts w:eastAsia="Times New Roman" w:cs="Times New Roman"/>
          <w:b/>
          <w:szCs w:val="24"/>
          <w:lang w:eastAsia="lv-LV"/>
        </w:rPr>
        <w:t>pārskatīšanu saistītie konstatējumi</w:t>
      </w:r>
    </w:p>
    <w:p w:rsidR="00744D55" w:rsidRPr="00D71489" w:rsidRDefault="00DA0167" w:rsidP="00A04C20">
      <w:pPr>
        <w:spacing w:before="120" w:after="120"/>
        <w:rPr>
          <w:rFonts w:cs="Times New Roman"/>
          <w:b/>
          <w:szCs w:val="28"/>
        </w:rPr>
      </w:pPr>
      <w:r>
        <w:rPr>
          <w:rFonts w:cs="Times New Roman"/>
          <w:b/>
          <w:szCs w:val="28"/>
        </w:rPr>
        <w:t>1</w:t>
      </w:r>
      <w:r w:rsidR="00D71489" w:rsidRPr="00D71489">
        <w:rPr>
          <w:rFonts w:cs="Times New Roman"/>
          <w:b/>
          <w:szCs w:val="28"/>
        </w:rPr>
        <w:t>.Demogrāfijas pasākumi</w:t>
      </w:r>
    </w:p>
    <w:p w:rsidR="00B71E12" w:rsidRPr="00A04C20" w:rsidRDefault="00B71E12" w:rsidP="00A04C20">
      <w:pPr>
        <w:ind w:firstLine="720"/>
        <w:jc w:val="both"/>
      </w:pPr>
      <w:r>
        <w:t>LM 2013.-2015.gada, 2014.-2016.gada, 2015.-2017.gada un 2017.-2019.gada ietvarā ir piešķirts ievērojamā apjoma papildu valsts budžeta finansējums</w:t>
      </w:r>
      <w:r w:rsidRPr="00F66F6A">
        <w:t xml:space="preserve"> </w:t>
      </w:r>
      <w:r>
        <w:t>saistībā ar de</w:t>
      </w:r>
      <w:r w:rsidR="00A06438">
        <w:t>mogrāfijas pasākumu īstenošanu (skat. tabulu Nr.3.</w:t>
      </w:r>
      <w:r w:rsidR="00DA0167">
        <w:t>48</w:t>
      </w:r>
      <w:r w:rsidR="00D86274">
        <w:t>.</w:t>
      </w:r>
      <w:r w:rsidR="00A06438">
        <w:t>).</w:t>
      </w:r>
    </w:p>
    <w:p w:rsidR="00B71E12" w:rsidRPr="00A04C20" w:rsidRDefault="00A06438" w:rsidP="00A06438">
      <w:pPr>
        <w:spacing w:before="120" w:after="120"/>
        <w:jc w:val="right"/>
        <w:rPr>
          <w:rFonts w:cs="Times New Roman"/>
          <w:bCs/>
          <w:szCs w:val="24"/>
        </w:rPr>
      </w:pPr>
      <w:r w:rsidRPr="00A06438">
        <w:rPr>
          <w:rFonts w:cs="Times New Roman"/>
          <w:bCs/>
          <w:szCs w:val="24"/>
        </w:rPr>
        <w:t>Tabula Nr.3.</w:t>
      </w:r>
      <w:r w:rsidR="00DA0167">
        <w:rPr>
          <w:rFonts w:cs="Times New Roman"/>
          <w:bCs/>
          <w:szCs w:val="24"/>
        </w:rPr>
        <w:t>48</w:t>
      </w:r>
      <w:r w:rsidR="00D86274">
        <w:rPr>
          <w:rFonts w:cs="Times New Roman"/>
          <w:bCs/>
          <w:szCs w:val="24"/>
        </w:rPr>
        <w:t>.</w:t>
      </w:r>
    </w:p>
    <w:p w:rsidR="00B71E12" w:rsidRDefault="00A04C20" w:rsidP="00B71E12">
      <w:pPr>
        <w:spacing w:after="120"/>
        <w:jc w:val="center"/>
        <w:rPr>
          <w:rFonts w:cs="Times New Roman"/>
          <w:b/>
          <w:bCs/>
          <w:i/>
          <w:szCs w:val="24"/>
        </w:rPr>
      </w:pPr>
      <w:r>
        <w:rPr>
          <w:rFonts w:cs="Times New Roman"/>
          <w:b/>
          <w:bCs/>
          <w:szCs w:val="24"/>
        </w:rPr>
        <w:t>P</w:t>
      </w:r>
      <w:r w:rsidR="00B71E12" w:rsidRPr="005022F8">
        <w:rPr>
          <w:rFonts w:cs="Times New Roman"/>
          <w:b/>
          <w:bCs/>
          <w:szCs w:val="24"/>
        </w:rPr>
        <w:t>apildu piešķirtais</w:t>
      </w:r>
      <w:r w:rsidR="00B71E12" w:rsidRPr="005022F8">
        <w:rPr>
          <w:rFonts w:cs="Times New Roman"/>
          <w:bCs/>
          <w:szCs w:val="24"/>
        </w:rPr>
        <w:t xml:space="preserve"> </w:t>
      </w:r>
      <w:r w:rsidR="00B71E12" w:rsidRPr="005022F8">
        <w:rPr>
          <w:rFonts w:cs="Times New Roman"/>
          <w:b/>
          <w:bCs/>
          <w:szCs w:val="24"/>
        </w:rPr>
        <w:t>finansējums demogrāfijas pasākumu īstenošanai</w:t>
      </w:r>
      <w:r w:rsidR="00B71E12">
        <w:rPr>
          <w:rFonts w:cs="Times New Roman"/>
          <w:b/>
          <w:bCs/>
          <w:szCs w:val="24"/>
        </w:rPr>
        <w:t xml:space="preserve">, </w:t>
      </w:r>
      <w:r w:rsidR="00B71E12" w:rsidRPr="00D60000">
        <w:rPr>
          <w:rFonts w:cs="Times New Roman"/>
          <w:b/>
          <w:bCs/>
          <w:i/>
          <w:szCs w:val="24"/>
        </w:rPr>
        <w:t>euro</w:t>
      </w:r>
    </w:p>
    <w:tbl>
      <w:tblPr>
        <w:tblStyle w:val="TableGrid"/>
        <w:tblW w:w="5236" w:type="pct"/>
        <w:tblLook w:val="04A0" w:firstRow="1" w:lastRow="0" w:firstColumn="1" w:lastColumn="0" w:noHBand="0" w:noVBand="1"/>
      </w:tblPr>
      <w:tblGrid>
        <w:gridCol w:w="2946"/>
        <w:gridCol w:w="1024"/>
        <w:gridCol w:w="1129"/>
        <w:gridCol w:w="1099"/>
        <w:gridCol w:w="1097"/>
        <w:gridCol w:w="1097"/>
        <w:gridCol w:w="1097"/>
      </w:tblGrid>
      <w:tr w:rsidR="00EF4FA3" w:rsidRPr="00B71E12" w:rsidTr="007C1F10">
        <w:trPr>
          <w:trHeight w:val="558"/>
          <w:tblHeader/>
        </w:trPr>
        <w:tc>
          <w:tcPr>
            <w:tcW w:w="1552" w:type="pct"/>
            <w:shd w:val="clear" w:color="auto" w:fill="C5E0B3" w:themeFill="accent6" w:themeFillTint="66"/>
            <w:tcMar>
              <w:left w:w="0" w:type="dxa"/>
              <w:right w:w="0" w:type="dxa"/>
            </w:tcMar>
            <w:vAlign w:val="center"/>
          </w:tcPr>
          <w:p w:rsidR="00B71E12" w:rsidRPr="00B71E12" w:rsidRDefault="00B71E12" w:rsidP="00B71E12">
            <w:pPr>
              <w:jc w:val="center"/>
              <w:rPr>
                <w:rFonts w:cs="Times New Roman"/>
                <w:b/>
                <w:sz w:val="20"/>
                <w:szCs w:val="20"/>
              </w:rPr>
            </w:pPr>
            <w:r w:rsidRPr="00B71E12">
              <w:rPr>
                <w:rFonts w:cs="Times New Roman"/>
                <w:b/>
                <w:sz w:val="20"/>
                <w:szCs w:val="20"/>
              </w:rPr>
              <w:t>Pasākums/Gads</w:t>
            </w:r>
          </w:p>
        </w:tc>
        <w:tc>
          <w:tcPr>
            <w:tcW w:w="539" w:type="pct"/>
            <w:shd w:val="clear" w:color="auto" w:fill="C5E0B3" w:themeFill="accent6" w:themeFillTint="66"/>
            <w:tcMar>
              <w:left w:w="0" w:type="dxa"/>
              <w:right w:w="0" w:type="dxa"/>
            </w:tcMar>
            <w:vAlign w:val="center"/>
          </w:tcPr>
          <w:p w:rsidR="00B71E12" w:rsidRPr="00B71E12" w:rsidRDefault="00B71E12" w:rsidP="00B71E12">
            <w:pPr>
              <w:jc w:val="center"/>
              <w:rPr>
                <w:rFonts w:cs="Times New Roman"/>
                <w:b/>
                <w:sz w:val="20"/>
                <w:szCs w:val="20"/>
              </w:rPr>
            </w:pPr>
            <w:r w:rsidRPr="00B71E12">
              <w:rPr>
                <w:rFonts w:cs="Times New Roman"/>
                <w:b/>
                <w:sz w:val="20"/>
                <w:szCs w:val="20"/>
              </w:rPr>
              <w:t>2013</w:t>
            </w:r>
          </w:p>
        </w:tc>
        <w:tc>
          <w:tcPr>
            <w:tcW w:w="595" w:type="pct"/>
            <w:shd w:val="clear" w:color="auto" w:fill="C5E0B3" w:themeFill="accent6" w:themeFillTint="66"/>
            <w:tcMar>
              <w:left w:w="0" w:type="dxa"/>
              <w:right w:w="0" w:type="dxa"/>
            </w:tcMar>
            <w:vAlign w:val="center"/>
          </w:tcPr>
          <w:p w:rsidR="00B71E12" w:rsidRPr="00B71E12" w:rsidRDefault="00B71E12" w:rsidP="00B71E12">
            <w:pPr>
              <w:jc w:val="center"/>
              <w:rPr>
                <w:rFonts w:cs="Times New Roman"/>
                <w:b/>
                <w:sz w:val="20"/>
                <w:szCs w:val="20"/>
              </w:rPr>
            </w:pPr>
            <w:r w:rsidRPr="00B71E12">
              <w:rPr>
                <w:rFonts w:cs="Times New Roman"/>
                <w:b/>
                <w:sz w:val="20"/>
                <w:szCs w:val="20"/>
              </w:rPr>
              <w:t>2014</w:t>
            </w:r>
          </w:p>
        </w:tc>
        <w:tc>
          <w:tcPr>
            <w:tcW w:w="579" w:type="pct"/>
            <w:shd w:val="clear" w:color="auto" w:fill="C5E0B3" w:themeFill="accent6" w:themeFillTint="66"/>
            <w:tcMar>
              <w:left w:w="0" w:type="dxa"/>
              <w:right w:w="0" w:type="dxa"/>
            </w:tcMar>
            <w:vAlign w:val="center"/>
          </w:tcPr>
          <w:p w:rsidR="00B71E12" w:rsidRPr="00B71E12" w:rsidRDefault="00B71E12" w:rsidP="00B71E12">
            <w:pPr>
              <w:jc w:val="center"/>
              <w:rPr>
                <w:rFonts w:cs="Times New Roman"/>
                <w:b/>
                <w:sz w:val="20"/>
                <w:szCs w:val="20"/>
              </w:rPr>
            </w:pPr>
            <w:r w:rsidRPr="00B71E12">
              <w:rPr>
                <w:rFonts w:cs="Times New Roman"/>
                <w:b/>
                <w:sz w:val="20"/>
                <w:szCs w:val="20"/>
              </w:rPr>
              <w:t>2015</w:t>
            </w:r>
          </w:p>
        </w:tc>
        <w:tc>
          <w:tcPr>
            <w:tcW w:w="578" w:type="pct"/>
            <w:shd w:val="clear" w:color="auto" w:fill="C5E0B3" w:themeFill="accent6" w:themeFillTint="66"/>
            <w:tcMar>
              <w:left w:w="0" w:type="dxa"/>
              <w:right w:w="0" w:type="dxa"/>
            </w:tcMar>
            <w:vAlign w:val="center"/>
          </w:tcPr>
          <w:p w:rsidR="00B71E12" w:rsidRPr="00B71E12" w:rsidRDefault="00B71E12" w:rsidP="00B71E12">
            <w:pPr>
              <w:jc w:val="center"/>
              <w:rPr>
                <w:rFonts w:cs="Times New Roman"/>
                <w:b/>
                <w:sz w:val="20"/>
                <w:szCs w:val="20"/>
              </w:rPr>
            </w:pPr>
            <w:r w:rsidRPr="00B71E12">
              <w:rPr>
                <w:rFonts w:cs="Times New Roman"/>
                <w:b/>
                <w:sz w:val="20"/>
                <w:szCs w:val="20"/>
              </w:rPr>
              <w:t>2016</w:t>
            </w:r>
          </w:p>
        </w:tc>
        <w:tc>
          <w:tcPr>
            <w:tcW w:w="578" w:type="pct"/>
            <w:shd w:val="clear" w:color="auto" w:fill="C5E0B3" w:themeFill="accent6" w:themeFillTint="66"/>
            <w:tcMar>
              <w:left w:w="0" w:type="dxa"/>
              <w:right w:w="0" w:type="dxa"/>
            </w:tcMar>
            <w:vAlign w:val="center"/>
          </w:tcPr>
          <w:p w:rsidR="00B71E12" w:rsidRPr="00B71E12" w:rsidRDefault="00B71E12" w:rsidP="00B71E12">
            <w:pPr>
              <w:jc w:val="center"/>
              <w:rPr>
                <w:rFonts w:cs="Times New Roman"/>
                <w:b/>
                <w:sz w:val="20"/>
                <w:szCs w:val="20"/>
              </w:rPr>
            </w:pPr>
            <w:r w:rsidRPr="00B71E12">
              <w:rPr>
                <w:rFonts w:cs="Times New Roman"/>
                <w:b/>
                <w:sz w:val="20"/>
                <w:szCs w:val="20"/>
              </w:rPr>
              <w:t>2017</w:t>
            </w:r>
          </w:p>
        </w:tc>
        <w:tc>
          <w:tcPr>
            <w:tcW w:w="578" w:type="pct"/>
            <w:shd w:val="clear" w:color="auto" w:fill="C5E0B3" w:themeFill="accent6" w:themeFillTint="66"/>
            <w:tcMar>
              <w:left w:w="0" w:type="dxa"/>
              <w:right w:w="0" w:type="dxa"/>
            </w:tcMar>
            <w:vAlign w:val="center"/>
          </w:tcPr>
          <w:p w:rsidR="00B71E12" w:rsidRPr="00B71E12" w:rsidRDefault="00B71E12" w:rsidP="00B71E12">
            <w:pPr>
              <w:jc w:val="center"/>
              <w:rPr>
                <w:rFonts w:cs="Times New Roman"/>
                <w:b/>
                <w:sz w:val="20"/>
                <w:szCs w:val="20"/>
              </w:rPr>
            </w:pPr>
            <w:r w:rsidRPr="00B71E12">
              <w:rPr>
                <w:rFonts w:cs="Times New Roman"/>
                <w:b/>
                <w:sz w:val="20"/>
                <w:szCs w:val="20"/>
              </w:rPr>
              <w:t>2018 un turpmāk ik gadu</w:t>
            </w:r>
          </w:p>
        </w:tc>
      </w:tr>
      <w:tr w:rsidR="00EF4FA3" w:rsidRPr="00B71E12" w:rsidTr="007C1F10">
        <w:trPr>
          <w:trHeight w:val="558"/>
        </w:trPr>
        <w:tc>
          <w:tcPr>
            <w:tcW w:w="1552" w:type="pct"/>
            <w:shd w:val="clear" w:color="auto" w:fill="C5E0B3" w:themeFill="accent6" w:themeFillTint="66"/>
            <w:tcMar>
              <w:left w:w="0" w:type="dxa"/>
              <w:right w:w="0" w:type="dxa"/>
            </w:tcMar>
          </w:tcPr>
          <w:p w:rsidR="00B71E12" w:rsidRPr="00B71E12" w:rsidRDefault="00B71E12" w:rsidP="00E544F3">
            <w:pPr>
              <w:jc w:val="both"/>
              <w:rPr>
                <w:rFonts w:cs="Times New Roman"/>
                <w:b/>
                <w:sz w:val="20"/>
                <w:szCs w:val="20"/>
              </w:rPr>
            </w:pPr>
            <w:r w:rsidRPr="00B71E12">
              <w:rPr>
                <w:sz w:val="20"/>
                <w:szCs w:val="20"/>
              </w:rPr>
              <w:t xml:space="preserve">No 01.01.2015. līdz 22,76 </w:t>
            </w:r>
            <w:r w:rsidRPr="00B71E12">
              <w:rPr>
                <w:i/>
                <w:sz w:val="20"/>
                <w:szCs w:val="20"/>
              </w:rPr>
              <w:t>euro</w:t>
            </w:r>
            <w:r w:rsidRPr="00B71E12">
              <w:rPr>
                <w:sz w:val="20"/>
                <w:szCs w:val="20"/>
              </w:rPr>
              <w:t xml:space="preserve"> paaugstināts ģimenes valsts pabalsta apmērs par otro bērnu ģimenē, līdz 34,14 </w:t>
            </w:r>
            <w:r w:rsidRPr="00B71E12">
              <w:rPr>
                <w:i/>
                <w:sz w:val="20"/>
                <w:szCs w:val="20"/>
              </w:rPr>
              <w:t>euro</w:t>
            </w:r>
            <w:r w:rsidRPr="00B71E12">
              <w:rPr>
                <w:sz w:val="20"/>
                <w:szCs w:val="20"/>
              </w:rPr>
              <w:t xml:space="preserve"> – par trešo un nākamajiem bērniem ģimenē</w:t>
            </w:r>
          </w:p>
        </w:tc>
        <w:tc>
          <w:tcPr>
            <w:tcW w:w="539" w:type="pct"/>
            <w:shd w:val="clear" w:color="auto" w:fill="auto"/>
            <w:tcMar>
              <w:left w:w="0" w:type="dxa"/>
              <w:right w:w="0" w:type="dxa"/>
            </w:tcMar>
          </w:tcPr>
          <w:p w:rsidR="00B71E12" w:rsidRPr="00B71E12" w:rsidRDefault="00B71E12" w:rsidP="007C1F10">
            <w:pPr>
              <w:jc w:val="right"/>
              <w:rPr>
                <w:rFonts w:cs="Times New Roman"/>
                <w:b/>
                <w:sz w:val="20"/>
                <w:szCs w:val="20"/>
              </w:rPr>
            </w:pPr>
          </w:p>
        </w:tc>
        <w:tc>
          <w:tcPr>
            <w:tcW w:w="595" w:type="pct"/>
            <w:shd w:val="clear" w:color="auto" w:fill="auto"/>
            <w:tcMar>
              <w:left w:w="0" w:type="dxa"/>
              <w:right w:w="0" w:type="dxa"/>
            </w:tcMar>
          </w:tcPr>
          <w:p w:rsidR="00B71E12" w:rsidRPr="00B71E12" w:rsidRDefault="00B71E12" w:rsidP="007C1F10">
            <w:pPr>
              <w:jc w:val="right"/>
              <w:rPr>
                <w:rFonts w:cs="Times New Roman"/>
                <w:b/>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16" w:right="-177"/>
              <w:jc w:val="right"/>
              <w:rPr>
                <w:rFonts w:cs="Times New Roman"/>
                <w:b/>
                <w:sz w:val="20"/>
                <w:szCs w:val="20"/>
              </w:rPr>
            </w:pPr>
            <w:r w:rsidRPr="00B71E12">
              <w:rPr>
                <w:color w:val="000000"/>
                <w:sz w:val="20"/>
                <w:szCs w:val="20"/>
              </w:rPr>
              <w:t>25 604 829</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3"/>
              <w:jc w:val="right"/>
              <w:rPr>
                <w:rFonts w:cs="Times New Roman"/>
                <w:b/>
                <w:sz w:val="20"/>
                <w:szCs w:val="20"/>
              </w:rPr>
            </w:pPr>
            <w:r w:rsidRPr="00B71E12">
              <w:rPr>
                <w:color w:val="000000"/>
                <w:sz w:val="20"/>
                <w:szCs w:val="20"/>
              </w:rPr>
              <w:t>25 604 829</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3"/>
              <w:jc w:val="right"/>
              <w:rPr>
                <w:rFonts w:cs="Times New Roman"/>
                <w:b/>
                <w:sz w:val="20"/>
                <w:szCs w:val="20"/>
              </w:rPr>
            </w:pPr>
            <w:r w:rsidRPr="00B71E12">
              <w:rPr>
                <w:color w:val="000000"/>
                <w:sz w:val="20"/>
                <w:szCs w:val="20"/>
              </w:rPr>
              <w:t>25 604 829</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3"/>
              <w:jc w:val="right"/>
              <w:rPr>
                <w:rFonts w:cs="Times New Roman"/>
                <w:b/>
                <w:sz w:val="20"/>
                <w:szCs w:val="20"/>
              </w:rPr>
            </w:pPr>
            <w:r w:rsidRPr="00B71E12">
              <w:rPr>
                <w:color w:val="000000"/>
                <w:sz w:val="20"/>
                <w:szCs w:val="20"/>
              </w:rPr>
              <w:t>25 604 829</w:t>
            </w:r>
          </w:p>
        </w:tc>
      </w:tr>
      <w:tr w:rsidR="00EF4FA3" w:rsidRPr="00B71E12" w:rsidTr="007C1F10">
        <w:trPr>
          <w:trHeight w:val="558"/>
        </w:trPr>
        <w:tc>
          <w:tcPr>
            <w:tcW w:w="1552" w:type="pct"/>
            <w:shd w:val="clear" w:color="auto" w:fill="C5E0B3" w:themeFill="accent6" w:themeFillTint="66"/>
            <w:tcMar>
              <w:left w:w="0" w:type="dxa"/>
              <w:right w:w="0" w:type="dxa"/>
            </w:tcMar>
          </w:tcPr>
          <w:p w:rsidR="00B71E12" w:rsidRPr="00B71E12" w:rsidRDefault="00B71E12" w:rsidP="00E544F3">
            <w:pPr>
              <w:jc w:val="both"/>
              <w:rPr>
                <w:sz w:val="20"/>
                <w:szCs w:val="20"/>
              </w:rPr>
            </w:pPr>
            <w:r w:rsidRPr="00B71E12">
              <w:rPr>
                <w:rFonts w:cs="Times New Roman"/>
                <w:sz w:val="20"/>
                <w:szCs w:val="20"/>
              </w:rPr>
              <w:t xml:space="preserve">No 01.01.2013. līdz 142,29 </w:t>
            </w:r>
            <w:r w:rsidRPr="00B71E12">
              <w:rPr>
                <w:rFonts w:cs="Times New Roman"/>
                <w:i/>
                <w:sz w:val="20"/>
                <w:szCs w:val="20"/>
              </w:rPr>
              <w:t>euro</w:t>
            </w:r>
            <w:r w:rsidRPr="00B71E12">
              <w:rPr>
                <w:rFonts w:cs="Times New Roman"/>
                <w:sz w:val="20"/>
                <w:szCs w:val="20"/>
              </w:rPr>
              <w:t xml:space="preserve"> paaugstināts bērna kopšanas pabalsta apmērs, t.sk. sociāli neapdrošinātām personām, un piemaksas apmērs par dvīņiem un vairākiem vienās dzemdībās dzimušiem bērniem</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2"/>
              <w:jc w:val="right"/>
              <w:rPr>
                <w:rFonts w:cs="Times New Roman"/>
                <w:b/>
                <w:sz w:val="20"/>
                <w:szCs w:val="20"/>
              </w:rPr>
            </w:pPr>
            <w:r w:rsidRPr="00B71E12">
              <w:rPr>
                <w:color w:val="000000"/>
                <w:sz w:val="20"/>
                <w:szCs w:val="20"/>
              </w:rPr>
              <w:t>16 379 361</w:t>
            </w: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2"/>
              <w:jc w:val="right"/>
              <w:rPr>
                <w:rFonts w:cs="Times New Roman"/>
                <w:b/>
                <w:sz w:val="20"/>
                <w:szCs w:val="20"/>
              </w:rPr>
            </w:pPr>
            <w:r w:rsidRPr="00B71E12">
              <w:rPr>
                <w:color w:val="000000"/>
                <w:sz w:val="20"/>
                <w:szCs w:val="20"/>
              </w:rPr>
              <w:t>16 379 361</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2"/>
              <w:jc w:val="right"/>
              <w:rPr>
                <w:color w:val="000000"/>
                <w:sz w:val="20"/>
                <w:szCs w:val="20"/>
              </w:rPr>
            </w:pPr>
            <w:r w:rsidRPr="00B71E12">
              <w:rPr>
                <w:color w:val="000000"/>
                <w:sz w:val="20"/>
                <w:szCs w:val="20"/>
              </w:rPr>
              <w:t>16 379 361</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2"/>
              <w:jc w:val="right"/>
              <w:rPr>
                <w:color w:val="000000"/>
                <w:sz w:val="20"/>
                <w:szCs w:val="20"/>
              </w:rPr>
            </w:pPr>
            <w:r w:rsidRPr="00B71E12">
              <w:rPr>
                <w:color w:val="000000"/>
                <w:sz w:val="20"/>
                <w:szCs w:val="20"/>
              </w:rPr>
              <w:t>16 379 361</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2"/>
              <w:jc w:val="right"/>
              <w:rPr>
                <w:color w:val="000000"/>
                <w:sz w:val="20"/>
                <w:szCs w:val="20"/>
              </w:rPr>
            </w:pPr>
            <w:r w:rsidRPr="00B71E12">
              <w:rPr>
                <w:color w:val="000000"/>
                <w:sz w:val="20"/>
                <w:szCs w:val="20"/>
              </w:rPr>
              <w:t>16 379 361</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72"/>
              <w:jc w:val="right"/>
              <w:rPr>
                <w:color w:val="000000"/>
                <w:sz w:val="20"/>
                <w:szCs w:val="20"/>
              </w:rPr>
            </w:pPr>
            <w:r w:rsidRPr="00B71E12">
              <w:rPr>
                <w:color w:val="000000"/>
                <w:sz w:val="20"/>
                <w:szCs w:val="20"/>
              </w:rPr>
              <w:t>16 379 361</w:t>
            </w:r>
          </w:p>
        </w:tc>
      </w:tr>
      <w:tr w:rsidR="00EF4FA3" w:rsidRPr="00B71E12" w:rsidTr="007C1F10">
        <w:trPr>
          <w:trHeight w:val="558"/>
        </w:trPr>
        <w:tc>
          <w:tcPr>
            <w:tcW w:w="1552" w:type="pct"/>
            <w:shd w:val="clear" w:color="auto" w:fill="C5E0B3" w:themeFill="accent6" w:themeFillTint="66"/>
            <w:tcMar>
              <w:left w:w="0" w:type="dxa"/>
              <w:right w:w="0" w:type="dxa"/>
            </w:tcMar>
          </w:tcPr>
          <w:p w:rsidR="00B71E12" w:rsidRPr="00B71E12" w:rsidRDefault="00B71E12" w:rsidP="00E544F3">
            <w:pPr>
              <w:jc w:val="both"/>
              <w:rPr>
                <w:sz w:val="20"/>
                <w:szCs w:val="20"/>
              </w:rPr>
            </w:pPr>
            <w:r w:rsidRPr="00B71E12">
              <w:rPr>
                <w:sz w:val="20"/>
                <w:szCs w:val="20"/>
              </w:rPr>
              <w:t xml:space="preserve">No 01.01.2014. līdz 171 </w:t>
            </w:r>
            <w:r w:rsidRPr="00B71E12">
              <w:rPr>
                <w:i/>
                <w:sz w:val="20"/>
                <w:szCs w:val="20"/>
              </w:rPr>
              <w:t xml:space="preserve">euro </w:t>
            </w:r>
            <w:r w:rsidRPr="00B71E12">
              <w:rPr>
                <w:sz w:val="20"/>
                <w:szCs w:val="20"/>
              </w:rPr>
              <w:t>paaugstināts bērna kopšanas pabalsta apmērs, t.sk. sociāli neapdrošinātām personām</w:t>
            </w:r>
          </w:p>
        </w:tc>
        <w:tc>
          <w:tcPr>
            <w:tcW w:w="539" w:type="pct"/>
            <w:shd w:val="clear" w:color="auto" w:fill="auto"/>
            <w:tcMar>
              <w:left w:w="0" w:type="dxa"/>
              <w:right w:w="0" w:type="dxa"/>
            </w:tcMar>
          </w:tcPr>
          <w:p w:rsidR="00B71E12" w:rsidRPr="00B71E12" w:rsidRDefault="00B71E12" w:rsidP="007C1F10">
            <w:pPr>
              <w:jc w:val="right"/>
              <w:rPr>
                <w:rFonts w:cs="Times New Roman"/>
                <w:b/>
                <w:sz w:val="20"/>
                <w:szCs w:val="20"/>
              </w:rPr>
            </w:pPr>
          </w:p>
        </w:tc>
        <w:tc>
          <w:tcPr>
            <w:tcW w:w="59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jc w:val="right"/>
              <w:rPr>
                <w:rFonts w:cs="Times New Roman"/>
                <w:b/>
                <w:sz w:val="20"/>
                <w:szCs w:val="20"/>
              </w:rPr>
            </w:pPr>
            <w:r w:rsidRPr="00B71E12">
              <w:rPr>
                <w:color w:val="000000"/>
                <w:sz w:val="20"/>
                <w:szCs w:val="20"/>
              </w:rPr>
              <w:t>7 509 656</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46"/>
              <w:jc w:val="right"/>
              <w:rPr>
                <w:color w:val="000000"/>
                <w:sz w:val="20"/>
                <w:szCs w:val="20"/>
              </w:rPr>
            </w:pPr>
            <w:r w:rsidRPr="00B71E12">
              <w:rPr>
                <w:color w:val="000000"/>
                <w:sz w:val="20"/>
                <w:szCs w:val="20"/>
              </w:rPr>
              <w:t>25 796 762</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46"/>
              <w:jc w:val="right"/>
              <w:rPr>
                <w:color w:val="000000"/>
                <w:sz w:val="20"/>
                <w:szCs w:val="20"/>
              </w:rPr>
            </w:pPr>
            <w:r w:rsidRPr="00B71E12">
              <w:rPr>
                <w:color w:val="000000"/>
                <w:sz w:val="20"/>
                <w:szCs w:val="20"/>
              </w:rPr>
              <w:t>29 106 129</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46"/>
              <w:jc w:val="right"/>
              <w:rPr>
                <w:color w:val="000000"/>
                <w:sz w:val="20"/>
                <w:szCs w:val="20"/>
              </w:rPr>
            </w:pPr>
            <w:r w:rsidRPr="00B71E12">
              <w:rPr>
                <w:color w:val="000000"/>
                <w:sz w:val="20"/>
                <w:szCs w:val="20"/>
              </w:rPr>
              <w:t>29 106 129</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ind w:left="-146"/>
              <w:jc w:val="right"/>
              <w:rPr>
                <w:color w:val="000000"/>
                <w:sz w:val="20"/>
                <w:szCs w:val="20"/>
              </w:rPr>
            </w:pPr>
            <w:r w:rsidRPr="00B71E12">
              <w:rPr>
                <w:color w:val="000000"/>
                <w:sz w:val="20"/>
                <w:szCs w:val="20"/>
              </w:rPr>
              <w:t>29 106 129</w:t>
            </w:r>
          </w:p>
        </w:tc>
      </w:tr>
      <w:tr w:rsidR="00EF4FA3" w:rsidRPr="00B71E12" w:rsidTr="007C1F10">
        <w:trPr>
          <w:trHeight w:val="399"/>
        </w:trPr>
        <w:tc>
          <w:tcPr>
            <w:tcW w:w="1552"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0" w:type="dxa"/>
              <w:right w:w="0" w:type="dxa"/>
            </w:tcMar>
            <w:vAlign w:val="center"/>
          </w:tcPr>
          <w:p w:rsidR="00B71E12" w:rsidRPr="00B71E12" w:rsidRDefault="00B71E12" w:rsidP="00E544F3">
            <w:pPr>
              <w:jc w:val="both"/>
              <w:rPr>
                <w:sz w:val="20"/>
                <w:szCs w:val="20"/>
              </w:rPr>
            </w:pPr>
            <w:r w:rsidRPr="00B71E12">
              <w:rPr>
                <w:sz w:val="20"/>
                <w:szCs w:val="20"/>
              </w:rPr>
              <w:t>Alternatīvo ģimenes aprūpes formu attīstība</w:t>
            </w:r>
          </w:p>
        </w:tc>
        <w:tc>
          <w:tcPr>
            <w:tcW w:w="539" w:type="pct"/>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B71E12" w:rsidRPr="00B71E12" w:rsidRDefault="00B71E12" w:rsidP="007C1F10">
            <w:pPr>
              <w:jc w:val="right"/>
              <w:rPr>
                <w:rFonts w:cs="Times New Roman"/>
                <w:b/>
                <w:sz w:val="20"/>
                <w:szCs w:val="20"/>
              </w:rPr>
            </w:pPr>
            <w:r w:rsidRPr="00B71E12">
              <w:rPr>
                <w:color w:val="000000"/>
                <w:sz w:val="20"/>
                <w:szCs w:val="20"/>
              </w:rPr>
              <w:t> </w:t>
            </w: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jc w:val="right"/>
              <w:rPr>
                <w:rFonts w:cs="Times New Roman"/>
                <w:b/>
                <w:sz w:val="20"/>
                <w:szCs w:val="20"/>
              </w:rPr>
            </w:pPr>
            <w:r w:rsidRPr="00B71E12">
              <w:rPr>
                <w:color w:val="000000"/>
                <w:sz w:val="20"/>
                <w:szCs w:val="20"/>
              </w:rPr>
              <w:t> </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jc w:val="right"/>
              <w:rPr>
                <w:color w:val="000000"/>
                <w:sz w:val="20"/>
                <w:szCs w:val="20"/>
              </w:rPr>
            </w:pPr>
            <w:r w:rsidRPr="00B71E12">
              <w:rPr>
                <w:color w:val="000000"/>
                <w:sz w:val="20"/>
                <w:szCs w:val="20"/>
              </w:rPr>
              <w:t> </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jc w:val="right"/>
              <w:rPr>
                <w:color w:val="000000"/>
                <w:sz w:val="20"/>
                <w:szCs w:val="20"/>
              </w:rPr>
            </w:pPr>
            <w:r w:rsidRPr="00B71E12">
              <w:rPr>
                <w:color w:val="000000"/>
                <w:sz w:val="20"/>
                <w:szCs w:val="20"/>
              </w:rPr>
              <w:t> </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jc w:val="right"/>
              <w:rPr>
                <w:color w:val="000000"/>
                <w:sz w:val="20"/>
                <w:szCs w:val="20"/>
              </w:rPr>
            </w:pPr>
            <w:r w:rsidRPr="00B71E12">
              <w:rPr>
                <w:color w:val="000000"/>
                <w:sz w:val="20"/>
                <w:szCs w:val="20"/>
              </w:rPr>
              <w:t>4 869 889</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B71E12" w:rsidRPr="00B71E12" w:rsidRDefault="00B71E12" w:rsidP="007C1F10">
            <w:pPr>
              <w:jc w:val="right"/>
              <w:rPr>
                <w:color w:val="000000"/>
                <w:sz w:val="20"/>
                <w:szCs w:val="20"/>
              </w:rPr>
            </w:pPr>
            <w:r w:rsidRPr="00B71E12">
              <w:rPr>
                <w:color w:val="000000"/>
                <w:sz w:val="20"/>
                <w:szCs w:val="20"/>
              </w:rPr>
              <w:t>4 869 889</w:t>
            </w:r>
          </w:p>
        </w:tc>
      </w:tr>
      <w:tr w:rsidR="00EF4FA3" w:rsidRPr="00B71E12" w:rsidTr="007C1F10">
        <w:trPr>
          <w:trHeight w:val="249"/>
        </w:trPr>
        <w:tc>
          <w:tcPr>
            <w:tcW w:w="1552" w:type="pct"/>
            <w:shd w:val="clear" w:color="auto" w:fill="C5E0B3" w:themeFill="accent6" w:themeFillTint="66"/>
            <w:tcMar>
              <w:left w:w="0" w:type="dxa"/>
              <w:right w:w="0" w:type="dxa"/>
            </w:tcMar>
          </w:tcPr>
          <w:p w:rsidR="00B71E12" w:rsidRPr="00B71E12" w:rsidRDefault="00B71E12" w:rsidP="00E544F3">
            <w:pPr>
              <w:jc w:val="both"/>
              <w:rPr>
                <w:sz w:val="20"/>
                <w:szCs w:val="20"/>
              </w:rPr>
            </w:pPr>
            <w:r w:rsidRPr="00B71E12">
              <w:rPr>
                <w:rFonts w:cs="Times New Roman"/>
                <w:sz w:val="20"/>
                <w:szCs w:val="20"/>
              </w:rPr>
              <w:t>Atbalsta palielināšana apgādnieka zaudējuma pensijas saņēmējiem</w:t>
            </w:r>
          </w:p>
        </w:tc>
        <w:tc>
          <w:tcPr>
            <w:tcW w:w="539" w:type="pct"/>
            <w:tcMar>
              <w:left w:w="0" w:type="dxa"/>
              <w:right w:w="0" w:type="dxa"/>
            </w:tcMar>
            <w:vAlign w:val="center"/>
          </w:tcPr>
          <w:p w:rsidR="00B71E12" w:rsidRPr="00B71E12" w:rsidRDefault="00B71E12" w:rsidP="007C1F10">
            <w:pPr>
              <w:jc w:val="right"/>
              <w:rPr>
                <w:rFonts w:cs="Times New Roman"/>
                <w:b/>
                <w:sz w:val="20"/>
                <w:szCs w:val="20"/>
              </w:rPr>
            </w:pPr>
          </w:p>
        </w:tc>
        <w:tc>
          <w:tcPr>
            <w:tcW w:w="595" w:type="pct"/>
            <w:tcMar>
              <w:left w:w="0" w:type="dxa"/>
              <w:right w:w="0" w:type="dxa"/>
            </w:tcMar>
          </w:tcPr>
          <w:p w:rsidR="00B71E12" w:rsidRPr="00B71E12" w:rsidRDefault="00B71E12" w:rsidP="007C1F10">
            <w:pPr>
              <w:jc w:val="right"/>
              <w:rPr>
                <w:rFonts w:cs="Times New Roman"/>
                <w:b/>
                <w:sz w:val="20"/>
                <w:szCs w:val="20"/>
              </w:rPr>
            </w:pPr>
          </w:p>
        </w:tc>
        <w:tc>
          <w:tcPr>
            <w:tcW w:w="579" w:type="pct"/>
            <w:tcMar>
              <w:left w:w="0" w:type="dxa"/>
              <w:right w:w="0" w:type="dxa"/>
            </w:tcMar>
            <w:vAlign w:val="center"/>
          </w:tcPr>
          <w:p w:rsidR="00B71E12" w:rsidRPr="00B71E12" w:rsidRDefault="00B71E12" w:rsidP="007C1F10">
            <w:pPr>
              <w:jc w:val="right"/>
              <w:rPr>
                <w:color w:val="000000"/>
                <w:sz w:val="20"/>
                <w:szCs w:val="20"/>
              </w:rPr>
            </w:pPr>
          </w:p>
        </w:tc>
        <w:tc>
          <w:tcPr>
            <w:tcW w:w="578" w:type="pct"/>
            <w:tcMar>
              <w:left w:w="0" w:type="dxa"/>
              <w:right w:w="0" w:type="dxa"/>
            </w:tcMar>
          </w:tcPr>
          <w:p w:rsidR="00B71E12" w:rsidRPr="00B71E12" w:rsidRDefault="00B71E12" w:rsidP="007C1F10">
            <w:pPr>
              <w:jc w:val="right"/>
              <w:rPr>
                <w:color w:val="000000"/>
                <w:sz w:val="20"/>
                <w:szCs w:val="20"/>
              </w:rPr>
            </w:pPr>
          </w:p>
        </w:tc>
        <w:tc>
          <w:tcPr>
            <w:tcW w:w="578" w:type="pct"/>
            <w:tcMar>
              <w:left w:w="0" w:type="dxa"/>
              <w:right w:w="0" w:type="dxa"/>
            </w:tcMar>
            <w:vAlign w:val="center"/>
          </w:tcPr>
          <w:p w:rsidR="00B71E12" w:rsidRPr="00B71E12" w:rsidRDefault="00B71E12" w:rsidP="007C1F10">
            <w:pPr>
              <w:jc w:val="right"/>
              <w:rPr>
                <w:color w:val="000000"/>
                <w:sz w:val="20"/>
                <w:szCs w:val="20"/>
              </w:rPr>
            </w:pPr>
            <w:r w:rsidRPr="00B71E12">
              <w:rPr>
                <w:rFonts w:cs="Times New Roman"/>
                <w:sz w:val="20"/>
                <w:szCs w:val="20"/>
              </w:rPr>
              <w:t xml:space="preserve">4 000 000 </w:t>
            </w:r>
          </w:p>
        </w:tc>
        <w:tc>
          <w:tcPr>
            <w:tcW w:w="578" w:type="pct"/>
            <w:tcMar>
              <w:left w:w="0" w:type="dxa"/>
              <w:right w:w="0" w:type="dxa"/>
            </w:tcMar>
            <w:vAlign w:val="center"/>
          </w:tcPr>
          <w:p w:rsidR="00B71E12" w:rsidRPr="00B71E12" w:rsidRDefault="00B71E12" w:rsidP="007C1F10">
            <w:pPr>
              <w:jc w:val="right"/>
              <w:rPr>
                <w:color w:val="000000"/>
                <w:sz w:val="20"/>
                <w:szCs w:val="20"/>
              </w:rPr>
            </w:pPr>
            <w:r w:rsidRPr="00B71E12">
              <w:rPr>
                <w:rFonts w:cs="Times New Roman"/>
                <w:sz w:val="20"/>
                <w:szCs w:val="20"/>
              </w:rPr>
              <w:t>4 000 000</w:t>
            </w:r>
          </w:p>
        </w:tc>
      </w:tr>
      <w:tr w:rsidR="00EF4FA3" w:rsidRPr="00B71E12" w:rsidTr="007C1F10">
        <w:trPr>
          <w:trHeight w:val="397"/>
        </w:trPr>
        <w:tc>
          <w:tcPr>
            <w:tcW w:w="1552" w:type="pct"/>
            <w:shd w:val="clear" w:color="auto" w:fill="C5E0B3" w:themeFill="accent6" w:themeFillTint="66"/>
            <w:tcMar>
              <w:left w:w="0" w:type="dxa"/>
              <w:right w:w="0" w:type="dxa"/>
            </w:tcMar>
          </w:tcPr>
          <w:p w:rsidR="00B71E12" w:rsidRPr="00B71E12" w:rsidRDefault="00B71E12" w:rsidP="00E544F3">
            <w:pPr>
              <w:jc w:val="both"/>
              <w:rPr>
                <w:sz w:val="20"/>
                <w:szCs w:val="20"/>
              </w:rPr>
            </w:pPr>
            <w:r w:rsidRPr="00B71E12">
              <w:rPr>
                <w:rFonts w:cs="Times New Roman"/>
                <w:sz w:val="20"/>
                <w:szCs w:val="20"/>
              </w:rPr>
              <w:t>Ģimenes valsts pabalsta palielināšana, sākot no 4.bērna</w:t>
            </w:r>
          </w:p>
        </w:tc>
        <w:tc>
          <w:tcPr>
            <w:tcW w:w="539" w:type="pct"/>
            <w:tcBorders>
              <w:bottom w:val="single" w:sz="4" w:space="0" w:color="auto"/>
            </w:tcBorders>
            <w:tcMar>
              <w:left w:w="0" w:type="dxa"/>
              <w:right w:w="0" w:type="dxa"/>
            </w:tcMar>
            <w:vAlign w:val="center"/>
          </w:tcPr>
          <w:p w:rsidR="00B71E12" w:rsidRPr="00B71E12" w:rsidRDefault="00B71E12" w:rsidP="007C1F10">
            <w:pPr>
              <w:jc w:val="right"/>
              <w:rPr>
                <w:rFonts w:cs="Times New Roman"/>
                <w:b/>
                <w:sz w:val="20"/>
                <w:szCs w:val="20"/>
              </w:rPr>
            </w:pPr>
          </w:p>
        </w:tc>
        <w:tc>
          <w:tcPr>
            <w:tcW w:w="595" w:type="pct"/>
            <w:tcBorders>
              <w:bottom w:val="single" w:sz="4" w:space="0" w:color="auto"/>
            </w:tcBorders>
            <w:tcMar>
              <w:left w:w="0" w:type="dxa"/>
              <w:right w:w="0" w:type="dxa"/>
            </w:tcMar>
          </w:tcPr>
          <w:p w:rsidR="00B71E12" w:rsidRPr="00B71E12" w:rsidRDefault="00B71E12" w:rsidP="007C1F10">
            <w:pPr>
              <w:jc w:val="right"/>
              <w:rPr>
                <w:rFonts w:cs="Times New Roman"/>
                <w:b/>
                <w:sz w:val="20"/>
                <w:szCs w:val="20"/>
              </w:rPr>
            </w:pPr>
          </w:p>
        </w:tc>
        <w:tc>
          <w:tcPr>
            <w:tcW w:w="579" w:type="pct"/>
            <w:tcBorders>
              <w:bottom w:val="single" w:sz="4" w:space="0" w:color="auto"/>
            </w:tcBorders>
            <w:tcMar>
              <w:left w:w="0" w:type="dxa"/>
              <w:right w:w="0" w:type="dxa"/>
            </w:tcMar>
            <w:vAlign w:val="center"/>
          </w:tcPr>
          <w:p w:rsidR="00B71E12" w:rsidRPr="00B71E12" w:rsidRDefault="00B71E12" w:rsidP="007C1F10">
            <w:pPr>
              <w:jc w:val="right"/>
              <w:rPr>
                <w:color w:val="000000"/>
                <w:sz w:val="20"/>
                <w:szCs w:val="20"/>
              </w:rPr>
            </w:pPr>
          </w:p>
        </w:tc>
        <w:tc>
          <w:tcPr>
            <w:tcW w:w="578" w:type="pct"/>
            <w:tcBorders>
              <w:bottom w:val="single" w:sz="4" w:space="0" w:color="auto"/>
            </w:tcBorders>
            <w:tcMar>
              <w:left w:w="0" w:type="dxa"/>
              <w:right w:w="0" w:type="dxa"/>
            </w:tcMar>
          </w:tcPr>
          <w:p w:rsidR="00B71E12" w:rsidRPr="00B71E12" w:rsidRDefault="00B71E12" w:rsidP="007C1F10">
            <w:pPr>
              <w:jc w:val="right"/>
              <w:rPr>
                <w:color w:val="000000"/>
                <w:sz w:val="20"/>
                <w:szCs w:val="20"/>
              </w:rPr>
            </w:pPr>
          </w:p>
        </w:tc>
        <w:tc>
          <w:tcPr>
            <w:tcW w:w="578" w:type="pct"/>
            <w:tcBorders>
              <w:bottom w:val="single" w:sz="4" w:space="0" w:color="auto"/>
            </w:tcBorders>
            <w:tcMar>
              <w:left w:w="0" w:type="dxa"/>
              <w:right w:w="0" w:type="dxa"/>
            </w:tcMar>
            <w:vAlign w:val="center"/>
          </w:tcPr>
          <w:p w:rsidR="00B71E12" w:rsidRPr="00B71E12" w:rsidRDefault="00B71E12" w:rsidP="007C1F10">
            <w:pPr>
              <w:jc w:val="right"/>
              <w:rPr>
                <w:color w:val="000000"/>
                <w:sz w:val="20"/>
                <w:szCs w:val="20"/>
              </w:rPr>
            </w:pPr>
            <w:r w:rsidRPr="00B71E12">
              <w:rPr>
                <w:rFonts w:cs="Times New Roman"/>
                <w:sz w:val="20"/>
                <w:szCs w:val="20"/>
              </w:rPr>
              <w:t>3 500 000</w:t>
            </w:r>
          </w:p>
        </w:tc>
        <w:tc>
          <w:tcPr>
            <w:tcW w:w="578" w:type="pct"/>
            <w:tcBorders>
              <w:bottom w:val="single" w:sz="4" w:space="0" w:color="auto"/>
            </w:tcBorders>
            <w:tcMar>
              <w:left w:w="0" w:type="dxa"/>
              <w:right w:w="0" w:type="dxa"/>
            </w:tcMar>
            <w:vAlign w:val="center"/>
          </w:tcPr>
          <w:p w:rsidR="00B71E12" w:rsidRPr="00B71E12" w:rsidRDefault="00B71E12" w:rsidP="007C1F10">
            <w:pPr>
              <w:jc w:val="right"/>
              <w:rPr>
                <w:color w:val="000000"/>
                <w:sz w:val="20"/>
                <w:szCs w:val="20"/>
              </w:rPr>
            </w:pPr>
            <w:r w:rsidRPr="00B71E12">
              <w:rPr>
                <w:rFonts w:cs="Times New Roman"/>
                <w:sz w:val="20"/>
                <w:szCs w:val="20"/>
              </w:rPr>
              <w:t>3 500 000</w:t>
            </w:r>
          </w:p>
        </w:tc>
      </w:tr>
      <w:tr w:rsidR="00EF4FA3" w:rsidRPr="00B71E12" w:rsidTr="007C1F10">
        <w:trPr>
          <w:trHeight w:val="261"/>
        </w:trPr>
        <w:tc>
          <w:tcPr>
            <w:tcW w:w="1552" w:type="pct"/>
            <w:shd w:val="clear" w:color="auto" w:fill="C5E0B3" w:themeFill="accent6" w:themeFillTint="66"/>
            <w:tcMar>
              <w:left w:w="0" w:type="dxa"/>
              <w:right w:w="0" w:type="dxa"/>
            </w:tcMar>
          </w:tcPr>
          <w:p w:rsidR="00B71E12" w:rsidRPr="00B71E12" w:rsidRDefault="00B71E12" w:rsidP="00E544F3">
            <w:pPr>
              <w:jc w:val="both"/>
              <w:rPr>
                <w:sz w:val="20"/>
                <w:szCs w:val="20"/>
              </w:rPr>
            </w:pPr>
            <w:r w:rsidRPr="00B71E12">
              <w:rPr>
                <w:rFonts w:cs="Times New Roman"/>
                <w:sz w:val="20"/>
                <w:szCs w:val="20"/>
              </w:rPr>
              <w:t>Citi 7 pasākumi</w:t>
            </w:r>
          </w:p>
        </w:tc>
        <w:tc>
          <w:tcPr>
            <w:tcW w:w="539" w:type="pct"/>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B71E12" w:rsidRPr="00B71E12" w:rsidRDefault="00B71E12" w:rsidP="007C1F10">
            <w:pPr>
              <w:jc w:val="right"/>
              <w:rPr>
                <w:rFonts w:cs="Times New Roman"/>
                <w:b/>
                <w:sz w:val="20"/>
                <w:szCs w:val="20"/>
              </w:rPr>
            </w:pPr>
            <w:r w:rsidRPr="00B71E12">
              <w:rPr>
                <w:color w:val="000000"/>
                <w:sz w:val="20"/>
                <w:szCs w:val="20"/>
              </w:rPr>
              <w:t>2 977 304</w:t>
            </w:r>
          </w:p>
        </w:tc>
        <w:tc>
          <w:tcPr>
            <w:tcW w:w="59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B71E12" w:rsidRPr="00B71E12" w:rsidRDefault="00B71E12" w:rsidP="007C1F10">
            <w:pPr>
              <w:jc w:val="right"/>
              <w:rPr>
                <w:rFonts w:cs="Times New Roman"/>
                <w:b/>
                <w:sz w:val="20"/>
                <w:szCs w:val="20"/>
              </w:rPr>
            </w:pPr>
            <w:r w:rsidRPr="00B71E12">
              <w:rPr>
                <w:color w:val="000000"/>
                <w:sz w:val="20"/>
                <w:szCs w:val="20"/>
              </w:rPr>
              <w:t>4 500 980</w:t>
            </w:r>
          </w:p>
        </w:tc>
        <w:tc>
          <w:tcPr>
            <w:tcW w:w="57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B71E12" w:rsidRPr="00B71E12" w:rsidRDefault="00B71E12" w:rsidP="007C1F10">
            <w:pPr>
              <w:jc w:val="right"/>
              <w:rPr>
                <w:color w:val="000000"/>
                <w:sz w:val="20"/>
                <w:szCs w:val="20"/>
              </w:rPr>
            </w:pPr>
            <w:r w:rsidRPr="00B71E12">
              <w:rPr>
                <w:color w:val="000000"/>
                <w:sz w:val="20"/>
                <w:szCs w:val="20"/>
              </w:rPr>
              <w:t>9 321 199</w:t>
            </w:r>
          </w:p>
        </w:tc>
        <w:tc>
          <w:tcPr>
            <w:tcW w:w="57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B71E12" w:rsidRPr="00B71E12" w:rsidRDefault="00B71E12" w:rsidP="007C1F10">
            <w:pPr>
              <w:jc w:val="right"/>
              <w:rPr>
                <w:color w:val="000000"/>
                <w:sz w:val="20"/>
                <w:szCs w:val="20"/>
              </w:rPr>
            </w:pPr>
            <w:r w:rsidRPr="00B71E12">
              <w:rPr>
                <w:color w:val="000000"/>
                <w:sz w:val="20"/>
                <w:szCs w:val="20"/>
              </w:rPr>
              <w:t>3 029 119</w:t>
            </w:r>
          </w:p>
        </w:tc>
        <w:tc>
          <w:tcPr>
            <w:tcW w:w="57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B71E12" w:rsidRPr="00B71E12" w:rsidRDefault="00B71E12" w:rsidP="007C1F10">
            <w:pPr>
              <w:jc w:val="right"/>
              <w:rPr>
                <w:color w:val="000000"/>
                <w:sz w:val="20"/>
                <w:szCs w:val="20"/>
              </w:rPr>
            </w:pPr>
            <w:r w:rsidRPr="00B71E12">
              <w:rPr>
                <w:color w:val="000000"/>
                <w:sz w:val="20"/>
                <w:szCs w:val="20"/>
              </w:rPr>
              <w:t>3 875 119</w:t>
            </w:r>
          </w:p>
        </w:tc>
        <w:tc>
          <w:tcPr>
            <w:tcW w:w="57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B71E12" w:rsidRPr="00B71E12" w:rsidRDefault="00B71E12" w:rsidP="007C1F10">
            <w:pPr>
              <w:jc w:val="right"/>
              <w:rPr>
                <w:color w:val="000000"/>
                <w:sz w:val="20"/>
                <w:szCs w:val="20"/>
              </w:rPr>
            </w:pPr>
            <w:r w:rsidRPr="00B71E12">
              <w:rPr>
                <w:color w:val="000000"/>
                <w:sz w:val="20"/>
                <w:szCs w:val="20"/>
              </w:rPr>
              <w:t>3 785 119</w:t>
            </w:r>
          </w:p>
        </w:tc>
      </w:tr>
      <w:tr w:rsidR="00EF4FA3" w:rsidRPr="00B71E12" w:rsidTr="007C1F10">
        <w:trPr>
          <w:trHeight w:val="123"/>
        </w:trPr>
        <w:tc>
          <w:tcPr>
            <w:tcW w:w="1552" w:type="pct"/>
            <w:shd w:val="clear" w:color="auto" w:fill="C5E0B3" w:themeFill="accent6" w:themeFillTint="66"/>
            <w:tcMar>
              <w:left w:w="0" w:type="dxa"/>
              <w:right w:w="0" w:type="dxa"/>
            </w:tcMar>
          </w:tcPr>
          <w:p w:rsidR="00B71E12" w:rsidRPr="00B71E12" w:rsidRDefault="00A04C20" w:rsidP="00A04C20">
            <w:pPr>
              <w:jc w:val="right"/>
              <w:rPr>
                <w:sz w:val="20"/>
                <w:szCs w:val="20"/>
              </w:rPr>
            </w:pPr>
            <w:r>
              <w:rPr>
                <w:rFonts w:cs="Times New Roman"/>
                <w:b/>
                <w:sz w:val="20"/>
                <w:szCs w:val="20"/>
              </w:rPr>
              <w:t>LM k</w:t>
            </w:r>
            <w:r w:rsidR="00B71E12" w:rsidRPr="00B71E12">
              <w:rPr>
                <w:rFonts w:cs="Times New Roman"/>
                <w:b/>
                <w:sz w:val="20"/>
                <w:szCs w:val="20"/>
              </w:rPr>
              <w:t>opā</w:t>
            </w:r>
            <w:r>
              <w:rPr>
                <w:rFonts w:cs="Times New Roman"/>
                <w:b/>
                <w:sz w:val="20"/>
                <w:szCs w:val="20"/>
              </w:rPr>
              <w:t>:</w:t>
            </w:r>
          </w:p>
        </w:tc>
        <w:tc>
          <w:tcPr>
            <w:tcW w:w="539" w:type="pct"/>
            <w:tcBorders>
              <w:top w:val="single" w:sz="4" w:space="0" w:color="auto"/>
              <w:left w:val="single" w:sz="4" w:space="0" w:color="auto"/>
              <w:bottom w:val="single" w:sz="4" w:space="0" w:color="auto"/>
              <w:right w:val="single" w:sz="4" w:space="0" w:color="auto"/>
            </w:tcBorders>
            <w:shd w:val="clear" w:color="000000" w:fill="C6E0B4"/>
            <w:tcMar>
              <w:left w:w="0" w:type="dxa"/>
              <w:right w:w="0" w:type="dxa"/>
            </w:tcMar>
            <w:vAlign w:val="bottom"/>
          </w:tcPr>
          <w:p w:rsidR="00B71E12" w:rsidRPr="00B71E12" w:rsidRDefault="00B71E12" w:rsidP="00B71E12">
            <w:pPr>
              <w:ind w:left="-172" w:right="-136"/>
              <w:jc w:val="center"/>
              <w:rPr>
                <w:rFonts w:cs="Times New Roman"/>
                <w:b/>
                <w:sz w:val="20"/>
                <w:szCs w:val="20"/>
              </w:rPr>
            </w:pPr>
            <w:r w:rsidRPr="00B71E12">
              <w:rPr>
                <w:b/>
                <w:bCs/>
                <w:color w:val="000000"/>
                <w:sz w:val="20"/>
                <w:szCs w:val="20"/>
              </w:rPr>
              <w:t>19 356 665</w:t>
            </w:r>
          </w:p>
        </w:tc>
        <w:tc>
          <w:tcPr>
            <w:tcW w:w="595" w:type="pct"/>
            <w:tcBorders>
              <w:top w:val="single" w:sz="4" w:space="0" w:color="auto"/>
              <w:left w:val="nil"/>
              <w:bottom w:val="single" w:sz="4" w:space="0" w:color="auto"/>
              <w:right w:val="single" w:sz="4" w:space="0" w:color="auto"/>
            </w:tcBorders>
            <w:shd w:val="clear" w:color="000000" w:fill="C6E0B4"/>
            <w:tcMar>
              <w:left w:w="0" w:type="dxa"/>
              <w:right w:w="0" w:type="dxa"/>
            </w:tcMar>
            <w:vAlign w:val="bottom"/>
          </w:tcPr>
          <w:p w:rsidR="00B71E12" w:rsidRPr="00B71E12" w:rsidRDefault="00B71E12" w:rsidP="00B71E12">
            <w:pPr>
              <w:ind w:left="-172" w:right="-136"/>
              <w:jc w:val="center"/>
              <w:rPr>
                <w:rFonts w:cs="Times New Roman"/>
                <w:b/>
                <w:sz w:val="20"/>
                <w:szCs w:val="20"/>
              </w:rPr>
            </w:pPr>
            <w:r w:rsidRPr="00B71E12">
              <w:rPr>
                <w:b/>
                <w:bCs/>
                <w:color w:val="000000"/>
                <w:sz w:val="20"/>
                <w:szCs w:val="20"/>
              </w:rPr>
              <w:t>28 389 997</w:t>
            </w:r>
          </w:p>
        </w:tc>
        <w:tc>
          <w:tcPr>
            <w:tcW w:w="579" w:type="pct"/>
            <w:tcBorders>
              <w:top w:val="single" w:sz="4" w:space="0" w:color="auto"/>
              <w:left w:val="nil"/>
              <w:bottom w:val="single" w:sz="4" w:space="0" w:color="auto"/>
              <w:right w:val="single" w:sz="4" w:space="0" w:color="auto"/>
            </w:tcBorders>
            <w:shd w:val="clear" w:color="000000" w:fill="C6E0B4"/>
            <w:tcMar>
              <w:left w:w="0" w:type="dxa"/>
              <w:right w:w="0" w:type="dxa"/>
            </w:tcMar>
            <w:vAlign w:val="bottom"/>
          </w:tcPr>
          <w:p w:rsidR="00B71E12" w:rsidRPr="00B71E12" w:rsidRDefault="00B71E12" w:rsidP="00B71E12">
            <w:pPr>
              <w:ind w:left="-172" w:right="-136"/>
              <w:jc w:val="center"/>
              <w:rPr>
                <w:color w:val="000000"/>
                <w:sz w:val="20"/>
                <w:szCs w:val="20"/>
              </w:rPr>
            </w:pPr>
            <w:r w:rsidRPr="00B71E12">
              <w:rPr>
                <w:b/>
                <w:bCs/>
                <w:color w:val="000000"/>
                <w:sz w:val="20"/>
                <w:szCs w:val="20"/>
              </w:rPr>
              <w:t>77 102 151</w:t>
            </w:r>
          </w:p>
        </w:tc>
        <w:tc>
          <w:tcPr>
            <w:tcW w:w="578" w:type="pct"/>
            <w:tcBorders>
              <w:top w:val="single" w:sz="4" w:space="0" w:color="auto"/>
              <w:left w:val="nil"/>
              <w:bottom w:val="single" w:sz="4" w:space="0" w:color="auto"/>
              <w:right w:val="single" w:sz="4" w:space="0" w:color="auto"/>
            </w:tcBorders>
            <w:shd w:val="clear" w:color="000000" w:fill="C6E0B4"/>
            <w:tcMar>
              <w:left w:w="0" w:type="dxa"/>
              <w:right w:w="0" w:type="dxa"/>
            </w:tcMar>
            <w:vAlign w:val="bottom"/>
          </w:tcPr>
          <w:p w:rsidR="00B71E12" w:rsidRPr="00B71E12" w:rsidRDefault="00B71E12" w:rsidP="00B71E12">
            <w:pPr>
              <w:ind w:left="-172" w:right="-136"/>
              <w:jc w:val="center"/>
              <w:rPr>
                <w:color w:val="000000"/>
                <w:sz w:val="20"/>
                <w:szCs w:val="20"/>
              </w:rPr>
            </w:pPr>
            <w:r w:rsidRPr="00B71E12">
              <w:rPr>
                <w:b/>
                <w:bCs/>
                <w:color w:val="000000"/>
                <w:sz w:val="20"/>
                <w:szCs w:val="20"/>
              </w:rPr>
              <w:t>74 119 438</w:t>
            </w:r>
          </w:p>
        </w:tc>
        <w:tc>
          <w:tcPr>
            <w:tcW w:w="578" w:type="pct"/>
            <w:tcBorders>
              <w:top w:val="single" w:sz="4" w:space="0" w:color="auto"/>
              <w:left w:val="nil"/>
              <w:bottom w:val="single" w:sz="4" w:space="0" w:color="auto"/>
              <w:right w:val="single" w:sz="4" w:space="0" w:color="auto"/>
            </w:tcBorders>
            <w:shd w:val="clear" w:color="000000" w:fill="C6E0B4"/>
            <w:tcMar>
              <w:left w:w="0" w:type="dxa"/>
              <w:right w:w="0" w:type="dxa"/>
            </w:tcMar>
            <w:vAlign w:val="bottom"/>
          </w:tcPr>
          <w:p w:rsidR="00B71E12" w:rsidRPr="00B71E12" w:rsidRDefault="00B71E12" w:rsidP="00B71E12">
            <w:pPr>
              <w:ind w:left="-172" w:right="-136"/>
              <w:jc w:val="center"/>
              <w:rPr>
                <w:color w:val="000000"/>
                <w:sz w:val="20"/>
                <w:szCs w:val="20"/>
              </w:rPr>
            </w:pPr>
            <w:r w:rsidRPr="00B71E12">
              <w:rPr>
                <w:b/>
                <w:bCs/>
                <w:color w:val="000000"/>
                <w:sz w:val="20"/>
                <w:szCs w:val="20"/>
              </w:rPr>
              <w:t>87 335 327</w:t>
            </w:r>
          </w:p>
        </w:tc>
        <w:tc>
          <w:tcPr>
            <w:tcW w:w="578" w:type="pct"/>
            <w:tcBorders>
              <w:top w:val="single" w:sz="4" w:space="0" w:color="auto"/>
              <w:left w:val="nil"/>
              <w:bottom w:val="single" w:sz="4" w:space="0" w:color="auto"/>
              <w:right w:val="single" w:sz="4" w:space="0" w:color="auto"/>
            </w:tcBorders>
            <w:shd w:val="clear" w:color="000000" w:fill="C6E0B4"/>
            <w:tcMar>
              <w:left w:w="0" w:type="dxa"/>
              <w:right w:w="0" w:type="dxa"/>
            </w:tcMar>
            <w:vAlign w:val="bottom"/>
          </w:tcPr>
          <w:p w:rsidR="00B71E12" w:rsidRPr="00B71E12" w:rsidRDefault="00B71E12" w:rsidP="00B71E12">
            <w:pPr>
              <w:ind w:left="-172" w:right="-136"/>
              <w:jc w:val="center"/>
              <w:rPr>
                <w:color w:val="000000"/>
                <w:sz w:val="20"/>
                <w:szCs w:val="20"/>
              </w:rPr>
            </w:pPr>
            <w:r w:rsidRPr="00B71E12">
              <w:rPr>
                <w:b/>
                <w:bCs/>
                <w:color w:val="000000"/>
                <w:sz w:val="20"/>
                <w:szCs w:val="20"/>
              </w:rPr>
              <w:t>87 245 327</w:t>
            </w:r>
          </w:p>
        </w:tc>
      </w:tr>
      <w:tr w:rsidR="006F2F1A" w:rsidRPr="00B71E12" w:rsidTr="007C1F10">
        <w:trPr>
          <w:trHeight w:val="123"/>
        </w:trPr>
        <w:tc>
          <w:tcPr>
            <w:tcW w:w="1552" w:type="pct"/>
            <w:shd w:val="clear" w:color="auto" w:fill="C5E0B3" w:themeFill="accent6" w:themeFillTint="66"/>
            <w:tcMar>
              <w:left w:w="0" w:type="dxa"/>
              <w:right w:w="0" w:type="dxa"/>
            </w:tcMar>
          </w:tcPr>
          <w:p w:rsidR="006F2F1A" w:rsidRPr="00A04C20" w:rsidRDefault="006F2F1A" w:rsidP="006F2F1A">
            <w:pPr>
              <w:jc w:val="both"/>
              <w:rPr>
                <w:rFonts w:cs="Times New Roman"/>
                <w:sz w:val="20"/>
                <w:szCs w:val="20"/>
              </w:rPr>
            </w:pPr>
            <w:r w:rsidRPr="00A04C20">
              <w:rPr>
                <w:rFonts w:cs="Times New Roman"/>
                <w:sz w:val="20"/>
                <w:szCs w:val="20"/>
              </w:rPr>
              <w:t>Demogrāfijas pasākumu īstenošanai (Goda kartes daudzbērnu ģimenēm)</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F2F1A" w:rsidRPr="006F2F1A" w:rsidRDefault="006F2F1A" w:rsidP="006F2F1A">
            <w:pPr>
              <w:jc w:val="right"/>
              <w:rPr>
                <w:sz w:val="20"/>
                <w:szCs w:val="20"/>
              </w:rPr>
            </w:pPr>
            <w:r w:rsidRPr="006F2F1A">
              <w:rPr>
                <w:sz w:val="20"/>
                <w:szCs w:val="20"/>
              </w:rPr>
              <w:t>142 287</w:t>
            </w: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6F2F1A">
            <w:pPr>
              <w:jc w:val="right"/>
              <w:rPr>
                <w:sz w:val="20"/>
                <w:szCs w:val="20"/>
              </w:rPr>
            </w:pPr>
            <w:r w:rsidRPr="006F2F1A">
              <w:rPr>
                <w:sz w:val="20"/>
                <w:szCs w:val="20"/>
              </w:rPr>
              <w:t>142 287</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6F2F1A">
            <w:pPr>
              <w:jc w:val="right"/>
              <w:rPr>
                <w:sz w:val="20"/>
                <w:szCs w:val="20"/>
              </w:rPr>
            </w:pPr>
            <w:r w:rsidRPr="006F2F1A">
              <w:rPr>
                <w:sz w:val="20"/>
                <w:szCs w:val="20"/>
              </w:rPr>
              <w:t>142 287</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6F2F1A">
            <w:pPr>
              <w:jc w:val="right"/>
              <w:rPr>
                <w:sz w:val="20"/>
                <w:szCs w:val="20"/>
              </w:rPr>
            </w:pPr>
            <w:r w:rsidRPr="006F2F1A">
              <w:rPr>
                <w:sz w:val="20"/>
                <w:szCs w:val="20"/>
              </w:rPr>
              <w:t>162 370</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6F2F1A">
            <w:pPr>
              <w:jc w:val="right"/>
              <w:rPr>
                <w:sz w:val="20"/>
                <w:szCs w:val="20"/>
              </w:rPr>
            </w:pPr>
            <w:r w:rsidRPr="006F2F1A">
              <w:rPr>
                <w:sz w:val="20"/>
                <w:szCs w:val="20"/>
              </w:rPr>
              <w:t>160 870</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6F2F1A">
            <w:pPr>
              <w:jc w:val="right"/>
              <w:rPr>
                <w:sz w:val="20"/>
                <w:szCs w:val="20"/>
              </w:rPr>
            </w:pPr>
            <w:r w:rsidRPr="006F2F1A">
              <w:rPr>
                <w:sz w:val="20"/>
                <w:szCs w:val="20"/>
              </w:rPr>
              <w:t>160 870</w:t>
            </w:r>
          </w:p>
        </w:tc>
      </w:tr>
      <w:tr w:rsidR="006F2F1A" w:rsidRPr="00B71E12" w:rsidTr="007C1F10">
        <w:trPr>
          <w:trHeight w:val="123"/>
        </w:trPr>
        <w:tc>
          <w:tcPr>
            <w:tcW w:w="1552" w:type="pct"/>
            <w:shd w:val="clear" w:color="auto" w:fill="C5E0B3" w:themeFill="accent6" w:themeFillTint="66"/>
            <w:tcMar>
              <w:left w:w="0" w:type="dxa"/>
              <w:right w:w="0" w:type="dxa"/>
            </w:tcMar>
          </w:tcPr>
          <w:p w:rsidR="006F2F1A" w:rsidRDefault="006F2F1A" w:rsidP="006F2F1A">
            <w:pPr>
              <w:jc w:val="right"/>
              <w:rPr>
                <w:rFonts w:cs="Times New Roman"/>
                <w:b/>
                <w:sz w:val="20"/>
                <w:szCs w:val="20"/>
              </w:rPr>
            </w:pPr>
            <w:r>
              <w:rPr>
                <w:rFonts w:cs="Times New Roman"/>
                <w:b/>
                <w:sz w:val="20"/>
                <w:szCs w:val="20"/>
              </w:rPr>
              <w:t>SIF kopā:</w:t>
            </w:r>
          </w:p>
        </w:tc>
        <w:tc>
          <w:tcPr>
            <w:tcW w:w="539"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0" w:type="dxa"/>
              <w:right w:w="0" w:type="dxa"/>
            </w:tcMar>
            <w:vAlign w:val="center"/>
          </w:tcPr>
          <w:p w:rsidR="006F2F1A" w:rsidRPr="006F2F1A" w:rsidRDefault="006F2F1A" w:rsidP="006F2F1A">
            <w:pPr>
              <w:jc w:val="right"/>
              <w:rPr>
                <w:b/>
                <w:sz w:val="20"/>
                <w:szCs w:val="20"/>
              </w:rPr>
            </w:pPr>
            <w:r w:rsidRPr="006F2F1A">
              <w:rPr>
                <w:b/>
                <w:sz w:val="20"/>
                <w:szCs w:val="20"/>
              </w:rPr>
              <w:t>142 287</w:t>
            </w:r>
          </w:p>
        </w:tc>
        <w:tc>
          <w:tcPr>
            <w:tcW w:w="595"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center"/>
          </w:tcPr>
          <w:p w:rsidR="006F2F1A" w:rsidRPr="006F2F1A" w:rsidRDefault="006F2F1A" w:rsidP="006F2F1A">
            <w:pPr>
              <w:jc w:val="right"/>
              <w:rPr>
                <w:b/>
                <w:sz w:val="20"/>
                <w:szCs w:val="20"/>
              </w:rPr>
            </w:pPr>
            <w:r w:rsidRPr="006F2F1A">
              <w:rPr>
                <w:b/>
                <w:sz w:val="20"/>
                <w:szCs w:val="20"/>
              </w:rPr>
              <w:t>142 287</w:t>
            </w:r>
          </w:p>
        </w:tc>
        <w:tc>
          <w:tcPr>
            <w:tcW w:w="579"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center"/>
          </w:tcPr>
          <w:p w:rsidR="006F2F1A" w:rsidRPr="006F2F1A" w:rsidRDefault="006F2F1A" w:rsidP="006F2F1A">
            <w:pPr>
              <w:jc w:val="right"/>
              <w:rPr>
                <w:b/>
                <w:sz w:val="20"/>
                <w:szCs w:val="20"/>
              </w:rPr>
            </w:pPr>
            <w:r w:rsidRPr="006F2F1A">
              <w:rPr>
                <w:b/>
                <w:sz w:val="20"/>
                <w:szCs w:val="20"/>
              </w:rPr>
              <w:t>142 287</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center"/>
          </w:tcPr>
          <w:p w:rsidR="006F2F1A" w:rsidRPr="006F2F1A" w:rsidRDefault="006F2F1A" w:rsidP="006F2F1A">
            <w:pPr>
              <w:jc w:val="right"/>
              <w:rPr>
                <w:b/>
                <w:sz w:val="20"/>
                <w:szCs w:val="20"/>
              </w:rPr>
            </w:pPr>
            <w:r w:rsidRPr="006F2F1A">
              <w:rPr>
                <w:b/>
                <w:sz w:val="20"/>
                <w:szCs w:val="20"/>
              </w:rPr>
              <w:t>162 370</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center"/>
          </w:tcPr>
          <w:p w:rsidR="006F2F1A" w:rsidRPr="006F2F1A" w:rsidRDefault="006F2F1A" w:rsidP="006F2F1A">
            <w:pPr>
              <w:jc w:val="right"/>
              <w:rPr>
                <w:b/>
                <w:sz w:val="20"/>
                <w:szCs w:val="20"/>
              </w:rPr>
            </w:pPr>
            <w:r w:rsidRPr="006F2F1A">
              <w:rPr>
                <w:b/>
                <w:sz w:val="20"/>
                <w:szCs w:val="20"/>
              </w:rPr>
              <w:t>160 870</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center"/>
          </w:tcPr>
          <w:p w:rsidR="006F2F1A" w:rsidRPr="006F2F1A" w:rsidRDefault="006F2F1A" w:rsidP="006F2F1A">
            <w:pPr>
              <w:jc w:val="right"/>
              <w:rPr>
                <w:b/>
                <w:sz w:val="20"/>
                <w:szCs w:val="20"/>
              </w:rPr>
            </w:pPr>
            <w:r w:rsidRPr="006F2F1A">
              <w:rPr>
                <w:b/>
                <w:sz w:val="20"/>
                <w:szCs w:val="20"/>
              </w:rPr>
              <w:t>160 870</w:t>
            </w:r>
          </w:p>
        </w:tc>
      </w:tr>
      <w:tr w:rsidR="006F2F1A" w:rsidRPr="00B71E12" w:rsidTr="007C1F10">
        <w:trPr>
          <w:trHeight w:val="123"/>
        </w:trPr>
        <w:tc>
          <w:tcPr>
            <w:tcW w:w="1552" w:type="pct"/>
            <w:shd w:val="clear" w:color="auto" w:fill="C5E0B3" w:themeFill="accent6" w:themeFillTint="66"/>
            <w:tcMar>
              <w:left w:w="0" w:type="dxa"/>
              <w:right w:w="0" w:type="dxa"/>
            </w:tcMar>
          </w:tcPr>
          <w:p w:rsidR="006F2F1A" w:rsidRPr="006F2F1A" w:rsidRDefault="006F2F1A" w:rsidP="006F2F1A">
            <w:pPr>
              <w:jc w:val="both"/>
              <w:rPr>
                <w:sz w:val="20"/>
                <w:szCs w:val="20"/>
              </w:rPr>
            </w:pPr>
            <w:r w:rsidRPr="006F2F1A">
              <w:rPr>
                <w:sz w:val="20"/>
                <w:szCs w:val="20"/>
              </w:rPr>
              <w:t>Atbalsts brīvpusdienu nodrošināšanai 1.,2.,3. un 4. klases izglītojamiem*</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8 125 971</w:t>
            </w: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11 679 100</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17 703 517</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20 541 554</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19 681 416</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19 912 527</w:t>
            </w:r>
          </w:p>
        </w:tc>
      </w:tr>
      <w:tr w:rsidR="006F2F1A" w:rsidRPr="00B71E12" w:rsidTr="007C1F10">
        <w:trPr>
          <w:trHeight w:val="123"/>
        </w:trPr>
        <w:tc>
          <w:tcPr>
            <w:tcW w:w="1552" w:type="pct"/>
            <w:shd w:val="clear" w:color="auto" w:fill="C5E0B3" w:themeFill="accent6" w:themeFillTint="66"/>
            <w:tcMar>
              <w:left w:w="0" w:type="dxa"/>
              <w:right w:w="0" w:type="dxa"/>
            </w:tcMar>
          </w:tcPr>
          <w:p w:rsidR="006F2F1A" w:rsidRPr="006F2F1A" w:rsidRDefault="006F2F1A" w:rsidP="006F2F1A">
            <w:pPr>
              <w:jc w:val="both"/>
              <w:rPr>
                <w:sz w:val="20"/>
                <w:szCs w:val="20"/>
              </w:rPr>
            </w:pPr>
            <w:r w:rsidRPr="006F2F1A">
              <w:rPr>
                <w:sz w:val="20"/>
                <w:szCs w:val="20"/>
              </w:rPr>
              <w:t xml:space="preserve">Atbalsts mācību līdzekļu iegādei  </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2 595 956</w:t>
            </w: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4 585 452</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4 585 452</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4 585 452</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4 585 452</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4 585 452</w:t>
            </w:r>
          </w:p>
        </w:tc>
      </w:tr>
      <w:tr w:rsidR="006F2F1A" w:rsidRPr="00B71E12" w:rsidTr="007C1F10">
        <w:trPr>
          <w:trHeight w:val="123"/>
        </w:trPr>
        <w:tc>
          <w:tcPr>
            <w:tcW w:w="1552" w:type="pct"/>
            <w:shd w:val="clear" w:color="auto" w:fill="C5E0B3" w:themeFill="accent6" w:themeFillTint="66"/>
            <w:tcMar>
              <w:left w:w="0" w:type="dxa"/>
              <w:right w:w="0" w:type="dxa"/>
            </w:tcMar>
          </w:tcPr>
          <w:p w:rsidR="006F2F1A" w:rsidRPr="006F2F1A" w:rsidRDefault="006F2F1A" w:rsidP="006F2F1A">
            <w:pPr>
              <w:jc w:val="both"/>
              <w:rPr>
                <w:sz w:val="20"/>
                <w:szCs w:val="20"/>
              </w:rPr>
            </w:pPr>
            <w:r w:rsidRPr="006F2F1A">
              <w:rPr>
                <w:sz w:val="20"/>
                <w:szCs w:val="20"/>
              </w:rPr>
              <w:t>Finansējums asistenta pakalpojuma nodrošināšanai personai ar invaliditāti pārvietošanas atbalstam un pašaprūpes veikšanai</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1 203 459</w:t>
            </w: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1 203 459</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1 031 890</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1 031 890</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746 350</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1 031 890</w:t>
            </w:r>
          </w:p>
        </w:tc>
      </w:tr>
      <w:tr w:rsidR="006F2F1A" w:rsidRPr="00B71E12" w:rsidTr="007C1F10">
        <w:trPr>
          <w:trHeight w:val="123"/>
        </w:trPr>
        <w:tc>
          <w:tcPr>
            <w:tcW w:w="1552" w:type="pct"/>
            <w:shd w:val="clear" w:color="auto" w:fill="C5E0B3" w:themeFill="accent6" w:themeFillTint="66"/>
            <w:tcMar>
              <w:left w:w="0" w:type="dxa"/>
              <w:right w:w="0" w:type="dxa"/>
            </w:tcMar>
          </w:tcPr>
          <w:p w:rsidR="006F2F1A" w:rsidRPr="006F2F1A" w:rsidRDefault="006F2F1A" w:rsidP="006F2F1A">
            <w:pPr>
              <w:jc w:val="both"/>
              <w:rPr>
                <w:sz w:val="20"/>
                <w:szCs w:val="20"/>
              </w:rPr>
            </w:pPr>
            <w:r w:rsidRPr="006F2F1A">
              <w:rPr>
                <w:sz w:val="20"/>
                <w:szCs w:val="20"/>
              </w:rPr>
              <w:t xml:space="preserve">Valsts atbalsts pirmsskolas izglītības iestāžu rindu likvidēšanai (valsts atbalsts privātajam bērnu uzraudzības pakalpojuma sniedzējam - bērniem no pusotra gada vecuma līdz obligātai bērna </w:t>
            </w:r>
            <w:r w:rsidRPr="006F2F1A">
              <w:rPr>
                <w:sz w:val="20"/>
                <w:szCs w:val="20"/>
              </w:rPr>
              <w:lastRenderedPageBreak/>
              <w:t>sagatavošanas pamatizglītības ieguves uzsākšanai - paredzēts līdz 2016.gada 31.maijam)</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lastRenderedPageBreak/>
              <w:t>4 540 061</w:t>
            </w: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13 652 929</w:t>
            </w: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13 666 273</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r w:rsidRPr="006F2F1A">
              <w:rPr>
                <w:sz w:val="20"/>
                <w:szCs w:val="20"/>
              </w:rPr>
              <w:t>3 312 964</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6F2F1A" w:rsidRDefault="006F2F1A" w:rsidP="008548B1">
            <w:pPr>
              <w:jc w:val="right"/>
              <w:rPr>
                <w:sz w:val="20"/>
                <w:szCs w:val="20"/>
              </w:rPr>
            </w:pPr>
          </w:p>
        </w:tc>
      </w:tr>
      <w:tr w:rsidR="00EF4FA3" w:rsidRPr="00B71E12" w:rsidTr="007C1F10">
        <w:trPr>
          <w:trHeight w:val="123"/>
        </w:trPr>
        <w:tc>
          <w:tcPr>
            <w:tcW w:w="1552" w:type="pct"/>
            <w:shd w:val="clear" w:color="auto" w:fill="C5E0B3" w:themeFill="accent6" w:themeFillTint="66"/>
            <w:tcMar>
              <w:left w:w="0" w:type="dxa"/>
              <w:right w:w="0" w:type="dxa"/>
            </w:tcMar>
          </w:tcPr>
          <w:p w:rsidR="00EF4FA3" w:rsidRPr="00EF4FA3" w:rsidRDefault="00EF4FA3" w:rsidP="00EF4FA3">
            <w:pPr>
              <w:jc w:val="right"/>
              <w:rPr>
                <w:rFonts w:cs="Times New Roman"/>
                <w:b/>
                <w:sz w:val="20"/>
                <w:szCs w:val="20"/>
              </w:rPr>
            </w:pPr>
            <w:r w:rsidRPr="00EF4FA3">
              <w:rPr>
                <w:rFonts w:cs="Times New Roman"/>
                <w:b/>
                <w:sz w:val="20"/>
                <w:szCs w:val="20"/>
              </w:rPr>
              <w:t>IZM kopā:</w:t>
            </w:r>
          </w:p>
        </w:tc>
        <w:tc>
          <w:tcPr>
            <w:tcW w:w="539"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0" w:type="dxa"/>
              <w:right w:w="0" w:type="dxa"/>
            </w:tcMar>
          </w:tcPr>
          <w:p w:rsidR="00EF4FA3" w:rsidRPr="00EF4FA3" w:rsidRDefault="00EF4FA3" w:rsidP="00EF4FA3">
            <w:pPr>
              <w:jc w:val="right"/>
              <w:rPr>
                <w:b/>
                <w:sz w:val="20"/>
                <w:szCs w:val="20"/>
              </w:rPr>
            </w:pPr>
            <w:r w:rsidRPr="00EF4FA3">
              <w:rPr>
                <w:b/>
                <w:sz w:val="20"/>
                <w:szCs w:val="20"/>
              </w:rPr>
              <w:t>16 465 447</w:t>
            </w:r>
          </w:p>
        </w:tc>
        <w:tc>
          <w:tcPr>
            <w:tcW w:w="595"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tcPr>
          <w:p w:rsidR="00EF4FA3" w:rsidRPr="00EF4FA3" w:rsidRDefault="00EF4FA3" w:rsidP="00EF4FA3">
            <w:pPr>
              <w:jc w:val="right"/>
              <w:rPr>
                <w:b/>
                <w:sz w:val="20"/>
                <w:szCs w:val="20"/>
              </w:rPr>
            </w:pPr>
            <w:r w:rsidRPr="00EF4FA3">
              <w:rPr>
                <w:b/>
                <w:sz w:val="20"/>
                <w:szCs w:val="20"/>
              </w:rPr>
              <w:t>31 120 940</w:t>
            </w:r>
          </w:p>
        </w:tc>
        <w:tc>
          <w:tcPr>
            <w:tcW w:w="579"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tcPr>
          <w:p w:rsidR="00EF4FA3" w:rsidRPr="00EF4FA3" w:rsidRDefault="00EF4FA3" w:rsidP="00EF4FA3">
            <w:pPr>
              <w:jc w:val="right"/>
              <w:rPr>
                <w:b/>
                <w:sz w:val="20"/>
                <w:szCs w:val="20"/>
              </w:rPr>
            </w:pPr>
            <w:r w:rsidRPr="00EF4FA3">
              <w:rPr>
                <w:b/>
                <w:sz w:val="20"/>
                <w:szCs w:val="20"/>
              </w:rPr>
              <w:t>36 987 132</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tcPr>
          <w:p w:rsidR="00EF4FA3" w:rsidRPr="00EF4FA3" w:rsidRDefault="00EF4FA3" w:rsidP="00EF4FA3">
            <w:pPr>
              <w:jc w:val="right"/>
              <w:rPr>
                <w:b/>
                <w:sz w:val="20"/>
                <w:szCs w:val="20"/>
              </w:rPr>
            </w:pPr>
            <w:r w:rsidRPr="00EF4FA3">
              <w:rPr>
                <w:b/>
                <w:sz w:val="20"/>
                <w:szCs w:val="20"/>
              </w:rPr>
              <w:t>29 471 860</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tcPr>
          <w:p w:rsidR="00EF4FA3" w:rsidRPr="00EF4FA3" w:rsidRDefault="00EF4FA3" w:rsidP="00EF4FA3">
            <w:pPr>
              <w:jc w:val="right"/>
              <w:rPr>
                <w:b/>
                <w:sz w:val="20"/>
                <w:szCs w:val="20"/>
              </w:rPr>
            </w:pPr>
            <w:r w:rsidRPr="00EF4FA3">
              <w:rPr>
                <w:b/>
                <w:sz w:val="20"/>
                <w:szCs w:val="20"/>
              </w:rPr>
              <w:t>25 013 218</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tcPr>
          <w:p w:rsidR="00EF4FA3" w:rsidRPr="00EF4FA3" w:rsidRDefault="00EF4FA3" w:rsidP="00EF4FA3">
            <w:pPr>
              <w:jc w:val="right"/>
              <w:rPr>
                <w:b/>
                <w:sz w:val="20"/>
                <w:szCs w:val="20"/>
              </w:rPr>
            </w:pPr>
            <w:r w:rsidRPr="00EF4FA3">
              <w:rPr>
                <w:b/>
                <w:sz w:val="20"/>
                <w:szCs w:val="20"/>
              </w:rPr>
              <w:t>25 529 869</w:t>
            </w:r>
          </w:p>
        </w:tc>
      </w:tr>
      <w:tr w:rsidR="00EF4FA3" w:rsidRPr="00B71E12" w:rsidTr="007C1F10">
        <w:trPr>
          <w:trHeight w:val="123"/>
        </w:trPr>
        <w:tc>
          <w:tcPr>
            <w:tcW w:w="1552" w:type="pct"/>
            <w:shd w:val="clear" w:color="auto" w:fill="C5E0B3" w:themeFill="accent6" w:themeFillTint="66"/>
            <w:tcMar>
              <w:left w:w="0" w:type="dxa"/>
              <w:right w:w="0" w:type="dxa"/>
            </w:tcMar>
          </w:tcPr>
          <w:p w:rsidR="006F2F1A" w:rsidRPr="008548B1" w:rsidRDefault="008548B1" w:rsidP="008548B1">
            <w:pPr>
              <w:jc w:val="both"/>
              <w:rPr>
                <w:rFonts w:cs="Times New Roman"/>
                <w:sz w:val="20"/>
                <w:szCs w:val="20"/>
              </w:rPr>
            </w:pPr>
            <w:r w:rsidRPr="008548B1">
              <w:rPr>
                <w:rFonts w:cs="Times New Roman"/>
                <w:sz w:val="20"/>
                <w:szCs w:val="20"/>
              </w:rPr>
              <w:t>Valsts</w:t>
            </w:r>
            <w:r>
              <w:rPr>
                <w:rFonts w:cs="Times New Roman"/>
                <w:sz w:val="20"/>
                <w:szCs w:val="20"/>
              </w:rPr>
              <w:t xml:space="preserve"> galvojums hipotekārajiem kredītiem dzīvojamās telpas iegādei vai būvniecībai ģimenēm ar bērniem (mājokļu programmas nodrošināšana)</w:t>
            </w:r>
            <w:r w:rsidRPr="008548B1">
              <w:rPr>
                <w:rFonts w:cs="Times New Roman"/>
                <w:sz w:val="20"/>
                <w:szCs w:val="20"/>
              </w:rPr>
              <w:t xml:space="preserve"> </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6F2F1A" w:rsidRPr="00B71E12" w:rsidRDefault="006F2F1A" w:rsidP="008548B1">
            <w:pPr>
              <w:ind w:left="-172" w:right="-136"/>
              <w:jc w:val="right"/>
              <w:rPr>
                <w:b/>
                <w:bCs/>
                <w:color w:val="000000"/>
                <w:sz w:val="20"/>
                <w:szCs w:val="20"/>
              </w:rPr>
            </w:pP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B71E12" w:rsidRDefault="006F2F1A" w:rsidP="008548B1">
            <w:pPr>
              <w:ind w:left="-172" w:right="-136"/>
              <w:jc w:val="right"/>
              <w:rPr>
                <w:b/>
                <w:bCs/>
                <w:color w:val="000000"/>
                <w:sz w:val="20"/>
                <w:szCs w:val="20"/>
              </w:rPr>
            </w:pP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B71E12" w:rsidRDefault="006F2F1A" w:rsidP="008548B1">
            <w:pPr>
              <w:ind w:left="-172" w:right="-136"/>
              <w:jc w:val="right"/>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B71E12" w:rsidRDefault="006F2F1A" w:rsidP="008548B1">
            <w:pPr>
              <w:ind w:left="-172" w:right="-136"/>
              <w:jc w:val="right"/>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8548B1" w:rsidRDefault="008548B1" w:rsidP="00AD538E">
            <w:pPr>
              <w:ind w:left="-172"/>
              <w:jc w:val="right"/>
              <w:rPr>
                <w:bCs/>
                <w:color w:val="000000"/>
                <w:sz w:val="20"/>
                <w:szCs w:val="20"/>
              </w:rPr>
            </w:pPr>
            <w:r w:rsidRPr="008548B1">
              <w:rPr>
                <w:bCs/>
                <w:color w:val="000000"/>
                <w:sz w:val="20"/>
                <w:szCs w:val="20"/>
              </w:rPr>
              <w:t>2 849 300</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6F2F1A" w:rsidRPr="00B71E12" w:rsidRDefault="006F2F1A" w:rsidP="008548B1">
            <w:pPr>
              <w:ind w:left="-172" w:right="-136"/>
              <w:jc w:val="right"/>
              <w:rPr>
                <w:b/>
                <w:bCs/>
                <w:color w:val="000000"/>
                <w:sz w:val="20"/>
                <w:szCs w:val="20"/>
              </w:rPr>
            </w:pPr>
          </w:p>
        </w:tc>
      </w:tr>
      <w:tr w:rsidR="00EF4FA3" w:rsidRPr="00B71E12" w:rsidTr="007C1F10">
        <w:trPr>
          <w:trHeight w:val="123"/>
        </w:trPr>
        <w:tc>
          <w:tcPr>
            <w:tcW w:w="1552" w:type="pct"/>
            <w:shd w:val="clear" w:color="auto" w:fill="C5E0B3" w:themeFill="accent6" w:themeFillTint="66"/>
            <w:tcMar>
              <w:left w:w="0" w:type="dxa"/>
              <w:right w:w="0" w:type="dxa"/>
            </w:tcMar>
          </w:tcPr>
          <w:p w:rsidR="006F2F1A" w:rsidRDefault="002C30F8" w:rsidP="00A04C20">
            <w:pPr>
              <w:jc w:val="right"/>
              <w:rPr>
                <w:rFonts w:cs="Times New Roman"/>
                <w:b/>
                <w:sz w:val="20"/>
                <w:szCs w:val="20"/>
              </w:rPr>
            </w:pPr>
            <w:r>
              <w:rPr>
                <w:rFonts w:cs="Times New Roman"/>
                <w:b/>
                <w:sz w:val="20"/>
                <w:szCs w:val="20"/>
              </w:rPr>
              <w:t>EM kopā:</w:t>
            </w:r>
          </w:p>
        </w:tc>
        <w:tc>
          <w:tcPr>
            <w:tcW w:w="539"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95"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79"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6F2F1A" w:rsidRPr="002C30F8" w:rsidRDefault="002C30F8" w:rsidP="002C30F8">
            <w:pPr>
              <w:ind w:left="-172"/>
              <w:jc w:val="right"/>
              <w:rPr>
                <w:b/>
                <w:bCs/>
                <w:color w:val="000000"/>
                <w:sz w:val="20"/>
                <w:szCs w:val="20"/>
              </w:rPr>
            </w:pPr>
            <w:r w:rsidRPr="002C30F8">
              <w:rPr>
                <w:b/>
                <w:bCs/>
                <w:color w:val="000000"/>
                <w:sz w:val="20"/>
                <w:szCs w:val="20"/>
              </w:rPr>
              <w:t>2 849 300</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6F2F1A" w:rsidRPr="00B71E12" w:rsidRDefault="006F2F1A" w:rsidP="00B71E12">
            <w:pPr>
              <w:ind w:left="-172" w:right="-136"/>
              <w:jc w:val="center"/>
              <w:rPr>
                <w:b/>
                <w:bCs/>
                <w:color w:val="000000"/>
                <w:sz w:val="20"/>
                <w:szCs w:val="20"/>
              </w:rPr>
            </w:pPr>
          </w:p>
        </w:tc>
      </w:tr>
      <w:tr w:rsidR="00EF4FA3" w:rsidRPr="00B71E12" w:rsidTr="007C1F10">
        <w:trPr>
          <w:trHeight w:val="123"/>
        </w:trPr>
        <w:tc>
          <w:tcPr>
            <w:tcW w:w="1552" w:type="pct"/>
            <w:shd w:val="clear" w:color="auto" w:fill="C5E0B3" w:themeFill="accent6" w:themeFillTint="66"/>
            <w:tcMar>
              <w:left w:w="0" w:type="dxa"/>
              <w:right w:w="0" w:type="dxa"/>
            </w:tcMar>
          </w:tcPr>
          <w:p w:rsidR="006F2F1A" w:rsidRPr="002C30F8" w:rsidRDefault="002C30F8" w:rsidP="002C30F8">
            <w:pPr>
              <w:jc w:val="both"/>
              <w:rPr>
                <w:rFonts w:cs="Times New Roman"/>
                <w:sz w:val="20"/>
                <w:szCs w:val="20"/>
              </w:rPr>
            </w:pPr>
            <w:r w:rsidRPr="002C30F8">
              <w:rPr>
                <w:rFonts w:cs="Times New Roman"/>
                <w:sz w:val="20"/>
                <w:szCs w:val="20"/>
              </w:rPr>
              <w:t>Daudzbērnu ģimenes kā jaunu pasažieru kategorija, kas ir tiesīga izmantot braukšanas maksas atvieglojumus starppilsētu sabiedriskajā transportā</w:t>
            </w:r>
          </w:p>
        </w:tc>
        <w:tc>
          <w:tcPr>
            <w:tcW w:w="53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95" w:type="pct"/>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79" w:type="pct"/>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6F2F1A" w:rsidRPr="00B71E12" w:rsidRDefault="006F2F1A" w:rsidP="00B71E12">
            <w:pPr>
              <w:ind w:left="-172" w:right="-136"/>
              <w:jc w:val="center"/>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6F2F1A" w:rsidRPr="002C30F8" w:rsidRDefault="002C30F8" w:rsidP="002C30F8">
            <w:pPr>
              <w:ind w:left="-172"/>
              <w:jc w:val="right"/>
              <w:rPr>
                <w:bCs/>
                <w:color w:val="000000"/>
                <w:sz w:val="20"/>
                <w:szCs w:val="20"/>
              </w:rPr>
            </w:pPr>
            <w:r w:rsidRPr="002C30F8">
              <w:rPr>
                <w:bCs/>
                <w:color w:val="000000"/>
                <w:sz w:val="20"/>
                <w:szCs w:val="20"/>
              </w:rPr>
              <w:t>1 700 000</w:t>
            </w:r>
          </w:p>
        </w:tc>
        <w:tc>
          <w:tcPr>
            <w:tcW w:w="578" w:type="pct"/>
            <w:tcBorders>
              <w:top w:val="single" w:sz="4" w:space="0" w:color="auto"/>
              <w:left w:val="nil"/>
              <w:bottom w:val="single" w:sz="4" w:space="0" w:color="auto"/>
              <w:right w:val="single" w:sz="4" w:space="0" w:color="auto"/>
            </w:tcBorders>
            <w:shd w:val="clear" w:color="auto" w:fill="auto"/>
            <w:tcMar>
              <w:left w:w="0" w:type="dxa"/>
              <w:right w:w="0" w:type="dxa"/>
            </w:tcMar>
            <w:vAlign w:val="bottom"/>
          </w:tcPr>
          <w:p w:rsidR="006F2F1A" w:rsidRPr="002C30F8" w:rsidRDefault="002C30F8" w:rsidP="002C30F8">
            <w:pPr>
              <w:ind w:left="-172" w:right="47"/>
              <w:jc w:val="right"/>
              <w:rPr>
                <w:bCs/>
                <w:color w:val="000000"/>
                <w:sz w:val="20"/>
                <w:szCs w:val="20"/>
              </w:rPr>
            </w:pPr>
            <w:r w:rsidRPr="002C30F8">
              <w:rPr>
                <w:bCs/>
                <w:color w:val="000000"/>
                <w:sz w:val="20"/>
                <w:szCs w:val="20"/>
              </w:rPr>
              <w:t>3 400 000</w:t>
            </w:r>
          </w:p>
        </w:tc>
      </w:tr>
      <w:tr w:rsidR="002C30F8" w:rsidRPr="00B71E12" w:rsidTr="007C1F10">
        <w:trPr>
          <w:trHeight w:val="123"/>
        </w:trPr>
        <w:tc>
          <w:tcPr>
            <w:tcW w:w="1552" w:type="pct"/>
            <w:shd w:val="clear" w:color="auto" w:fill="C5E0B3" w:themeFill="accent6" w:themeFillTint="66"/>
            <w:tcMar>
              <w:left w:w="0" w:type="dxa"/>
              <w:right w:w="0" w:type="dxa"/>
            </w:tcMar>
          </w:tcPr>
          <w:p w:rsidR="002C30F8" w:rsidRPr="002C30F8" w:rsidRDefault="002C30F8" w:rsidP="002C30F8">
            <w:pPr>
              <w:jc w:val="right"/>
              <w:rPr>
                <w:rFonts w:cs="Times New Roman"/>
                <w:b/>
                <w:sz w:val="20"/>
                <w:szCs w:val="20"/>
              </w:rPr>
            </w:pPr>
            <w:r w:rsidRPr="002C30F8">
              <w:rPr>
                <w:rFonts w:cs="Times New Roman"/>
                <w:b/>
                <w:sz w:val="20"/>
                <w:szCs w:val="20"/>
              </w:rPr>
              <w:t>SM kopā:</w:t>
            </w:r>
          </w:p>
        </w:tc>
        <w:tc>
          <w:tcPr>
            <w:tcW w:w="539" w:type="pct"/>
            <w:tcBorders>
              <w:top w:val="single" w:sz="4" w:space="0" w:color="auto"/>
              <w:left w:val="single" w:sz="4" w:space="0" w:color="auto"/>
              <w:bottom w:val="single" w:sz="4" w:space="0" w:color="auto"/>
              <w:right w:val="single" w:sz="4" w:space="0" w:color="auto"/>
            </w:tcBorders>
            <w:shd w:val="clear" w:color="auto" w:fill="C5E0B3" w:themeFill="accent6" w:themeFillTint="66"/>
            <w:tcMar>
              <w:left w:w="0" w:type="dxa"/>
              <w:right w:w="0" w:type="dxa"/>
            </w:tcMar>
            <w:vAlign w:val="bottom"/>
          </w:tcPr>
          <w:p w:rsidR="002C30F8" w:rsidRPr="002C30F8" w:rsidRDefault="002C30F8" w:rsidP="002C30F8">
            <w:pPr>
              <w:ind w:left="-172" w:right="-136"/>
              <w:jc w:val="center"/>
              <w:rPr>
                <w:b/>
                <w:bCs/>
                <w:color w:val="000000"/>
                <w:sz w:val="20"/>
                <w:szCs w:val="20"/>
              </w:rPr>
            </w:pPr>
          </w:p>
        </w:tc>
        <w:tc>
          <w:tcPr>
            <w:tcW w:w="595"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2C30F8" w:rsidRPr="002C30F8" w:rsidRDefault="002C30F8" w:rsidP="002C30F8">
            <w:pPr>
              <w:ind w:left="-172" w:right="-136"/>
              <w:jc w:val="center"/>
              <w:rPr>
                <w:b/>
                <w:bCs/>
                <w:color w:val="000000"/>
                <w:sz w:val="20"/>
                <w:szCs w:val="20"/>
              </w:rPr>
            </w:pPr>
          </w:p>
        </w:tc>
        <w:tc>
          <w:tcPr>
            <w:tcW w:w="579"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2C30F8" w:rsidRPr="002C30F8" w:rsidRDefault="002C30F8" w:rsidP="002C30F8">
            <w:pPr>
              <w:ind w:left="-172" w:right="-136"/>
              <w:jc w:val="center"/>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2C30F8" w:rsidRPr="002C30F8" w:rsidRDefault="002C30F8" w:rsidP="002C30F8">
            <w:pPr>
              <w:ind w:left="-172" w:right="-136"/>
              <w:jc w:val="center"/>
              <w:rPr>
                <w:b/>
                <w:bCs/>
                <w:color w:val="000000"/>
                <w:sz w:val="20"/>
                <w:szCs w:val="20"/>
              </w:rPr>
            </w:pP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2C30F8" w:rsidRPr="002C30F8" w:rsidRDefault="002C30F8" w:rsidP="002C30F8">
            <w:pPr>
              <w:ind w:left="-172"/>
              <w:jc w:val="right"/>
              <w:rPr>
                <w:b/>
                <w:bCs/>
                <w:color w:val="000000"/>
                <w:sz w:val="20"/>
                <w:szCs w:val="20"/>
              </w:rPr>
            </w:pPr>
            <w:r w:rsidRPr="002C30F8">
              <w:rPr>
                <w:b/>
                <w:bCs/>
                <w:color w:val="000000"/>
                <w:sz w:val="20"/>
                <w:szCs w:val="20"/>
              </w:rPr>
              <w:t>1 700 000</w:t>
            </w:r>
          </w:p>
        </w:tc>
        <w:tc>
          <w:tcPr>
            <w:tcW w:w="578" w:type="pct"/>
            <w:tcBorders>
              <w:top w:val="single" w:sz="4" w:space="0" w:color="auto"/>
              <w:left w:val="nil"/>
              <w:bottom w:val="single" w:sz="4" w:space="0" w:color="auto"/>
              <w:right w:val="single" w:sz="4" w:space="0" w:color="auto"/>
            </w:tcBorders>
            <w:shd w:val="clear" w:color="auto" w:fill="C5E0B3" w:themeFill="accent6" w:themeFillTint="66"/>
            <w:tcMar>
              <w:left w:w="0" w:type="dxa"/>
              <w:right w:w="0" w:type="dxa"/>
            </w:tcMar>
            <w:vAlign w:val="bottom"/>
          </w:tcPr>
          <w:p w:rsidR="002C30F8" w:rsidRPr="002C30F8" w:rsidRDefault="002C30F8" w:rsidP="002C30F8">
            <w:pPr>
              <w:ind w:left="-172" w:right="47"/>
              <w:jc w:val="right"/>
              <w:rPr>
                <w:b/>
                <w:bCs/>
                <w:color w:val="000000"/>
                <w:sz w:val="20"/>
                <w:szCs w:val="20"/>
              </w:rPr>
            </w:pPr>
            <w:r w:rsidRPr="002C30F8">
              <w:rPr>
                <w:b/>
                <w:bCs/>
                <w:color w:val="000000"/>
                <w:sz w:val="20"/>
                <w:szCs w:val="20"/>
              </w:rPr>
              <w:t>3 400 000</w:t>
            </w:r>
          </w:p>
        </w:tc>
      </w:tr>
    </w:tbl>
    <w:p w:rsidR="00B71E12" w:rsidRDefault="00B71E12" w:rsidP="002C30F8">
      <w:pPr>
        <w:autoSpaceDE w:val="0"/>
        <w:autoSpaceDN w:val="0"/>
        <w:adjustRightInd w:val="0"/>
        <w:spacing w:before="120" w:after="120"/>
        <w:ind w:firstLine="720"/>
        <w:jc w:val="both"/>
        <w:rPr>
          <w:rFonts w:cs="Times New Roman"/>
          <w:szCs w:val="24"/>
        </w:rPr>
      </w:pPr>
      <w:r w:rsidRPr="00AE0147">
        <w:rPr>
          <w:rFonts w:cs="Times New Roman"/>
          <w:szCs w:val="24"/>
        </w:rPr>
        <w:t>Aicinām LM izvērtēt ar papildu piešķirto finansējumu atbalstīto pasākumu sasaisti ar sasniegt</w:t>
      </w:r>
      <w:r>
        <w:rPr>
          <w:rFonts w:cs="Times New Roman"/>
          <w:szCs w:val="24"/>
        </w:rPr>
        <w:t>ajiem</w:t>
      </w:r>
      <w:r w:rsidRPr="00AE0147">
        <w:rPr>
          <w:rFonts w:cs="Times New Roman"/>
          <w:szCs w:val="24"/>
        </w:rPr>
        <w:t xml:space="preserve"> </w:t>
      </w:r>
      <w:r w:rsidRPr="00BF292C">
        <w:rPr>
          <w:rFonts w:cs="Times New Roman"/>
          <w:szCs w:val="24"/>
        </w:rPr>
        <w:t>rezultāt</w:t>
      </w:r>
      <w:r>
        <w:rPr>
          <w:rFonts w:cs="Times New Roman"/>
          <w:szCs w:val="24"/>
        </w:rPr>
        <w:t>iem</w:t>
      </w:r>
      <w:r w:rsidRPr="00BF292C">
        <w:rPr>
          <w:rFonts w:cs="Times New Roman"/>
          <w:szCs w:val="24"/>
        </w:rPr>
        <w:t xml:space="preserve"> demogrāfiskās situācijas uzlabošanā, novērtējot papildu ieguldītā finansējuma efektu uz konkrētiem </w:t>
      </w:r>
      <w:r>
        <w:rPr>
          <w:rFonts w:cs="Times New Roman"/>
          <w:szCs w:val="24"/>
        </w:rPr>
        <w:t xml:space="preserve">demogrāfijas jomas </w:t>
      </w:r>
      <w:r w:rsidRPr="00BF292C">
        <w:rPr>
          <w:rFonts w:cs="Times New Roman"/>
          <w:szCs w:val="24"/>
        </w:rPr>
        <w:t>mērķa rezultatīvajiem rādītājiem.</w:t>
      </w:r>
    </w:p>
    <w:p w:rsidR="00B71E12" w:rsidRDefault="00B71E12" w:rsidP="00B71E12">
      <w:pPr>
        <w:autoSpaceDE w:val="0"/>
        <w:autoSpaceDN w:val="0"/>
        <w:adjustRightInd w:val="0"/>
        <w:spacing w:after="120"/>
        <w:ind w:firstLine="720"/>
        <w:jc w:val="both"/>
        <w:rPr>
          <w:rFonts w:cs="Times New Roman"/>
          <w:szCs w:val="24"/>
        </w:rPr>
      </w:pPr>
      <w:r>
        <w:rPr>
          <w:rFonts w:cs="Times New Roman"/>
          <w:szCs w:val="24"/>
        </w:rPr>
        <w:t>No nozares politikas veidošanas viedokļa</w:t>
      </w:r>
      <w:r w:rsidRPr="00BF292C">
        <w:rPr>
          <w:rFonts w:cs="Times New Roman"/>
          <w:szCs w:val="24"/>
        </w:rPr>
        <w:t xml:space="preserve"> aicinām </w:t>
      </w:r>
      <w:r>
        <w:rPr>
          <w:rFonts w:cs="Times New Roman"/>
          <w:szCs w:val="24"/>
        </w:rPr>
        <w:t>pārskatīt</w:t>
      </w:r>
      <w:r w:rsidRPr="00BF292C">
        <w:rPr>
          <w:rFonts w:cs="Times New Roman"/>
          <w:szCs w:val="24"/>
        </w:rPr>
        <w:t xml:space="preserve">, vai vecākiem, lemjot par labu ģimenes </w:t>
      </w:r>
      <w:r>
        <w:rPr>
          <w:rFonts w:cs="Times New Roman"/>
          <w:szCs w:val="24"/>
        </w:rPr>
        <w:t>pieaugumam</w:t>
      </w:r>
      <w:r w:rsidRPr="00BF292C">
        <w:rPr>
          <w:rFonts w:cs="Times New Roman"/>
          <w:szCs w:val="24"/>
        </w:rPr>
        <w:t xml:space="preserve">, </w:t>
      </w:r>
      <w:r>
        <w:rPr>
          <w:rFonts w:cs="Times New Roman"/>
          <w:szCs w:val="24"/>
        </w:rPr>
        <w:t xml:space="preserve">noteicošie pamata faktori ir augstāk minēto pabalstu </w:t>
      </w:r>
      <w:r w:rsidRPr="00BF292C">
        <w:rPr>
          <w:rFonts w:cs="Times New Roman"/>
          <w:szCs w:val="24"/>
        </w:rPr>
        <w:t>apm</w:t>
      </w:r>
      <w:r>
        <w:rPr>
          <w:rFonts w:cs="Times New Roman"/>
          <w:szCs w:val="24"/>
        </w:rPr>
        <w:t xml:space="preserve">ēri, </w:t>
      </w:r>
      <w:r w:rsidRPr="00BF292C">
        <w:rPr>
          <w:rFonts w:cs="Times New Roman"/>
          <w:szCs w:val="24"/>
        </w:rPr>
        <w:t xml:space="preserve">vai </w:t>
      </w:r>
      <w:r>
        <w:rPr>
          <w:rFonts w:cs="Times New Roman"/>
          <w:szCs w:val="24"/>
        </w:rPr>
        <w:t xml:space="preserve">arī </w:t>
      </w:r>
      <w:r w:rsidRPr="00BF292C">
        <w:rPr>
          <w:rFonts w:cs="Times New Roman"/>
          <w:szCs w:val="24"/>
        </w:rPr>
        <w:t>tomēr lielāka loma ir iedzīvotāju dzīves</w:t>
      </w:r>
      <w:r>
        <w:rPr>
          <w:rFonts w:cs="Times New Roman"/>
          <w:szCs w:val="24"/>
        </w:rPr>
        <w:t xml:space="preserve"> līmeņa kāpumam</w:t>
      </w:r>
      <w:r w:rsidRPr="00BF292C">
        <w:rPr>
          <w:rFonts w:cs="Times New Roman"/>
          <w:szCs w:val="24"/>
        </w:rPr>
        <w:t>, tai skaitā</w:t>
      </w:r>
      <w:r>
        <w:rPr>
          <w:rFonts w:cs="Times New Roman"/>
          <w:szCs w:val="24"/>
        </w:rPr>
        <w:t>:</w:t>
      </w:r>
    </w:p>
    <w:p w:rsidR="00B71E12" w:rsidRPr="00D4465A" w:rsidRDefault="00B71E12" w:rsidP="008C25BB">
      <w:pPr>
        <w:pStyle w:val="ListParagraph"/>
        <w:numPr>
          <w:ilvl w:val="0"/>
          <w:numId w:val="30"/>
        </w:numPr>
        <w:autoSpaceDE w:val="0"/>
        <w:autoSpaceDN w:val="0"/>
        <w:adjustRightInd w:val="0"/>
        <w:spacing w:after="120"/>
        <w:contextualSpacing w:val="0"/>
        <w:jc w:val="both"/>
        <w:rPr>
          <w:rFonts w:cs="Times New Roman"/>
          <w:color w:val="000000"/>
          <w:szCs w:val="24"/>
        </w:rPr>
      </w:pPr>
      <w:r>
        <w:rPr>
          <w:rFonts w:cs="Times New Roman"/>
          <w:szCs w:val="24"/>
        </w:rPr>
        <w:t>vecāku</w:t>
      </w:r>
      <w:r w:rsidRPr="00B76ADC">
        <w:rPr>
          <w:rFonts w:cs="Times New Roman"/>
          <w:szCs w:val="24"/>
        </w:rPr>
        <w:t xml:space="preserve"> izglītības līmenis;</w:t>
      </w:r>
    </w:p>
    <w:p w:rsidR="00B71E12" w:rsidRDefault="00B71E12" w:rsidP="008C25BB">
      <w:pPr>
        <w:pStyle w:val="ListParagraph"/>
        <w:numPr>
          <w:ilvl w:val="0"/>
          <w:numId w:val="30"/>
        </w:numPr>
        <w:autoSpaceDE w:val="0"/>
        <w:autoSpaceDN w:val="0"/>
        <w:adjustRightInd w:val="0"/>
        <w:spacing w:after="120"/>
        <w:contextualSpacing w:val="0"/>
        <w:jc w:val="both"/>
        <w:rPr>
          <w:rFonts w:cs="Times New Roman"/>
          <w:color w:val="000000"/>
          <w:szCs w:val="24"/>
        </w:rPr>
      </w:pPr>
      <w:r w:rsidRPr="00B76ADC">
        <w:rPr>
          <w:rFonts w:cs="Times New Roman"/>
          <w:color w:val="000000"/>
          <w:szCs w:val="24"/>
        </w:rPr>
        <w:t>vidējās algas pieaugums</w:t>
      </w:r>
      <w:r>
        <w:rPr>
          <w:rFonts w:cs="Times New Roman"/>
          <w:color w:val="000000"/>
          <w:szCs w:val="24"/>
        </w:rPr>
        <w:t>;</w:t>
      </w:r>
    </w:p>
    <w:p w:rsidR="00B71E12" w:rsidRPr="00D4465A" w:rsidRDefault="00B71E12" w:rsidP="008C25BB">
      <w:pPr>
        <w:pStyle w:val="ListParagraph"/>
        <w:numPr>
          <w:ilvl w:val="0"/>
          <w:numId w:val="30"/>
        </w:numPr>
        <w:autoSpaceDE w:val="0"/>
        <w:autoSpaceDN w:val="0"/>
        <w:adjustRightInd w:val="0"/>
        <w:spacing w:after="120"/>
        <w:contextualSpacing w:val="0"/>
        <w:jc w:val="both"/>
        <w:rPr>
          <w:rFonts w:cs="Times New Roman"/>
          <w:color w:val="000000"/>
          <w:szCs w:val="24"/>
        </w:rPr>
      </w:pPr>
      <w:r w:rsidRPr="00B76ADC">
        <w:rPr>
          <w:rFonts w:cs="Times New Roman"/>
          <w:color w:val="000000"/>
          <w:szCs w:val="24"/>
        </w:rPr>
        <w:t xml:space="preserve">augošs </w:t>
      </w:r>
      <w:r>
        <w:rPr>
          <w:rFonts w:cs="Times New Roman"/>
          <w:szCs w:val="24"/>
        </w:rPr>
        <w:t>nodarbinātības līmenis;</w:t>
      </w:r>
    </w:p>
    <w:p w:rsidR="00B71E12" w:rsidRPr="00744D55" w:rsidRDefault="00B71E12" w:rsidP="008C25BB">
      <w:pPr>
        <w:pStyle w:val="ListParagraph"/>
        <w:numPr>
          <w:ilvl w:val="0"/>
          <w:numId w:val="30"/>
        </w:numPr>
        <w:autoSpaceDE w:val="0"/>
        <w:autoSpaceDN w:val="0"/>
        <w:adjustRightInd w:val="0"/>
        <w:spacing w:after="120"/>
        <w:contextualSpacing w:val="0"/>
        <w:jc w:val="both"/>
        <w:rPr>
          <w:rFonts w:cs="Times New Roman"/>
          <w:color w:val="000000"/>
          <w:szCs w:val="24"/>
        </w:rPr>
      </w:pPr>
      <w:r>
        <w:rPr>
          <w:rFonts w:cs="Times New Roman"/>
          <w:szCs w:val="24"/>
        </w:rPr>
        <w:t xml:space="preserve">vispārēja </w:t>
      </w:r>
      <w:r w:rsidRPr="00B76ADC">
        <w:rPr>
          <w:rFonts w:cs="Times New Roman"/>
          <w:szCs w:val="24"/>
        </w:rPr>
        <w:t>tautsaimniecības izaugsme</w:t>
      </w:r>
      <w:r>
        <w:rPr>
          <w:rFonts w:cs="Times New Roman"/>
          <w:szCs w:val="24"/>
        </w:rPr>
        <w:t xml:space="preserve"> </w:t>
      </w:r>
      <w:r w:rsidRPr="00B76ADC">
        <w:rPr>
          <w:rFonts w:cs="Times New Roman"/>
          <w:szCs w:val="24"/>
        </w:rPr>
        <w:t>un citi sociāli ekonomiskie faktori.</w:t>
      </w:r>
    </w:p>
    <w:p w:rsidR="00D71489" w:rsidRPr="00D71489" w:rsidRDefault="00B71E12" w:rsidP="00C73D62">
      <w:pPr>
        <w:spacing w:after="120"/>
        <w:ind w:firstLine="720"/>
        <w:jc w:val="both"/>
        <w:rPr>
          <w:rFonts w:eastAsia="Times New Roman" w:cs="Times New Roman"/>
          <w:color w:val="000000"/>
          <w:szCs w:val="24"/>
          <w:lang w:eastAsia="lv-LV"/>
        </w:rPr>
      </w:pPr>
      <w:r>
        <w:rPr>
          <w:rFonts w:eastAsia="Times New Roman" w:cs="Times New Roman"/>
          <w:color w:val="000000"/>
          <w:szCs w:val="24"/>
          <w:lang w:eastAsia="lv-LV"/>
        </w:rPr>
        <w:t>SIF</w:t>
      </w:r>
      <w:r w:rsidR="00D71489" w:rsidRPr="00D71489">
        <w:rPr>
          <w:rFonts w:eastAsia="Times New Roman" w:cs="Times New Roman"/>
          <w:color w:val="000000"/>
          <w:szCs w:val="24"/>
          <w:lang w:eastAsia="lv-LV"/>
        </w:rPr>
        <w:t xml:space="preserve"> programmā 01.00.00 “Sabiedrības integrācijas fonda vadība” no 2013.gada piešķirts finansējums demogrāfijas pasākuma “Goda kartes daudzbērnu ģimenēm” īstenošanai 2013. – 2015.gadam ik gadu 142 287 </w:t>
      </w:r>
      <w:r w:rsidR="00D71489" w:rsidRPr="00D71489">
        <w:rPr>
          <w:rFonts w:eastAsia="Times New Roman" w:cs="Times New Roman"/>
          <w:i/>
          <w:color w:val="000000"/>
          <w:szCs w:val="24"/>
          <w:lang w:eastAsia="lv-LV"/>
        </w:rPr>
        <w:t>euro</w:t>
      </w:r>
      <w:r w:rsidR="00D71489" w:rsidRPr="00D71489">
        <w:rPr>
          <w:rFonts w:eastAsia="Times New Roman" w:cs="Times New Roman"/>
          <w:color w:val="000000"/>
          <w:szCs w:val="24"/>
          <w:lang w:eastAsia="lv-LV"/>
        </w:rPr>
        <w:t xml:space="preserve"> apmērā, 2016.gadam 162 370 </w:t>
      </w:r>
      <w:r w:rsidR="00D71489" w:rsidRPr="00D71489">
        <w:rPr>
          <w:rFonts w:eastAsia="Times New Roman" w:cs="Times New Roman"/>
          <w:i/>
          <w:color w:val="000000"/>
          <w:szCs w:val="24"/>
          <w:lang w:eastAsia="lv-LV"/>
        </w:rPr>
        <w:t>euro</w:t>
      </w:r>
      <w:r w:rsidR="00D71489" w:rsidRPr="00D71489">
        <w:rPr>
          <w:rFonts w:eastAsia="Times New Roman" w:cs="Times New Roman"/>
          <w:color w:val="000000"/>
          <w:szCs w:val="24"/>
          <w:lang w:eastAsia="lv-LV"/>
        </w:rPr>
        <w:t xml:space="preserve"> apmērā, 2017.gadā un ik gadu 160 870 </w:t>
      </w:r>
      <w:r w:rsidR="00D71489" w:rsidRPr="00D71489">
        <w:rPr>
          <w:rFonts w:eastAsia="Times New Roman" w:cs="Times New Roman"/>
          <w:i/>
          <w:color w:val="000000"/>
          <w:szCs w:val="24"/>
          <w:lang w:eastAsia="lv-LV"/>
        </w:rPr>
        <w:t>euro</w:t>
      </w:r>
      <w:r w:rsidR="00D71489" w:rsidRPr="00D71489">
        <w:rPr>
          <w:rFonts w:eastAsia="Times New Roman" w:cs="Times New Roman"/>
          <w:color w:val="000000"/>
          <w:szCs w:val="24"/>
          <w:lang w:eastAsia="lv-LV"/>
        </w:rPr>
        <w:t xml:space="preserve"> apmērā.  </w:t>
      </w:r>
    </w:p>
    <w:p w:rsidR="00D71489" w:rsidRPr="00D71489" w:rsidRDefault="00D71489" w:rsidP="00C73D62">
      <w:pPr>
        <w:pStyle w:val="ListParagraph"/>
        <w:spacing w:after="120"/>
        <w:ind w:left="0" w:firstLine="720"/>
        <w:contextualSpacing w:val="0"/>
        <w:jc w:val="both"/>
        <w:rPr>
          <w:rFonts w:eastAsia="Times New Roman" w:cs="Times New Roman"/>
          <w:color w:val="000000"/>
          <w:szCs w:val="24"/>
          <w:lang w:eastAsia="lv-LV"/>
        </w:rPr>
      </w:pPr>
      <w:r w:rsidRPr="00D71489">
        <w:rPr>
          <w:rFonts w:eastAsia="Times New Roman" w:cs="Times New Roman"/>
          <w:color w:val="000000"/>
          <w:szCs w:val="24"/>
          <w:lang w:eastAsia="lv-LV"/>
        </w:rPr>
        <w:t>Latvijas Goda ģimenes apliecība “3+ Ģimenes karte” (turpmāk – Ģimenes karte) ir valsts veidota atbalsta programma daudzbērnu ģimenēm. Šīs kartes īpašniekiem ir iespēja saņemt atlaides, izmantojot pakalpojumus, kurus piedāvā valsts un privātie uzņēmumi Latvijā.</w:t>
      </w:r>
    </w:p>
    <w:p w:rsidR="00D71489" w:rsidRPr="00D71489" w:rsidRDefault="00D71489" w:rsidP="00C73D62">
      <w:pPr>
        <w:pStyle w:val="ListParagraph"/>
        <w:spacing w:after="120"/>
        <w:ind w:left="0" w:firstLine="720"/>
        <w:contextualSpacing w:val="0"/>
        <w:jc w:val="both"/>
        <w:rPr>
          <w:rFonts w:eastAsia="Times New Roman" w:cs="Times New Roman"/>
          <w:color w:val="000000"/>
          <w:szCs w:val="24"/>
          <w:lang w:eastAsia="lv-LV"/>
        </w:rPr>
      </w:pPr>
      <w:r w:rsidRPr="00D71489">
        <w:rPr>
          <w:rFonts w:eastAsia="Times New Roman" w:cs="Times New Roman"/>
          <w:color w:val="000000"/>
          <w:szCs w:val="24"/>
          <w:lang w:eastAsia="lv-LV"/>
        </w:rPr>
        <w:t xml:space="preserve">Veicot izpēti, ir secināts, ka vairumā gadījumu Ģimenes kartes atlaides nesniedz īpašākas privilēģijas salīdzinājumā ar pakalpojumu sniedzēju </w:t>
      </w:r>
      <w:r w:rsidRPr="00D71489">
        <w:t>lojalitātes (atlaižu) kartēm</w:t>
      </w:r>
      <w:r w:rsidRPr="00D71489">
        <w:rPr>
          <w:rFonts w:eastAsia="Times New Roman" w:cs="Times New Roman"/>
          <w:color w:val="000000"/>
          <w:szCs w:val="24"/>
          <w:lang w:eastAsia="lv-LV"/>
        </w:rPr>
        <w:t xml:space="preserve">. Piemēram, </w:t>
      </w:r>
      <w:r w:rsidRPr="00D71489">
        <w:rPr>
          <w:rFonts w:cs="Times New Roman"/>
        </w:rPr>
        <w:t xml:space="preserve">uzrādot Ģimenes karti, J.Rozes grāmatnīcās tiek piedāvāta 15% atlaide kancelejas precēm. Savukārt J.Rozes grāmatnīcas </w:t>
      </w:r>
      <w:r w:rsidRPr="00D71489">
        <w:rPr>
          <w:rFonts w:cs="Times New Roman"/>
          <w:bCs/>
        </w:rPr>
        <w:t>klienta karte dod iespēju iegādāties preces (visas!) ar 10% atlaidi, kā arī saņemt īpašos piedāvājumus gan grāmatnīcās, gan pie sadarbības partneriem.</w:t>
      </w:r>
    </w:p>
    <w:p w:rsidR="00D71489" w:rsidRPr="00D71489" w:rsidRDefault="00D71489" w:rsidP="00C73D62">
      <w:pPr>
        <w:pStyle w:val="ListParagraph"/>
        <w:spacing w:after="120"/>
        <w:ind w:left="0" w:firstLine="720"/>
        <w:contextualSpacing w:val="0"/>
        <w:jc w:val="both"/>
        <w:rPr>
          <w:rFonts w:eastAsia="Times New Roman" w:cs="Times New Roman"/>
          <w:color w:val="000000"/>
          <w:szCs w:val="24"/>
          <w:lang w:eastAsia="lv-LV"/>
        </w:rPr>
      </w:pPr>
      <w:r w:rsidRPr="00D71489">
        <w:rPr>
          <w:rFonts w:cs="Times New Roman"/>
        </w:rPr>
        <w:t xml:space="preserve">Līdzīgi arī veikalos “Lāčuks”, uzrādot Ģimenes karti, tiek piešķirta 10% atlaide pirkumiem, bet vienlaikus veikala akcijas piedāvā lielākas atlaides līdz pat 30% no preču cenām visiem pircējiem. Tāpat arī </w:t>
      </w:r>
      <w:r w:rsidRPr="00D71489">
        <w:rPr>
          <w:rFonts w:cs="Times New Roman"/>
          <w:szCs w:val="24"/>
        </w:rPr>
        <w:t xml:space="preserve">SIA "RIMPEKS KP" </w:t>
      </w:r>
      <w:r w:rsidRPr="00D71489">
        <w:rPr>
          <w:rFonts w:cs="Times New Roman"/>
        </w:rPr>
        <w:t>piedāvā, uzrādot Ģimenes karti, 35% skolas un kancelejas precēm Rimpeks lielveikalā, bet visiem pircējiem, piemēram, piedāvā</w:t>
      </w:r>
      <w:r w:rsidRPr="00D71489">
        <w:rPr>
          <w:rFonts w:cs="Times New Roman"/>
          <w:szCs w:val="24"/>
        </w:rPr>
        <w:t xml:space="preserve"> 40% atlaidi Oxford bloknotiem!</w:t>
      </w:r>
    </w:p>
    <w:p w:rsidR="00D71489" w:rsidRPr="00D71489" w:rsidRDefault="00D71489" w:rsidP="00C73D62">
      <w:pPr>
        <w:pStyle w:val="ListParagraph"/>
        <w:spacing w:after="120"/>
        <w:ind w:left="0" w:firstLine="720"/>
        <w:contextualSpacing w:val="0"/>
        <w:jc w:val="both"/>
      </w:pPr>
      <w:r w:rsidRPr="00D71489">
        <w:rPr>
          <w:rFonts w:eastAsia="Times New Roman" w:cs="Times New Roman"/>
          <w:color w:val="000000"/>
          <w:szCs w:val="24"/>
          <w:lang w:eastAsia="lv-LV"/>
        </w:rPr>
        <w:t xml:space="preserve">Pakalpojumu sniedzēju </w:t>
      </w:r>
      <w:r w:rsidRPr="00D71489">
        <w:t xml:space="preserve">lojalitātes (atlaižu) kartes ir izdevīgas, jo uzņēmumi piedāvā ne tikai atlaides, bet sniedz iespēju uzkrāt punktus apmaiņā pret precēm, bonusiem vai balvām, kā arī veido īpašas akcijas vai personalizētus piedāvājumus klientiem, ņemot vērā viņu ikdienas </w:t>
      </w:r>
      <w:r w:rsidRPr="00D71489">
        <w:lastRenderedPageBreak/>
        <w:t xml:space="preserve">iepirkšanās paradumus. Līdz ar to </w:t>
      </w:r>
      <w:r w:rsidRPr="00D71489">
        <w:rPr>
          <w:rFonts w:eastAsia="Times New Roman" w:cs="Times New Roman"/>
          <w:color w:val="000000"/>
          <w:szCs w:val="24"/>
          <w:lang w:eastAsia="lv-LV"/>
        </w:rPr>
        <w:t>pakalpojumu sniedzēju lojalitātes (atlaižu) kartēm ir salīdzinoši lielākas priekšrocības kā Ģimenes kartēm.</w:t>
      </w:r>
    </w:p>
    <w:p w:rsidR="00D71489" w:rsidRPr="00D71489" w:rsidRDefault="00D71489" w:rsidP="00C73D62">
      <w:pPr>
        <w:pStyle w:val="ListParagraph"/>
        <w:spacing w:after="120"/>
        <w:ind w:left="0" w:firstLine="720"/>
        <w:contextualSpacing w:val="0"/>
        <w:jc w:val="both"/>
        <w:rPr>
          <w:rFonts w:cs="Times New Roman"/>
          <w:szCs w:val="24"/>
        </w:rPr>
      </w:pPr>
      <w:r w:rsidRPr="00D71489">
        <w:rPr>
          <w:rFonts w:cs="Times New Roman"/>
          <w:szCs w:val="24"/>
        </w:rPr>
        <w:t>Vienlaikus Ģimenes karte arī neatvieglo mājsaimniecību regulāros izdevumus, jo, piemēram, Latvenergo nodrošina atbalstu bez Ģimenes kartes daudzbērnu ģimenēm, sniedzot iespēju katru mēnesi par patērēto elektroenerģiju un sadales sistēmas pakalpojumiem maksāt zemāku maksu.</w:t>
      </w:r>
    </w:p>
    <w:p w:rsidR="001B1487" w:rsidRDefault="00D71489" w:rsidP="00C73D62">
      <w:pPr>
        <w:pStyle w:val="ListParagraph"/>
        <w:spacing w:after="120"/>
        <w:ind w:left="0" w:firstLine="720"/>
        <w:contextualSpacing w:val="0"/>
        <w:jc w:val="both"/>
        <w:rPr>
          <w:rFonts w:eastAsia="Times New Roman" w:cs="Times New Roman"/>
          <w:color w:val="000000"/>
          <w:szCs w:val="24"/>
          <w:lang w:eastAsia="lv-LV"/>
        </w:rPr>
      </w:pPr>
      <w:r w:rsidRPr="00D71489">
        <w:rPr>
          <w:rFonts w:cs="Times New Roman"/>
          <w:szCs w:val="24"/>
        </w:rPr>
        <w:t xml:space="preserve">Izvērtējot piešķirtā finansējuma izlietojuma struktūru (2016.gadā no kopējiem izdevumiem 1,2% veido izdevumi karšu izgatavošanai, bet 45,9% – informatīvai kampaņai) uzskatām, ka ir pārskatāma piešķirtā finansējuma lietderība, </w:t>
      </w:r>
      <w:r w:rsidRPr="00D71489">
        <w:rPr>
          <w:rFonts w:eastAsia="Times New Roman" w:cs="Times New Roman"/>
          <w:color w:val="000000"/>
          <w:szCs w:val="24"/>
          <w:lang w:eastAsia="lv-LV"/>
        </w:rPr>
        <w:t xml:space="preserve">“Goda kartes daudzbērnu ģimenēm” īstenošanai plānoto finansējumu 160 870 </w:t>
      </w:r>
      <w:r w:rsidRPr="00D71489">
        <w:rPr>
          <w:rFonts w:eastAsia="Times New Roman" w:cs="Times New Roman"/>
          <w:i/>
          <w:color w:val="000000"/>
          <w:szCs w:val="24"/>
          <w:lang w:eastAsia="lv-LV"/>
        </w:rPr>
        <w:t>euro</w:t>
      </w:r>
      <w:r w:rsidRPr="00D71489">
        <w:rPr>
          <w:rFonts w:eastAsia="Times New Roman" w:cs="Times New Roman"/>
          <w:color w:val="000000"/>
          <w:szCs w:val="24"/>
          <w:lang w:eastAsia="lv-LV"/>
        </w:rPr>
        <w:t xml:space="preserve"> novirzot aktuālāku pasākumu īstenošanai.</w:t>
      </w:r>
    </w:p>
    <w:p w:rsidR="001B1487" w:rsidRPr="00D61729" w:rsidRDefault="00DA0167" w:rsidP="001B1487">
      <w:pPr>
        <w:spacing w:after="120"/>
        <w:jc w:val="both"/>
        <w:rPr>
          <w:rFonts w:cs="Times New Roman"/>
          <w:b/>
          <w:bCs/>
        </w:rPr>
      </w:pPr>
      <w:r>
        <w:rPr>
          <w:rStyle w:val="Strong"/>
          <w:rFonts w:cs="Times New Roman"/>
        </w:rPr>
        <w:t>2</w:t>
      </w:r>
      <w:r w:rsidR="00E512B2">
        <w:rPr>
          <w:rStyle w:val="Strong"/>
          <w:rFonts w:cs="Times New Roman"/>
        </w:rPr>
        <w:t>. Rīcības plāna</w:t>
      </w:r>
      <w:r w:rsidR="001B1487">
        <w:rPr>
          <w:rStyle w:val="Strong"/>
          <w:rFonts w:cs="Times New Roman"/>
        </w:rPr>
        <w:t xml:space="preserve"> personu, kurām nepieciešamas starptautiskās aizsardzības, pārvietošanai un uzņemšanai Latvijā ietvaros piešķirtais finansējums prioritārajiem pasākumiem</w:t>
      </w:r>
    </w:p>
    <w:p w:rsidR="00D71489" w:rsidRPr="00A06438" w:rsidRDefault="005D733F" w:rsidP="005D733F">
      <w:pPr>
        <w:ind w:firstLine="720"/>
        <w:jc w:val="both"/>
        <w:rPr>
          <w:rFonts w:cs="Times New Roman"/>
          <w:szCs w:val="24"/>
        </w:rPr>
      </w:pPr>
      <w:r>
        <w:rPr>
          <w:rFonts w:cs="Times New Roman"/>
          <w:szCs w:val="24"/>
        </w:rPr>
        <w:t>Pamatojoties uz MK 2015.gada 2.decembra rīkojumu Nr.759 “</w:t>
      </w:r>
      <w:r w:rsidRPr="005D733F">
        <w:rPr>
          <w:rFonts w:cs="Times New Roman"/>
          <w:szCs w:val="24"/>
        </w:rPr>
        <w:t>Rīcības plāns personu, kurām nepieciešama starptautiskā aizsardzība, pārv</w:t>
      </w:r>
      <w:r>
        <w:rPr>
          <w:rFonts w:cs="Times New Roman"/>
          <w:szCs w:val="24"/>
        </w:rPr>
        <w:t>ietošanai un uzņemšanai Latvijā”</w:t>
      </w:r>
      <w:r w:rsidR="00E512B2">
        <w:rPr>
          <w:rFonts w:cs="Times New Roman"/>
          <w:szCs w:val="24"/>
        </w:rPr>
        <w:t>,</w:t>
      </w:r>
      <w:r>
        <w:rPr>
          <w:rFonts w:cs="Times New Roman"/>
          <w:szCs w:val="24"/>
        </w:rPr>
        <w:t xml:space="preserve"> neatliekamo pasākumu 2016.-2018.gadam ietvaros piešķirts papildu finansējums </w:t>
      </w:r>
      <w:r w:rsidR="00E512B2">
        <w:rPr>
          <w:rFonts w:cs="Times New Roman"/>
          <w:szCs w:val="24"/>
        </w:rPr>
        <w:t xml:space="preserve">IeM, IZM, </w:t>
      </w:r>
      <w:r w:rsidR="00E512B2" w:rsidRPr="00A06438">
        <w:rPr>
          <w:rFonts w:cs="Times New Roman"/>
          <w:szCs w:val="24"/>
        </w:rPr>
        <w:t xml:space="preserve">LM, TM un KM </w:t>
      </w:r>
      <w:r w:rsidRPr="00A06438">
        <w:rPr>
          <w:rFonts w:cs="Times New Roman"/>
          <w:szCs w:val="24"/>
        </w:rPr>
        <w:t>2016. un 2017.gadam r</w:t>
      </w:r>
      <w:r w:rsidR="00E512B2" w:rsidRPr="00A06438">
        <w:rPr>
          <w:rFonts w:cs="Times New Roman"/>
          <w:szCs w:val="24"/>
        </w:rPr>
        <w:t>īcības plānā “P</w:t>
      </w:r>
      <w:r w:rsidRPr="00A06438">
        <w:rPr>
          <w:rFonts w:cs="Times New Roman"/>
          <w:szCs w:val="24"/>
        </w:rPr>
        <w:t>ersonu, kurām nepieciešama starptautiskā aizsardzība, pārvietošanai un uzņemšanai Latvijā</w:t>
      </w:r>
      <w:r w:rsidR="00E512B2" w:rsidRPr="00A06438">
        <w:rPr>
          <w:rFonts w:cs="Times New Roman"/>
          <w:szCs w:val="24"/>
        </w:rPr>
        <w:t>”</w:t>
      </w:r>
      <w:r w:rsidRPr="00A06438">
        <w:rPr>
          <w:rFonts w:cs="Times New Roman"/>
          <w:szCs w:val="24"/>
        </w:rPr>
        <w:t xml:space="preserve"> minēto pasākumu nodrošināšanai (</w:t>
      </w:r>
      <w:r w:rsidR="00D61729" w:rsidRPr="00A06438">
        <w:rPr>
          <w:rFonts w:cs="Times New Roman"/>
          <w:szCs w:val="24"/>
        </w:rPr>
        <w:t>skat. tabulu Nr.</w:t>
      </w:r>
      <w:r w:rsidR="00A06438" w:rsidRPr="00A06438">
        <w:rPr>
          <w:rFonts w:cs="Times New Roman"/>
          <w:szCs w:val="24"/>
        </w:rPr>
        <w:t>3.</w:t>
      </w:r>
      <w:r w:rsidR="00DA0167">
        <w:rPr>
          <w:rFonts w:cs="Times New Roman"/>
          <w:szCs w:val="24"/>
        </w:rPr>
        <w:t>49</w:t>
      </w:r>
      <w:r w:rsidR="00D86274">
        <w:rPr>
          <w:rFonts w:cs="Times New Roman"/>
          <w:szCs w:val="24"/>
        </w:rPr>
        <w:t>.</w:t>
      </w:r>
      <w:r w:rsidRPr="00A06438">
        <w:rPr>
          <w:rFonts w:cs="Times New Roman"/>
          <w:szCs w:val="24"/>
        </w:rPr>
        <w:t>).</w:t>
      </w:r>
    </w:p>
    <w:p w:rsidR="008626E0" w:rsidRPr="00A06438" w:rsidRDefault="00A06438" w:rsidP="00A06438">
      <w:pPr>
        <w:spacing w:before="120"/>
        <w:jc w:val="right"/>
        <w:rPr>
          <w:rFonts w:cs="Times New Roman"/>
          <w:bCs/>
          <w:szCs w:val="24"/>
        </w:rPr>
      </w:pPr>
      <w:r w:rsidRPr="00A06438">
        <w:rPr>
          <w:rFonts w:cs="Times New Roman"/>
          <w:bCs/>
          <w:szCs w:val="24"/>
        </w:rPr>
        <w:t>Tabula Nr.3.</w:t>
      </w:r>
      <w:r w:rsidR="00DA0167">
        <w:rPr>
          <w:rFonts w:cs="Times New Roman"/>
          <w:bCs/>
          <w:szCs w:val="24"/>
        </w:rPr>
        <w:t>49</w:t>
      </w:r>
      <w:r w:rsidR="00D86274">
        <w:rPr>
          <w:rFonts w:cs="Times New Roman"/>
          <w:bCs/>
          <w:szCs w:val="24"/>
        </w:rPr>
        <w:t>.</w:t>
      </w:r>
    </w:p>
    <w:p w:rsidR="008626E0" w:rsidRPr="008626E0" w:rsidRDefault="004240F3" w:rsidP="00A06438">
      <w:pPr>
        <w:spacing w:before="120" w:after="120"/>
        <w:jc w:val="center"/>
        <w:rPr>
          <w:rFonts w:cs="Times New Roman"/>
          <w:b/>
          <w:bCs/>
          <w:i/>
          <w:szCs w:val="24"/>
        </w:rPr>
      </w:pPr>
      <w:r w:rsidRPr="00A06438">
        <w:rPr>
          <w:rFonts w:cs="Times New Roman"/>
          <w:b/>
          <w:bCs/>
          <w:szCs w:val="24"/>
        </w:rPr>
        <w:t>Rīcības plāna personu, kurām nepieciešama starptautiskā aizsardzība, pārvietošanai un</w:t>
      </w:r>
      <w:r w:rsidRPr="004240F3">
        <w:rPr>
          <w:rFonts w:cs="Times New Roman"/>
          <w:b/>
          <w:bCs/>
          <w:szCs w:val="24"/>
        </w:rPr>
        <w:t xml:space="preserve"> uzņemšanai Latvijā</w:t>
      </w:r>
      <w:r>
        <w:rPr>
          <w:rFonts w:cs="Times New Roman"/>
          <w:b/>
          <w:bCs/>
          <w:szCs w:val="24"/>
        </w:rPr>
        <w:t xml:space="preserve"> ietvaros piešķirtais finansējums prioritārajiem pasākumiem</w:t>
      </w:r>
      <w:r w:rsidR="008626E0" w:rsidRPr="004240F3">
        <w:rPr>
          <w:rFonts w:cs="Times New Roman"/>
          <w:b/>
          <w:bCs/>
          <w:szCs w:val="24"/>
        </w:rPr>
        <w:t xml:space="preserve"> </w:t>
      </w:r>
      <w:r w:rsidR="008626E0" w:rsidRPr="00D60000">
        <w:rPr>
          <w:rFonts w:cs="Times New Roman"/>
          <w:b/>
          <w:bCs/>
          <w:i/>
          <w:szCs w:val="24"/>
        </w:rPr>
        <w:t>euro</w:t>
      </w:r>
    </w:p>
    <w:tbl>
      <w:tblPr>
        <w:tblW w:w="5000" w:type="pct"/>
        <w:tblCellMar>
          <w:left w:w="0" w:type="dxa"/>
          <w:right w:w="0" w:type="dxa"/>
        </w:tblCellMar>
        <w:tblLook w:val="0600" w:firstRow="0" w:lastRow="0" w:firstColumn="0" w:lastColumn="0" w:noHBand="1" w:noVBand="1"/>
      </w:tblPr>
      <w:tblGrid>
        <w:gridCol w:w="4108"/>
        <w:gridCol w:w="989"/>
        <w:gridCol w:w="989"/>
        <w:gridCol w:w="989"/>
        <w:gridCol w:w="988"/>
        <w:gridCol w:w="988"/>
      </w:tblGrid>
      <w:tr w:rsidR="00BE3DB3" w:rsidRPr="008626E0" w:rsidTr="00D61729">
        <w:trPr>
          <w:trHeight w:val="227"/>
          <w:tblHeader/>
        </w:trPr>
        <w:tc>
          <w:tcPr>
            <w:tcW w:w="226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center"/>
              <w:textAlignment w:val="bottom"/>
              <w:rPr>
                <w:sz w:val="22"/>
                <w:szCs w:val="22"/>
              </w:rPr>
            </w:pPr>
            <w:r w:rsidRPr="008626E0">
              <w:rPr>
                <w:b/>
                <w:bCs/>
                <w:color w:val="000000"/>
                <w:kern w:val="24"/>
                <w:sz w:val="22"/>
                <w:szCs w:val="22"/>
              </w:rPr>
              <w:t>Pasākuma nosaukums</w:t>
            </w:r>
          </w:p>
        </w:tc>
        <w:tc>
          <w:tcPr>
            <w:tcW w:w="54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center"/>
              <w:textAlignment w:val="bottom"/>
              <w:rPr>
                <w:sz w:val="22"/>
                <w:szCs w:val="22"/>
              </w:rPr>
            </w:pPr>
            <w:r w:rsidRPr="008626E0">
              <w:rPr>
                <w:b/>
                <w:bCs/>
                <w:color w:val="000000"/>
                <w:kern w:val="24"/>
                <w:sz w:val="22"/>
                <w:szCs w:val="22"/>
              </w:rPr>
              <w:t>2016</w:t>
            </w:r>
          </w:p>
        </w:tc>
        <w:tc>
          <w:tcPr>
            <w:tcW w:w="546" w:type="pct"/>
            <w:tcBorders>
              <w:top w:val="single" w:sz="4" w:space="0" w:color="000000"/>
              <w:left w:val="single" w:sz="4" w:space="0" w:color="000000"/>
              <w:bottom w:val="single" w:sz="4" w:space="0" w:color="000000"/>
              <w:right w:val="single" w:sz="12" w:space="0" w:color="auto"/>
            </w:tcBorders>
            <w:shd w:val="clear" w:color="auto" w:fill="C5E0B3" w:themeFill="accent6" w:themeFillTint="66"/>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center"/>
              <w:textAlignment w:val="bottom"/>
              <w:rPr>
                <w:sz w:val="22"/>
                <w:szCs w:val="22"/>
              </w:rPr>
            </w:pPr>
            <w:r w:rsidRPr="008626E0">
              <w:rPr>
                <w:b/>
                <w:bCs/>
                <w:color w:val="000000"/>
                <w:kern w:val="24"/>
                <w:sz w:val="22"/>
                <w:szCs w:val="22"/>
              </w:rPr>
              <w:t>2017</w:t>
            </w:r>
          </w:p>
        </w:tc>
        <w:tc>
          <w:tcPr>
            <w:tcW w:w="546" w:type="pct"/>
            <w:tcBorders>
              <w:top w:val="single" w:sz="12" w:space="0" w:color="auto"/>
              <w:left w:val="single" w:sz="12" w:space="0" w:color="auto"/>
              <w:bottom w:val="single" w:sz="4" w:space="0" w:color="auto"/>
              <w:right w:val="single" w:sz="4" w:space="0" w:color="auto"/>
            </w:tcBorders>
            <w:shd w:val="clear" w:color="auto" w:fill="C5E0B3" w:themeFill="accent6" w:themeFillTint="66"/>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center"/>
              <w:textAlignment w:val="bottom"/>
              <w:rPr>
                <w:sz w:val="22"/>
                <w:szCs w:val="22"/>
              </w:rPr>
            </w:pPr>
            <w:r w:rsidRPr="008626E0">
              <w:rPr>
                <w:b/>
                <w:bCs/>
                <w:color w:val="000000"/>
                <w:kern w:val="24"/>
                <w:sz w:val="22"/>
                <w:szCs w:val="22"/>
              </w:rPr>
              <w:t>2018</w:t>
            </w:r>
          </w:p>
        </w:tc>
        <w:tc>
          <w:tcPr>
            <w:tcW w:w="546" w:type="pct"/>
            <w:tcBorders>
              <w:top w:val="single" w:sz="12" w:space="0" w:color="auto"/>
              <w:left w:val="single" w:sz="4" w:space="0" w:color="auto"/>
              <w:bottom w:val="single" w:sz="4" w:space="0" w:color="auto"/>
              <w:right w:val="single" w:sz="4" w:space="0" w:color="auto"/>
            </w:tcBorders>
            <w:shd w:val="clear" w:color="auto" w:fill="C5E0B3" w:themeFill="accent6" w:themeFillTint="66"/>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center"/>
              <w:textAlignment w:val="bottom"/>
              <w:rPr>
                <w:sz w:val="22"/>
                <w:szCs w:val="22"/>
              </w:rPr>
            </w:pPr>
            <w:r w:rsidRPr="008626E0">
              <w:rPr>
                <w:b/>
                <w:bCs/>
                <w:color w:val="000000"/>
                <w:kern w:val="24"/>
                <w:sz w:val="22"/>
                <w:szCs w:val="22"/>
              </w:rPr>
              <w:t>2019</w:t>
            </w:r>
          </w:p>
        </w:tc>
        <w:tc>
          <w:tcPr>
            <w:tcW w:w="546" w:type="pct"/>
            <w:tcBorders>
              <w:top w:val="single" w:sz="12" w:space="0" w:color="auto"/>
              <w:left w:val="single" w:sz="4" w:space="0" w:color="auto"/>
              <w:bottom w:val="single" w:sz="4" w:space="0" w:color="auto"/>
              <w:right w:val="single" w:sz="12" w:space="0" w:color="000000" w:themeColor="text1"/>
            </w:tcBorders>
            <w:shd w:val="clear" w:color="auto" w:fill="C5E0B3" w:themeFill="accent6" w:themeFillTint="66"/>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center"/>
              <w:textAlignment w:val="bottom"/>
              <w:rPr>
                <w:sz w:val="22"/>
                <w:szCs w:val="22"/>
              </w:rPr>
            </w:pPr>
            <w:r w:rsidRPr="008626E0">
              <w:rPr>
                <w:b/>
                <w:bCs/>
                <w:color w:val="000000"/>
                <w:kern w:val="24"/>
                <w:sz w:val="22"/>
                <w:szCs w:val="22"/>
              </w:rPr>
              <w:t>2020</w:t>
            </w:r>
          </w:p>
        </w:tc>
      </w:tr>
      <w:tr w:rsidR="008626E0" w:rsidRPr="008626E0" w:rsidTr="00BE3DB3">
        <w:trPr>
          <w:trHeight w:val="290"/>
        </w:trPr>
        <w:tc>
          <w:tcPr>
            <w:tcW w:w="226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bottom"/>
            <w:hideMark/>
          </w:tcPr>
          <w:p w:rsidR="008626E0" w:rsidRPr="008626E0" w:rsidRDefault="008626E0" w:rsidP="008626E0">
            <w:pPr>
              <w:pStyle w:val="NormalWeb"/>
              <w:spacing w:before="0" w:beforeAutospacing="0" w:after="0" w:afterAutospacing="0"/>
              <w:jc w:val="right"/>
              <w:textAlignment w:val="bottom"/>
              <w:rPr>
                <w:sz w:val="22"/>
                <w:szCs w:val="22"/>
              </w:rPr>
            </w:pPr>
            <w:r>
              <w:rPr>
                <w:b/>
                <w:bCs/>
                <w:color w:val="000000"/>
                <w:kern w:val="24"/>
                <w:sz w:val="22"/>
                <w:szCs w:val="22"/>
              </w:rPr>
              <w:t>IeM</w:t>
            </w:r>
            <w:r w:rsidRPr="008626E0">
              <w:rPr>
                <w:b/>
                <w:bCs/>
                <w:color w:val="000000"/>
                <w:kern w:val="24"/>
                <w:sz w:val="22"/>
                <w:szCs w:val="22"/>
              </w:rPr>
              <w:t xml:space="preserve"> kopā:</w:t>
            </w:r>
          </w:p>
        </w:tc>
        <w:tc>
          <w:tcPr>
            <w:tcW w:w="5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pStyle w:val="NormalWeb"/>
              <w:spacing w:before="0" w:beforeAutospacing="0" w:after="0" w:afterAutospacing="0"/>
              <w:jc w:val="right"/>
              <w:textAlignment w:val="bottom"/>
              <w:rPr>
                <w:sz w:val="22"/>
                <w:szCs w:val="22"/>
              </w:rPr>
            </w:pPr>
            <w:r w:rsidRPr="008626E0">
              <w:rPr>
                <w:b/>
                <w:bCs/>
                <w:color w:val="000000"/>
                <w:kern w:val="24"/>
                <w:sz w:val="22"/>
                <w:szCs w:val="22"/>
              </w:rPr>
              <w:t>963 311</w:t>
            </w:r>
          </w:p>
        </w:tc>
        <w:tc>
          <w:tcPr>
            <w:tcW w:w="546" w:type="pct"/>
            <w:tcBorders>
              <w:top w:val="single" w:sz="4" w:space="0" w:color="000000"/>
              <w:left w:val="single" w:sz="4" w:space="0" w:color="000000"/>
              <w:bottom w:val="single" w:sz="4" w:space="0" w:color="000000"/>
              <w:right w:val="single" w:sz="12"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pStyle w:val="NormalWeb"/>
              <w:spacing w:before="0" w:beforeAutospacing="0" w:after="0" w:afterAutospacing="0"/>
              <w:jc w:val="right"/>
              <w:textAlignment w:val="bottom"/>
              <w:rPr>
                <w:sz w:val="22"/>
                <w:szCs w:val="22"/>
              </w:rPr>
            </w:pPr>
            <w:r w:rsidRPr="008626E0">
              <w:rPr>
                <w:b/>
                <w:bCs/>
                <w:color w:val="000000"/>
                <w:kern w:val="24"/>
                <w:sz w:val="22"/>
                <w:szCs w:val="22"/>
              </w:rPr>
              <w:t>1 423 427</w:t>
            </w:r>
          </w:p>
        </w:tc>
        <w:tc>
          <w:tcPr>
            <w:tcW w:w="546" w:type="pct"/>
            <w:tcBorders>
              <w:top w:val="single" w:sz="4" w:space="0" w:color="auto"/>
              <w:left w:val="single" w:sz="12"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right"/>
              <w:rPr>
                <w:rFonts w:cs="Times New Roman"/>
                <w:b/>
                <w:sz w:val="22"/>
              </w:rPr>
            </w:pPr>
            <w:r w:rsidRPr="008626E0">
              <w:rPr>
                <w:rFonts w:cs="Times New Roman"/>
                <w:b/>
                <w:sz w:val="22"/>
              </w:rPr>
              <w:t>882 868</w:t>
            </w:r>
          </w:p>
        </w:tc>
        <w:tc>
          <w:tcPr>
            <w:tcW w:w="546" w:type="pct"/>
            <w:tcBorders>
              <w:top w:val="single" w:sz="4" w:space="0" w:color="auto"/>
              <w:left w:val="single" w:sz="4"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right"/>
              <w:rPr>
                <w:rFonts w:cs="Times New Roman"/>
                <w:b/>
                <w:sz w:val="22"/>
              </w:rPr>
            </w:pPr>
            <w:r w:rsidRPr="008626E0">
              <w:rPr>
                <w:rFonts w:cs="Times New Roman"/>
                <w:b/>
                <w:sz w:val="22"/>
              </w:rPr>
              <w:t>882 868</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right"/>
              <w:rPr>
                <w:rFonts w:cs="Times New Roman"/>
                <w:b/>
                <w:sz w:val="22"/>
              </w:rPr>
            </w:pPr>
            <w:r w:rsidRPr="008626E0">
              <w:rPr>
                <w:rFonts w:cs="Times New Roman"/>
                <w:b/>
                <w:sz w:val="22"/>
              </w:rPr>
              <w:t>882 868</w:t>
            </w:r>
          </w:p>
        </w:tc>
      </w:tr>
      <w:tr w:rsidR="008626E0" w:rsidRPr="008626E0" w:rsidTr="00BE3DB3">
        <w:trPr>
          <w:trHeight w:val="290"/>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 xml:space="preserve">16 amata vietas </w:t>
            </w:r>
            <w:r w:rsidR="00454F95" w:rsidRPr="00454F95">
              <w:rPr>
                <w:color w:val="000000"/>
                <w:kern w:val="24"/>
                <w:sz w:val="22"/>
                <w:szCs w:val="22"/>
              </w:rPr>
              <w:t>Pilsonības un migrācijas lietu pārvaldē</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293 208</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282 030</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282 030</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282 030</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282 030</w:t>
            </w:r>
          </w:p>
        </w:tc>
      </w:tr>
      <w:tr w:rsidR="008626E0" w:rsidRPr="008626E0" w:rsidTr="00BE3DB3">
        <w:trPr>
          <w:trHeight w:val="227"/>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25 amata vietas Valsts Robežsardzē</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274 842</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438 529</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438 529</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438 529</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438 529</w:t>
            </w:r>
          </w:p>
        </w:tc>
      </w:tr>
      <w:tr w:rsidR="008626E0" w:rsidRPr="008626E0" w:rsidTr="00BE3DB3">
        <w:trPr>
          <w:trHeight w:val="227"/>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 xml:space="preserve">Lēmuma par bēgļa vai alternatīvā statusa piešķiršanu pieņemšana </w:t>
            </w:r>
            <w:r w:rsidRPr="008626E0">
              <w:rPr>
                <w:color w:val="C00000"/>
                <w:kern w:val="24"/>
                <w:sz w:val="22"/>
                <w:szCs w:val="22"/>
              </w:rPr>
              <w:t>(pabalsti)</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98 078</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447 163</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r>
      <w:tr w:rsidR="008626E0" w:rsidRPr="008626E0" w:rsidTr="00BE3DB3">
        <w:trPr>
          <w:trHeight w:val="521"/>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Personas nodrošināšana ar uztura, higiēnas un pirmās nepieciešamības precēm</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180 600</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93 396</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r>
      <w:tr w:rsidR="008626E0" w:rsidRPr="008626E0" w:rsidTr="00BE3DB3">
        <w:trPr>
          <w:trHeight w:val="264"/>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Drošības pasākumu koordinācija un nodrošināšana</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116 583</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162 309</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162 309</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162 309</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162 309</w:t>
            </w:r>
          </w:p>
        </w:tc>
      </w:tr>
      <w:tr w:rsidR="008626E0" w:rsidRPr="008626E0" w:rsidTr="00BE3DB3">
        <w:trPr>
          <w:trHeight w:val="214"/>
        </w:trPr>
        <w:tc>
          <w:tcPr>
            <w:tcW w:w="226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right"/>
              <w:textAlignment w:val="bottom"/>
              <w:rPr>
                <w:sz w:val="22"/>
                <w:szCs w:val="22"/>
              </w:rPr>
            </w:pPr>
            <w:r>
              <w:rPr>
                <w:b/>
                <w:bCs/>
                <w:color w:val="000000"/>
                <w:kern w:val="24"/>
                <w:sz w:val="22"/>
                <w:szCs w:val="22"/>
              </w:rPr>
              <w:t>IZM</w:t>
            </w:r>
            <w:r w:rsidRPr="008626E0">
              <w:rPr>
                <w:b/>
                <w:bCs/>
                <w:color w:val="000000"/>
                <w:kern w:val="24"/>
                <w:sz w:val="22"/>
                <w:szCs w:val="22"/>
              </w:rPr>
              <w:t xml:space="preserve"> kopā:</w:t>
            </w:r>
          </w:p>
        </w:tc>
        <w:tc>
          <w:tcPr>
            <w:tcW w:w="5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596 315</w:t>
            </w:r>
          </w:p>
        </w:tc>
        <w:tc>
          <w:tcPr>
            <w:tcW w:w="546" w:type="pct"/>
            <w:tcBorders>
              <w:top w:val="single" w:sz="4" w:space="0" w:color="000000"/>
              <w:left w:val="single" w:sz="4" w:space="0" w:color="000000"/>
              <w:bottom w:val="single" w:sz="4" w:space="0" w:color="000000"/>
              <w:right w:val="single" w:sz="12"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512 307</w:t>
            </w:r>
          </w:p>
        </w:tc>
        <w:tc>
          <w:tcPr>
            <w:tcW w:w="546" w:type="pct"/>
            <w:tcBorders>
              <w:top w:val="single" w:sz="4" w:space="0" w:color="auto"/>
              <w:left w:val="single" w:sz="12"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r>
      <w:tr w:rsidR="008626E0" w:rsidRPr="008626E0" w:rsidTr="00BE3DB3">
        <w:trPr>
          <w:trHeight w:val="185"/>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Izglītības ieguves nodrošināšana</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596 315</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512 307</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r>
      <w:tr w:rsidR="008626E0" w:rsidRPr="008626E0" w:rsidTr="00BE3DB3">
        <w:trPr>
          <w:trHeight w:val="289"/>
        </w:trPr>
        <w:tc>
          <w:tcPr>
            <w:tcW w:w="226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right"/>
              <w:textAlignment w:val="bottom"/>
              <w:rPr>
                <w:sz w:val="22"/>
                <w:szCs w:val="22"/>
              </w:rPr>
            </w:pPr>
            <w:r>
              <w:rPr>
                <w:b/>
                <w:bCs/>
                <w:color w:val="000000"/>
                <w:kern w:val="24"/>
                <w:sz w:val="22"/>
                <w:szCs w:val="22"/>
              </w:rPr>
              <w:t>LM</w:t>
            </w:r>
            <w:r w:rsidRPr="008626E0">
              <w:rPr>
                <w:b/>
                <w:bCs/>
                <w:color w:val="000000"/>
                <w:kern w:val="24"/>
                <w:sz w:val="22"/>
                <w:szCs w:val="22"/>
              </w:rPr>
              <w:t xml:space="preserve"> kopā:</w:t>
            </w:r>
          </w:p>
        </w:tc>
        <w:tc>
          <w:tcPr>
            <w:tcW w:w="5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222 499</w:t>
            </w:r>
          </w:p>
        </w:tc>
        <w:tc>
          <w:tcPr>
            <w:tcW w:w="546" w:type="pct"/>
            <w:tcBorders>
              <w:top w:val="single" w:sz="4" w:space="0" w:color="000000"/>
              <w:left w:val="single" w:sz="4" w:space="0" w:color="000000"/>
              <w:bottom w:val="single" w:sz="4" w:space="0" w:color="000000"/>
              <w:right w:val="single" w:sz="12"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232 247</w:t>
            </w:r>
          </w:p>
        </w:tc>
        <w:tc>
          <w:tcPr>
            <w:tcW w:w="546" w:type="pct"/>
            <w:tcBorders>
              <w:top w:val="single" w:sz="4" w:space="0" w:color="auto"/>
              <w:left w:val="single" w:sz="12"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172 622</w:t>
            </w:r>
          </w:p>
        </w:tc>
        <w:tc>
          <w:tcPr>
            <w:tcW w:w="546" w:type="pct"/>
            <w:tcBorders>
              <w:top w:val="single" w:sz="4" w:space="0" w:color="auto"/>
              <w:left w:val="single" w:sz="4"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172 622</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172 622</w:t>
            </w:r>
          </w:p>
        </w:tc>
      </w:tr>
      <w:tr w:rsidR="008626E0" w:rsidRPr="008626E0" w:rsidTr="00BE3DB3">
        <w:trPr>
          <w:trHeight w:val="630"/>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 xml:space="preserve">Sociālekonomiskā iekļaušanas ar nodarbinātības palīdzību nodrošināšana (izveidotas 10 amata vietas) </w:t>
            </w:r>
            <w:r w:rsidRPr="008626E0">
              <w:rPr>
                <w:color w:val="C00000"/>
                <w:kern w:val="24"/>
                <w:sz w:val="22"/>
                <w:szCs w:val="22"/>
              </w:rPr>
              <w:t>no 2018.gada 7 amata vietas</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222 499</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232 247</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172 622</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172 622</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172 622</w:t>
            </w:r>
          </w:p>
        </w:tc>
      </w:tr>
      <w:tr w:rsidR="008626E0" w:rsidRPr="008626E0" w:rsidTr="00BE3DB3">
        <w:trPr>
          <w:trHeight w:val="254"/>
        </w:trPr>
        <w:tc>
          <w:tcPr>
            <w:tcW w:w="226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right"/>
              <w:textAlignment w:val="bottom"/>
              <w:rPr>
                <w:sz w:val="22"/>
                <w:szCs w:val="22"/>
              </w:rPr>
            </w:pPr>
            <w:r>
              <w:rPr>
                <w:b/>
                <w:bCs/>
                <w:color w:val="000000"/>
                <w:kern w:val="24"/>
                <w:sz w:val="22"/>
                <w:szCs w:val="22"/>
              </w:rPr>
              <w:t>TM</w:t>
            </w:r>
            <w:r w:rsidRPr="008626E0">
              <w:rPr>
                <w:b/>
                <w:bCs/>
                <w:color w:val="000000"/>
                <w:kern w:val="24"/>
                <w:sz w:val="22"/>
                <w:szCs w:val="22"/>
              </w:rPr>
              <w:t xml:space="preserve"> kopā:</w:t>
            </w:r>
          </w:p>
        </w:tc>
        <w:tc>
          <w:tcPr>
            <w:tcW w:w="5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20 750</w:t>
            </w:r>
          </w:p>
        </w:tc>
        <w:tc>
          <w:tcPr>
            <w:tcW w:w="546" w:type="pct"/>
            <w:tcBorders>
              <w:top w:val="single" w:sz="4" w:space="0" w:color="000000"/>
              <w:left w:val="single" w:sz="4" w:space="0" w:color="000000"/>
              <w:bottom w:val="single" w:sz="4" w:space="0" w:color="000000"/>
              <w:right w:val="single" w:sz="12"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26 773</w:t>
            </w:r>
          </w:p>
        </w:tc>
        <w:tc>
          <w:tcPr>
            <w:tcW w:w="546" w:type="pct"/>
            <w:tcBorders>
              <w:top w:val="single" w:sz="4" w:space="0" w:color="auto"/>
              <w:left w:val="single" w:sz="12"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r>
      <w:tr w:rsidR="008626E0" w:rsidRPr="008626E0" w:rsidTr="00BE3DB3">
        <w:trPr>
          <w:trHeight w:val="567"/>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Lēmuma par atteikumu piešķirt bēgļa vai alternatīvā statusu pieņemšana (1 tiesneša palīga amata vieta)</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20 750</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26 773</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rsidP="008626E0">
            <w:pPr>
              <w:jc w:val="center"/>
              <w:rPr>
                <w:rFonts w:cs="Times New Roman"/>
                <w:sz w:val="22"/>
              </w:rPr>
            </w:pPr>
            <w:r>
              <w:rPr>
                <w:rFonts w:cs="Times New Roman"/>
                <w:sz w:val="22"/>
              </w:rPr>
              <w:t>-</w:t>
            </w:r>
          </w:p>
        </w:tc>
      </w:tr>
      <w:tr w:rsidR="008626E0" w:rsidRPr="008626E0" w:rsidTr="00BE3DB3">
        <w:trPr>
          <w:trHeight w:val="93"/>
        </w:trPr>
        <w:tc>
          <w:tcPr>
            <w:tcW w:w="2269"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right"/>
              <w:textAlignment w:val="bottom"/>
              <w:rPr>
                <w:sz w:val="22"/>
                <w:szCs w:val="22"/>
              </w:rPr>
            </w:pPr>
            <w:r>
              <w:rPr>
                <w:b/>
                <w:bCs/>
                <w:color w:val="000000"/>
                <w:kern w:val="24"/>
                <w:sz w:val="22"/>
                <w:szCs w:val="22"/>
              </w:rPr>
              <w:t>KM</w:t>
            </w:r>
            <w:r w:rsidRPr="008626E0">
              <w:rPr>
                <w:b/>
                <w:bCs/>
                <w:color w:val="000000"/>
                <w:kern w:val="24"/>
                <w:sz w:val="22"/>
                <w:szCs w:val="22"/>
              </w:rPr>
              <w:t xml:space="preserve"> kopā:</w:t>
            </w:r>
          </w:p>
        </w:tc>
        <w:tc>
          <w:tcPr>
            <w:tcW w:w="546" w:type="pct"/>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17 611</w:t>
            </w:r>
          </w:p>
        </w:tc>
        <w:tc>
          <w:tcPr>
            <w:tcW w:w="546" w:type="pct"/>
            <w:tcBorders>
              <w:top w:val="single" w:sz="4" w:space="0" w:color="000000"/>
              <w:left w:val="single" w:sz="4" w:space="0" w:color="000000"/>
              <w:bottom w:val="single" w:sz="4" w:space="0" w:color="000000"/>
              <w:right w:val="single" w:sz="12"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17 611</w:t>
            </w:r>
          </w:p>
        </w:tc>
        <w:tc>
          <w:tcPr>
            <w:tcW w:w="546" w:type="pct"/>
            <w:tcBorders>
              <w:top w:val="single" w:sz="4" w:space="0" w:color="auto"/>
              <w:left w:val="single" w:sz="12"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right"/>
              <w:rPr>
                <w:rFonts w:cs="Times New Roman"/>
                <w:b/>
                <w:sz w:val="22"/>
              </w:rPr>
            </w:pPr>
            <w:r w:rsidRPr="008626E0">
              <w:rPr>
                <w:rFonts w:cs="Times New Roman"/>
                <w:b/>
                <w:sz w:val="22"/>
              </w:rPr>
              <w:t xml:space="preserve">17 611 </w:t>
            </w:r>
          </w:p>
        </w:tc>
        <w:tc>
          <w:tcPr>
            <w:tcW w:w="546" w:type="pct"/>
            <w:tcBorders>
              <w:top w:val="single" w:sz="4" w:space="0" w:color="auto"/>
              <w:left w:val="single" w:sz="4" w:space="0" w:color="auto"/>
              <w:bottom w:val="single" w:sz="4" w:space="0" w:color="auto"/>
              <w:right w:val="single" w:sz="4" w:space="0" w:color="auto"/>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right"/>
              <w:rPr>
                <w:rFonts w:cs="Times New Roman"/>
                <w:b/>
                <w:sz w:val="22"/>
              </w:rPr>
            </w:pPr>
            <w:r w:rsidRPr="008626E0">
              <w:rPr>
                <w:rFonts w:cs="Times New Roman"/>
                <w:b/>
                <w:sz w:val="22"/>
              </w:rPr>
              <w:t xml:space="preserve">17 611 </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E2EFD9" w:themeFill="accent6" w:themeFillTint="33"/>
            <w:tcMar>
              <w:top w:w="15" w:type="dxa"/>
              <w:left w:w="15" w:type="dxa"/>
              <w:bottom w:w="0" w:type="dxa"/>
              <w:right w:w="15" w:type="dxa"/>
            </w:tcMar>
            <w:vAlign w:val="center"/>
            <w:hideMark/>
          </w:tcPr>
          <w:p w:rsidR="008626E0" w:rsidRPr="008626E0" w:rsidRDefault="008626E0" w:rsidP="008626E0">
            <w:pPr>
              <w:jc w:val="right"/>
              <w:rPr>
                <w:rFonts w:cs="Times New Roman"/>
                <w:b/>
                <w:sz w:val="22"/>
              </w:rPr>
            </w:pPr>
            <w:r w:rsidRPr="008626E0">
              <w:rPr>
                <w:rFonts w:cs="Times New Roman"/>
                <w:b/>
                <w:sz w:val="22"/>
              </w:rPr>
              <w:t>17 611</w:t>
            </w:r>
          </w:p>
        </w:tc>
      </w:tr>
      <w:tr w:rsidR="008626E0" w:rsidRPr="008626E0" w:rsidTr="00BE3DB3">
        <w:trPr>
          <w:trHeight w:val="567"/>
        </w:trPr>
        <w:tc>
          <w:tcPr>
            <w:tcW w:w="2269"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textAlignment w:val="bottom"/>
              <w:rPr>
                <w:sz w:val="22"/>
                <w:szCs w:val="22"/>
              </w:rPr>
            </w:pPr>
            <w:r w:rsidRPr="008626E0">
              <w:rPr>
                <w:color w:val="000000"/>
                <w:kern w:val="24"/>
                <w:sz w:val="22"/>
                <w:szCs w:val="22"/>
              </w:rPr>
              <w:t>Pasākumi pilsoniskās sabiedrības iesaistei, NVO līdzdarbības līgumu uzraudzība un koordinācija (1 amata vieta)</w:t>
            </w:r>
          </w:p>
        </w:tc>
        <w:tc>
          <w:tcPr>
            <w:tcW w:w="546" w:type="pct"/>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17 611</w:t>
            </w:r>
          </w:p>
        </w:tc>
        <w:tc>
          <w:tcPr>
            <w:tcW w:w="546" w:type="pct"/>
            <w:tcBorders>
              <w:top w:val="single" w:sz="4" w:space="0" w:color="000000"/>
              <w:left w:val="single" w:sz="4" w:space="0" w:color="000000"/>
              <w:bottom w:val="single" w:sz="4" w:space="0" w:color="000000"/>
              <w:right w:val="single" w:sz="12"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17 611</w:t>
            </w:r>
          </w:p>
        </w:tc>
        <w:tc>
          <w:tcPr>
            <w:tcW w:w="546" w:type="pct"/>
            <w:tcBorders>
              <w:top w:val="single" w:sz="4" w:space="0" w:color="auto"/>
              <w:left w:val="single" w:sz="12"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17 611</w:t>
            </w:r>
          </w:p>
        </w:tc>
        <w:tc>
          <w:tcPr>
            <w:tcW w:w="546"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17 611</w:t>
            </w:r>
          </w:p>
        </w:tc>
        <w:tc>
          <w:tcPr>
            <w:tcW w:w="546" w:type="pct"/>
            <w:tcBorders>
              <w:top w:val="single" w:sz="4" w:space="0" w:color="auto"/>
              <w:left w:val="single" w:sz="4" w:space="0" w:color="auto"/>
              <w:bottom w:val="single" w:sz="4" w:space="0" w:color="auto"/>
              <w:right w:val="single" w:sz="12" w:space="0" w:color="000000" w:themeColor="text1"/>
            </w:tcBorders>
            <w:shd w:val="clear" w:color="auto" w:fill="auto"/>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color w:val="000000"/>
                <w:kern w:val="24"/>
                <w:sz w:val="22"/>
                <w:szCs w:val="22"/>
              </w:rPr>
              <w:t>17 611</w:t>
            </w:r>
          </w:p>
        </w:tc>
      </w:tr>
      <w:tr w:rsidR="00BE3DB3" w:rsidRPr="00C17D32" w:rsidTr="00BE3DB3">
        <w:trPr>
          <w:trHeight w:val="244"/>
        </w:trPr>
        <w:tc>
          <w:tcPr>
            <w:tcW w:w="2269"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15" w:type="dxa"/>
              <w:left w:w="15" w:type="dxa"/>
              <w:bottom w:w="0" w:type="dxa"/>
              <w:right w:w="15" w:type="dxa"/>
            </w:tcMar>
            <w:vAlign w:val="bottom"/>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lastRenderedPageBreak/>
              <w:t>Kopā:</w:t>
            </w:r>
          </w:p>
        </w:tc>
        <w:tc>
          <w:tcPr>
            <w:tcW w:w="546"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1 820 486</w:t>
            </w:r>
          </w:p>
        </w:tc>
        <w:tc>
          <w:tcPr>
            <w:tcW w:w="546" w:type="pct"/>
            <w:tcBorders>
              <w:top w:val="single" w:sz="4" w:space="0" w:color="000000"/>
              <w:left w:val="single" w:sz="4" w:space="0" w:color="000000"/>
              <w:bottom w:val="single" w:sz="4" w:space="0" w:color="000000"/>
              <w:right w:val="single" w:sz="12" w:space="0" w:color="auto"/>
            </w:tcBorders>
            <w:shd w:val="clear" w:color="auto" w:fill="C5E0B3" w:themeFill="accent6" w:themeFillTint="66"/>
            <w:tcMar>
              <w:top w:w="15" w:type="dxa"/>
              <w:left w:w="15" w:type="dxa"/>
              <w:bottom w:w="0" w:type="dxa"/>
              <w:right w:w="15" w:type="dxa"/>
            </w:tcMar>
            <w:vAlign w:val="center"/>
            <w:hideMark/>
          </w:tcPr>
          <w:p w:rsidR="008626E0" w:rsidRPr="008626E0" w:rsidRDefault="008626E0">
            <w:pPr>
              <w:pStyle w:val="NormalWeb"/>
              <w:spacing w:before="0" w:beforeAutospacing="0" w:after="0" w:afterAutospacing="0"/>
              <w:jc w:val="right"/>
              <w:textAlignment w:val="bottom"/>
              <w:rPr>
                <w:sz w:val="22"/>
                <w:szCs w:val="22"/>
              </w:rPr>
            </w:pPr>
            <w:r w:rsidRPr="008626E0">
              <w:rPr>
                <w:b/>
                <w:bCs/>
                <w:color w:val="000000"/>
                <w:kern w:val="24"/>
                <w:sz w:val="22"/>
                <w:szCs w:val="22"/>
              </w:rPr>
              <w:t>2 212 365</w:t>
            </w:r>
          </w:p>
        </w:tc>
        <w:tc>
          <w:tcPr>
            <w:tcW w:w="546" w:type="pct"/>
            <w:tcBorders>
              <w:top w:val="single" w:sz="4" w:space="0" w:color="auto"/>
              <w:left w:val="single" w:sz="12" w:space="0" w:color="auto"/>
              <w:bottom w:val="single" w:sz="12" w:space="0" w:color="000000" w:themeColor="text1"/>
              <w:right w:val="single" w:sz="4" w:space="0" w:color="auto"/>
            </w:tcBorders>
            <w:shd w:val="clear" w:color="auto" w:fill="C5E0B3" w:themeFill="accent6" w:themeFillTint="66"/>
            <w:tcMar>
              <w:top w:w="15" w:type="dxa"/>
              <w:left w:w="15" w:type="dxa"/>
              <w:bottom w:w="0" w:type="dxa"/>
              <w:right w:w="15" w:type="dxa"/>
            </w:tcMar>
            <w:vAlign w:val="center"/>
            <w:hideMark/>
          </w:tcPr>
          <w:p w:rsidR="008626E0" w:rsidRPr="00C17D32" w:rsidRDefault="00C17D32" w:rsidP="00C17D32">
            <w:pPr>
              <w:jc w:val="right"/>
              <w:rPr>
                <w:rFonts w:cs="Times New Roman"/>
                <w:b/>
                <w:sz w:val="22"/>
              </w:rPr>
            </w:pPr>
            <w:r w:rsidRPr="00C17D32">
              <w:rPr>
                <w:rFonts w:cs="Times New Roman"/>
                <w:b/>
                <w:sz w:val="22"/>
              </w:rPr>
              <w:t>1 073 101</w:t>
            </w:r>
          </w:p>
        </w:tc>
        <w:tc>
          <w:tcPr>
            <w:tcW w:w="546" w:type="pct"/>
            <w:tcBorders>
              <w:top w:val="single" w:sz="4" w:space="0" w:color="auto"/>
              <w:left w:val="single" w:sz="4" w:space="0" w:color="auto"/>
              <w:bottom w:val="single" w:sz="12" w:space="0" w:color="000000" w:themeColor="text1"/>
              <w:right w:val="single" w:sz="4" w:space="0" w:color="auto"/>
            </w:tcBorders>
            <w:shd w:val="clear" w:color="auto" w:fill="C5E0B3" w:themeFill="accent6" w:themeFillTint="66"/>
            <w:tcMar>
              <w:top w:w="15" w:type="dxa"/>
              <w:left w:w="15" w:type="dxa"/>
              <w:bottom w:w="0" w:type="dxa"/>
              <w:right w:w="15" w:type="dxa"/>
            </w:tcMar>
            <w:vAlign w:val="center"/>
            <w:hideMark/>
          </w:tcPr>
          <w:p w:rsidR="008626E0" w:rsidRPr="00C17D32" w:rsidRDefault="00C17D32" w:rsidP="00C17D32">
            <w:pPr>
              <w:jc w:val="right"/>
              <w:rPr>
                <w:rFonts w:cs="Times New Roman"/>
                <w:b/>
                <w:sz w:val="22"/>
              </w:rPr>
            </w:pPr>
            <w:r w:rsidRPr="00C17D32">
              <w:rPr>
                <w:rFonts w:cs="Times New Roman"/>
                <w:b/>
                <w:sz w:val="22"/>
              </w:rPr>
              <w:t>1 073 101</w:t>
            </w:r>
          </w:p>
        </w:tc>
        <w:tc>
          <w:tcPr>
            <w:tcW w:w="546" w:type="pct"/>
            <w:tcBorders>
              <w:top w:val="single" w:sz="4" w:space="0" w:color="auto"/>
              <w:left w:val="single" w:sz="4" w:space="0" w:color="auto"/>
              <w:bottom w:val="single" w:sz="12" w:space="0" w:color="000000" w:themeColor="text1"/>
              <w:right w:val="single" w:sz="12" w:space="0" w:color="000000" w:themeColor="text1"/>
            </w:tcBorders>
            <w:shd w:val="clear" w:color="auto" w:fill="C5E0B3" w:themeFill="accent6" w:themeFillTint="66"/>
            <w:tcMar>
              <w:top w:w="15" w:type="dxa"/>
              <w:left w:w="15" w:type="dxa"/>
              <w:bottom w:w="0" w:type="dxa"/>
              <w:right w:w="15" w:type="dxa"/>
            </w:tcMar>
            <w:vAlign w:val="center"/>
            <w:hideMark/>
          </w:tcPr>
          <w:p w:rsidR="008626E0" w:rsidRPr="00C17D32" w:rsidRDefault="00C17D32" w:rsidP="00C17D32">
            <w:pPr>
              <w:jc w:val="right"/>
              <w:rPr>
                <w:rFonts w:cs="Times New Roman"/>
                <w:b/>
                <w:sz w:val="22"/>
              </w:rPr>
            </w:pPr>
            <w:r w:rsidRPr="00C17D32">
              <w:rPr>
                <w:rFonts w:cs="Times New Roman"/>
                <w:b/>
                <w:sz w:val="22"/>
              </w:rPr>
              <w:t>1 073 101</w:t>
            </w:r>
          </w:p>
        </w:tc>
      </w:tr>
    </w:tbl>
    <w:p w:rsidR="00981D1F" w:rsidRDefault="008626E0" w:rsidP="00D61729">
      <w:pPr>
        <w:spacing w:before="120"/>
        <w:jc w:val="both"/>
        <w:rPr>
          <w:rFonts w:cs="Times New Roman"/>
          <w:szCs w:val="28"/>
        </w:rPr>
      </w:pPr>
      <w:r>
        <w:rPr>
          <w:rFonts w:cs="Times New Roman"/>
          <w:sz w:val="28"/>
          <w:szCs w:val="28"/>
        </w:rPr>
        <w:t xml:space="preserve"> </w:t>
      </w:r>
      <w:r w:rsidR="006B0707">
        <w:rPr>
          <w:rFonts w:cs="Times New Roman"/>
          <w:sz w:val="28"/>
          <w:szCs w:val="28"/>
        </w:rPr>
        <w:tab/>
      </w:r>
      <w:r w:rsidR="006B0707" w:rsidRPr="006B0707">
        <w:rPr>
          <w:rFonts w:cs="Times New Roman"/>
          <w:szCs w:val="28"/>
        </w:rPr>
        <w:t xml:space="preserve">Attiecībā uz </w:t>
      </w:r>
      <w:r w:rsidR="00E512B2">
        <w:rPr>
          <w:rFonts w:cs="Times New Roman"/>
          <w:szCs w:val="28"/>
        </w:rPr>
        <w:t xml:space="preserve">2018.gadam un </w:t>
      </w:r>
      <w:r w:rsidR="006B0707">
        <w:rPr>
          <w:rFonts w:cs="Times New Roman"/>
          <w:szCs w:val="28"/>
        </w:rPr>
        <w:t>turpmākajos gados papildu nepieciešamo finansējumus MK 2015.gada 3.novembra sēdē (prot.</w:t>
      </w:r>
      <w:r w:rsidR="006B0707" w:rsidRPr="006B0707">
        <w:t xml:space="preserve"> </w:t>
      </w:r>
      <w:r w:rsidR="006B0707" w:rsidRPr="006B0707">
        <w:rPr>
          <w:rFonts w:cs="Times New Roman"/>
          <w:szCs w:val="28"/>
        </w:rPr>
        <w:t>Nr.57</w:t>
      </w:r>
      <w:r w:rsidR="006B0707">
        <w:rPr>
          <w:rFonts w:cs="Times New Roman"/>
          <w:szCs w:val="28"/>
        </w:rPr>
        <w:t xml:space="preserve"> </w:t>
      </w:r>
      <w:r w:rsidR="006B0707" w:rsidRPr="006B0707">
        <w:rPr>
          <w:rFonts w:cs="Times New Roman"/>
          <w:szCs w:val="28"/>
        </w:rPr>
        <w:t>58.§</w:t>
      </w:r>
      <w:r w:rsidR="006B0707">
        <w:rPr>
          <w:rFonts w:cs="Times New Roman"/>
          <w:szCs w:val="28"/>
        </w:rPr>
        <w:t>) nolemts, ka j</w:t>
      </w:r>
      <w:r w:rsidR="006B0707" w:rsidRPr="006B0707">
        <w:rPr>
          <w:rFonts w:cs="Times New Roman"/>
          <w:szCs w:val="28"/>
        </w:rPr>
        <w:t>autājumi par papil</w:t>
      </w:r>
      <w:r w:rsidR="006B0707">
        <w:rPr>
          <w:rFonts w:cs="Times New Roman"/>
          <w:szCs w:val="28"/>
        </w:rPr>
        <w:t>du nepieciešamo finansējumu r</w:t>
      </w:r>
      <w:r w:rsidR="006B0707" w:rsidRPr="006B0707">
        <w:rPr>
          <w:rFonts w:cs="Times New Roman"/>
          <w:szCs w:val="28"/>
        </w:rPr>
        <w:t xml:space="preserve">īcības plānā paredzēto pasākumu turpināšanai 2018.gadam un turpmākajiem gadiem skatāmi </w:t>
      </w:r>
      <w:r w:rsidR="006B0707">
        <w:rPr>
          <w:rFonts w:cs="Times New Roman"/>
          <w:szCs w:val="28"/>
        </w:rPr>
        <w:t>MK</w:t>
      </w:r>
      <w:r w:rsidR="006B0707" w:rsidRPr="006B0707">
        <w:rPr>
          <w:rFonts w:cs="Times New Roman"/>
          <w:szCs w:val="28"/>
        </w:rPr>
        <w:t xml:space="preserve"> kārtējā gada valsts budžeta likumprojekta un vidēja termiņa budžeta ietvara likumprojekta sagatavošanas un izskatīšanas procesā.</w:t>
      </w:r>
      <w:r w:rsidR="00981D1F">
        <w:rPr>
          <w:rFonts w:cs="Times New Roman"/>
          <w:szCs w:val="28"/>
        </w:rPr>
        <w:t xml:space="preserve"> </w:t>
      </w:r>
    </w:p>
    <w:p w:rsidR="006B0707" w:rsidRDefault="006B0707" w:rsidP="00981D1F">
      <w:pPr>
        <w:spacing w:after="120"/>
        <w:ind w:firstLine="720"/>
        <w:jc w:val="both"/>
        <w:rPr>
          <w:rFonts w:cs="Times New Roman"/>
          <w:szCs w:val="28"/>
        </w:rPr>
      </w:pPr>
      <w:r>
        <w:rPr>
          <w:rFonts w:cs="Times New Roman"/>
          <w:szCs w:val="28"/>
        </w:rPr>
        <w:t xml:space="preserve">Savukārt </w:t>
      </w:r>
      <w:r w:rsidR="00981D1F">
        <w:rPr>
          <w:rFonts w:cs="Times New Roman"/>
          <w:szCs w:val="28"/>
        </w:rPr>
        <w:t>MK 2017.gada 23.marta sēdē (prot.</w:t>
      </w:r>
      <w:r w:rsidR="00981D1F" w:rsidRPr="006B0707">
        <w:t xml:space="preserve"> </w:t>
      </w:r>
      <w:r w:rsidR="00981D1F" w:rsidRPr="006B0707">
        <w:rPr>
          <w:rFonts w:cs="Times New Roman"/>
          <w:szCs w:val="28"/>
        </w:rPr>
        <w:t>Nr.</w:t>
      </w:r>
      <w:r w:rsidR="00981D1F">
        <w:rPr>
          <w:rFonts w:cs="Times New Roman"/>
          <w:szCs w:val="28"/>
        </w:rPr>
        <w:t>15 2</w:t>
      </w:r>
      <w:r w:rsidR="00981D1F" w:rsidRPr="006B0707">
        <w:rPr>
          <w:rFonts w:cs="Times New Roman"/>
          <w:szCs w:val="28"/>
        </w:rPr>
        <w:t>.§</w:t>
      </w:r>
      <w:r w:rsidR="00981D1F">
        <w:rPr>
          <w:rFonts w:cs="Times New Roman"/>
          <w:szCs w:val="28"/>
        </w:rPr>
        <w:t>) nolemts, ka, l</w:t>
      </w:r>
      <w:r w:rsidR="00981D1F" w:rsidRPr="00981D1F">
        <w:rPr>
          <w:rFonts w:cs="Times New Roman"/>
          <w:szCs w:val="28"/>
        </w:rPr>
        <w:t xml:space="preserve">ai nodrošinātu plānā paredzēto pasākumu turpināšanu 2018., 2019. un 2020.gadā, iesaistītām ministrijām divu nedēļu laikā iesniegt </w:t>
      </w:r>
      <w:r w:rsidR="00981D1F">
        <w:rPr>
          <w:rFonts w:cs="Times New Roman"/>
          <w:szCs w:val="28"/>
        </w:rPr>
        <w:t>FM</w:t>
      </w:r>
      <w:r w:rsidR="00981D1F" w:rsidRPr="00981D1F">
        <w:rPr>
          <w:rFonts w:cs="Times New Roman"/>
          <w:szCs w:val="28"/>
        </w:rPr>
        <w:t xml:space="preserve"> informāciju par papildu nepieciešamo finansējumu plāna pasākumu ietvaros izveidoto amata vietu uzturēšanai, nepārsniedzot plānā paredzēto pasākumu finansējuma apmēru 2017.gadam, un </w:t>
      </w:r>
      <w:r w:rsidR="00981D1F">
        <w:rPr>
          <w:rFonts w:cs="Times New Roman"/>
          <w:szCs w:val="28"/>
        </w:rPr>
        <w:t>FM</w:t>
      </w:r>
      <w:r w:rsidR="00981D1F" w:rsidRPr="00981D1F">
        <w:rPr>
          <w:rFonts w:cs="Times New Roman"/>
          <w:szCs w:val="28"/>
        </w:rPr>
        <w:t xml:space="preserve"> palielināt attiecīgo ministriju bāzes izdevumus 2018., 2019. un 2020.gadam. Jautājumu par papildu nepieciešamo finansējumu citu plānā paredzēto pasākumu īstenošanai sk</w:t>
      </w:r>
      <w:r w:rsidR="00981D1F">
        <w:rPr>
          <w:rFonts w:cs="Times New Roman"/>
          <w:szCs w:val="28"/>
        </w:rPr>
        <w:t>atīt horizontāli likumprojekta “</w:t>
      </w:r>
      <w:r w:rsidR="00981D1F" w:rsidRPr="00981D1F">
        <w:rPr>
          <w:rFonts w:cs="Times New Roman"/>
          <w:szCs w:val="28"/>
        </w:rPr>
        <w:t>Par vidēja termiņa budžeta iet</w:t>
      </w:r>
      <w:r w:rsidR="00981D1F">
        <w:rPr>
          <w:rFonts w:cs="Times New Roman"/>
          <w:szCs w:val="28"/>
        </w:rPr>
        <w:t>varu 2018., 2019. un 2020.gadam” un likumprojekta “</w:t>
      </w:r>
      <w:r w:rsidR="00981D1F" w:rsidRPr="00981D1F">
        <w:rPr>
          <w:rFonts w:cs="Times New Roman"/>
          <w:szCs w:val="28"/>
        </w:rPr>
        <w:t>Par valsts budžetu 2018.</w:t>
      </w:r>
      <w:r w:rsidR="00981D1F">
        <w:rPr>
          <w:rFonts w:cs="Times New Roman"/>
          <w:szCs w:val="28"/>
        </w:rPr>
        <w:t>gadam”</w:t>
      </w:r>
      <w:r w:rsidR="00981D1F" w:rsidRPr="00981D1F">
        <w:rPr>
          <w:rFonts w:cs="Times New Roman"/>
          <w:szCs w:val="28"/>
        </w:rPr>
        <w:t xml:space="preserve"> sagatavošanas procesā</w:t>
      </w:r>
      <w:r w:rsidR="00981D1F">
        <w:rPr>
          <w:rFonts w:cs="Times New Roman"/>
          <w:szCs w:val="28"/>
        </w:rPr>
        <w:t>.</w:t>
      </w:r>
    </w:p>
    <w:p w:rsidR="00981D1F" w:rsidRDefault="00392EA5" w:rsidP="00392EA5">
      <w:pPr>
        <w:spacing w:after="120"/>
        <w:ind w:firstLine="720"/>
        <w:jc w:val="both"/>
        <w:rPr>
          <w:rFonts w:cs="Times New Roman"/>
          <w:szCs w:val="28"/>
        </w:rPr>
      </w:pPr>
      <w:r>
        <w:rPr>
          <w:rFonts w:cs="Times New Roman"/>
          <w:szCs w:val="28"/>
        </w:rPr>
        <w:t xml:space="preserve">Pamatojoties uz </w:t>
      </w:r>
      <w:r w:rsidR="00E1192C">
        <w:rPr>
          <w:rFonts w:cs="Times New Roman"/>
          <w:szCs w:val="28"/>
        </w:rPr>
        <w:t xml:space="preserve">MK </w:t>
      </w:r>
      <w:r w:rsidRPr="00392EA5">
        <w:rPr>
          <w:rFonts w:cs="Times New Roman"/>
          <w:szCs w:val="28"/>
        </w:rPr>
        <w:t>2017.gada 23.mart</w:t>
      </w:r>
      <w:r>
        <w:rPr>
          <w:rFonts w:cs="Times New Roman"/>
          <w:szCs w:val="28"/>
        </w:rPr>
        <w:t xml:space="preserve">a sēdē (prot. Nr.15 2.§) nolemto, IeM un KM ir pieprasījušas </w:t>
      </w:r>
      <w:r w:rsidRPr="00981D1F">
        <w:rPr>
          <w:rFonts w:cs="Times New Roman"/>
          <w:szCs w:val="28"/>
        </w:rPr>
        <w:t>papildu nepieciešamo finansējumu</w:t>
      </w:r>
      <w:r>
        <w:rPr>
          <w:rFonts w:cs="Times New Roman"/>
          <w:szCs w:val="28"/>
        </w:rPr>
        <w:t xml:space="preserve"> 2018. un turpmākajiem gadiem</w:t>
      </w:r>
      <w:r w:rsidRPr="00981D1F">
        <w:rPr>
          <w:rFonts w:cs="Times New Roman"/>
          <w:szCs w:val="28"/>
        </w:rPr>
        <w:t xml:space="preserve"> plāna pasākumu ietvaros izveidoto amata vietu uzturēšanai</w:t>
      </w:r>
      <w:r>
        <w:rPr>
          <w:rFonts w:cs="Times New Roman"/>
          <w:szCs w:val="28"/>
        </w:rPr>
        <w:t xml:space="preserve"> pilnā apmērā. Savukārt LM ir pieprasījusi </w:t>
      </w:r>
      <w:r w:rsidRPr="00981D1F">
        <w:rPr>
          <w:rFonts w:cs="Times New Roman"/>
          <w:szCs w:val="28"/>
        </w:rPr>
        <w:t>papildu nepieciešamo finansējumu</w:t>
      </w:r>
      <w:r>
        <w:rPr>
          <w:rFonts w:cs="Times New Roman"/>
          <w:szCs w:val="28"/>
        </w:rPr>
        <w:t xml:space="preserve"> 2018. un turpmākajiem gadiem tikai 7 amata vietām, iepriekšējo 10 vietā. P</w:t>
      </w:r>
      <w:r w:rsidRPr="00981D1F">
        <w:rPr>
          <w:rFonts w:cs="Times New Roman"/>
          <w:szCs w:val="28"/>
        </w:rPr>
        <w:t>apildu nepieciešamo finansējumu</w:t>
      </w:r>
      <w:r>
        <w:rPr>
          <w:rFonts w:cs="Times New Roman"/>
          <w:szCs w:val="28"/>
        </w:rPr>
        <w:t xml:space="preserve"> 2018. un turpmākajiem gadiem</w:t>
      </w:r>
      <w:r w:rsidRPr="00981D1F">
        <w:rPr>
          <w:rFonts w:cs="Times New Roman"/>
          <w:szCs w:val="28"/>
        </w:rPr>
        <w:t xml:space="preserve"> p</w:t>
      </w:r>
      <w:r>
        <w:rPr>
          <w:rFonts w:cs="Times New Roman"/>
          <w:szCs w:val="28"/>
        </w:rPr>
        <w:t xml:space="preserve">lāna pasākumu ietvaros </w:t>
      </w:r>
      <w:r w:rsidRPr="00A06438">
        <w:rPr>
          <w:rFonts w:cs="Times New Roman"/>
          <w:szCs w:val="28"/>
        </w:rPr>
        <w:t>izveidotās tiesneša palīga amata vietu uzturēšanai nav pieprasījusi Tieslietu ministrija, pamatojot to, ka līdz šim nav bijis nepieciešams pieņemt lēmumu par atteikumu piešķirt bēgļa vai alternatīvā statusu</w:t>
      </w:r>
      <w:r w:rsidR="00BE3DB3" w:rsidRPr="00A06438">
        <w:rPr>
          <w:rFonts w:cs="Times New Roman"/>
          <w:szCs w:val="28"/>
        </w:rPr>
        <w:t xml:space="preserve"> (</w:t>
      </w:r>
      <w:r w:rsidR="00E1192C" w:rsidRPr="00A06438">
        <w:rPr>
          <w:rFonts w:cs="Times New Roman"/>
          <w:szCs w:val="28"/>
        </w:rPr>
        <w:t>skat</w:t>
      </w:r>
      <w:r w:rsidR="00A06438" w:rsidRPr="00A06438">
        <w:rPr>
          <w:rFonts w:cs="Times New Roman"/>
          <w:szCs w:val="28"/>
        </w:rPr>
        <w:t>.</w:t>
      </w:r>
      <w:r w:rsidR="00E1192C" w:rsidRPr="00A06438">
        <w:rPr>
          <w:rFonts w:cs="Times New Roman"/>
          <w:szCs w:val="28"/>
        </w:rPr>
        <w:t xml:space="preserve"> tabulu Nr.</w:t>
      </w:r>
      <w:r w:rsidR="00A06438" w:rsidRPr="00A06438">
        <w:rPr>
          <w:rFonts w:cs="Times New Roman"/>
          <w:szCs w:val="28"/>
        </w:rPr>
        <w:t>3.53</w:t>
      </w:r>
      <w:r w:rsidR="00D86274">
        <w:rPr>
          <w:rFonts w:cs="Times New Roman"/>
          <w:szCs w:val="28"/>
        </w:rPr>
        <w:t>.</w:t>
      </w:r>
      <w:r w:rsidR="00BE3DB3" w:rsidRPr="00A06438">
        <w:rPr>
          <w:rFonts w:cs="Times New Roman"/>
          <w:szCs w:val="28"/>
        </w:rPr>
        <w:t>)</w:t>
      </w:r>
      <w:r w:rsidRPr="00A06438">
        <w:rPr>
          <w:rFonts w:cs="Times New Roman"/>
          <w:szCs w:val="28"/>
        </w:rPr>
        <w:t>.</w:t>
      </w:r>
    </w:p>
    <w:p w:rsidR="006A3C4C" w:rsidRPr="006A3C4C" w:rsidRDefault="006A3C4C" w:rsidP="006A3C4C">
      <w:pPr>
        <w:tabs>
          <w:tab w:val="left" w:pos="142"/>
        </w:tabs>
        <w:spacing w:after="120"/>
        <w:ind w:firstLine="720"/>
        <w:jc w:val="both"/>
        <w:rPr>
          <w:szCs w:val="24"/>
        </w:rPr>
      </w:pPr>
      <w:r w:rsidRPr="006A3C4C">
        <w:rPr>
          <w:rStyle w:val="BodyText1"/>
          <w:rFonts w:eastAsiaTheme="minorHAnsi"/>
          <w:sz w:val="24"/>
          <w:szCs w:val="24"/>
        </w:rPr>
        <w:t xml:space="preserve">Saskaņā ar </w:t>
      </w:r>
      <w:r>
        <w:rPr>
          <w:szCs w:val="24"/>
        </w:rPr>
        <w:t>VKo</w:t>
      </w:r>
      <w:r w:rsidRPr="006A3C4C">
        <w:rPr>
          <w:szCs w:val="24"/>
        </w:rPr>
        <w:t xml:space="preserve"> revīzijas “Par </w:t>
      </w:r>
      <w:r>
        <w:rPr>
          <w:szCs w:val="24"/>
        </w:rPr>
        <w:t>Iekšlietu ministrijas</w:t>
      </w:r>
      <w:r w:rsidRPr="006A3C4C">
        <w:rPr>
          <w:szCs w:val="24"/>
        </w:rPr>
        <w:t xml:space="preserve"> 2016.ga</w:t>
      </w:r>
      <w:r>
        <w:rPr>
          <w:szCs w:val="24"/>
        </w:rPr>
        <w:t xml:space="preserve">da pārskatu” ziņojumā minēto </w:t>
      </w:r>
      <w:r w:rsidR="00253393" w:rsidRPr="00253393">
        <w:rPr>
          <w:rFonts w:cs="Times New Roman"/>
          <w:szCs w:val="28"/>
        </w:rPr>
        <w:t xml:space="preserve">neatbilstoši mērķim izlietota daļa no Pilsonības un migrācijas lietu pārvaldei piešķirtā finansējuma 200 612 </w:t>
      </w:r>
      <w:r w:rsidR="00253393" w:rsidRPr="006A3C4C">
        <w:rPr>
          <w:rFonts w:cs="Times New Roman"/>
          <w:i/>
          <w:szCs w:val="28"/>
        </w:rPr>
        <w:t>euro</w:t>
      </w:r>
      <w:r>
        <w:rPr>
          <w:rFonts w:cs="Times New Roman"/>
          <w:szCs w:val="28"/>
        </w:rPr>
        <w:t xml:space="preserve"> apmērā (4</w:t>
      </w:r>
      <w:r w:rsidR="00253393" w:rsidRPr="00253393">
        <w:rPr>
          <w:rFonts w:cs="Times New Roman"/>
          <w:szCs w:val="28"/>
        </w:rPr>
        <w:t xml:space="preserve">% no kopējā Rīcības plāna realizēšanai 2016.gadā Iekšlietu ministrijā izlietotā finansējuma), kas bija pieprasīts 16 jaunu amata vietu ieviešanai un uzturēšanai. Faktiski Pilsonība un migrācijas lietu pārvaldē darbā pieņemti tikai seši jauni darbinieki, bet pārējās amata vietās pārcelti jau esošie darbinieki. Daļa no </w:t>
      </w:r>
      <w:r>
        <w:rPr>
          <w:rFonts w:cs="Times New Roman"/>
          <w:szCs w:val="28"/>
        </w:rPr>
        <w:t>jauno amata vietu izveidošanai r</w:t>
      </w:r>
      <w:r w:rsidR="00253393" w:rsidRPr="00253393">
        <w:rPr>
          <w:rFonts w:cs="Times New Roman"/>
          <w:szCs w:val="28"/>
        </w:rPr>
        <w:t>īcības plāna ietvaros papildus piešķirtā finansējuma ietaupījuma izmaksāta arī citu Pilsonības un migrācijas lietu pārvaldes nodaļu darbiniekiem, piešķirot piemaksas par personisko darba ieguldījumu un darba kvalitāti vai piemaksas par papildus amata aprakstā noteikto amata pienākumu pildīšanu. Kopumā no paredzētā finansējuma 16 jaunu amata vietu nodrošināšanai atalgojums maksāts 59 personām.</w:t>
      </w:r>
    </w:p>
    <w:p w:rsidR="006A3C4C" w:rsidRPr="00ED1159" w:rsidRDefault="006A3C4C" w:rsidP="00C15CD1">
      <w:pPr>
        <w:pStyle w:val="BodyText6"/>
        <w:shd w:val="clear" w:color="auto" w:fill="auto"/>
        <w:spacing w:before="120" w:line="264" w:lineRule="exact"/>
        <w:ind w:right="20" w:firstLine="720"/>
        <w:jc w:val="both"/>
        <w:rPr>
          <w:rFonts w:eastAsiaTheme="minorHAnsi"/>
          <w:sz w:val="24"/>
          <w:szCs w:val="24"/>
        </w:rPr>
      </w:pPr>
      <w:r w:rsidRPr="00ED1159">
        <w:rPr>
          <w:rStyle w:val="BodyText1"/>
          <w:rFonts w:eastAsiaTheme="minorHAnsi"/>
          <w:sz w:val="24"/>
          <w:szCs w:val="24"/>
        </w:rPr>
        <w:t xml:space="preserve">Ņemot vērā </w:t>
      </w:r>
      <w:r>
        <w:rPr>
          <w:rStyle w:val="BodyText1"/>
          <w:rFonts w:eastAsiaTheme="minorHAnsi"/>
          <w:sz w:val="24"/>
          <w:szCs w:val="24"/>
        </w:rPr>
        <w:t>VKo</w:t>
      </w:r>
      <w:r w:rsidRPr="00ED1159">
        <w:rPr>
          <w:rStyle w:val="BodyText1"/>
          <w:rFonts w:eastAsiaTheme="minorHAnsi"/>
          <w:sz w:val="24"/>
          <w:szCs w:val="24"/>
        </w:rPr>
        <w:t xml:space="preserve"> revīzijas ziņojumā konstatēto, ka </w:t>
      </w:r>
      <w:r w:rsidRPr="006A3C4C">
        <w:rPr>
          <w:rStyle w:val="BodyText1"/>
          <w:rFonts w:eastAsiaTheme="minorHAnsi"/>
          <w:sz w:val="24"/>
          <w:szCs w:val="24"/>
        </w:rPr>
        <w:t xml:space="preserve">neatbilstoši mērķim izlietota daļa no Pilsonības un migrācijas lietu pārvaldei piešķirtā finansējuma 200 612 </w:t>
      </w:r>
      <w:r w:rsidRPr="006A3C4C">
        <w:rPr>
          <w:rStyle w:val="BodyText1"/>
          <w:rFonts w:eastAsiaTheme="minorHAnsi"/>
          <w:i/>
          <w:sz w:val="24"/>
          <w:szCs w:val="24"/>
        </w:rPr>
        <w:t>euro</w:t>
      </w:r>
      <w:r w:rsidRPr="006A3C4C">
        <w:rPr>
          <w:rStyle w:val="BodyText1"/>
          <w:rFonts w:eastAsiaTheme="minorHAnsi"/>
          <w:sz w:val="24"/>
          <w:szCs w:val="24"/>
        </w:rPr>
        <w:t xml:space="preserve"> apmērā</w:t>
      </w:r>
      <w:r>
        <w:rPr>
          <w:rStyle w:val="BodyText1"/>
          <w:rFonts w:eastAsiaTheme="minorHAnsi"/>
          <w:sz w:val="24"/>
          <w:szCs w:val="24"/>
        </w:rPr>
        <w:t>,</w:t>
      </w:r>
      <w:r w:rsidRPr="006A3C4C">
        <w:rPr>
          <w:rStyle w:val="BodyText1"/>
          <w:rFonts w:eastAsiaTheme="minorHAnsi"/>
          <w:sz w:val="24"/>
          <w:szCs w:val="24"/>
        </w:rPr>
        <w:t xml:space="preserve"> </w:t>
      </w:r>
      <w:r w:rsidRPr="00ED1159">
        <w:rPr>
          <w:rStyle w:val="BodyText1"/>
          <w:rFonts w:eastAsiaTheme="minorHAnsi"/>
          <w:sz w:val="24"/>
          <w:szCs w:val="24"/>
        </w:rPr>
        <w:t xml:space="preserve">ierosinām finansējumu </w:t>
      </w:r>
      <w:r>
        <w:rPr>
          <w:rStyle w:val="BodyText1"/>
          <w:rFonts w:eastAsiaTheme="minorHAnsi"/>
          <w:sz w:val="24"/>
          <w:szCs w:val="24"/>
        </w:rPr>
        <w:t>200 612</w:t>
      </w:r>
      <w:r w:rsidRPr="00ED1159">
        <w:rPr>
          <w:rStyle w:val="BodyText1"/>
          <w:rFonts w:eastAsiaTheme="minorHAnsi"/>
          <w:sz w:val="24"/>
          <w:szCs w:val="24"/>
        </w:rPr>
        <w:t xml:space="preserve"> </w:t>
      </w:r>
      <w:r w:rsidRPr="00ED1159">
        <w:rPr>
          <w:rStyle w:val="BodyText1"/>
          <w:rFonts w:eastAsiaTheme="minorHAnsi"/>
          <w:i/>
          <w:sz w:val="24"/>
          <w:szCs w:val="24"/>
        </w:rPr>
        <w:t>euro</w:t>
      </w:r>
      <w:r w:rsidRPr="00ED1159">
        <w:rPr>
          <w:rStyle w:val="BodyText1"/>
          <w:rFonts w:eastAsiaTheme="minorHAnsi"/>
          <w:sz w:val="24"/>
          <w:szCs w:val="24"/>
        </w:rPr>
        <w:t xml:space="preserve"> apmērā, sākot ar 2018.gadu, novirzīt</w:t>
      </w:r>
      <w:r>
        <w:rPr>
          <w:rStyle w:val="BodyText1"/>
          <w:rFonts w:eastAsiaTheme="minorHAnsi"/>
          <w:sz w:val="24"/>
          <w:szCs w:val="24"/>
        </w:rPr>
        <w:t xml:space="preserve"> aktuālāku pasākumu īstenošanai</w:t>
      </w:r>
      <w:r w:rsidRPr="00ED1159">
        <w:rPr>
          <w:sz w:val="24"/>
          <w:szCs w:val="24"/>
        </w:rPr>
        <w:t>.</w:t>
      </w:r>
    </w:p>
    <w:p w:rsidR="00E512B2" w:rsidRDefault="00C15CD1" w:rsidP="00C15CD1">
      <w:pPr>
        <w:spacing w:before="120"/>
        <w:jc w:val="both"/>
        <w:rPr>
          <w:rFonts w:cs="Times New Roman"/>
          <w:szCs w:val="24"/>
        </w:rPr>
      </w:pPr>
      <w:r>
        <w:rPr>
          <w:rFonts w:cs="Times New Roman"/>
          <w:szCs w:val="24"/>
        </w:rPr>
        <w:tab/>
        <w:t>Vienlaikus jāņem vērā, ka plāns 2016. un 2017.gadā paredz uzņemt 531 personu, kurām nepieciešama starptautiskā aizsardz</w:t>
      </w:r>
      <w:r w:rsidR="00777648">
        <w:rPr>
          <w:rFonts w:cs="Times New Roman"/>
          <w:szCs w:val="24"/>
        </w:rPr>
        <w:t xml:space="preserve">ība, saskaņā ar IeM sniegto informāciju </w:t>
      </w:r>
      <w:r>
        <w:rPr>
          <w:rFonts w:cs="Times New Roman"/>
          <w:szCs w:val="24"/>
        </w:rPr>
        <w:t xml:space="preserve">līdz 2017.gada 31.maijam uzņemtas </w:t>
      </w:r>
      <w:r w:rsidR="00E512B2">
        <w:rPr>
          <w:rFonts w:cs="Times New Roman"/>
          <w:szCs w:val="24"/>
        </w:rPr>
        <w:t xml:space="preserve">tikai </w:t>
      </w:r>
      <w:r>
        <w:rPr>
          <w:rFonts w:cs="Times New Roman"/>
          <w:szCs w:val="24"/>
        </w:rPr>
        <w:t xml:space="preserve">318 personas, kas ir 59% no kopējā </w:t>
      </w:r>
      <w:r w:rsidR="00E512B2">
        <w:rPr>
          <w:rFonts w:cs="Times New Roman"/>
          <w:szCs w:val="24"/>
        </w:rPr>
        <w:t xml:space="preserve">divu gadu laikā </w:t>
      </w:r>
      <w:r>
        <w:rPr>
          <w:rFonts w:cs="Times New Roman"/>
          <w:szCs w:val="24"/>
        </w:rPr>
        <w:t xml:space="preserve">uzņemamo personu, kurām nepieciešama starptautiskā aizsardzība, skaita. </w:t>
      </w:r>
      <w:r w:rsidR="00E512B2">
        <w:rPr>
          <w:rFonts w:cs="Times New Roman"/>
          <w:szCs w:val="24"/>
        </w:rPr>
        <w:t>Līdz ar to secināms, ka iesaistīto ministriju budžetos var veidoties papildu ietaupījums.</w:t>
      </w:r>
    </w:p>
    <w:p w:rsidR="00E94E1D" w:rsidRPr="00E94E1D" w:rsidRDefault="00E94E1D" w:rsidP="00E94E1D">
      <w:pPr>
        <w:spacing w:before="120"/>
        <w:ind w:firstLine="720"/>
        <w:jc w:val="both"/>
        <w:rPr>
          <w:rFonts w:cs="Times New Roman"/>
          <w:szCs w:val="24"/>
        </w:rPr>
      </w:pPr>
      <w:r w:rsidRPr="00E94E1D">
        <w:rPr>
          <w:rFonts w:cs="Times New Roman"/>
          <w:szCs w:val="24"/>
        </w:rPr>
        <w:t>Arī V</w:t>
      </w:r>
      <w:r>
        <w:rPr>
          <w:rFonts w:cs="Times New Roman"/>
          <w:szCs w:val="24"/>
        </w:rPr>
        <w:t>Ko</w:t>
      </w:r>
      <w:r w:rsidRPr="00E94E1D">
        <w:rPr>
          <w:rFonts w:cs="Times New Roman"/>
          <w:szCs w:val="24"/>
        </w:rPr>
        <w:t xml:space="preserve"> vēstulē Ministru prezidentam, iesniedzot informāciju par veiktajām revīzijām ministriju 2016.gada pārskatos, ir norādījusi par Rīcības plāna personu, kurām nepieciešama starptautiskā aizsardzība, pārvietošanai un uzņemšanai Latvijā, izpildē konstatētajām problēmām, norādot, ka izdevumi ir tieši atkarīgi no pārvietoto personu un patvēruma meklētāju skaita un būtu atbilstoši koriģējami, vienlaikus sniedzot priekšlikumu (uzdevumu) veikt </w:t>
      </w:r>
      <w:r w:rsidRPr="00E94E1D">
        <w:rPr>
          <w:rFonts w:cs="Times New Roman"/>
          <w:szCs w:val="24"/>
        </w:rPr>
        <w:lastRenderedPageBreak/>
        <w:t>nepieciešamos pasākumus, lai katrā no resoriem tiek izvērtēti minētā rīcības plāna faktiskie rezultāti un pasākumu īstenošanai turpmāk nepieciešamais līdzekļu apmērs, nepieciešamības gadījumā atbilstoši koriģējot ministriju budžetos minētajam mērķim paredzētos izdevumus.</w:t>
      </w:r>
    </w:p>
    <w:p w:rsidR="00463906" w:rsidRDefault="00E512B2" w:rsidP="00311F03">
      <w:pPr>
        <w:spacing w:before="120"/>
        <w:ind w:firstLine="720"/>
        <w:jc w:val="both"/>
        <w:rPr>
          <w:rFonts w:cs="Times New Roman"/>
          <w:szCs w:val="24"/>
        </w:rPr>
      </w:pPr>
      <w:r>
        <w:rPr>
          <w:rFonts w:cs="Times New Roman"/>
          <w:szCs w:val="24"/>
        </w:rPr>
        <w:t xml:space="preserve">Savukārt attiecībā </w:t>
      </w:r>
      <w:r w:rsidR="00311F03">
        <w:rPr>
          <w:rFonts w:cs="Times New Roman"/>
          <w:szCs w:val="24"/>
        </w:rPr>
        <w:t xml:space="preserve">uz </w:t>
      </w:r>
      <w:r>
        <w:rPr>
          <w:rFonts w:cs="Times New Roman"/>
          <w:szCs w:val="24"/>
        </w:rPr>
        <w:t>Latvijai uzņemamo personu, k</w:t>
      </w:r>
      <w:r w:rsidR="00311F03">
        <w:rPr>
          <w:rFonts w:cs="Times New Roman"/>
          <w:szCs w:val="24"/>
        </w:rPr>
        <w:t>urām nepieciešama starptautiskā aizsardzība</w:t>
      </w:r>
      <w:r>
        <w:rPr>
          <w:rFonts w:cs="Times New Roman"/>
          <w:szCs w:val="24"/>
        </w:rPr>
        <w:t xml:space="preserve">, skaitu </w:t>
      </w:r>
      <w:r w:rsidR="00777648">
        <w:rPr>
          <w:rFonts w:cs="Times New Roman"/>
          <w:szCs w:val="24"/>
        </w:rPr>
        <w:t xml:space="preserve">2018., 2019. un 2020.gadā </w:t>
      </w:r>
      <w:r>
        <w:rPr>
          <w:rFonts w:cs="Times New Roman"/>
          <w:szCs w:val="24"/>
        </w:rPr>
        <w:t>ES nav pieņemts lēmums, līdz ar t</w:t>
      </w:r>
      <w:r w:rsidR="009F470E">
        <w:rPr>
          <w:rFonts w:cs="Times New Roman"/>
          <w:szCs w:val="24"/>
        </w:rPr>
        <w:t>o</w:t>
      </w:r>
      <w:r w:rsidR="00311F03">
        <w:rPr>
          <w:rFonts w:cs="Times New Roman"/>
          <w:szCs w:val="24"/>
        </w:rPr>
        <w:t xml:space="preserve"> FM ieskatā jautājums par papildu nepieciešamo finansējumu 2018.gadam un turpmākajiem gadiem ir diskutējams tikai pēc lēmuma par Latvijai uzņemamo personu, kurām nepieciešama starptautiskā aizsardzība, pieņemšanas</w:t>
      </w:r>
      <w:r w:rsidR="009F470E">
        <w:rPr>
          <w:rFonts w:cs="Times New Roman"/>
          <w:szCs w:val="24"/>
        </w:rPr>
        <w:t>.</w:t>
      </w:r>
    </w:p>
    <w:p w:rsidR="00463906" w:rsidRPr="00B02976" w:rsidRDefault="00DA0167" w:rsidP="000B28C0">
      <w:pPr>
        <w:spacing w:before="120" w:after="120"/>
        <w:jc w:val="both"/>
        <w:rPr>
          <w:b/>
          <w:szCs w:val="24"/>
        </w:rPr>
      </w:pPr>
      <w:r>
        <w:rPr>
          <w:b/>
          <w:szCs w:val="24"/>
        </w:rPr>
        <w:t>3</w:t>
      </w:r>
      <w:r w:rsidR="00860963">
        <w:rPr>
          <w:b/>
          <w:szCs w:val="24"/>
        </w:rPr>
        <w:t xml:space="preserve">. </w:t>
      </w:r>
      <w:r w:rsidR="00463906" w:rsidRPr="00B02976">
        <w:rPr>
          <w:b/>
          <w:szCs w:val="24"/>
        </w:rPr>
        <w:t>Plānotie ieņēmumi un izdevumi no stacionāro fotoradaru</w:t>
      </w:r>
      <w:r w:rsidR="00463906">
        <w:rPr>
          <w:b/>
          <w:szCs w:val="24"/>
        </w:rPr>
        <w:t xml:space="preserve"> un </w:t>
      </w:r>
      <w:r w:rsidR="00463906" w:rsidRPr="00B02976">
        <w:rPr>
          <w:b/>
          <w:szCs w:val="24"/>
        </w:rPr>
        <w:t>pārvietojamo fotoradar</w:t>
      </w:r>
      <w:r w:rsidR="00463906">
        <w:rPr>
          <w:b/>
          <w:szCs w:val="24"/>
        </w:rPr>
        <w:t xml:space="preserve">u, videoradaru un rokas radaru </w:t>
      </w:r>
      <w:r w:rsidR="00463906" w:rsidRPr="00B02976">
        <w:rPr>
          <w:b/>
          <w:szCs w:val="24"/>
        </w:rPr>
        <w:t>darbības</w:t>
      </w:r>
    </w:p>
    <w:p w:rsidR="00463906" w:rsidRPr="00B02976" w:rsidRDefault="00463906" w:rsidP="00463906">
      <w:pPr>
        <w:spacing w:before="120"/>
        <w:jc w:val="both"/>
        <w:rPr>
          <w:rFonts w:cs="Times New Roman"/>
          <w:szCs w:val="24"/>
        </w:rPr>
      </w:pPr>
      <w:r>
        <w:rPr>
          <w:rFonts w:cs="Times New Roman"/>
          <w:szCs w:val="24"/>
        </w:rPr>
        <w:t>IeM</w:t>
      </w:r>
      <w:r w:rsidRPr="00B02976">
        <w:rPr>
          <w:rFonts w:cs="Times New Roman"/>
          <w:szCs w:val="24"/>
        </w:rPr>
        <w:t xml:space="preserve"> ir sagatavojusi grozījumu projektu</w:t>
      </w:r>
      <w:r>
        <w:rPr>
          <w:rFonts w:cs="Times New Roman"/>
          <w:szCs w:val="24"/>
        </w:rPr>
        <w:t>s</w:t>
      </w:r>
      <w:r w:rsidRPr="00B02976">
        <w:rPr>
          <w:rFonts w:cs="Times New Roman"/>
          <w:szCs w:val="24"/>
        </w:rPr>
        <w:t xml:space="preserve">: </w:t>
      </w:r>
    </w:p>
    <w:p w:rsidR="00463906" w:rsidRDefault="00463906" w:rsidP="008C25BB">
      <w:pPr>
        <w:pStyle w:val="ListParagraph"/>
        <w:numPr>
          <w:ilvl w:val="0"/>
          <w:numId w:val="92"/>
        </w:numPr>
        <w:spacing w:before="120"/>
        <w:ind w:left="0" w:firstLine="357"/>
        <w:jc w:val="both"/>
        <w:rPr>
          <w:rFonts w:eastAsia="Times New Roman" w:cs="Times New Roman"/>
          <w:bCs/>
          <w:szCs w:val="24"/>
          <w:lang w:eastAsia="lv-LV"/>
        </w:rPr>
      </w:pPr>
      <w:r>
        <w:rPr>
          <w:rFonts w:cs="Times New Roman"/>
          <w:szCs w:val="24"/>
        </w:rPr>
        <w:t>MK</w:t>
      </w:r>
      <w:r w:rsidRPr="00463906">
        <w:rPr>
          <w:rFonts w:cs="Times New Roman"/>
          <w:szCs w:val="24"/>
        </w:rPr>
        <w:t xml:space="preserve"> </w:t>
      </w:r>
      <w:r w:rsidRPr="00463906">
        <w:rPr>
          <w:rFonts w:eastAsia="Times New Roman" w:cs="Times New Roman"/>
          <w:szCs w:val="24"/>
          <w:lang w:eastAsia="lv-LV"/>
        </w:rPr>
        <w:t xml:space="preserve">2014.gada 29.jūlija </w:t>
      </w:r>
      <w:r w:rsidRPr="00463906">
        <w:rPr>
          <w:rFonts w:eastAsia="Times New Roman" w:cs="Times New Roman"/>
          <w:bCs/>
          <w:szCs w:val="24"/>
          <w:lang w:eastAsia="lv-LV"/>
        </w:rPr>
        <w:t>rīkojumā Nr.382</w:t>
      </w:r>
      <w:r w:rsidRPr="00463906">
        <w:rPr>
          <w:rFonts w:eastAsia="Times New Roman" w:cs="Times New Roman"/>
          <w:szCs w:val="24"/>
          <w:lang w:eastAsia="lv-LV"/>
        </w:rPr>
        <w:t xml:space="preserve"> “</w:t>
      </w:r>
      <w:r w:rsidRPr="00463906">
        <w:rPr>
          <w:rFonts w:eastAsia="Times New Roman" w:cs="Times New Roman"/>
          <w:bCs/>
          <w:szCs w:val="24"/>
          <w:lang w:eastAsia="lv-LV"/>
        </w:rPr>
        <w:t xml:space="preserve">Par Iekšlietu ministrijas ilgtermiņa saistībām ceļu satiksmes pārkāpumu fiksēšanas tehnisko līdzekļu (fotoradaru) darbības nodrošināšanai”, kas 2018.gadā paredz stacionāro fotoradaru skaita palielināšanu līdz 100 (papildu 40 fotoradari), kā rezultātā ir prognozējams gan valsts pamatbudžeta ieņēmumu no naudas sodiem, ko uzliek Valsts policija par pārkāpumiem ceļu satiksmē, kas fiksēti ar komersanta tehniskajiem līdzekļiem pieaugums, gan arī </w:t>
      </w:r>
      <w:r>
        <w:rPr>
          <w:rFonts w:eastAsia="Times New Roman" w:cs="Times New Roman"/>
          <w:bCs/>
          <w:szCs w:val="24"/>
          <w:lang w:eastAsia="lv-LV"/>
        </w:rPr>
        <w:t>IeM</w:t>
      </w:r>
      <w:r w:rsidRPr="00463906">
        <w:rPr>
          <w:rFonts w:eastAsia="Times New Roman" w:cs="Times New Roman"/>
          <w:bCs/>
          <w:szCs w:val="24"/>
          <w:lang w:eastAsia="lv-LV"/>
        </w:rPr>
        <w:t xml:space="preserve"> izdevumu pieaugums, lai nodrošinātu samaksu VAS “Ceļu satiksmes drošības direkcija” (CSDD) par fotoradaru darbības nodrošināšanu, kā arī no fotoradariem saņemtās informācijas apstrādi transportlīdzekļu un to vadī</w:t>
      </w:r>
      <w:r>
        <w:rPr>
          <w:rFonts w:eastAsia="Times New Roman" w:cs="Times New Roman"/>
          <w:bCs/>
          <w:szCs w:val="24"/>
          <w:lang w:eastAsia="lv-LV"/>
        </w:rPr>
        <w:t xml:space="preserve">tāju valsts reģistrā, protokola </w:t>
      </w:r>
      <w:r w:rsidRPr="00463906">
        <w:rPr>
          <w:rFonts w:eastAsia="Times New Roman" w:cs="Times New Roman"/>
          <w:bCs/>
          <w:szCs w:val="24"/>
          <w:lang w:eastAsia="lv-LV"/>
        </w:rPr>
        <w:t>lēmuma projekta sagatavošanu un pēc tā izvērtēšanas Valsts policijā pro</w:t>
      </w:r>
      <w:r>
        <w:rPr>
          <w:rFonts w:eastAsia="Times New Roman" w:cs="Times New Roman"/>
          <w:bCs/>
          <w:szCs w:val="24"/>
          <w:lang w:eastAsia="lv-LV"/>
        </w:rPr>
        <w:t xml:space="preserve">tokola </w:t>
      </w:r>
      <w:r w:rsidRPr="00463906">
        <w:rPr>
          <w:rFonts w:eastAsia="Times New Roman" w:cs="Times New Roman"/>
          <w:bCs/>
          <w:szCs w:val="24"/>
          <w:lang w:eastAsia="lv-LV"/>
        </w:rPr>
        <w:t>lēmuma nosūtīšanu personai, kurai uzlikts administratīvais sods par pārkāpumiem ceļu satiksmē, kā arī segtu Valsts policijas izdevumus, kas saistīti ar protokolu-lēmumu projektu izvērtēšanu un nosūtīšanu personai, kurai uzlikts administratīvais sods. Ievērojot, ka darba apjoms būtiski pieaug un turpinās pieaugt, grozījumi paredz 13 amata vietu ieviešanu un finansēšanu, nepalielinot kopējo Valsts policijas amata vietu skaitu (tiks samazinātas ilgstošās vakances, kuru uzturēšanai nav finansiāla seguma). Vienlaikus darba apjoma prognoze rāda, ka šis skaits var būt nepietiekams, tāpēc pārējo nepieciešamo personālu plānots piesaistīt, samazinot to citās struktūrvienībās;</w:t>
      </w:r>
    </w:p>
    <w:p w:rsidR="00463906" w:rsidRPr="00463906" w:rsidRDefault="00463906" w:rsidP="008C25BB">
      <w:pPr>
        <w:pStyle w:val="ListParagraph"/>
        <w:numPr>
          <w:ilvl w:val="0"/>
          <w:numId w:val="92"/>
        </w:numPr>
        <w:spacing w:before="120"/>
        <w:ind w:left="0" w:firstLine="357"/>
        <w:contextualSpacing w:val="0"/>
        <w:jc w:val="both"/>
        <w:rPr>
          <w:rFonts w:eastAsia="Times New Roman" w:cs="Times New Roman"/>
          <w:bCs/>
          <w:szCs w:val="24"/>
          <w:lang w:eastAsia="lv-LV"/>
        </w:rPr>
      </w:pPr>
      <w:r>
        <w:rPr>
          <w:rFonts w:eastAsia="Times New Roman" w:cs="Times New Roman"/>
          <w:szCs w:val="24"/>
          <w:lang w:eastAsia="lv-LV"/>
        </w:rPr>
        <w:t xml:space="preserve">MK </w:t>
      </w:r>
      <w:r w:rsidRPr="00463906">
        <w:rPr>
          <w:rFonts w:eastAsia="Times New Roman" w:cs="Times New Roman"/>
          <w:szCs w:val="24"/>
          <w:lang w:eastAsia="lv-LV"/>
        </w:rPr>
        <w:t xml:space="preserve">2015. gada 16. novembra </w:t>
      </w:r>
      <w:r w:rsidRPr="00463906">
        <w:rPr>
          <w:rFonts w:eastAsia="Times New Roman" w:cs="Times New Roman"/>
          <w:bCs/>
          <w:szCs w:val="24"/>
          <w:lang w:eastAsia="lv-LV"/>
        </w:rPr>
        <w:t>rīkojumā Nr.719</w:t>
      </w:r>
      <w:r w:rsidRPr="00463906">
        <w:rPr>
          <w:rFonts w:eastAsia="Times New Roman" w:cs="Times New Roman"/>
          <w:szCs w:val="24"/>
          <w:lang w:eastAsia="lv-LV"/>
        </w:rPr>
        <w:t xml:space="preserve"> “</w:t>
      </w:r>
      <w:r w:rsidRPr="00463906">
        <w:rPr>
          <w:rFonts w:eastAsia="Times New Roman" w:cs="Times New Roman"/>
          <w:bCs/>
          <w:szCs w:val="24"/>
          <w:lang w:eastAsia="lv-LV"/>
        </w:rPr>
        <w:t xml:space="preserve">Par finansējuma piešķiršanu </w:t>
      </w:r>
      <w:r>
        <w:rPr>
          <w:rFonts w:eastAsia="Times New Roman" w:cs="Times New Roman"/>
          <w:bCs/>
          <w:szCs w:val="24"/>
          <w:lang w:eastAsia="lv-LV"/>
        </w:rPr>
        <w:t>IeM</w:t>
      </w:r>
      <w:r w:rsidRPr="00463906">
        <w:rPr>
          <w:rFonts w:eastAsia="Times New Roman" w:cs="Times New Roman"/>
          <w:bCs/>
          <w:szCs w:val="24"/>
          <w:lang w:eastAsia="lv-LV"/>
        </w:rPr>
        <w:t xml:space="preserve"> pasākumiem, kas saistīti ar ceļu satiksmes uzraudzības uzlabošanu”, jo ir paredzēta 12 pārvietojamo fotoradaru ieviešana no 2017.gada augusta, 40 transportlīdzekļos uzstādīto videoradaru darbības nodrošināšana no 2017.gada maija, un vēl 10 videoradaru darbība no 2018.gada, kā arī 40 rokas radaru iegāde un darbība no 2018.gada augusta, līdz ar to tiek precizēts valsts pamatbudžeta ieņēmumu no naudas sodiem, ko uzliek Valsts policija par pārkāpumiem ceļu satiksmē, kas fiksēti ar Valsts policijai piederošajiem tehniskajiem līdzekļiem un naudas sodiem, ko uzliek Valsts policija par pārkāpumiem ceļu satiksmē, apjoms (no 2018.gada tas palielinās, salīdzinot ar plānoto). Vienlaikus tiek prognozēts arī izdevumu pieaugums, lai nodrošinātu Valsts policijas darbību satiksmes uzraudzības jomā, tai skaitā, paredzot satiksmes uzraudzības struktūrvienību nodrošinājumu ar atbilstošām telpām (mikroklimatu) un aprīkojumu, tai skaitā, datortehniku, lai tā būtu savietojama ar CSDD un citiem IS uzturētajiem reģistriem.</w:t>
      </w:r>
    </w:p>
    <w:p w:rsidR="00463906" w:rsidRDefault="00463906" w:rsidP="00463906">
      <w:pPr>
        <w:spacing w:before="120"/>
        <w:ind w:firstLine="357"/>
        <w:jc w:val="both"/>
        <w:rPr>
          <w:rFonts w:eastAsia="Times New Roman" w:cs="Times New Roman"/>
          <w:bCs/>
          <w:szCs w:val="24"/>
          <w:lang w:eastAsia="lv-LV"/>
        </w:rPr>
      </w:pPr>
      <w:r>
        <w:rPr>
          <w:rFonts w:eastAsia="Times New Roman" w:cs="Times New Roman"/>
          <w:bCs/>
          <w:szCs w:val="24"/>
          <w:lang w:eastAsia="lv-LV"/>
        </w:rPr>
        <w:t xml:space="preserve">Abi rīkojumu projekti ir saistīti un tiks virzīti vienlaikus, jo papildu amata vietas un infrastruktūras nodrošinājums ir attiecināms kopēji. </w:t>
      </w:r>
    </w:p>
    <w:p w:rsidR="00463906" w:rsidRPr="00A06438" w:rsidRDefault="00463906" w:rsidP="00463906">
      <w:pPr>
        <w:spacing w:before="120" w:after="120"/>
        <w:ind w:firstLine="357"/>
        <w:jc w:val="both"/>
        <w:rPr>
          <w:rFonts w:eastAsia="Times New Roman" w:cs="Times New Roman"/>
          <w:bCs/>
          <w:szCs w:val="24"/>
          <w:lang w:eastAsia="lv-LV"/>
        </w:rPr>
      </w:pPr>
      <w:r w:rsidRPr="00A06438">
        <w:rPr>
          <w:rFonts w:eastAsia="Times New Roman" w:cs="Times New Roman"/>
          <w:bCs/>
          <w:szCs w:val="24"/>
          <w:lang w:eastAsia="lv-LV"/>
        </w:rPr>
        <w:t>Pēc jauno fotoradaru iegādes un darbības uzsākšanas ir paredzami papildu ieņēmumi valsts budžetā (sk</w:t>
      </w:r>
      <w:r w:rsidR="00A06438" w:rsidRPr="00A06438">
        <w:rPr>
          <w:rFonts w:eastAsia="Times New Roman" w:cs="Times New Roman"/>
          <w:bCs/>
          <w:szCs w:val="24"/>
          <w:lang w:eastAsia="lv-LV"/>
        </w:rPr>
        <w:t>at</w:t>
      </w:r>
      <w:r w:rsidRPr="00A06438">
        <w:rPr>
          <w:rFonts w:eastAsia="Times New Roman" w:cs="Times New Roman"/>
          <w:bCs/>
          <w:szCs w:val="24"/>
          <w:lang w:eastAsia="lv-LV"/>
        </w:rPr>
        <w:t>. tabulu</w:t>
      </w:r>
      <w:r w:rsidR="00A06438" w:rsidRPr="00A06438">
        <w:rPr>
          <w:rFonts w:eastAsia="Times New Roman" w:cs="Times New Roman"/>
          <w:bCs/>
          <w:szCs w:val="24"/>
          <w:lang w:eastAsia="lv-LV"/>
        </w:rPr>
        <w:t xml:space="preserve"> Nr.3.</w:t>
      </w:r>
      <w:r w:rsidR="00DA0167">
        <w:rPr>
          <w:rFonts w:eastAsia="Times New Roman" w:cs="Times New Roman"/>
          <w:bCs/>
          <w:szCs w:val="24"/>
          <w:lang w:eastAsia="lv-LV"/>
        </w:rPr>
        <w:t>50</w:t>
      </w:r>
      <w:r w:rsidR="00D86274">
        <w:rPr>
          <w:rFonts w:eastAsia="Times New Roman" w:cs="Times New Roman"/>
          <w:bCs/>
          <w:szCs w:val="24"/>
          <w:lang w:eastAsia="lv-LV"/>
        </w:rPr>
        <w:t>.</w:t>
      </w:r>
      <w:r w:rsidRPr="00A06438">
        <w:rPr>
          <w:rFonts w:eastAsia="Times New Roman" w:cs="Times New Roman"/>
          <w:bCs/>
          <w:szCs w:val="24"/>
          <w:lang w:eastAsia="lv-LV"/>
        </w:rPr>
        <w:t xml:space="preserve">). </w:t>
      </w:r>
    </w:p>
    <w:p w:rsidR="00A17001" w:rsidRDefault="00A17001" w:rsidP="00043860">
      <w:pPr>
        <w:spacing w:before="120" w:after="120"/>
        <w:ind w:firstLine="357"/>
        <w:jc w:val="right"/>
        <w:rPr>
          <w:rFonts w:eastAsia="Times New Roman" w:cs="Times New Roman"/>
          <w:bCs/>
          <w:szCs w:val="24"/>
          <w:lang w:eastAsia="lv-LV"/>
        </w:rPr>
      </w:pPr>
    </w:p>
    <w:p w:rsidR="00A17001" w:rsidRDefault="00A17001" w:rsidP="00043860">
      <w:pPr>
        <w:spacing w:before="120" w:after="120"/>
        <w:ind w:firstLine="357"/>
        <w:jc w:val="right"/>
        <w:rPr>
          <w:rFonts w:eastAsia="Times New Roman" w:cs="Times New Roman"/>
          <w:bCs/>
          <w:szCs w:val="24"/>
          <w:lang w:eastAsia="lv-LV"/>
        </w:rPr>
      </w:pPr>
    </w:p>
    <w:p w:rsidR="00043860" w:rsidRDefault="00A06438" w:rsidP="00043860">
      <w:pPr>
        <w:spacing w:before="120" w:after="120"/>
        <w:ind w:firstLine="357"/>
        <w:jc w:val="right"/>
        <w:rPr>
          <w:rFonts w:eastAsia="Times New Roman" w:cs="Times New Roman"/>
          <w:bCs/>
          <w:szCs w:val="24"/>
          <w:lang w:eastAsia="lv-LV"/>
        </w:rPr>
      </w:pPr>
      <w:r w:rsidRPr="00A06438">
        <w:rPr>
          <w:rFonts w:eastAsia="Times New Roman" w:cs="Times New Roman"/>
          <w:bCs/>
          <w:szCs w:val="24"/>
          <w:lang w:eastAsia="lv-LV"/>
        </w:rPr>
        <w:lastRenderedPageBreak/>
        <w:t>Tabula Nr.3.</w:t>
      </w:r>
      <w:r w:rsidR="00DA0167">
        <w:rPr>
          <w:rFonts w:eastAsia="Times New Roman" w:cs="Times New Roman"/>
          <w:bCs/>
          <w:szCs w:val="24"/>
          <w:lang w:eastAsia="lv-LV"/>
        </w:rPr>
        <w:t>50</w:t>
      </w:r>
      <w:r w:rsidR="00D86274">
        <w:rPr>
          <w:rFonts w:eastAsia="Times New Roman" w:cs="Times New Roman"/>
          <w:bCs/>
          <w:szCs w:val="24"/>
          <w:lang w:eastAsia="lv-LV"/>
        </w:rPr>
        <w:t>.</w:t>
      </w:r>
    </w:p>
    <w:p w:rsidR="006B1365" w:rsidRDefault="00043860" w:rsidP="00043860">
      <w:pPr>
        <w:spacing w:before="120" w:after="120"/>
        <w:ind w:firstLine="357"/>
        <w:jc w:val="center"/>
        <w:rPr>
          <w:rFonts w:eastAsia="Times New Roman" w:cs="Times New Roman"/>
          <w:b/>
          <w:bCs/>
          <w:szCs w:val="24"/>
          <w:lang w:eastAsia="lv-LV"/>
        </w:rPr>
      </w:pPr>
      <w:r w:rsidRPr="00043860">
        <w:rPr>
          <w:rFonts w:eastAsia="Times New Roman" w:cs="Times New Roman"/>
          <w:b/>
          <w:bCs/>
          <w:szCs w:val="24"/>
          <w:lang w:eastAsia="lv-LV"/>
        </w:rPr>
        <w:t>Papildu ieņēmumi valsts budžetā pēc jauno fotoradaru iegādes un darbības uzsākšanas</w:t>
      </w:r>
    </w:p>
    <w:tbl>
      <w:tblPr>
        <w:tblStyle w:val="TableGrid"/>
        <w:tblW w:w="0" w:type="auto"/>
        <w:tblInd w:w="-5" w:type="dxa"/>
        <w:tblLook w:val="04A0" w:firstRow="1" w:lastRow="0" w:firstColumn="1" w:lastColumn="0" w:noHBand="0" w:noVBand="1"/>
      </w:tblPr>
      <w:tblGrid>
        <w:gridCol w:w="1930"/>
        <w:gridCol w:w="1016"/>
        <w:gridCol w:w="1020"/>
        <w:gridCol w:w="1020"/>
        <w:gridCol w:w="1020"/>
        <w:gridCol w:w="1020"/>
        <w:gridCol w:w="1014"/>
        <w:gridCol w:w="1026"/>
      </w:tblGrid>
      <w:tr w:rsidR="006B1365" w:rsidRPr="00542DF4" w:rsidTr="00185D26">
        <w:tc>
          <w:tcPr>
            <w:tcW w:w="1930"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p>
        </w:tc>
        <w:tc>
          <w:tcPr>
            <w:tcW w:w="1016"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2017</w:t>
            </w:r>
          </w:p>
        </w:tc>
        <w:tc>
          <w:tcPr>
            <w:tcW w:w="1020"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2018</w:t>
            </w:r>
          </w:p>
        </w:tc>
        <w:tc>
          <w:tcPr>
            <w:tcW w:w="1020"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2019</w:t>
            </w:r>
          </w:p>
        </w:tc>
        <w:tc>
          <w:tcPr>
            <w:tcW w:w="1020"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2020</w:t>
            </w:r>
          </w:p>
        </w:tc>
        <w:tc>
          <w:tcPr>
            <w:tcW w:w="1020"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2021</w:t>
            </w:r>
          </w:p>
        </w:tc>
        <w:tc>
          <w:tcPr>
            <w:tcW w:w="1014"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2022</w:t>
            </w:r>
          </w:p>
        </w:tc>
        <w:tc>
          <w:tcPr>
            <w:tcW w:w="1026" w:type="dxa"/>
            <w:shd w:val="clear" w:color="auto" w:fill="C5E0B3" w:themeFill="accent6" w:themeFillTint="66"/>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2023</w:t>
            </w:r>
          </w:p>
        </w:tc>
      </w:tr>
      <w:tr w:rsidR="006B1365" w:rsidRPr="00542DF4" w:rsidTr="00185D26">
        <w:tc>
          <w:tcPr>
            <w:tcW w:w="9066" w:type="dxa"/>
            <w:gridSpan w:val="8"/>
            <w:shd w:val="clear" w:color="auto" w:fill="FFF2CC" w:themeFill="accent4" w:themeFillTint="33"/>
            <w:tcMar>
              <w:left w:w="28" w:type="dxa"/>
              <w:right w:w="28" w:type="dxa"/>
            </w:tcMar>
          </w:tcPr>
          <w:p w:rsidR="006B1365" w:rsidRPr="00542DF4" w:rsidRDefault="006B1365" w:rsidP="008C25BB">
            <w:pPr>
              <w:pStyle w:val="ListParagraph"/>
              <w:numPr>
                <w:ilvl w:val="0"/>
                <w:numId w:val="91"/>
              </w:numPr>
              <w:jc w:val="center"/>
              <w:rPr>
                <w:rFonts w:cs="Times New Roman"/>
                <w:b/>
                <w:sz w:val="18"/>
                <w:szCs w:val="18"/>
              </w:rPr>
            </w:pPr>
            <w:r w:rsidRPr="00542DF4">
              <w:rPr>
                <w:rFonts w:cs="Times New Roman"/>
                <w:b/>
                <w:sz w:val="18"/>
                <w:szCs w:val="18"/>
              </w:rPr>
              <w:t>Stacionārie fotoradari (CSDD)</w:t>
            </w:r>
          </w:p>
        </w:tc>
      </w:tr>
      <w:tr w:rsidR="006B1365" w:rsidRPr="00542DF4" w:rsidTr="00185D26">
        <w:tc>
          <w:tcPr>
            <w:tcW w:w="1930" w:type="dxa"/>
            <w:tcMar>
              <w:left w:w="28" w:type="dxa"/>
              <w:right w:w="28" w:type="dxa"/>
            </w:tcMar>
          </w:tcPr>
          <w:p w:rsidR="006B1365" w:rsidRPr="00542DF4" w:rsidRDefault="006B1365" w:rsidP="00E930A9">
            <w:pPr>
              <w:rPr>
                <w:rFonts w:cs="Times New Roman"/>
                <w:sz w:val="18"/>
                <w:szCs w:val="18"/>
              </w:rPr>
            </w:pPr>
            <w:r w:rsidRPr="00542DF4">
              <w:rPr>
                <w:rFonts w:cs="Times New Roman"/>
                <w:sz w:val="18"/>
                <w:szCs w:val="18"/>
              </w:rPr>
              <w:t>Ieņēmumi-apstiprināts (plānots)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4 796 549</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6 402 240</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6 798 250</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5 683 422</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4 642 128</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1 990 161</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 xml:space="preserve">265 734 </w:t>
            </w:r>
          </w:p>
        </w:tc>
      </w:tr>
      <w:tr w:rsidR="006B1365" w:rsidRPr="00542DF4" w:rsidTr="00185D26">
        <w:tc>
          <w:tcPr>
            <w:tcW w:w="1930" w:type="dxa"/>
            <w:tcMar>
              <w:left w:w="28" w:type="dxa"/>
              <w:right w:w="28" w:type="dxa"/>
            </w:tcMar>
          </w:tcPr>
          <w:p w:rsidR="006B1365" w:rsidRPr="00542DF4" w:rsidRDefault="006B1365" w:rsidP="00E930A9">
            <w:pPr>
              <w:rPr>
                <w:rFonts w:cs="Times New Roman"/>
                <w:b/>
                <w:sz w:val="18"/>
                <w:szCs w:val="18"/>
              </w:rPr>
            </w:pPr>
            <w:r w:rsidRPr="00542DF4">
              <w:rPr>
                <w:rFonts w:cs="Times New Roman"/>
                <w:sz w:val="18"/>
                <w:szCs w:val="18"/>
              </w:rPr>
              <w:t>Ieņēmumi-precizēts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7 767 933</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11 785 830</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15 126 348</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12 668 457</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10 746 843</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6 349 724</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3 025 213</w:t>
            </w:r>
          </w:p>
        </w:tc>
      </w:tr>
      <w:tr w:rsidR="006B1365" w:rsidRPr="00542DF4" w:rsidTr="00185D26">
        <w:tc>
          <w:tcPr>
            <w:tcW w:w="1930" w:type="dxa"/>
            <w:tcMar>
              <w:left w:w="28" w:type="dxa"/>
              <w:right w:w="28" w:type="dxa"/>
            </w:tcMar>
          </w:tcPr>
          <w:p w:rsidR="006B1365" w:rsidRPr="00542DF4" w:rsidRDefault="006B1365" w:rsidP="00E930A9">
            <w:pPr>
              <w:rPr>
                <w:rFonts w:cs="Times New Roman"/>
                <w:b/>
                <w:sz w:val="18"/>
                <w:szCs w:val="18"/>
              </w:rPr>
            </w:pPr>
            <w:r w:rsidRPr="00542DF4">
              <w:rPr>
                <w:rFonts w:cs="Times New Roman"/>
                <w:sz w:val="18"/>
                <w:szCs w:val="18"/>
              </w:rPr>
              <w:t>Izdevumi-apstiprināts (plānots)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1 289 843</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1 501 957</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1 501 957</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1 313 519</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1 086 302</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540 313</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0</w:t>
            </w:r>
          </w:p>
        </w:tc>
      </w:tr>
      <w:tr w:rsidR="006B1365" w:rsidRPr="00542DF4" w:rsidTr="00185D26">
        <w:tc>
          <w:tcPr>
            <w:tcW w:w="1930" w:type="dxa"/>
            <w:tcMar>
              <w:left w:w="28" w:type="dxa"/>
              <w:right w:w="28" w:type="dxa"/>
            </w:tcMar>
          </w:tcPr>
          <w:p w:rsidR="006B1365" w:rsidRPr="00542DF4" w:rsidRDefault="006B1365" w:rsidP="00E930A9">
            <w:pPr>
              <w:rPr>
                <w:rFonts w:cs="Times New Roman"/>
                <w:b/>
                <w:sz w:val="18"/>
                <w:szCs w:val="18"/>
              </w:rPr>
            </w:pPr>
            <w:r w:rsidRPr="00542DF4">
              <w:rPr>
                <w:rFonts w:cs="Times New Roman"/>
                <w:sz w:val="18"/>
                <w:szCs w:val="18"/>
              </w:rPr>
              <w:t>Izdevumi-precizēts</w:t>
            </w:r>
          </w:p>
        </w:tc>
        <w:tc>
          <w:tcPr>
            <w:tcW w:w="1016" w:type="dxa"/>
            <w:tcMar>
              <w:left w:w="28" w:type="dxa"/>
              <w:right w:w="28" w:type="dxa"/>
            </w:tcMar>
          </w:tcPr>
          <w:p w:rsidR="006B1365" w:rsidRPr="00542DF4" w:rsidRDefault="00CE6396" w:rsidP="00E930A9">
            <w:pPr>
              <w:jc w:val="center"/>
              <w:rPr>
                <w:rFonts w:cs="Times New Roman"/>
                <w:sz w:val="18"/>
                <w:szCs w:val="18"/>
              </w:rPr>
            </w:pPr>
            <w:r>
              <w:rPr>
                <w:rFonts w:cs="Times New Roman"/>
                <w:sz w:val="18"/>
                <w:szCs w:val="18"/>
              </w:rPr>
              <w:t>x</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2 480 642</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3 086 546</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2 790 025</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2 551 492</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1 803 908</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1 199 111</w:t>
            </w:r>
          </w:p>
        </w:tc>
      </w:tr>
      <w:tr w:rsidR="00AC6A58" w:rsidRPr="00542DF4" w:rsidTr="00185D26">
        <w:tc>
          <w:tcPr>
            <w:tcW w:w="1930" w:type="dxa"/>
            <w:tcMar>
              <w:left w:w="28" w:type="dxa"/>
              <w:right w:w="28" w:type="dxa"/>
            </w:tcMar>
          </w:tcPr>
          <w:p w:rsidR="00AC6A58" w:rsidRPr="00542DF4" w:rsidRDefault="00AC6A58" w:rsidP="00E930A9">
            <w:pPr>
              <w:rPr>
                <w:rFonts w:cs="Times New Roman"/>
                <w:sz w:val="18"/>
                <w:szCs w:val="18"/>
              </w:rPr>
            </w:pPr>
            <w:r>
              <w:rPr>
                <w:rFonts w:cs="Times New Roman"/>
                <w:sz w:val="18"/>
                <w:szCs w:val="18"/>
              </w:rPr>
              <w:t>Izdevumi-precizēts (VSS-675)</w:t>
            </w:r>
          </w:p>
        </w:tc>
        <w:tc>
          <w:tcPr>
            <w:tcW w:w="1016" w:type="dxa"/>
            <w:tcMar>
              <w:left w:w="28" w:type="dxa"/>
              <w:right w:w="28" w:type="dxa"/>
            </w:tcMar>
          </w:tcPr>
          <w:p w:rsidR="00AC6A58" w:rsidRDefault="00AC6A58" w:rsidP="00E930A9">
            <w:pPr>
              <w:jc w:val="center"/>
              <w:rPr>
                <w:rFonts w:cs="Times New Roman"/>
                <w:sz w:val="18"/>
                <w:szCs w:val="18"/>
              </w:rPr>
            </w:pPr>
            <w:r>
              <w:rPr>
                <w:rFonts w:cs="Times New Roman"/>
                <w:sz w:val="18"/>
                <w:szCs w:val="18"/>
              </w:rPr>
              <w:t>x</w:t>
            </w:r>
          </w:p>
        </w:tc>
        <w:tc>
          <w:tcPr>
            <w:tcW w:w="1020" w:type="dxa"/>
            <w:tcMar>
              <w:left w:w="28" w:type="dxa"/>
              <w:right w:w="28" w:type="dxa"/>
            </w:tcMar>
          </w:tcPr>
          <w:p w:rsidR="00AC6A58" w:rsidRPr="00542DF4" w:rsidRDefault="00185D26" w:rsidP="00195837">
            <w:pPr>
              <w:jc w:val="right"/>
              <w:rPr>
                <w:rFonts w:cs="Times New Roman"/>
                <w:sz w:val="18"/>
                <w:szCs w:val="18"/>
              </w:rPr>
            </w:pPr>
            <w:r>
              <w:rPr>
                <w:rFonts w:cs="Times New Roman"/>
                <w:sz w:val="18"/>
                <w:szCs w:val="18"/>
              </w:rPr>
              <w:t>2 650 119</w:t>
            </w:r>
          </w:p>
        </w:tc>
        <w:tc>
          <w:tcPr>
            <w:tcW w:w="1020" w:type="dxa"/>
            <w:tcMar>
              <w:left w:w="28" w:type="dxa"/>
              <w:right w:w="28" w:type="dxa"/>
            </w:tcMar>
          </w:tcPr>
          <w:p w:rsidR="00AC6A58" w:rsidRPr="00542DF4" w:rsidRDefault="00DA0B2A" w:rsidP="00195837">
            <w:pPr>
              <w:jc w:val="right"/>
              <w:rPr>
                <w:rFonts w:cs="Times New Roman"/>
                <w:sz w:val="18"/>
                <w:szCs w:val="18"/>
              </w:rPr>
            </w:pPr>
            <w:r>
              <w:rPr>
                <w:rFonts w:cs="Times New Roman"/>
                <w:sz w:val="18"/>
                <w:szCs w:val="18"/>
              </w:rPr>
              <w:t>3 317 651</w:t>
            </w:r>
          </w:p>
        </w:tc>
        <w:tc>
          <w:tcPr>
            <w:tcW w:w="1020" w:type="dxa"/>
            <w:tcMar>
              <w:left w:w="28" w:type="dxa"/>
              <w:right w:w="28" w:type="dxa"/>
            </w:tcMar>
          </w:tcPr>
          <w:p w:rsidR="00AC6A58" w:rsidRPr="00542DF4" w:rsidRDefault="0005022A" w:rsidP="00195837">
            <w:pPr>
              <w:jc w:val="right"/>
              <w:rPr>
                <w:rFonts w:cs="Times New Roman"/>
                <w:sz w:val="18"/>
                <w:szCs w:val="18"/>
              </w:rPr>
            </w:pPr>
            <w:r>
              <w:rPr>
                <w:rFonts w:cs="Times New Roman"/>
                <w:sz w:val="18"/>
                <w:szCs w:val="18"/>
              </w:rPr>
              <w:t>2 996 479</w:t>
            </w:r>
          </w:p>
        </w:tc>
        <w:tc>
          <w:tcPr>
            <w:tcW w:w="1020" w:type="dxa"/>
            <w:tcMar>
              <w:left w:w="28" w:type="dxa"/>
              <w:right w:w="28" w:type="dxa"/>
            </w:tcMar>
          </w:tcPr>
          <w:p w:rsidR="00AC6A58" w:rsidRPr="00542DF4" w:rsidRDefault="00FB5B63" w:rsidP="00195837">
            <w:pPr>
              <w:jc w:val="right"/>
              <w:rPr>
                <w:rFonts w:cs="Times New Roman"/>
                <w:sz w:val="18"/>
                <w:szCs w:val="18"/>
              </w:rPr>
            </w:pPr>
            <w:r>
              <w:rPr>
                <w:rFonts w:cs="Times New Roman"/>
                <w:sz w:val="18"/>
                <w:szCs w:val="18"/>
              </w:rPr>
              <w:t>2 551 492</w:t>
            </w:r>
          </w:p>
        </w:tc>
        <w:tc>
          <w:tcPr>
            <w:tcW w:w="1014" w:type="dxa"/>
            <w:tcMar>
              <w:left w:w="28" w:type="dxa"/>
              <w:right w:w="28" w:type="dxa"/>
            </w:tcMar>
          </w:tcPr>
          <w:p w:rsidR="00AC6A58" w:rsidRPr="00542DF4" w:rsidRDefault="00701AA3" w:rsidP="00195837">
            <w:pPr>
              <w:jc w:val="right"/>
              <w:rPr>
                <w:rFonts w:cs="Times New Roman"/>
                <w:sz w:val="18"/>
                <w:szCs w:val="18"/>
              </w:rPr>
            </w:pPr>
            <w:r>
              <w:rPr>
                <w:rFonts w:cs="Times New Roman"/>
                <w:sz w:val="18"/>
                <w:szCs w:val="18"/>
              </w:rPr>
              <w:t>1 923 312</w:t>
            </w:r>
          </w:p>
        </w:tc>
        <w:tc>
          <w:tcPr>
            <w:tcW w:w="1026" w:type="dxa"/>
            <w:tcMar>
              <w:left w:w="28" w:type="dxa"/>
              <w:right w:w="28" w:type="dxa"/>
            </w:tcMar>
          </w:tcPr>
          <w:p w:rsidR="00AC6A58" w:rsidRPr="00542DF4" w:rsidRDefault="00701AA3" w:rsidP="00195837">
            <w:pPr>
              <w:jc w:val="right"/>
              <w:rPr>
                <w:rFonts w:cs="Times New Roman"/>
                <w:sz w:val="18"/>
                <w:szCs w:val="18"/>
              </w:rPr>
            </w:pPr>
            <w:r>
              <w:rPr>
                <w:rFonts w:cs="Times New Roman"/>
                <w:sz w:val="18"/>
                <w:szCs w:val="18"/>
              </w:rPr>
              <w:t>1 260 739</w:t>
            </w:r>
          </w:p>
        </w:tc>
      </w:tr>
      <w:tr w:rsidR="00CE6396" w:rsidRPr="00542DF4" w:rsidTr="00185D26">
        <w:tc>
          <w:tcPr>
            <w:tcW w:w="1930" w:type="dxa"/>
            <w:tcMar>
              <w:left w:w="28" w:type="dxa"/>
              <w:right w:w="28" w:type="dxa"/>
            </w:tcMar>
          </w:tcPr>
          <w:p w:rsidR="00CE6396" w:rsidRPr="00542DF4" w:rsidRDefault="00CE6396" w:rsidP="00CE6396">
            <w:pPr>
              <w:rPr>
                <w:rFonts w:cs="Times New Roman"/>
                <w:sz w:val="18"/>
                <w:szCs w:val="18"/>
              </w:rPr>
            </w:pPr>
            <w:r w:rsidRPr="00542DF4">
              <w:rPr>
                <w:rFonts w:cs="Times New Roman"/>
                <w:sz w:val="18"/>
                <w:szCs w:val="18"/>
              </w:rPr>
              <w:t>Ietekme uz budžetu -plāns</w:t>
            </w:r>
          </w:p>
        </w:tc>
        <w:tc>
          <w:tcPr>
            <w:tcW w:w="1016" w:type="dxa"/>
            <w:tcMar>
              <w:left w:w="28" w:type="dxa"/>
              <w:right w:w="28" w:type="dxa"/>
            </w:tcMar>
          </w:tcPr>
          <w:p w:rsidR="00CE6396" w:rsidRPr="00CE6396" w:rsidRDefault="00CE6396" w:rsidP="00195837">
            <w:pPr>
              <w:jc w:val="right"/>
              <w:rPr>
                <w:sz w:val="18"/>
                <w:szCs w:val="18"/>
              </w:rPr>
            </w:pPr>
            <w:r w:rsidRPr="00CE6396">
              <w:rPr>
                <w:sz w:val="18"/>
                <w:szCs w:val="18"/>
              </w:rPr>
              <w:t>3 506 706</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4 900 283</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5 296 293</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4 369 903</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3 555 826</w:t>
            </w:r>
          </w:p>
        </w:tc>
        <w:tc>
          <w:tcPr>
            <w:tcW w:w="1014"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1 449 848</w:t>
            </w:r>
          </w:p>
        </w:tc>
        <w:tc>
          <w:tcPr>
            <w:tcW w:w="1026"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265 734</w:t>
            </w:r>
          </w:p>
        </w:tc>
      </w:tr>
      <w:tr w:rsidR="00CE6396" w:rsidRPr="00542DF4" w:rsidTr="00185D26">
        <w:tc>
          <w:tcPr>
            <w:tcW w:w="1930" w:type="dxa"/>
            <w:tcMar>
              <w:left w:w="28" w:type="dxa"/>
              <w:right w:w="28" w:type="dxa"/>
            </w:tcMar>
          </w:tcPr>
          <w:p w:rsidR="00CE6396" w:rsidRPr="00542DF4" w:rsidRDefault="00CE6396" w:rsidP="00CE6396">
            <w:pPr>
              <w:rPr>
                <w:rFonts w:cs="Times New Roman"/>
                <w:sz w:val="18"/>
                <w:szCs w:val="18"/>
              </w:rPr>
            </w:pPr>
            <w:r w:rsidRPr="00542DF4">
              <w:rPr>
                <w:rFonts w:cs="Times New Roman"/>
                <w:sz w:val="18"/>
                <w:szCs w:val="18"/>
              </w:rPr>
              <w:t>Ietekme uz budžetu-precizēts</w:t>
            </w:r>
            <w:r w:rsidR="00AC6A58">
              <w:rPr>
                <w:rFonts w:cs="Times New Roman"/>
                <w:sz w:val="18"/>
                <w:szCs w:val="18"/>
              </w:rPr>
              <w:t xml:space="preserve"> (VSS-675)</w:t>
            </w:r>
          </w:p>
        </w:tc>
        <w:tc>
          <w:tcPr>
            <w:tcW w:w="1016" w:type="dxa"/>
            <w:tcMar>
              <w:left w:w="28" w:type="dxa"/>
              <w:right w:w="28" w:type="dxa"/>
            </w:tcMar>
          </w:tcPr>
          <w:p w:rsidR="00CE6396" w:rsidRPr="00CE6396" w:rsidRDefault="00CE6396" w:rsidP="00195837">
            <w:pPr>
              <w:jc w:val="right"/>
              <w:rPr>
                <w:sz w:val="18"/>
                <w:szCs w:val="18"/>
              </w:rPr>
            </w:pPr>
            <w:r w:rsidRPr="00CE6396">
              <w:rPr>
                <w:sz w:val="18"/>
                <w:szCs w:val="18"/>
              </w:rPr>
              <w:t>6 478 090</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9 305 188</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12 039 802</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9 878 432</w:t>
            </w:r>
          </w:p>
        </w:tc>
        <w:tc>
          <w:tcPr>
            <w:tcW w:w="1020"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8 195 351</w:t>
            </w:r>
          </w:p>
        </w:tc>
        <w:tc>
          <w:tcPr>
            <w:tcW w:w="1014"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 xml:space="preserve">4 545 816 </w:t>
            </w:r>
          </w:p>
        </w:tc>
        <w:tc>
          <w:tcPr>
            <w:tcW w:w="1026" w:type="dxa"/>
            <w:tcMar>
              <w:left w:w="28" w:type="dxa"/>
              <w:right w:w="28" w:type="dxa"/>
            </w:tcMar>
          </w:tcPr>
          <w:p w:rsidR="00CE6396" w:rsidRPr="00542DF4" w:rsidRDefault="00CE6396" w:rsidP="00195837">
            <w:pPr>
              <w:jc w:val="right"/>
              <w:rPr>
                <w:rFonts w:cs="Times New Roman"/>
                <w:sz w:val="18"/>
                <w:szCs w:val="18"/>
              </w:rPr>
            </w:pPr>
            <w:r w:rsidRPr="00542DF4">
              <w:rPr>
                <w:rFonts w:cs="Times New Roman"/>
                <w:sz w:val="18"/>
                <w:szCs w:val="18"/>
              </w:rPr>
              <w:t>1 826 102</w:t>
            </w:r>
          </w:p>
        </w:tc>
      </w:tr>
      <w:tr w:rsidR="00AC6A58" w:rsidRPr="00542DF4" w:rsidTr="00185D26">
        <w:tc>
          <w:tcPr>
            <w:tcW w:w="1930" w:type="dxa"/>
            <w:tcMar>
              <w:left w:w="28" w:type="dxa"/>
              <w:right w:w="28" w:type="dxa"/>
            </w:tcMar>
          </w:tcPr>
          <w:p w:rsidR="00AC6A58" w:rsidRPr="00542DF4" w:rsidRDefault="00AC6A58" w:rsidP="00CE6396">
            <w:pPr>
              <w:rPr>
                <w:rFonts w:cs="Times New Roman"/>
                <w:sz w:val="18"/>
                <w:szCs w:val="18"/>
              </w:rPr>
            </w:pPr>
            <w:r>
              <w:rPr>
                <w:rFonts w:cs="Times New Roman"/>
                <w:sz w:val="18"/>
                <w:szCs w:val="18"/>
              </w:rPr>
              <w:t>Ietekme uz budžetu-precizēts (ar CSDD izdevumu palielinājumu)</w:t>
            </w:r>
          </w:p>
        </w:tc>
        <w:tc>
          <w:tcPr>
            <w:tcW w:w="1016" w:type="dxa"/>
            <w:tcMar>
              <w:left w:w="28" w:type="dxa"/>
              <w:right w:w="28" w:type="dxa"/>
            </w:tcMar>
          </w:tcPr>
          <w:p w:rsidR="00AC6A58" w:rsidRPr="00AC6A58" w:rsidRDefault="00AC6A58" w:rsidP="00195837">
            <w:pPr>
              <w:jc w:val="center"/>
              <w:rPr>
                <w:rFonts w:cs="Times New Roman"/>
                <w:sz w:val="18"/>
                <w:szCs w:val="18"/>
              </w:rPr>
            </w:pPr>
            <w:r>
              <w:rPr>
                <w:rFonts w:cs="Times New Roman"/>
                <w:sz w:val="18"/>
                <w:szCs w:val="18"/>
              </w:rPr>
              <w:t>x</w:t>
            </w:r>
          </w:p>
        </w:tc>
        <w:tc>
          <w:tcPr>
            <w:tcW w:w="1020" w:type="dxa"/>
            <w:tcMar>
              <w:left w:w="28" w:type="dxa"/>
              <w:right w:w="28" w:type="dxa"/>
            </w:tcMar>
          </w:tcPr>
          <w:p w:rsidR="00AC6A58" w:rsidRPr="00542DF4" w:rsidRDefault="00185D26" w:rsidP="00195837">
            <w:pPr>
              <w:jc w:val="right"/>
              <w:rPr>
                <w:rFonts w:cs="Times New Roman"/>
                <w:sz w:val="18"/>
                <w:szCs w:val="18"/>
              </w:rPr>
            </w:pPr>
            <w:r>
              <w:rPr>
                <w:rFonts w:cs="Times New Roman"/>
                <w:sz w:val="18"/>
                <w:szCs w:val="18"/>
              </w:rPr>
              <w:t>9 135 711</w:t>
            </w:r>
          </w:p>
        </w:tc>
        <w:tc>
          <w:tcPr>
            <w:tcW w:w="1020" w:type="dxa"/>
            <w:tcMar>
              <w:left w:w="28" w:type="dxa"/>
              <w:right w:w="28" w:type="dxa"/>
            </w:tcMar>
          </w:tcPr>
          <w:p w:rsidR="00AC6A58" w:rsidRPr="00542DF4" w:rsidRDefault="00DA0B2A" w:rsidP="00195837">
            <w:pPr>
              <w:jc w:val="right"/>
              <w:rPr>
                <w:rFonts w:cs="Times New Roman"/>
                <w:sz w:val="18"/>
                <w:szCs w:val="18"/>
              </w:rPr>
            </w:pPr>
            <w:r>
              <w:rPr>
                <w:rFonts w:cs="Times New Roman"/>
                <w:sz w:val="18"/>
                <w:szCs w:val="18"/>
              </w:rPr>
              <w:t>11 808 697</w:t>
            </w:r>
          </w:p>
        </w:tc>
        <w:tc>
          <w:tcPr>
            <w:tcW w:w="1020" w:type="dxa"/>
            <w:tcMar>
              <w:left w:w="28" w:type="dxa"/>
              <w:right w:w="28" w:type="dxa"/>
            </w:tcMar>
          </w:tcPr>
          <w:p w:rsidR="00AC6A58" w:rsidRPr="00542DF4" w:rsidRDefault="0005022A" w:rsidP="00195837">
            <w:pPr>
              <w:jc w:val="right"/>
              <w:rPr>
                <w:rFonts w:cs="Times New Roman"/>
                <w:sz w:val="18"/>
                <w:szCs w:val="18"/>
              </w:rPr>
            </w:pPr>
            <w:r>
              <w:rPr>
                <w:rFonts w:cs="Times New Roman"/>
                <w:sz w:val="18"/>
                <w:szCs w:val="18"/>
              </w:rPr>
              <w:t>9 671 978</w:t>
            </w:r>
          </w:p>
        </w:tc>
        <w:tc>
          <w:tcPr>
            <w:tcW w:w="1020" w:type="dxa"/>
            <w:tcMar>
              <w:left w:w="28" w:type="dxa"/>
              <w:right w:w="28" w:type="dxa"/>
            </w:tcMar>
          </w:tcPr>
          <w:p w:rsidR="00AC6A58" w:rsidRPr="00542DF4" w:rsidRDefault="00FB5B63" w:rsidP="00195837">
            <w:pPr>
              <w:jc w:val="right"/>
              <w:rPr>
                <w:rFonts w:cs="Times New Roman"/>
                <w:sz w:val="18"/>
                <w:szCs w:val="18"/>
              </w:rPr>
            </w:pPr>
            <w:r>
              <w:rPr>
                <w:rFonts w:cs="Times New Roman"/>
                <w:sz w:val="18"/>
                <w:szCs w:val="18"/>
              </w:rPr>
              <w:t>8 007 693</w:t>
            </w:r>
          </w:p>
        </w:tc>
        <w:tc>
          <w:tcPr>
            <w:tcW w:w="1014" w:type="dxa"/>
            <w:tcMar>
              <w:left w:w="28" w:type="dxa"/>
              <w:right w:w="28" w:type="dxa"/>
            </w:tcMar>
          </w:tcPr>
          <w:p w:rsidR="00AC6A58" w:rsidRPr="00542DF4" w:rsidRDefault="00701AA3" w:rsidP="00195837">
            <w:pPr>
              <w:jc w:val="right"/>
              <w:rPr>
                <w:rFonts w:cs="Times New Roman"/>
                <w:sz w:val="18"/>
                <w:szCs w:val="18"/>
              </w:rPr>
            </w:pPr>
            <w:r>
              <w:rPr>
                <w:rFonts w:cs="Times New Roman"/>
                <w:sz w:val="18"/>
                <w:szCs w:val="18"/>
              </w:rPr>
              <w:t>4 426 412</w:t>
            </w:r>
          </w:p>
        </w:tc>
        <w:tc>
          <w:tcPr>
            <w:tcW w:w="1026" w:type="dxa"/>
            <w:tcMar>
              <w:left w:w="28" w:type="dxa"/>
              <w:right w:w="28" w:type="dxa"/>
            </w:tcMar>
          </w:tcPr>
          <w:p w:rsidR="00AC6A58" w:rsidRPr="00542DF4" w:rsidRDefault="00701AA3" w:rsidP="00195837">
            <w:pPr>
              <w:jc w:val="right"/>
              <w:rPr>
                <w:rFonts w:cs="Times New Roman"/>
                <w:sz w:val="18"/>
                <w:szCs w:val="18"/>
              </w:rPr>
            </w:pPr>
            <w:r>
              <w:rPr>
                <w:rFonts w:cs="Times New Roman"/>
                <w:sz w:val="18"/>
                <w:szCs w:val="18"/>
              </w:rPr>
              <w:t>1 764 474</w:t>
            </w:r>
          </w:p>
        </w:tc>
      </w:tr>
      <w:tr w:rsidR="00CE6396" w:rsidRPr="00542DF4" w:rsidTr="00185D26">
        <w:tc>
          <w:tcPr>
            <w:tcW w:w="1930" w:type="dxa"/>
            <w:tcMar>
              <w:left w:w="28" w:type="dxa"/>
              <w:right w:w="28" w:type="dxa"/>
            </w:tcMar>
          </w:tcPr>
          <w:p w:rsidR="00CE6396" w:rsidRPr="00542DF4" w:rsidRDefault="00CE6396" w:rsidP="00CE6396">
            <w:pPr>
              <w:rPr>
                <w:rFonts w:cs="Times New Roman"/>
                <w:sz w:val="18"/>
                <w:szCs w:val="18"/>
              </w:rPr>
            </w:pPr>
            <w:r w:rsidRPr="00542DF4">
              <w:rPr>
                <w:rFonts w:cs="Times New Roman"/>
                <w:b/>
                <w:sz w:val="18"/>
                <w:szCs w:val="18"/>
              </w:rPr>
              <w:t xml:space="preserve">Bilance </w:t>
            </w:r>
            <w:r w:rsidR="00D37137">
              <w:rPr>
                <w:rFonts w:cs="Times New Roman"/>
                <w:b/>
                <w:sz w:val="18"/>
                <w:szCs w:val="18"/>
              </w:rPr>
              <w:t>(VSS-675)</w:t>
            </w:r>
          </w:p>
        </w:tc>
        <w:tc>
          <w:tcPr>
            <w:tcW w:w="1016" w:type="dxa"/>
            <w:tcMar>
              <w:left w:w="28" w:type="dxa"/>
              <w:right w:w="28" w:type="dxa"/>
            </w:tcMar>
          </w:tcPr>
          <w:p w:rsidR="00CE6396" w:rsidRPr="00CE6396" w:rsidRDefault="00CE6396" w:rsidP="00195837">
            <w:pPr>
              <w:jc w:val="right"/>
              <w:rPr>
                <w:b/>
                <w:sz w:val="18"/>
                <w:szCs w:val="18"/>
              </w:rPr>
            </w:pPr>
            <w:r w:rsidRPr="00CE6396">
              <w:rPr>
                <w:b/>
                <w:sz w:val="18"/>
                <w:szCs w:val="18"/>
              </w:rPr>
              <w:t>2 971 384</w:t>
            </w:r>
          </w:p>
        </w:tc>
        <w:tc>
          <w:tcPr>
            <w:tcW w:w="1020" w:type="dxa"/>
            <w:tcMar>
              <w:left w:w="28" w:type="dxa"/>
              <w:right w:w="28" w:type="dxa"/>
            </w:tcMar>
          </w:tcPr>
          <w:p w:rsidR="00CE6396" w:rsidRPr="00542DF4" w:rsidRDefault="00CE6396" w:rsidP="00195837">
            <w:pPr>
              <w:jc w:val="right"/>
              <w:rPr>
                <w:rFonts w:cs="Times New Roman"/>
                <w:b/>
                <w:sz w:val="18"/>
                <w:szCs w:val="18"/>
              </w:rPr>
            </w:pPr>
            <w:r w:rsidRPr="00542DF4">
              <w:rPr>
                <w:rFonts w:cs="Times New Roman"/>
                <w:b/>
                <w:sz w:val="18"/>
                <w:szCs w:val="18"/>
              </w:rPr>
              <w:t>4 404 905</w:t>
            </w:r>
          </w:p>
        </w:tc>
        <w:tc>
          <w:tcPr>
            <w:tcW w:w="1020" w:type="dxa"/>
            <w:tcMar>
              <w:left w:w="28" w:type="dxa"/>
              <w:right w:w="28" w:type="dxa"/>
            </w:tcMar>
          </w:tcPr>
          <w:p w:rsidR="00CE6396" w:rsidRPr="00542DF4" w:rsidRDefault="00CE6396" w:rsidP="00195837">
            <w:pPr>
              <w:jc w:val="right"/>
              <w:rPr>
                <w:rFonts w:cs="Times New Roman"/>
                <w:b/>
                <w:sz w:val="18"/>
                <w:szCs w:val="18"/>
              </w:rPr>
            </w:pPr>
            <w:r w:rsidRPr="00542DF4">
              <w:rPr>
                <w:rFonts w:cs="Times New Roman"/>
                <w:b/>
                <w:sz w:val="18"/>
                <w:szCs w:val="18"/>
              </w:rPr>
              <w:t>6 743 509</w:t>
            </w:r>
          </w:p>
        </w:tc>
        <w:tc>
          <w:tcPr>
            <w:tcW w:w="1020" w:type="dxa"/>
            <w:tcMar>
              <w:left w:w="28" w:type="dxa"/>
              <w:right w:w="28" w:type="dxa"/>
            </w:tcMar>
          </w:tcPr>
          <w:p w:rsidR="00CE6396" w:rsidRPr="00542DF4" w:rsidRDefault="00CE6396" w:rsidP="00195837">
            <w:pPr>
              <w:jc w:val="right"/>
              <w:rPr>
                <w:rFonts w:cs="Times New Roman"/>
                <w:b/>
                <w:sz w:val="18"/>
                <w:szCs w:val="18"/>
              </w:rPr>
            </w:pPr>
            <w:r w:rsidRPr="00542DF4">
              <w:rPr>
                <w:rFonts w:cs="Times New Roman"/>
                <w:b/>
                <w:sz w:val="18"/>
                <w:szCs w:val="18"/>
              </w:rPr>
              <w:t>5 508 529</w:t>
            </w:r>
          </w:p>
        </w:tc>
        <w:tc>
          <w:tcPr>
            <w:tcW w:w="1020" w:type="dxa"/>
            <w:tcMar>
              <w:left w:w="28" w:type="dxa"/>
              <w:right w:w="28" w:type="dxa"/>
            </w:tcMar>
          </w:tcPr>
          <w:p w:rsidR="00CE6396" w:rsidRPr="00542DF4" w:rsidRDefault="00CE6396" w:rsidP="00195837">
            <w:pPr>
              <w:jc w:val="right"/>
              <w:rPr>
                <w:rFonts w:cs="Times New Roman"/>
                <w:b/>
                <w:sz w:val="18"/>
                <w:szCs w:val="18"/>
              </w:rPr>
            </w:pPr>
            <w:r w:rsidRPr="00542DF4">
              <w:rPr>
                <w:rFonts w:cs="Times New Roman"/>
                <w:b/>
                <w:sz w:val="18"/>
                <w:szCs w:val="18"/>
              </w:rPr>
              <w:t>4 639 525</w:t>
            </w:r>
          </w:p>
        </w:tc>
        <w:tc>
          <w:tcPr>
            <w:tcW w:w="1014" w:type="dxa"/>
            <w:tcMar>
              <w:left w:w="28" w:type="dxa"/>
              <w:right w:w="28" w:type="dxa"/>
            </w:tcMar>
          </w:tcPr>
          <w:p w:rsidR="00CE6396" w:rsidRPr="00542DF4" w:rsidRDefault="00CE6396" w:rsidP="00195837">
            <w:pPr>
              <w:jc w:val="right"/>
              <w:rPr>
                <w:rFonts w:cs="Times New Roman"/>
                <w:b/>
                <w:sz w:val="18"/>
                <w:szCs w:val="18"/>
              </w:rPr>
            </w:pPr>
            <w:r w:rsidRPr="00542DF4">
              <w:rPr>
                <w:rFonts w:cs="Times New Roman"/>
                <w:b/>
                <w:sz w:val="18"/>
                <w:szCs w:val="18"/>
              </w:rPr>
              <w:t>3 095 968</w:t>
            </w:r>
          </w:p>
        </w:tc>
        <w:tc>
          <w:tcPr>
            <w:tcW w:w="1026" w:type="dxa"/>
            <w:tcMar>
              <w:left w:w="28" w:type="dxa"/>
              <w:right w:w="28" w:type="dxa"/>
            </w:tcMar>
          </w:tcPr>
          <w:p w:rsidR="00CE6396" w:rsidRPr="00542DF4" w:rsidRDefault="00CE6396" w:rsidP="00195837">
            <w:pPr>
              <w:jc w:val="right"/>
              <w:rPr>
                <w:rFonts w:cs="Times New Roman"/>
                <w:b/>
                <w:sz w:val="18"/>
                <w:szCs w:val="18"/>
              </w:rPr>
            </w:pPr>
            <w:r w:rsidRPr="00542DF4">
              <w:rPr>
                <w:rFonts w:cs="Times New Roman"/>
                <w:b/>
                <w:sz w:val="18"/>
                <w:szCs w:val="18"/>
              </w:rPr>
              <w:t>1 560 368</w:t>
            </w:r>
          </w:p>
        </w:tc>
      </w:tr>
      <w:tr w:rsidR="00D37137" w:rsidRPr="00542DF4" w:rsidTr="00185D26">
        <w:tc>
          <w:tcPr>
            <w:tcW w:w="1930" w:type="dxa"/>
            <w:tcMar>
              <w:left w:w="28" w:type="dxa"/>
              <w:right w:w="28" w:type="dxa"/>
            </w:tcMar>
          </w:tcPr>
          <w:p w:rsidR="00D37137" w:rsidRPr="00542DF4" w:rsidRDefault="00D37137" w:rsidP="00CE6396">
            <w:pPr>
              <w:rPr>
                <w:rFonts w:cs="Times New Roman"/>
                <w:b/>
                <w:sz w:val="18"/>
                <w:szCs w:val="18"/>
              </w:rPr>
            </w:pPr>
            <w:r>
              <w:rPr>
                <w:rFonts w:cs="Times New Roman"/>
                <w:b/>
                <w:sz w:val="18"/>
                <w:szCs w:val="18"/>
              </w:rPr>
              <w:t xml:space="preserve">Bilance </w:t>
            </w:r>
            <w:r w:rsidRPr="00195837">
              <w:rPr>
                <w:rFonts w:cs="Times New Roman"/>
                <w:sz w:val="18"/>
                <w:szCs w:val="18"/>
              </w:rPr>
              <w:t>(ar CDSS iz</w:t>
            </w:r>
            <w:r w:rsidR="001C2429">
              <w:rPr>
                <w:rFonts w:cs="Times New Roman"/>
                <w:sz w:val="18"/>
                <w:szCs w:val="18"/>
              </w:rPr>
              <w:t>devumu papildinājumu)</w:t>
            </w:r>
          </w:p>
        </w:tc>
        <w:tc>
          <w:tcPr>
            <w:tcW w:w="1016" w:type="dxa"/>
            <w:tcMar>
              <w:left w:w="28" w:type="dxa"/>
              <w:right w:w="28" w:type="dxa"/>
            </w:tcMar>
          </w:tcPr>
          <w:p w:rsidR="00D37137" w:rsidRPr="00185D26" w:rsidRDefault="001C2429" w:rsidP="00195837">
            <w:pPr>
              <w:jc w:val="center"/>
              <w:rPr>
                <w:rFonts w:cs="Times New Roman"/>
                <w:b/>
                <w:sz w:val="18"/>
                <w:szCs w:val="18"/>
              </w:rPr>
            </w:pPr>
            <w:r w:rsidRPr="00195837">
              <w:rPr>
                <w:rFonts w:cs="Times New Roman"/>
                <w:b/>
                <w:sz w:val="18"/>
                <w:szCs w:val="18"/>
              </w:rPr>
              <w:t>x</w:t>
            </w:r>
          </w:p>
        </w:tc>
        <w:tc>
          <w:tcPr>
            <w:tcW w:w="1020" w:type="dxa"/>
            <w:tcMar>
              <w:left w:w="28" w:type="dxa"/>
              <w:right w:w="28" w:type="dxa"/>
            </w:tcMar>
          </w:tcPr>
          <w:p w:rsidR="00D37137" w:rsidRPr="00185D26" w:rsidRDefault="00185D26" w:rsidP="00195837">
            <w:pPr>
              <w:jc w:val="right"/>
              <w:rPr>
                <w:rFonts w:cs="Times New Roman"/>
                <w:b/>
                <w:sz w:val="18"/>
                <w:szCs w:val="18"/>
              </w:rPr>
            </w:pPr>
            <w:r w:rsidRPr="00195837">
              <w:rPr>
                <w:rFonts w:cs="Times New Roman"/>
                <w:b/>
                <w:sz w:val="18"/>
                <w:szCs w:val="18"/>
              </w:rPr>
              <w:t>4</w:t>
            </w:r>
            <w:r w:rsidR="00DA0B2A">
              <w:rPr>
                <w:rFonts w:cs="Times New Roman"/>
                <w:b/>
                <w:sz w:val="18"/>
                <w:szCs w:val="18"/>
              </w:rPr>
              <w:t xml:space="preserve"> </w:t>
            </w:r>
            <w:r w:rsidRPr="00195837">
              <w:rPr>
                <w:rFonts w:cs="Times New Roman"/>
                <w:b/>
                <w:sz w:val="18"/>
                <w:szCs w:val="18"/>
              </w:rPr>
              <w:t>235</w:t>
            </w:r>
            <w:r w:rsidR="00DA0B2A">
              <w:rPr>
                <w:rFonts w:cs="Times New Roman"/>
                <w:b/>
                <w:sz w:val="18"/>
                <w:szCs w:val="18"/>
              </w:rPr>
              <w:t xml:space="preserve"> </w:t>
            </w:r>
            <w:r w:rsidRPr="00195837">
              <w:rPr>
                <w:rFonts w:cs="Times New Roman"/>
                <w:b/>
                <w:sz w:val="18"/>
                <w:szCs w:val="18"/>
              </w:rPr>
              <w:t>428</w:t>
            </w:r>
          </w:p>
        </w:tc>
        <w:tc>
          <w:tcPr>
            <w:tcW w:w="1020" w:type="dxa"/>
            <w:tcMar>
              <w:left w:w="28" w:type="dxa"/>
              <w:right w:w="28" w:type="dxa"/>
            </w:tcMar>
          </w:tcPr>
          <w:p w:rsidR="00D37137" w:rsidRPr="00185D26" w:rsidRDefault="00DA0B2A" w:rsidP="00195837">
            <w:pPr>
              <w:jc w:val="right"/>
              <w:rPr>
                <w:rFonts w:cs="Times New Roman"/>
                <w:b/>
                <w:sz w:val="18"/>
                <w:szCs w:val="18"/>
              </w:rPr>
            </w:pPr>
            <w:r>
              <w:rPr>
                <w:rFonts w:cs="Times New Roman"/>
                <w:b/>
                <w:sz w:val="18"/>
                <w:szCs w:val="18"/>
              </w:rPr>
              <w:t>6 512 404</w:t>
            </w:r>
          </w:p>
        </w:tc>
        <w:tc>
          <w:tcPr>
            <w:tcW w:w="1020" w:type="dxa"/>
            <w:tcMar>
              <w:left w:w="28" w:type="dxa"/>
              <w:right w:w="28" w:type="dxa"/>
            </w:tcMar>
          </w:tcPr>
          <w:p w:rsidR="00D37137" w:rsidRPr="0005022A" w:rsidRDefault="0005022A" w:rsidP="00195837">
            <w:pPr>
              <w:jc w:val="right"/>
              <w:rPr>
                <w:rFonts w:cs="Times New Roman"/>
                <w:b/>
                <w:sz w:val="18"/>
                <w:szCs w:val="18"/>
              </w:rPr>
            </w:pPr>
            <w:r>
              <w:rPr>
                <w:rFonts w:cs="Times New Roman"/>
                <w:b/>
                <w:sz w:val="18"/>
                <w:szCs w:val="18"/>
              </w:rPr>
              <w:t>5 302 075</w:t>
            </w:r>
          </w:p>
        </w:tc>
        <w:tc>
          <w:tcPr>
            <w:tcW w:w="1020" w:type="dxa"/>
            <w:tcMar>
              <w:left w:w="28" w:type="dxa"/>
              <w:right w:w="28" w:type="dxa"/>
            </w:tcMar>
          </w:tcPr>
          <w:p w:rsidR="00D37137" w:rsidRPr="00FB5B63" w:rsidRDefault="00FB5B63" w:rsidP="00195837">
            <w:pPr>
              <w:jc w:val="right"/>
              <w:rPr>
                <w:rFonts w:cs="Times New Roman"/>
                <w:b/>
                <w:sz w:val="18"/>
                <w:szCs w:val="18"/>
              </w:rPr>
            </w:pPr>
            <w:r>
              <w:rPr>
                <w:rFonts w:cs="Times New Roman"/>
                <w:b/>
                <w:sz w:val="18"/>
                <w:szCs w:val="18"/>
              </w:rPr>
              <w:t>4 451 867</w:t>
            </w:r>
          </w:p>
        </w:tc>
        <w:tc>
          <w:tcPr>
            <w:tcW w:w="1014" w:type="dxa"/>
            <w:tcMar>
              <w:left w:w="28" w:type="dxa"/>
              <w:right w:w="28" w:type="dxa"/>
            </w:tcMar>
          </w:tcPr>
          <w:p w:rsidR="00D37137" w:rsidRPr="00701AA3" w:rsidRDefault="00701AA3" w:rsidP="00195837">
            <w:pPr>
              <w:jc w:val="right"/>
              <w:rPr>
                <w:rFonts w:cs="Times New Roman"/>
                <w:b/>
                <w:sz w:val="18"/>
                <w:szCs w:val="18"/>
              </w:rPr>
            </w:pPr>
            <w:r>
              <w:rPr>
                <w:rFonts w:cs="Times New Roman"/>
                <w:b/>
                <w:sz w:val="18"/>
                <w:szCs w:val="18"/>
              </w:rPr>
              <w:t>2 976 564</w:t>
            </w:r>
          </w:p>
        </w:tc>
        <w:tc>
          <w:tcPr>
            <w:tcW w:w="1026" w:type="dxa"/>
            <w:tcMar>
              <w:left w:w="28" w:type="dxa"/>
              <w:right w:w="28" w:type="dxa"/>
            </w:tcMar>
          </w:tcPr>
          <w:p w:rsidR="00D37137" w:rsidRPr="00701AA3" w:rsidRDefault="00701AA3" w:rsidP="00195837">
            <w:pPr>
              <w:jc w:val="right"/>
              <w:rPr>
                <w:rFonts w:cs="Times New Roman"/>
                <w:b/>
                <w:sz w:val="18"/>
                <w:szCs w:val="18"/>
              </w:rPr>
            </w:pPr>
            <w:r>
              <w:rPr>
                <w:rFonts w:cs="Times New Roman"/>
                <w:b/>
                <w:sz w:val="18"/>
                <w:szCs w:val="18"/>
              </w:rPr>
              <w:t>1 498 740</w:t>
            </w:r>
          </w:p>
        </w:tc>
      </w:tr>
      <w:tr w:rsidR="006B1365" w:rsidRPr="00542DF4" w:rsidTr="00185D26">
        <w:tc>
          <w:tcPr>
            <w:tcW w:w="9066" w:type="dxa"/>
            <w:gridSpan w:val="8"/>
            <w:shd w:val="clear" w:color="auto" w:fill="FFF2CC" w:themeFill="accent4" w:themeFillTint="33"/>
            <w:tcMar>
              <w:left w:w="28" w:type="dxa"/>
              <w:right w:w="28" w:type="dxa"/>
            </w:tcMar>
          </w:tcPr>
          <w:p w:rsidR="006B1365" w:rsidRPr="00C24B20" w:rsidRDefault="006B1365" w:rsidP="008C25BB">
            <w:pPr>
              <w:pStyle w:val="ListParagraph"/>
              <w:numPr>
                <w:ilvl w:val="0"/>
                <w:numId w:val="91"/>
              </w:numPr>
              <w:jc w:val="center"/>
              <w:rPr>
                <w:rFonts w:cs="Times New Roman"/>
                <w:b/>
                <w:sz w:val="18"/>
                <w:szCs w:val="18"/>
              </w:rPr>
            </w:pPr>
            <w:r w:rsidRPr="00C24B20">
              <w:rPr>
                <w:rFonts w:cs="Times New Roman"/>
                <w:b/>
                <w:sz w:val="18"/>
                <w:szCs w:val="18"/>
              </w:rPr>
              <w:t>Pārvietojamie fotoradari, videoradari un rokas radari (VP)</w:t>
            </w:r>
          </w:p>
        </w:tc>
      </w:tr>
      <w:tr w:rsidR="006B1365" w:rsidRPr="00542DF4" w:rsidTr="00185D26">
        <w:tc>
          <w:tcPr>
            <w:tcW w:w="1930" w:type="dxa"/>
            <w:tcMar>
              <w:left w:w="28" w:type="dxa"/>
              <w:right w:w="28" w:type="dxa"/>
            </w:tcMar>
          </w:tcPr>
          <w:p w:rsidR="006B1365" w:rsidRPr="00542DF4" w:rsidRDefault="006B1365" w:rsidP="00E930A9">
            <w:pPr>
              <w:rPr>
                <w:rFonts w:cs="Times New Roman"/>
                <w:sz w:val="18"/>
                <w:szCs w:val="18"/>
              </w:rPr>
            </w:pPr>
            <w:r w:rsidRPr="00542DF4">
              <w:rPr>
                <w:rFonts w:cs="Times New Roman"/>
                <w:sz w:val="18"/>
                <w:szCs w:val="18"/>
              </w:rPr>
              <w:t>Ieņēmumi-apstiprināts (plānots)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2 916 447</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4 349 328</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3 970 278</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3 934 322</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3 934 322</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3 934 322</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3 934 322</w:t>
            </w:r>
          </w:p>
        </w:tc>
      </w:tr>
      <w:tr w:rsidR="006B1365" w:rsidRPr="00542DF4" w:rsidTr="00185D26">
        <w:tc>
          <w:tcPr>
            <w:tcW w:w="1930" w:type="dxa"/>
            <w:tcMar>
              <w:left w:w="28" w:type="dxa"/>
              <w:right w:w="28" w:type="dxa"/>
            </w:tcMar>
          </w:tcPr>
          <w:p w:rsidR="006B1365" w:rsidRPr="00542DF4" w:rsidRDefault="006B1365" w:rsidP="00E930A9">
            <w:pPr>
              <w:rPr>
                <w:rFonts w:cs="Times New Roman"/>
                <w:b/>
                <w:sz w:val="18"/>
                <w:szCs w:val="18"/>
              </w:rPr>
            </w:pPr>
            <w:r w:rsidRPr="00542DF4">
              <w:rPr>
                <w:rFonts w:cs="Times New Roman"/>
                <w:sz w:val="18"/>
                <w:szCs w:val="18"/>
              </w:rPr>
              <w:t>Ieņēmumi-precizēts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1 813 008</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5 248 512</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5 475 686</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5 013 504</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5 013 504</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5 013 504</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5 013 504</w:t>
            </w:r>
          </w:p>
        </w:tc>
      </w:tr>
      <w:tr w:rsidR="006B1365" w:rsidRPr="00542DF4" w:rsidTr="00185D26">
        <w:tc>
          <w:tcPr>
            <w:tcW w:w="1930" w:type="dxa"/>
            <w:tcMar>
              <w:left w:w="28" w:type="dxa"/>
              <w:right w:w="28" w:type="dxa"/>
            </w:tcMar>
          </w:tcPr>
          <w:p w:rsidR="006B1365" w:rsidRPr="00542DF4" w:rsidRDefault="006B1365" w:rsidP="00E930A9">
            <w:pPr>
              <w:rPr>
                <w:rFonts w:cs="Times New Roman"/>
                <w:b/>
                <w:sz w:val="18"/>
                <w:szCs w:val="18"/>
              </w:rPr>
            </w:pPr>
            <w:r w:rsidRPr="00542DF4">
              <w:rPr>
                <w:rFonts w:cs="Times New Roman"/>
                <w:sz w:val="18"/>
                <w:szCs w:val="18"/>
              </w:rPr>
              <w:t>Izdevumi-apstiprināts (plānots)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2 203 363</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1 489 870</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966 290</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966 290</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966 290</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966 290</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966 290</w:t>
            </w:r>
          </w:p>
        </w:tc>
      </w:tr>
      <w:tr w:rsidR="006B1365" w:rsidRPr="00542DF4" w:rsidTr="00185D26">
        <w:tc>
          <w:tcPr>
            <w:tcW w:w="1930" w:type="dxa"/>
            <w:tcMar>
              <w:left w:w="28" w:type="dxa"/>
              <w:right w:w="28" w:type="dxa"/>
            </w:tcMar>
          </w:tcPr>
          <w:p w:rsidR="006B1365" w:rsidRPr="00542DF4" w:rsidRDefault="006B1365" w:rsidP="00E930A9">
            <w:pPr>
              <w:rPr>
                <w:rFonts w:cs="Times New Roman"/>
                <w:b/>
                <w:sz w:val="18"/>
                <w:szCs w:val="18"/>
              </w:rPr>
            </w:pPr>
            <w:r w:rsidRPr="00542DF4">
              <w:rPr>
                <w:rFonts w:cs="Times New Roman"/>
                <w:sz w:val="18"/>
                <w:szCs w:val="18"/>
              </w:rPr>
              <w:t>Izdevumi-precizēts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1 747 131</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2 338 943</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1 728 961</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1 410 812</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1 410 812</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1 410 812</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1 410 812</w:t>
            </w:r>
          </w:p>
        </w:tc>
      </w:tr>
      <w:tr w:rsidR="006B1365" w:rsidRPr="00542DF4" w:rsidTr="00185D26">
        <w:tc>
          <w:tcPr>
            <w:tcW w:w="1930" w:type="dxa"/>
            <w:tcMar>
              <w:left w:w="28" w:type="dxa"/>
              <w:right w:w="28" w:type="dxa"/>
            </w:tcMar>
          </w:tcPr>
          <w:p w:rsidR="006B1365" w:rsidRPr="00542DF4" w:rsidRDefault="006B1365" w:rsidP="00E930A9">
            <w:pPr>
              <w:rPr>
                <w:rFonts w:cs="Times New Roman"/>
                <w:sz w:val="18"/>
                <w:szCs w:val="18"/>
              </w:rPr>
            </w:pPr>
            <w:r w:rsidRPr="00542DF4">
              <w:rPr>
                <w:rFonts w:cs="Times New Roman"/>
                <w:sz w:val="18"/>
                <w:szCs w:val="18"/>
              </w:rPr>
              <w:t>Ietekme uz budžetu -plāns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713 084</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2 859 458</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3 003 988</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2 968 032</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2 968 032</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2 968 032</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2 968 032</w:t>
            </w:r>
          </w:p>
        </w:tc>
      </w:tr>
      <w:tr w:rsidR="006B1365" w:rsidRPr="00542DF4" w:rsidTr="00185D26">
        <w:tc>
          <w:tcPr>
            <w:tcW w:w="1930" w:type="dxa"/>
            <w:tcMar>
              <w:left w:w="28" w:type="dxa"/>
              <w:right w:w="28" w:type="dxa"/>
            </w:tcMar>
          </w:tcPr>
          <w:p w:rsidR="006B1365" w:rsidRPr="00542DF4" w:rsidRDefault="006B1365" w:rsidP="00E930A9">
            <w:pPr>
              <w:rPr>
                <w:rFonts w:cs="Times New Roman"/>
                <w:sz w:val="18"/>
                <w:szCs w:val="18"/>
              </w:rPr>
            </w:pPr>
            <w:r w:rsidRPr="00542DF4">
              <w:rPr>
                <w:rFonts w:cs="Times New Roman"/>
                <w:sz w:val="18"/>
                <w:szCs w:val="18"/>
              </w:rPr>
              <w:t>Ietekme uz budžetu-precizēts</w:t>
            </w:r>
          </w:p>
        </w:tc>
        <w:tc>
          <w:tcPr>
            <w:tcW w:w="101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65 877</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2 909 569</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3 746 725</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3 602 692</w:t>
            </w:r>
          </w:p>
        </w:tc>
        <w:tc>
          <w:tcPr>
            <w:tcW w:w="1020"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3 602 692</w:t>
            </w:r>
          </w:p>
        </w:tc>
        <w:tc>
          <w:tcPr>
            <w:tcW w:w="1014"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3 602 692</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sz w:val="18"/>
                <w:szCs w:val="18"/>
              </w:rPr>
              <w:t>3 602 692</w:t>
            </w:r>
          </w:p>
        </w:tc>
      </w:tr>
      <w:tr w:rsidR="006B1365" w:rsidRPr="00542DF4" w:rsidTr="00185D26">
        <w:tc>
          <w:tcPr>
            <w:tcW w:w="1930" w:type="dxa"/>
            <w:tcMar>
              <w:left w:w="28" w:type="dxa"/>
              <w:right w:w="28" w:type="dxa"/>
            </w:tcMar>
          </w:tcPr>
          <w:p w:rsidR="006B1365" w:rsidRPr="00542DF4" w:rsidRDefault="006B1365" w:rsidP="00E930A9">
            <w:pPr>
              <w:jc w:val="both"/>
              <w:rPr>
                <w:rFonts w:cs="Times New Roman"/>
                <w:b/>
                <w:sz w:val="18"/>
                <w:szCs w:val="18"/>
              </w:rPr>
            </w:pPr>
            <w:r w:rsidRPr="00542DF4">
              <w:rPr>
                <w:rFonts w:cs="Times New Roman"/>
                <w:b/>
                <w:sz w:val="18"/>
                <w:szCs w:val="18"/>
              </w:rPr>
              <w:t xml:space="preserve">Bilance </w:t>
            </w:r>
          </w:p>
        </w:tc>
        <w:tc>
          <w:tcPr>
            <w:tcW w:w="1016" w:type="dxa"/>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-647 207</w:t>
            </w:r>
            <w:r w:rsidRPr="00542DF4">
              <w:rPr>
                <w:rStyle w:val="FootnoteReference"/>
                <w:rFonts w:cs="Times New Roman"/>
                <w:b/>
                <w:sz w:val="18"/>
                <w:szCs w:val="18"/>
              </w:rPr>
              <w:footnoteReference w:id="106"/>
            </w:r>
          </w:p>
        </w:tc>
        <w:tc>
          <w:tcPr>
            <w:tcW w:w="1020" w:type="dxa"/>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50 111</w:t>
            </w:r>
          </w:p>
        </w:tc>
        <w:tc>
          <w:tcPr>
            <w:tcW w:w="1020" w:type="dxa"/>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742 737</w:t>
            </w:r>
          </w:p>
        </w:tc>
        <w:tc>
          <w:tcPr>
            <w:tcW w:w="1020" w:type="dxa"/>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634 660</w:t>
            </w:r>
          </w:p>
        </w:tc>
        <w:tc>
          <w:tcPr>
            <w:tcW w:w="1020" w:type="dxa"/>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634 660</w:t>
            </w:r>
          </w:p>
        </w:tc>
        <w:tc>
          <w:tcPr>
            <w:tcW w:w="1014" w:type="dxa"/>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634 660</w:t>
            </w:r>
          </w:p>
        </w:tc>
        <w:tc>
          <w:tcPr>
            <w:tcW w:w="1026" w:type="dxa"/>
            <w:tcMar>
              <w:left w:w="28" w:type="dxa"/>
              <w:right w:w="28" w:type="dxa"/>
            </w:tcMar>
          </w:tcPr>
          <w:p w:rsidR="006B1365" w:rsidRPr="00542DF4" w:rsidRDefault="006B1365" w:rsidP="00195837">
            <w:pPr>
              <w:jc w:val="right"/>
              <w:rPr>
                <w:rFonts w:cs="Times New Roman"/>
                <w:sz w:val="18"/>
                <w:szCs w:val="18"/>
              </w:rPr>
            </w:pPr>
            <w:r w:rsidRPr="00542DF4">
              <w:rPr>
                <w:rFonts w:cs="Times New Roman"/>
                <w:b/>
                <w:sz w:val="18"/>
                <w:szCs w:val="18"/>
              </w:rPr>
              <w:t>634 660</w:t>
            </w:r>
          </w:p>
        </w:tc>
      </w:tr>
      <w:tr w:rsidR="006B1365" w:rsidRPr="00542DF4" w:rsidTr="00185D26">
        <w:tc>
          <w:tcPr>
            <w:tcW w:w="9066" w:type="dxa"/>
            <w:gridSpan w:val="8"/>
            <w:tcMar>
              <w:left w:w="28" w:type="dxa"/>
              <w:right w:w="28" w:type="dxa"/>
            </w:tcMar>
          </w:tcPr>
          <w:p w:rsidR="006B1365" w:rsidRPr="00542DF4" w:rsidRDefault="006B1365" w:rsidP="00E930A9">
            <w:pPr>
              <w:jc w:val="center"/>
              <w:rPr>
                <w:rFonts w:cs="Times New Roman"/>
                <w:b/>
                <w:sz w:val="18"/>
                <w:szCs w:val="18"/>
              </w:rPr>
            </w:pPr>
            <w:r w:rsidRPr="00542DF4">
              <w:rPr>
                <w:rFonts w:cs="Times New Roman"/>
                <w:b/>
                <w:sz w:val="18"/>
                <w:szCs w:val="18"/>
              </w:rPr>
              <w:t>KOPĀ (1.+2.)</w:t>
            </w:r>
          </w:p>
        </w:tc>
      </w:tr>
      <w:tr w:rsidR="006B1365" w:rsidRPr="00542DF4" w:rsidTr="00185D26">
        <w:tc>
          <w:tcPr>
            <w:tcW w:w="1930" w:type="dxa"/>
            <w:shd w:val="clear" w:color="auto" w:fill="FBE4D5" w:themeFill="accent2" w:themeFillTint="33"/>
            <w:tcMar>
              <w:left w:w="28" w:type="dxa"/>
              <w:right w:w="28" w:type="dxa"/>
            </w:tcMar>
          </w:tcPr>
          <w:p w:rsidR="006B1365" w:rsidRPr="00195837" w:rsidRDefault="006B1365" w:rsidP="00E930A9">
            <w:pPr>
              <w:jc w:val="both"/>
              <w:rPr>
                <w:rFonts w:cs="Times New Roman"/>
                <w:i/>
                <w:sz w:val="18"/>
                <w:szCs w:val="18"/>
              </w:rPr>
            </w:pPr>
            <w:r w:rsidRPr="00195837">
              <w:rPr>
                <w:rFonts w:cs="Times New Roman"/>
                <w:b/>
                <w:i/>
                <w:sz w:val="18"/>
                <w:szCs w:val="18"/>
              </w:rPr>
              <w:t>Bilance</w:t>
            </w:r>
          </w:p>
        </w:tc>
        <w:tc>
          <w:tcPr>
            <w:tcW w:w="1016" w:type="dxa"/>
            <w:shd w:val="clear" w:color="auto" w:fill="FBE4D5" w:themeFill="accent2" w:themeFillTint="33"/>
            <w:tcMar>
              <w:left w:w="28" w:type="dxa"/>
              <w:right w:w="28" w:type="dxa"/>
            </w:tcMar>
          </w:tcPr>
          <w:p w:rsidR="006B1365" w:rsidRPr="00542DF4" w:rsidRDefault="006B1365" w:rsidP="00E930A9">
            <w:pPr>
              <w:jc w:val="both"/>
              <w:rPr>
                <w:rFonts w:cs="Times New Roman"/>
                <w:b/>
                <w:sz w:val="18"/>
                <w:szCs w:val="18"/>
              </w:rPr>
            </w:pPr>
          </w:p>
        </w:tc>
        <w:tc>
          <w:tcPr>
            <w:tcW w:w="1020" w:type="dxa"/>
            <w:shd w:val="clear" w:color="auto" w:fill="FBE4D5" w:themeFill="accent2" w:themeFillTint="33"/>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4 455 016</w:t>
            </w:r>
          </w:p>
        </w:tc>
        <w:tc>
          <w:tcPr>
            <w:tcW w:w="1020" w:type="dxa"/>
            <w:shd w:val="clear" w:color="auto" w:fill="FBE4D5" w:themeFill="accent2" w:themeFillTint="33"/>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7 486 246</w:t>
            </w:r>
          </w:p>
        </w:tc>
        <w:tc>
          <w:tcPr>
            <w:tcW w:w="1020" w:type="dxa"/>
            <w:shd w:val="clear" w:color="auto" w:fill="FBE4D5" w:themeFill="accent2" w:themeFillTint="33"/>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6 143 189</w:t>
            </w:r>
          </w:p>
        </w:tc>
        <w:tc>
          <w:tcPr>
            <w:tcW w:w="1020" w:type="dxa"/>
            <w:shd w:val="clear" w:color="auto" w:fill="FBE4D5" w:themeFill="accent2" w:themeFillTint="33"/>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5 274 185</w:t>
            </w:r>
          </w:p>
        </w:tc>
        <w:tc>
          <w:tcPr>
            <w:tcW w:w="1014" w:type="dxa"/>
            <w:shd w:val="clear" w:color="auto" w:fill="FBE4D5" w:themeFill="accent2" w:themeFillTint="33"/>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3 730 628</w:t>
            </w:r>
          </w:p>
        </w:tc>
        <w:tc>
          <w:tcPr>
            <w:tcW w:w="1026" w:type="dxa"/>
            <w:shd w:val="clear" w:color="auto" w:fill="FBE4D5" w:themeFill="accent2" w:themeFillTint="33"/>
            <w:tcMar>
              <w:left w:w="28" w:type="dxa"/>
              <w:right w:w="28" w:type="dxa"/>
            </w:tcMar>
          </w:tcPr>
          <w:p w:rsidR="006B1365" w:rsidRPr="00542DF4" w:rsidRDefault="006B1365" w:rsidP="00195837">
            <w:pPr>
              <w:jc w:val="right"/>
              <w:rPr>
                <w:rFonts w:cs="Times New Roman"/>
                <w:b/>
                <w:sz w:val="18"/>
                <w:szCs w:val="18"/>
              </w:rPr>
            </w:pPr>
            <w:r w:rsidRPr="00542DF4">
              <w:rPr>
                <w:rFonts w:cs="Times New Roman"/>
                <w:b/>
                <w:sz w:val="18"/>
                <w:szCs w:val="18"/>
              </w:rPr>
              <w:t>2 195 028</w:t>
            </w:r>
          </w:p>
        </w:tc>
      </w:tr>
      <w:tr w:rsidR="00185D26" w:rsidRPr="00542DF4" w:rsidTr="000532B4">
        <w:tc>
          <w:tcPr>
            <w:tcW w:w="9066" w:type="dxa"/>
            <w:gridSpan w:val="8"/>
            <w:shd w:val="clear" w:color="auto" w:fill="FBE4D5" w:themeFill="accent2" w:themeFillTint="33"/>
            <w:tcMar>
              <w:left w:w="28" w:type="dxa"/>
              <w:right w:w="28" w:type="dxa"/>
            </w:tcMar>
          </w:tcPr>
          <w:p w:rsidR="00185D26" w:rsidRPr="00542DF4" w:rsidRDefault="00185D26" w:rsidP="00195837">
            <w:pPr>
              <w:jc w:val="center"/>
              <w:rPr>
                <w:rFonts w:cs="Times New Roman"/>
                <w:b/>
                <w:sz w:val="18"/>
                <w:szCs w:val="18"/>
              </w:rPr>
            </w:pPr>
            <w:r>
              <w:rPr>
                <w:rFonts w:cs="Times New Roman"/>
                <w:b/>
                <w:sz w:val="18"/>
                <w:szCs w:val="18"/>
              </w:rPr>
              <w:t>KOPĀ (1.+2.) (ar CSDD izdevumu palielinājumu)</w:t>
            </w:r>
          </w:p>
        </w:tc>
      </w:tr>
      <w:tr w:rsidR="00185D26" w:rsidRPr="00542DF4" w:rsidTr="00185D26">
        <w:tc>
          <w:tcPr>
            <w:tcW w:w="1930" w:type="dxa"/>
            <w:shd w:val="clear" w:color="auto" w:fill="FBE4D5" w:themeFill="accent2" w:themeFillTint="33"/>
            <w:tcMar>
              <w:left w:w="28" w:type="dxa"/>
              <w:right w:w="28" w:type="dxa"/>
            </w:tcMar>
          </w:tcPr>
          <w:p w:rsidR="00185D26" w:rsidRPr="00542DF4" w:rsidRDefault="00185D26" w:rsidP="00E930A9">
            <w:pPr>
              <w:jc w:val="both"/>
              <w:rPr>
                <w:rFonts w:cs="Times New Roman"/>
                <w:b/>
                <w:sz w:val="18"/>
                <w:szCs w:val="18"/>
              </w:rPr>
            </w:pPr>
            <w:r>
              <w:rPr>
                <w:rFonts w:cs="Times New Roman"/>
                <w:b/>
                <w:sz w:val="18"/>
                <w:szCs w:val="18"/>
              </w:rPr>
              <w:t>Bilance</w:t>
            </w:r>
          </w:p>
        </w:tc>
        <w:tc>
          <w:tcPr>
            <w:tcW w:w="1016" w:type="dxa"/>
            <w:shd w:val="clear" w:color="auto" w:fill="FBE4D5" w:themeFill="accent2" w:themeFillTint="33"/>
            <w:tcMar>
              <w:left w:w="28" w:type="dxa"/>
              <w:right w:w="28" w:type="dxa"/>
            </w:tcMar>
          </w:tcPr>
          <w:p w:rsidR="00185D26" w:rsidRDefault="00185D26" w:rsidP="00E930A9">
            <w:pPr>
              <w:jc w:val="both"/>
              <w:rPr>
                <w:rFonts w:cs="Times New Roman"/>
                <w:b/>
                <w:sz w:val="18"/>
                <w:szCs w:val="18"/>
              </w:rPr>
            </w:pPr>
          </w:p>
        </w:tc>
        <w:tc>
          <w:tcPr>
            <w:tcW w:w="1020" w:type="dxa"/>
            <w:shd w:val="clear" w:color="auto" w:fill="FBE4D5" w:themeFill="accent2" w:themeFillTint="33"/>
            <w:tcMar>
              <w:left w:w="28" w:type="dxa"/>
              <w:right w:w="28" w:type="dxa"/>
            </w:tcMar>
          </w:tcPr>
          <w:p w:rsidR="00185D26" w:rsidRPr="00542DF4" w:rsidRDefault="00185D26" w:rsidP="00195837">
            <w:pPr>
              <w:jc w:val="right"/>
              <w:rPr>
                <w:rFonts w:cs="Times New Roman"/>
                <w:b/>
                <w:sz w:val="18"/>
                <w:szCs w:val="18"/>
              </w:rPr>
            </w:pPr>
            <w:r>
              <w:rPr>
                <w:rFonts w:cs="Times New Roman"/>
                <w:b/>
                <w:sz w:val="18"/>
                <w:szCs w:val="18"/>
              </w:rPr>
              <w:t>4 2845 539</w:t>
            </w:r>
          </w:p>
        </w:tc>
        <w:tc>
          <w:tcPr>
            <w:tcW w:w="1020" w:type="dxa"/>
            <w:shd w:val="clear" w:color="auto" w:fill="FBE4D5" w:themeFill="accent2" w:themeFillTint="33"/>
            <w:tcMar>
              <w:left w:w="28" w:type="dxa"/>
              <w:right w:w="28" w:type="dxa"/>
            </w:tcMar>
          </w:tcPr>
          <w:p w:rsidR="00185D26" w:rsidRPr="00542DF4" w:rsidRDefault="00DA0B2A" w:rsidP="00195837">
            <w:pPr>
              <w:jc w:val="right"/>
              <w:rPr>
                <w:rFonts w:cs="Times New Roman"/>
                <w:b/>
                <w:sz w:val="18"/>
                <w:szCs w:val="18"/>
              </w:rPr>
            </w:pPr>
            <w:r>
              <w:rPr>
                <w:rFonts w:cs="Times New Roman"/>
                <w:b/>
                <w:sz w:val="18"/>
                <w:szCs w:val="18"/>
              </w:rPr>
              <w:t>7 255 141</w:t>
            </w:r>
          </w:p>
        </w:tc>
        <w:tc>
          <w:tcPr>
            <w:tcW w:w="1020" w:type="dxa"/>
            <w:shd w:val="clear" w:color="auto" w:fill="FBE4D5" w:themeFill="accent2" w:themeFillTint="33"/>
            <w:tcMar>
              <w:left w:w="28" w:type="dxa"/>
              <w:right w:w="28" w:type="dxa"/>
            </w:tcMar>
          </w:tcPr>
          <w:p w:rsidR="00185D26" w:rsidRPr="00542DF4" w:rsidRDefault="00FB5B63" w:rsidP="00195837">
            <w:pPr>
              <w:jc w:val="right"/>
              <w:rPr>
                <w:rFonts w:cs="Times New Roman"/>
                <w:b/>
                <w:sz w:val="18"/>
                <w:szCs w:val="18"/>
              </w:rPr>
            </w:pPr>
            <w:r>
              <w:rPr>
                <w:rFonts w:cs="Times New Roman"/>
                <w:b/>
                <w:sz w:val="18"/>
                <w:szCs w:val="18"/>
              </w:rPr>
              <w:t>5 936 735</w:t>
            </w:r>
          </w:p>
        </w:tc>
        <w:tc>
          <w:tcPr>
            <w:tcW w:w="1020" w:type="dxa"/>
            <w:shd w:val="clear" w:color="auto" w:fill="FBE4D5" w:themeFill="accent2" w:themeFillTint="33"/>
            <w:tcMar>
              <w:left w:w="28" w:type="dxa"/>
              <w:right w:w="28" w:type="dxa"/>
            </w:tcMar>
          </w:tcPr>
          <w:p w:rsidR="00185D26" w:rsidRPr="00542DF4" w:rsidRDefault="00671031" w:rsidP="00195837">
            <w:pPr>
              <w:jc w:val="right"/>
              <w:rPr>
                <w:rFonts w:cs="Times New Roman"/>
                <w:b/>
                <w:sz w:val="18"/>
                <w:szCs w:val="18"/>
              </w:rPr>
            </w:pPr>
            <w:r>
              <w:rPr>
                <w:rFonts w:cs="Times New Roman"/>
                <w:b/>
                <w:sz w:val="18"/>
                <w:szCs w:val="18"/>
              </w:rPr>
              <w:t>5 086 527</w:t>
            </w:r>
          </w:p>
        </w:tc>
        <w:tc>
          <w:tcPr>
            <w:tcW w:w="1014" w:type="dxa"/>
            <w:shd w:val="clear" w:color="auto" w:fill="FBE4D5" w:themeFill="accent2" w:themeFillTint="33"/>
            <w:tcMar>
              <w:left w:w="28" w:type="dxa"/>
              <w:right w:w="28" w:type="dxa"/>
            </w:tcMar>
          </w:tcPr>
          <w:p w:rsidR="00185D26" w:rsidRPr="00542DF4" w:rsidRDefault="00701AA3" w:rsidP="00195837">
            <w:pPr>
              <w:jc w:val="right"/>
              <w:rPr>
                <w:rFonts w:cs="Times New Roman"/>
                <w:b/>
                <w:sz w:val="18"/>
                <w:szCs w:val="18"/>
              </w:rPr>
            </w:pPr>
            <w:r>
              <w:rPr>
                <w:rFonts w:cs="Times New Roman"/>
                <w:b/>
                <w:sz w:val="18"/>
                <w:szCs w:val="18"/>
              </w:rPr>
              <w:t>3 611 224</w:t>
            </w:r>
          </w:p>
        </w:tc>
        <w:tc>
          <w:tcPr>
            <w:tcW w:w="1026" w:type="dxa"/>
            <w:shd w:val="clear" w:color="auto" w:fill="FBE4D5" w:themeFill="accent2" w:themeFillTint="33"/>
            <w:tcMar>
              <w:left w:w="28" w:type="dxa"/>
              <w:right w:w="28" w:type="dxa"/>
            </w:tcMar>
          </w:tcPr>
          <w:p w:rsidR="00185D26" w:rsidRPr="00542DF4" w:rsidRDefault="00701AA3" w:rsidP="00195837">
            <w:pPr>
              <w:jc w:val="right"/>
              <w:rPr>
                <w:rFonts w:cs="Times New Roman"/>
                <w:b/>
                <w:sz w:val="18"/>
                <w:szCs w:val="18"/>
              </w:rPr>
            </w:pPr>
            <w:r>
              <w:rPr>
                <w:rFonts w:cs="Times New Roman"/>
                <w:b/>
                <w:sz w:val="18"/>
                <w:szCs w:val="18"/>
              </w:rPr>
              <w:t>2 133 400</w:t>
            </w:r>
          </w:p>
        </w:tc>
      </w:tr>
    </w:tbl>
    <w:p w:rsidR="006B1365" w:rsidRPr="006B1365" w:rsidRDefault="00DA0167" w:rsidP="006B1365">
      <w:pPr>
        <w:spacing w:before="240" w:after="120"/>
        <w:ind w:right="-198"/>
        <w:jc w:val="both"/>
        <w:rPr>
          <w:b/>
          <w:szCs w:val="24"/>
        </w:rPr>
      </w:pPr>
      <w:r>
        <w:rPr>
          <w:rFonts w:eastAsia="Times New Roman" w:cs="Times New Roman"/>
          <w:b/>
          <w:szCs w:val="24"/>
          <w:lang w:eastAsia="lv-LV"/>
        </w:rPr>
        <w:t>4</w:t>
      </w:r>
      <w:r w:rsidR="006B1365" w:rsidRPr="006B1365">
        <w:rPr>
          <w:rFonts w:eastAsia="Times New Roman" w:cs="Times New Roman"/>
          <w:b/>
          <w:szCs w:val="24"/>
          <w:lang w:eastAsia="lv-LV"/>
        </w:rPr>
        <w:t xml:space="preserve">. </w:t>
      </w:r>
      <w:r w:rsidR="006B1365" w:rsidRPr="006B1365">
        <w:rPr>
          <w:b/>
          <w:szCs w:val="24"/>
        </w:rPr>
        <w:t>Grozījumi likumā “Par nekustamā īpašuma nodokli”</w:t>
      </w:r>
    </w:p>
    <w:p w:rsidR="006B1365" w:rsidRDefault="006B1365" w:rsidP="00DA0167">
      <w:pPr>
        <w:spacing w:before="120"/>
        <w:ind w:right="-1" w:firstLine="720"/>
        <w:contextualSpacing/>
        <w:jc w:val="both"/>
        <w:rPr>
          <w:szCs w:val="24"/>
        </w:rPr>
      </w:pPr>
      <w:r>
        <w:rPr>
          <w:szCs w:val="24"/>
        </w:rPr>
        <w:t>Grozījumi likumā “</w:t>
      </w:r>
      <w:r w:rsidRPr="0085648C">
        <w:rPr>
          <w:szCs w:val="24"/>
        </w:rPr>
        <w:t>Par nekustamā īpašuma nodokli”, kas stāj</w:t>
      </w:r>
      <w:r>
        <w:rPr>
          <w:szCs w:val="24"/>
        </w:rPr>
        <w:t>ā</w:t>
      </w:r>
      <w:r w:rsidRPr="0085648C">
        <w:rPr>
          <w:szCs w:val="24"/>
        </w:rPr>
        <w:t xml:space="preserve">s spēkā 2014.gada 1.janvārī, paredz, ka par valstij piederošo un piekrītošo nekustamo īpašumu NĪN maksātājs ir īpašnieks vai persona, uz kuras vārda nekustamais īpašums ierakstāms zemesgrāmatā. </w:t>
      </w:r>
    </w:p>
    <w:p w:rsidR="006B1365" w:rsidRDefault="006B1365" w:rsidP="006B1365">
      <w:pPr>
        <w:ind w:firstLine="720"/>
        <w:jc w:val="both"/>
        <w:rPr>
          <w:szCs w:val="24"/>
        </w:rPr>
      </w:pPr>
      <w:r>
        <w:rPr>
          <w:szCs w:val="24"/>
        </w:rPr>
        <w:t>Vienlaicīgi likuma “</w:t>
      </w:r>
      <w:r w:rsidRPr="008674F8">
        <w:rPr>
          <w:szCs w:val="24"/>
        </w:rPr>
        <w:t>Par nekustamā īpašuma nodokli”</w:t>
      </w:r>
      <w:r>
        <w:rPr>
          <w:szCs w:val="24"/>
        </w:rPr>
        <w:t xml:space="preserve"> </w:t>
      </w:r>
      <w:r w:rsidRPr="008674F8">
        <w:rPr>
          <w:szCs w:val="24"/>
        </w:rPr>
        <w:t>6.pant</w:t>
      </w:r>
      <w:r>
        <w:rPr>
          <w:szCs w:val="24"/>
        </w:rPr>
        <w:t>a 1.daļā paredzēts, ka</w:t>
      </w:r>
      <w:r w:rsidRPr="008674F8">
        <w:rPr>
          <w:szCs w:val="24"/>
        </w:rPr>
        <w:t xml:space="preserve"> </w:t>
      </w:r>
      <w:r>
        <w:rPr>
          <w:szCs w:val="24"/>
        </w:rPr>
        <w:t>p</w:t>
      </w:r>
      <w:r w:rsidRPr="008674F8">
        <w:rPr>
          <w:szCs w:val="24"/>
        </w:rPr>
        <w:t>ašvaldības par nekustamā īpašuma nodokļa apmēru kārtējam taksācijas gadam paziņo nodokļa maksātājam vai tā pilnvarotai personai</w:t>
      </w:r>
      <w:r>
        <w:rPr>
          <w:szCs w:val="24"/>
        </w:rPr>
        <w:t>. Šī panta 5.daļa paredz, j</w:t>
      </w:r>
      <w:r w:rsidRPr="00367510">
        <w:rPr>
          <w:szCs w:val="24"/>
        </w:rPr>
        <w:t>a nekustamā īpašuma nodokļa maksātājs pilnvaro citu personu veikt nekustamā īpašuma nodokļa maksājumus par valstij piederošu vai piekritīgu nekustamo īpašumu, tad nekustamā īpašuma nodokļa maksātājs ar rakstveida iesniegumu par to paziņo pašvaldībai, kuras administratīvajā teritorijā atrodas nekustamais īpašums.</w:t>
      </w:r>
      <w:r>
        <w:rPr>
          <w:szCs w:val="24"/>
        </w:rPr>
        <w:t xml:space="preserve"> </w:t>
      </w:r>
    </w:p>
    <w:p w:rsidR="006B1365" w:rsidRPr="00EA4798" w:rsidRDefault="006B1365" w:rsidP="006B1365">
      <w:pPr>
        <w:ind w:firstLine="720"/>
        <w:jc w:val="both"/>
        <w:rPr>
          <w:szCs w:val="24"/>
        </w:rPr>
      </w:pPr>
      <w:r w:rsidRPr="00EA4798">
        <w:rPr>
          <w:szCs w:val="24"/>
        </w:rPr>
        <w:t>Saskaņā ar Pievienotās vērtības nodokļa likuma 5.panta pirmās daļas 2.punktu, ar PVN apliekams darījums saimnieciskās darbības ietvaros iekšzemē ir pakalpojumu sniegšana par atlīdzību.</w:t>
      </w:r>
      <w:r w:rsidRPr="0008006D">
        <w:rPr>
          <w:szCs w:val="24"/>
        </w:rPr>
        <w:t xml:space="preserve"> Saskaņā ar Pievi</w:t>
      </w:r>
      <w:r w:rsidRPr="0056384B">
        <w:rPr>
          <w:szCs w:val="24"/>
        </w:rPr>
        <w:t xml:space="preserve">enotās vērtības nodokļa likumu pakalpojumu </w:t>
      </w:r>
      <w:r w:rsidRPr="0047626C">
        <w:rPr>
          <w:szCs w:val="24"/>
        </w:rPr>
        <w:t xml:space="preserve">sniegšanas darījumā ar PVN apliekamā vērtība ir atlīdzība par </w:t>
      </w:r>
      <w:r w:rsidRPr="00EA4798">
        <w:rPr>
          <w:szCs w:val="24"/>
        </w:rPr>
        <w:t xml:space="preserve">sniegtajiem pakalpojumiem. </w:t>
      </w:r>
      <w:r w:rsidRPr="00EA4798">
        <w:rPr>
          <w:rFonts w:eastAsia="Calibri"/>
          <w:szCs w:val="24"/>
        </w:rPr>
        <w:t xml:space="preserve">Tādejādi nomas darījumi par atlīdzību ir pakalpojumu sniegšana, kas Pievienotās vērtības nodokļa likuma izpratnē ir ar </w:t>
      </w:r>
      <w:r w:rsidRPr="00EA4798">
        <w:rPr>
          <w:rFonts w:eastAsia="Calibri"/>
          <w:szCs w:val="24"/>
        </w:rPr>
        <w:lastRenderedPageBreak/>
        <w:t xml:space="preserve">PVN apliekami darījumi. </w:t>
      </w:r>
      <w:r>
        <w:rPr>
          <w:szCs w:val="24"/>
        </w:rPr>
        <w:t>Attiecībā uz nomas darījumiem ar PVN</w:t>
      </w:r>
      <w:r w:rsidRPr="00EA4798">
        <w:rPr>
          <w:szCs w:val="24"/>
        </w:rPr>
        <w:t xml:space="preserve"> apliekamā vērtība ir visi nomas līgumā noteiktie maksājumi</w:t>
      </w:r>
      <w:r>
        <w:rPr>
          <w:szCs w:val="24"/>
        </w:rPr>
        <w:t xml:space="preserve"> (tai skaitā visi saskaņā ar normatīvajiem aktiem par šā pakalpojuma sniegšanu maksājamie nodokļi, nodevas un citi obligātie maksājumi, izņemot PVN)</w:t>
      </w:r>
      <w:r w:rsidRPr="0008006D">
        <w:rPr>
          <w:szCs w:val="24"/>
        </w:rPr>
        <w:t>.</w:t>
      </w:r>
      <w:r w:rsidRPr="00EA4798">
        <w:rPr>
          <w:szCs w:val="24"/>
        </w:rPr>
        <w:t xml:space="preserve"> </w:t>
      </w:r>
      <w:r w:rsidRPr="0008006D">
        <w:rPr>
          <w:szCs w:val="24"/>
        </w:rPr>
        <w:t>Līdz ar to,</w:t>
      </w:r>
      <w:r>
        <w:rPr>
          <w:szCs w:val="24"/>
        </w:rPr>
        <w:t xml:space="preserve"> ja nomas līgumā noteiktie maksājumi ir iekļauti nomas līgumā</w:t>
      </w:r>
      <w:r w:rsidRPr="0056384B">
        <w:rPr>
          <w:szCs w:val="24"/>
        </w:rPr>
        <w:t xml:space="preserve">, </w:t>
      </w:r>
      <w:r>
        <w:rPr>
          <w:szCs w:val="24"/>
        </w:rPr>
        <w:t>šie</w:t>
      </w:r>
      <w:r w:rsidRPr="00EA4798">
        <w:rPr>
          <w:szCs w:val="24"/>
        </w:rPr>
        <w:t xml:space="preserve"> maksājumi tiek aplikti ar PVN, kas palielina budžeta iestāžu izdevumus.</w:t>
      </w:r>
    </w:p>
    <w:p w:rsidR="006B1365" w:rsidRPr="00F66808" w:rsidRDefault="006B1365" w:rsidP="006B1365">
      <w:pPr>
        <w:ind w:firstLine="709"/>
        <w:jc w:val="both"/>
        <w:rPr>
          <w:rFonts w:eastAsia="Times New Roman" w:cs="Times New Roman"/>
          <w:szCs w:val="24"/>
          <w:lang w:eastAsia="lv-LV"/>
        </w:rPr>
      </w:pPr>
      <w:r>
        <w:rPr>
          <w:szCs w:val="24"/>
        </w:rPr>
        <w:t>Apkopojot VAS “Valsts nekustamie īpašumi”, kā lielākā valsts īpašumu pārvaldītāja, informāciju par izrakstītajiem r</w:t>
      </w:r>
      <w:r w:rsidRPr="00367510">
        <w:rPr>
          <w:szCs w:val="24"/>
        </w:rPr>
        <w:t>ēķini</w:t>
      </w:r>
      <w:r>
        <w:rPr>
          <w:szCs w:val="24"/>
        </w:rPr>
        <w:t xml:space="preserve">em, kuros tiek iekļauti </w:t>
      </w:r>
      <w:r w:rsidRPr="00367510">
        <w:rPr>
          <w:szCs w:val="24"/>
        </w:rPr>
        <w:t>NĪN</w:t>
      </w:r>
      <w:r>
        <w:rPr>
          <w:szCs w:val="24"/>
        </w:rPr>
        <w:t xml:space="preserve"> maksājumi, kas</w:t>
      </w:r>
      <w:r w:rsidRPr="00367510">
        <w:rPr>
          <w:szCs w:val="24"/>
        </w:rPr>
        <w:t>, saskaņā ar Pievienotās vērtības nodokļa likuma, apliek</w:t>
      </w:r>
      <w:r>
        <w:rPr>
          <w:szCs w:val="24"/>
        </w:rPr>
        <w:t xml:space="preserve">ami </w:t>
      </w:r>
      <w:r w:rsidRPr="00367510">
        <w:rPr>
          <w:szCs w:val="24"/>
        </w:rPr>
        <w:t>ar PVN</w:t>
      </w:r>
      <w:r>
        <w:rPr>
          <w:szCs w:val="24"/>
        </w:rPr>
        <w:t>, redzam, ka atbilstoši likuma “</w:t>
      </w:r>
      <w:r w:rsidRPr="00367510">
        <w:rPr>
          <w:szCs w:val="24"/>
        </w:rPr>
        <w:t>Par nekustamā īpašuma nodokli”</w:t>
      </w:r>
      <w:r>
        <w:rPr>
          <w:szCs w:val="24"/>
        </w:rPr>
        <w:t xml:space="preserve"> normām mainot deleģējumu NĪN nomaksā ir iespējams samazināt valsts budžeta izdevumus vismaz par 27 </w:t>
      </w:r>
      <w:r w:rsidRPr="00F66808">
        <w:rPr>
          <w:szCs w:val="24"/>
        </w:rPr>
        <w:t xml:space="preserve">670 </w:t>
      </w:r>
      <w:r w:rsidRPr="00F66808">
        <w:rPr>
          <w:i/>
          <w:szCs w:val="24"/>
        </w:rPr>
        <w:t xml:space="preserve">euro </w:t>
      </w:r>
      <w:r w:rsidRPr="00F66808">
        <w:rPr>
          <w:szCs w:val="24"/>
        </w:rPr>
        <w:t xml:space="preserve">(skat. </w:t>
      </w:r>
      <w:r w:rsidR="00D86274">
        <w:rPr>
          <w:szCs w:val="24"/>
        </w:rPr>
        <w:t>t</w:t>
      </w:r>
      <w:r w:rsidRPr="00F66808">
        <w:rPr>
          <w:szCs w:val="24"/>
        </w:rPr>
        <w:t>abulu Nr.</w:t>
      </w:r>
      <w:r w:rsidR="00F66808" w:rsidRPr="00F66808">
        <w:rPr>
          <w:szCs w:val="24"/>
        </w:rPr>
        <w:t>3.5</w:t>
      </w:r>
      <w:r w:rsidR="00DA0167">
        <w:rPr>
          <w:szCs w:val="24"/>
        </w:rPr>
        <w:t>1</w:t>
      </w:r>
      <w:r w:rsidR="00D86274">
        <w:rPr>
          <w:szCs w:val="24"/>
        </w:rPr>
        <w:t>.</w:t>
      </w:r>
      <w:r w:rsidRPr="00F66808">
        <w:rPr>
          <w:szCs w:val="24"/>
        </w:rPr>
        <w:t>).</w:t>
      </w:r>
    </w:p>
    <w:p w:rsidR="006B1365" w:rsidRDefault="006B1365" w:rsidP="006B1365">
      <w:pPr>
        <w:jc w:val="right"/>
        <w:rPr>
          <w:rFonts w:eastAsia="Times New Roman" w:cs="Times New Roman"/>
          <w:szCs w:val="24"/>
          <w:lang w:eastAsia="lv-LV"/>
        </w:rPr>
      </w:pPr>
      <w:r w:rsidRPr="00F66808">
        <w:rPr>
          <w:rFonts w:eastAsia="Times New Roman" w:cs="Times New Roman"/>
          <w:szCs w:val="24"/>
          <w:lang w:eastAsia="lv-LV"/>
        </w:rPr>
        <w:t>Tabula Nr.</w:t>
      </w:r>
      <w:r w:rsidR="00F66808" w:rsidRPr="00F66808">
        <w:rPr>
          <w:rFonts w:eastAsia="Times New Roman" w:cs="Times New Roman"/>
          <w:szCs w:val="24"/>
          <w:lang w:eastAsia="lv-LV"/>
        </w:rPr>
        <w:t>3.5</w:t>
      </w:r>
      <w:r w:rsidR="00DA0167">
        <w:rPr>
          <w:rFonts w:eastAsia="Times New Roman" w:cs="Times New Roman"/>
          <w:szCs w:val="24"/>
          <w:lang w:eastAsia="lv-LV"/>
        </w:rPr>
        <w:t>1</w:t>
      </w:r>
      <w:r w:rsidR="00D86274">
        <w:rPr>
          <w:rFonts w:eastAsia="Times New Roman" w:cs="Times New Roman"/>
          <w:szCs w:val="24"/>
          <w:lang w:eastAsia="lv-LV"/>
        </w:rPr>
        <w:t>.</w:t>
      </w:r>
    </w:p>
    <w:p w:rsidR="006B1365" w:rsidRDefault="006B1365" w:rsidP="006B1365">
      <w:pPr>
        <w:spacing w:before="120" w:after="120"/>
        <w:jc w:val="center"/>
        <w:rPr>
          <w:rFonts w:eastAsia="Times New Roman" w:cs="Times New Roman"/>
          <w:i/>
          <w:szCs w:val="24"/>
          <w:lang w:eastAsia="lv-LV"/>
        </w:rPr>
      </w:pPr>
      <w:r w:rsidRPr="006B1365">
        <w:rPr>
          <w:rFonts w:eastAsia="Times New Roman" w:cs="Times New Roman"/>
          <w:szCs w:val="24"/>
          <w:lang w:eastAsia="lv-LV"/>
        </w:rPr>
        <w:t xml:space="preserve">Ministriju potenciālais ietaupījums (PVN 21%), </w:t>
      </w:r>
      <w:r w:rsidRPr="006B1365">
        <w:rPr>
          <w:rFonts w:eastAsia="Times New Roman" w:cs="Times New Roman"/>
          <w:i/>
          <w:szCs w:val="24"/>
          <w:lang w:eastAsia="lv-LV"/>
        </w:rPr>
        <w:t>euro</w:t>
      </w:r>
    </w:p>
    <w:tbl>
      <w:tblPr>
        <w:tblW w:w="4253" w:type="dxa"/>
        <w:jc w:val="center"/>
        <w:tblLook w:val="04A0" w:firstRow="1" w:lastRow="0" w:firstColumn="1" w:lastColumn="0" w:noHBand="0" w:noVBand="1"/>
      </w:tblPr>
      <w:tblGrid>
        <w:gridCol w:w="2268"/>
        <w:gridCol w:w="1985"/>
      </w:tblGrid>
      <w:tr w:rsidR="006B1365" w:rsidRPr="006B1365" w:rsidTr="003F26CD">
        <w:trPr>
          <w:trHeight w:val="300"/>
          <w:tblHeader/>
          <w:jc w:val="center"/>
        </w:trPr>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rsidR="006B1365" w:rsidRPr="006B1365" w:rsidRDefault="006B1365" w:rsidP="006B1365">
            <w:pPr>
              <w:jc w:val="center"/>
              <w:rPr>
                <w:rFonts w:eastAsia="Times New Roman" w:cs="Times New Roman"/>
                <w:b/>
                <w:bCs/>
                <w:color w:val="000000"/>
                <w:sz w:val="22"/>
                <w:lang w:eastAsia="lv-LV"/>
              </w:rPr>
            </w:pPr>
            <w:r w:rsidRPr="006B1365">
              <w:rPr>
                <w:rFonts w:eastAsia="Times New Roman" w:cs="Times New Roman"/>
                <w:b/>
                <w:bCs/>
                <w:color w:val="000000"/>
                <w:sz w:val="22"/>
                <w:lang w:eastAsia="lv-LV"/>
              </w:rPr>
              <w:t>Resors</w:t>
            </w:r>
          </w:p>
        </w:tc>
        <w:tc>
          <w:tcPr>
            <w:tcW w:w="1985"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rsidR="006B1365" w:rsidRPr="006B1365" w:rsidRDefault="006B1365" w:rsidP="006B1365">
            <w:pPr>
              <w:jc w:val="center"/>
              <w:rPr>
                <w:rFonts w:eastAsia="Times New Roman" w:cs="Times New Roman"/>
                <w:b/>
                <w:bCs/>
                <w:color w:val="000000"/>
                <w:sz w:val="22"/>
                <w:lang w:eastAsia="lv-LV"/>
              </w:rPr>
            </w:pPr>
            <w:r w:rsidRPr="006B1365">
              <w:rPr>
                <w:rFonts w:eastAsia="Times New Roman" w:cs="Times New Roman"/>
                <w:b/>
                <w:bCs/>
                <w:i/>
                <w:color w:val="000000"/>
                <w:sz w:val="22"/>
                <w:lang w:eastAsia="lv-LV"/>
              </w:rPr>
              <w:t>euro</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354614" w:rsidP="006B1365">
            <w:pPr>
              <w:rPr>
                <w:rFonts w:eastAsia="Times New Roman" w:cs="Times New Roman"/>
                <w:color w:val="000000"/>
                <w:sz w:val="22"/>
                <w:lang w:eastAsia="lv-LV"/>
              </w:rPr>
            </w:pPr>
            <w:r>
              <w:rPr>
                <w:rFonts w:eastAsia="Times New Roman" w:cs="Times New Roman"/>
                <w:color w:val="000000"/>
                <w:sz w:val="22"/>
                <w:lang w:eastAsia="lv-LV"/>
              </w:rPr>
              <w:t>MK</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color w:val="000000"/>
                <w:sz w:val="22"/>
                <w:lang w:eastAsia="lv-LV"/>
              </w:rPr>
            </w:pPr>
            <w:r w:rsidRPr="006B1365">
              <w:rPr>
                <w:rFonts w:eastAsia="Times New Roman" w:cs="Times New Roman"/>
                <w:color w:val="000000"/>
                <w:sz w:val="22"/>
                <w:lang w:eastAsia="lv-LV"/>
              </w:rPr>
              <w:t>10 067,76</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6B1365" w:rsidP="006B1365">
            <w:pPr>
              <w:rPr>
                <w:rFonts w:eastAsia="Times New Roman" w:cs="Times New Roman"/>
                <w:color w:val="000000"/>
                <w:sz w:val="22"/>
                <w:lang w:eastAsia="lv-LV"/>
              </w:rPr>
            </w:pPr>
            <w:r w:rsidRPr="006B1365">
              <w:rPr>
                <w:rFonts w:eastAsia="Times New Roman" w:cs="Times New Roman"/>
                <w:color w:val="000000"/>
                <w:sz w:val="22"/>
                <w:lang w:eastAsia="lv-LV"/>
              </w:rPr>
              <w:t>AiM</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color w:val="000000"/>
                <w:sz w:val="22"/>
                <w:lang w:eastAsia="lv-LV"/>
              </w:rPr>
            </w:pPr>
            <w:r w:rsidRPr="006B1365">
              <w:rPr>
                <w:rFonts w:eastAsia="Times New Roman" w:cs="Times New Roman"/>
                <w:color w:val="000000"/>
                <w:sz w:val="22"/>
                <w:lang w:eastAsia="lv-LV"/>
              </w:rPr>
              <w:t>137,17</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6B1365" w:rsidP="006B1365">
            <w:pPr>
              <w:rPr>
                <w:rFonts w:eastAsia="Times New Roman" w:cs="Times New Roman"/>
                <w:color w:val="000000"/>
                <w:sz w:val="22"/>
                <w:lang w:eastAsia="lv-LV"/>
              </w:rPr>
            </w:pPr>
            <w:r w:rsidRPr="006B1365">
              <w:rPr>
                <w:rFonts w:eastAsia="Times New Roman" w:cs="Times New Roman"/>
                <w:color w:val="000000"/>
                <w:sz w:val="22"/>
                <w:lang w:eastAsia="lv-LV"/>
              </w:rPr>
              <w:t>EM</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color w:val="000000"/>
                <w:sz w:val="22"/>
                <w:lang w:eastAsia="lv-LV"/>
              </w:rPr>
            </w:pPr>
            <w:r w:rsidRPr="006B1365">
              <w:rPr>
                <w:rFonts w:eastAsia="Times New Roman" w:cs="Times New Roman"/>
                <w:color w:val="000000"/>
                <w:sz w:val="22"/>
                <w:lang w:eastAsia="lv-LV"/>
              </w:rPr>
              <w:t>1 181,67</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6B1365" w:rsidP="006B1365">
            <w:pPr>
              <w:rPr>
                <w:rFonts w:eastAsia="Times New Roman" w:cs="Times New Roman"/>
                <w:color w:val="000000"/>
                <w:sz w:val="22"/>
                <w:lang w:eastAsia="lv-LV"/>
              </w:rPr>
            </w:pPr>
            <w:r w:rsidRPr="006B1365">
              <w:rPr>
                <w:rFonts w:eastAsia="Times New Roman" w:cs="Times New Roman"/>
                <w:color w:val="000000"/>
                <w:sz w:val="22"/>
                <w:lang w:eastAsia="lv-LV"/>
              </w:rPr>
              <w:t>FM</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color w:val="000000"/>
                <w:sz w:val="22"/>
                <w:lang w:eastAsia="lv-LV"/>
              </w:rPr>
            </w:pPr>
            <w:r w:rsidRPr="006B1365">
              <w:rPr>
                <w:rFonts w:eastAsia="Times New Roman" w:cs="Times New Roman"/>
                <w:color w:val="000000"/>
                <w:sz w:val="22"/>
                <w:lang w:eastAsia="lv-LV"/>
              </w:rPr>
              <w:t>306,21</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6B1365" w:rsidP="006B1365">
            <w:pPr>
              <w:rPr>
                <w:rFonts w:eastAsia="Times New Roman" w:cs="Times New Roman"/>
                <w:color w:val="000000"/>
                <w:sz w:val="22"/>
                <w:lang w:eastAsia="lv-LV"/>
              </w:rPr>
            </w:pPr>
            <w:r w:rsidRPr="006B1365">
              <w:rPr>
                <w:rFonts w:eastAsia="Times New Roman" w:cs="Times New Roman"/>
                <w:color w:val="000000"/>
                <w:sz w:val="22"/>
                <w:lang w:eastAsia="lv-LV"/>
              </w:rPr>
              <w:t>IeM</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color w:val="000000"/>
                <w:sz w:val="22"/>
                <w:lang w:eastAsia="lv-LV"/>
              </w:rPr>
            </w:pPr>
            <w:r w:rsidRPr="006B1365">
              <w:rPr>
                <w:rFonts w:eastAsia="Times New Roman" w:cs="Times New Roman"/>
                <w:color w:val="000000"/>
                <w:sz w:val="22"/>
                <w:lang w:eastAsia="lv-LV"/>
              </w:rPr>
              <w:t>1 622,18</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6B1365" w:rsidP="006B1365">
            <w:pPr>
              <w:rPr>
                <w:rFonts w:eastAsia="Times New Roman" w:cs="Times New Roman"/>
                <w:color w:val="000000"/>
                <w:sz w:val="22"/>
                <w:lang w:eastAsia="lv-LV"/>
              </w:rPr>
            </w:pPr>
            <w:r w:rsidRPr="006B1365">
              <w:rPr>
                <w:rFonts w:eastAsia="Times New Roman" w:cs="Times New Roman"/>
                <w:color w:val="000000"/>
                <w:sz w:val="22"/>
                <w:lang w:eastAsia="lv-LV"/>
              </w:rPr>
              <w:t>KM</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color w:val="000000"/>
                <w:sz w:val="22"/>
                <w:lang w:eastAsia="lv-LV"/>
              </w:rPr>
            </w:pPr>
            <w:r w:rsidRPr="006B1365">
              <w:rPr>
                <w:rFonts w:eastAsia="Times New Roman" w:cs="Times New Roman"/>
                <w:color w:val="000000"/>
                <w:sz w:val="22"/>
                <w:lang w:eastAsia="lv-LV"/>
              </w:rPr>
              <w:t>14 251,84</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6B1365" w:rsidP="006B1365">
            <w:pPr>
              <w:rPr>
                <w:rFonts w:eastAsia="Times New Roman" w:cs="Times New Roman"/>
                <w:sz w:val="22"/>
                <w:lang w:eastAsia="lv-LV"/>
              </w:rPr>
            </w:pPr>
            <w:r w:rsidRPr="006B1365">
              <w:rPr>
                <w:rFonts w:eastAsia="Times New Roman" w:cs="Times New Roman"/>
                <w:sz w:val="22"/>
                <w:lang w:eastAsia="lv-LV"/>
              </w:rPr>
              <w:t>Prokuratūra</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color w:val="000000"/>
                <w:sz w:val="22"/>
                <w:lang w:eastAsia="lv-LV"/>
              </w:rPr>
            </w:pPr>
            <w:r w:rsidRPr="006B1365">
              <w:rPr>
                <w:rFonts w:eastAsia="Times New Roman" w:cs="Times New Roman"/>
                <w:color w:val="000000"/>
                <w:sz w:val="22"/>
                <w:lang w:eastAsia="lv-LV"/>
              </w:rPr>
              <w:t>102,95</w:t>
            </w:r>
          </w:p>
        </w:tc>
      </w:tr>
      <w:tr w:rsidR="006B1365" w:rsidRPr="006B1365" w:rsidTr="006B1365">
        <w:trPr>
          <w:trHeight w:val="300"/>
          <w:jc w:val="center"/>
        </w:trPr>
        <w:tc>
          <w:tcPr>
            <w:tcW w:w="2268" w:type="dxa"/>
            <w:tcBorders>
              <w:top w:val="nil"/>
              <w:left w:val="single" w:sz="4" w:space="0" w:color="auto"/>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b/>
                <w:bCs/>
                <w:color w:val="000000"/>
                <w:sz w:val="22"/>
                <w:lang w:eastAsia="lv-LV"/>
              </w:rPr>
            </w:pPr>
            <w:r w:rsidRPr="006B1365">
              <w:rPr>
                <w:rFonts w:eastAsia="Times New Roman" w:cs="Times New Roman"/>
                <w:b/>
                <w:bCs/>
                <w:color w:val="000000"/>
                <w:sz w:val="22"/>
                <w:lang w:eastAsia="lv-LV"/>
              </w:rPr>
              <w:t>Kopā</w:t>
            </w:r>
            <w:r>
              <w:rPr>
                <w:rFonts w:eastAsia="Times New Roman" w:cs="Times New Roman"/>
                <w:b/>
                <w:bCs/>
                <w:color w:val="000000"/>
                <w:sz w:val="22"/>
                <w:lang w:eastAsia="lv-LV"/>
              </w:rPr>
              <w:t>:</w:t>
            </w:r>
          </w:p>
        </w:tc>
        <w:tc>
          <w:tcPr>
            <w:tcW w:w="1985" w:type="dxa"/>
            <w:tcBorders>
              <w:top w:val="nil"/>
              <w:left w:val="nil"/>
              <w:bottom w:val="single" w:sz="4" w:space="0" w:color="auto"/>
              <w:right w:val="single" w:sz="4" w:space="0" w:color="auto"/>
            </w:tcBorders>
            <w:shd w:val="clear" w:color="auto" w:fill="auto"/>
            <w:noWrap/>
            <w:vAlign w:val="bottom"/>
            <w:hideMark/>
          </w:tcPr>
          <w:p w:rsidR="006B1365" w:rsidRPr="006B1365" w:rsidRDefault="006B1365" w:rsidP="006B1365">
            <w:pPr>
              <w:jc w:val="right"/>
              <w:rPr>
                <w:rFonts w:eastAsia="Times New Roman" w:cs="Times New Roman"/>
                <w:b/>
                <w:bCs/>
                <w:color w:val="000000"/>
                <w:sz w:val="22"/>
                <w:lang w:eastAsia="lv-LV"/>
              </w:rPr>
            </w:pPr>
            <w:r w:rsidRPr="006B1365">
              <w:rPr>
                <w:rFonts w:eastAsia="Times New Roman" w:cs="Times New Roman"/>
                <w:b/>
                <w:bCs/>
                <w:color w:val="000000"/>
                <w:sz w:val="22"/>
                <w:lang w:eastAsia="lv-LV"/>
              </w:rPr>
              <w:t>27 669,78</w:t>
            </w:r>
          </w:p>
        </w:tc>
      </w:tr>
    </w:tbl>
    <w:p w:rsidR="00560ABC" w:rsidRPr="00560ABC" w:rsidRDefault="00DA0167" w:rsidP="00560ABC">
      <w:pPr>
        <w:spacing w:before="240" w:after="120"/>
        <w:jc w:val="both"/>
        <w:rPr>
          <w:rFonts w:eastAsia="Times New Roman" w:cs="Times New Roman"/>
          <w:b/>
          <w:szCs w:val="24"/>
          <w:lang w:eastAsia="lv-LV"/>
        </w:rPr>
      </w:pPr>
      <w:r>
        <w:rPr>
          <w:rFonts w:eastAsia="Times New Roman" w:cs="Times New Roman"/>
          <w:b/>
          <w:szCs w:val="24"/>
          <w:lang w:eastAsia="lv-LV"/>
        </w:rPr>
        <w:t>5</w:t>
      </w:r>
      <w:r w:rsidR="00560ABC" w:rsidRPr="00560ABC">
        <w:rPr>
          <w:rFonts w:eastAsia="Times New Roman" w:cs="Times New Roman"/>
          <w:b/>
          <w:szCs w:val="24"/>
          <w:lang w:eastAsia="lv-LV"/>
        </w:rPr>
        <w:t>. Par jaunās darba samaksas sistēmas ieviešanas rezultātiem (kā atskaite par iepriekšējos gados piešķirtā finansējuma JPI izlietojumu):</w:t>
      </w:r>
    </w:p>
    <w:p w:rsidR="00560ABC" w:rsidRPr="00560ABC" w:rsidRDefault="00560ABC" w:rsidP="00B13082">
      <w:pPr>
        <w:spacing w:before="120" w:after="120"/>
        <w:ind w:firstLine="720"/>
        <w:jc w:val="both"/>
        <w:rPr>
          <w:rFonts w:eastAsia="Times New Roman" w:cs="Times New Roman"/>
          <w:szCs w:val="24"/>
          <w:lang w:eastAsia="lv-LV"/>
        </w:rPr>
      </w:pPr>
      <w:r w:rsidRPr="00560ABC">
        <w:rPr>
          <w:rFonts w:eastAsia="Times New Roman" w:cs="Times New Roman"/>
          <w:szCs w:val="24"/>
          <w:lang w:eastAsia="lv-LV"/>
        </w:rPr>
        <w:t xml:space="preserve">Ar </w:t>
      </w:r>
      <w:r w:rsidR="00B13082">
        <w:rPr>
          <w:rFonts w:eastAsia="Times New Roman" w:cs="Times New Roman"/>
          <w:szCs w:val="24"/>
          <w:lang w:eastAsia="lv-LV"/>
        </w:rPr>
        <w:t>MK</w:t>
      </w:r>
      <w:r w:rsidRPr="00560ABC">
        <w:rPr>
          <w:rFonts w:eastAsia="Times New Roman" w:cs="Times New Roman"/>
          <w:szCs w:val="24"/>
          <w:lang w:eastAsia="lv-LV"/>
        </w:rPr>
        <w:t xml:space="preserve"> 2013.gada  27.decembra rīkojumu Nr.675 “Par Koncepciju par jaunu darba samaksas sistēmu </w:t>
      </w:r>
      <w:r w:rsidR="00B13082">
        <w:rPr>
          <w:rFonts w:eastAsia="Times New Roman" w:cs="Times New Roman"/>
          <w:szCs w:val="24"/>
          <w:lang w:eastAsia="lv-LV"/>
        </w:rPr>
        <w:t>IeM</w:t>
      </w:r>
      <w:r w:rsidRPr="00560ABC">
        <w:rPr>
          <w:rFonts w:eastAsia="Times New Roman" w:cs="Times New Roman"/>
          <w:szCs w:val="24"/>
          <w:lang w:eastAsia="lv-LV"/>
        </w:rPr>
        <w:t xml:space="preserve"> sistēmas iestāžu un Ieslodzījuma vietu pārvaldes amatpersonām ar speciālajām dienesta pakāpēm” (turpmāk – rīkojums Nr.675) atbalstīts Koncepcijas par jaunu darba samaksas sistēmu </w:t>
      </w:r>
      <w:r w:rsidR="00B13082">
        <w:rPr>
          <w:rFonts w:eastAsia="Times New Roman" w:cs="Times New Roman"/>
          <w:szCs w:val="24"/>
          <w:lang w:eastAsia="lv-LV"/>
        </w:rPr>
        <w:t>IeM</w:t>
      </w:r>
      <w:r w:rsidRPr="00560ABC">
        <w:rPr>
          <w:rFonts w:eastAsia="Times New Roman" w:cs="Times New Roman"/>
          <w:szCs w:val="24"/>
          <w:lang w:eastAsia="lv-LV"/>
        </w:rPr>
        <w:t xml:space="preserve"> sistēmas iestāžu un Ieslodzījuma vietu pārvaldes amatpersonām ar speciālajām dienesta pakāpēm (turpmāk – koncepcija) 3.2.apakšpunktā ietvertais risinājuma 2.variants. </w:t>
      </w:r>
      <w:r w:rsidR="00B13082">
        <w:rPr>
          <w:rFonts w:eastAsia="Times New Roman" w:cs="Times New Roman"/>
          <w:szCs w:val="24"/>
          <w:lang w:eastAsia="lv-LV"/>
        </w:rPr>
        <w:t>MK</w:t>
      </w:r>
      <w:r w:rsidRPr="00560ABC">
        <w:rPr>
          <w:rFonts w:eastAsia="Times New Roman" w:cs="Times New Roman"/>
          <w:szCs w:val="24"/>
          <w:lang w:eastAsia="lv-LV"/>
        </w:rPr>
        <w:t xml:space="preserve"> 2016.gada 16.augusta sēdē (prot. Nr.40, 59.§, 2.punkts) un 2016.gada 18.augusta ārkārtas sēdē (prot. Nr.41, 5.§, 23.punkts) pieņemti lēmumi par papildu finansējuma piešķiršanu </w:t>
      </w:r>
      <w:r w:rsidR="00B13082">
        <w:rPr>
          <w:rFonts w:eastAsia="Times New Roman" w:cs="Times New Roman"/>
          <w:szCs w:val="24"/>
          <w:lang w:eastAsia="lv-LV"/>
        </w:rPr>
        <w:t xml:space="preserve">IeM </w:t>
      </w:r>
      <w:r w:rsidRPr="00560ABC">
        <w:rPr>
          <w:rFonts w:eastAsia="Times New Roman" w:cs="Times New Roman"/>
          <w:szCs w:val="24"/>
          <w:lang w:eastAsia="lv-LV"/>
        </w:rPr>
        <w:t xml:space="preserve">un </w:t>
      </w:r>
      <w:r w:rsidR="00B13082">
        <w:rPr>
          <w:rFonts w:eastAsia="Times New Roman" w:cs="Times New Roman"/>
          <w:szCs w:val="24"/>
          <w:lang w:eastAsia="lv-LV"/>
        </w:rPr>
        <w:t>TM</w:t>
      </w:r>
      <w:r w:rsidRPr="00560ABC">
        <w:rPr>
          <w:rFonts w:eastAsia="Times New Roman" w:cs="Times New Roman"/>
          <w:szCs w:val="24"/>
          <w:lang w:eastAsia="lv-LV"/>
        </w:rPr>
        <w:t xml:space="preserve">, lai pilnā apmērā nodrošinātu jaunas darba samaksas sistēmas ieviešanu </w:t>
      </w:r>
      <w:r w:rsidR="00B13082">
        <w:rPr>
          <w:rFonts w:eastAsia="Times New Roman" w:cs="Times New Roman"/>
          <w:szCs w:val="24"/>
          <w:lang w:eastAsia="lv-LV"/>
        </w:rPr>
        <w:t>IeM</w:t>
      </w:r>
      <w:r w:rsidRPr="00560ABC">
        <w:rPr>
          <w:rFonts w:eastAsia="Times New Roman" w:cs="Times New Roman"/>
          <w:szCs w:val="24"/>
          <w:lang w:eastAsia="lv-LV"/>
        </w:rPr>
        <w:t xml:space="preserve"> sistēmas iestāžu un Ieslodzījuma vietu pārvaldes amatpersonām ar speciālajām dienesta pakāpēm. </w:t>
      </w:r>
    </w:p>
    <w:p w:rsidR="00560ABC" w:rsidRPr="00560ABC" w:rsidRDefault="00560ABC" w:rsidP="00B13082">
      <w:pPr>
        <w:spacing w:before="120" w:after="120"/>
        <w:ind w:firstLine="720"/>
        <w:jc w:val="both"/>
        <w:rPr>
          <w:rFonts w:eastAsia="Times New Roman" w:cs="Times New Roman"/>
          <w:szCs w:val="24"/>
          <w:lang w:eastAsia="lv-LV"/>
        </w:rPr>
      </w:pPr>
      <w:r w:rsidRPr="00560ABC">
        <w:rPr>
          <w:rFonts w:eastAsia="Times New Roman" w:cs="Times New Roman"/>
          <w:szCs w:val="24"/>
          <w:lang w:eastAsia="lv-LV"/>
        </w:rPr>
        <w:t xml:space="preserve">Līdz ar </w:t>
      </w:r>
      <w:r w:rsidR="00B13082">
        <w:rPr>
          <w:rFonts w:eastAsia="Times New Roman" w:cs="Times New Roman"/>
          <w:szCs w:val="24"/>
          <w:lang w:eastAsia="lv-LV"/>
        </w:rPr>
        <w:t>MK</w:t>
      </w:r>
      <w:r w:rsidRPr="00560ABC">
        <w:rPr>
          <w:rFonts w:eastAsia="Times New Roman" w:cs="Times New Roman"/>
          <w:szCs w:val="24"/>
          <w:lang w:eastAsia="lv-LV"/>
        </w:rPr>
        <w:t xml:space="preserve"> 2016.gada 13.decembra noteikumu Nr.806 “Noteikumi par Iekšlietu ministrijas sistēmas iestāžu un Ieslodzījuma vietu pārvaldes amatpersonu ar speciālajām dienesta pakāpēm mēnešalgu un speciālo piemaksu noteikšanas kārtību un to apmēru” un Nr.810 “Noteikumi par Iekšlietu ministrijas sistēmas iestāžu un Ieslodzījuma vietu pārvaldes amatpersonu ar speciālajām dienesta pakāpēm amatu klasifikāciju” spēkā stāšanos tika pilnībā ieviesta jaunā darba samaksas sistēma iekšlietu sistēmas dienestos.</w:t>
      </w:r>
    </w:p>
    <w:p w:rsidR="005C7F8B" w:rsidRDefault="00560ABC" w:rsidP="00B13082">
      <w:pPr>
        <w:spacing w:before="120" w:after="120"/>
        <w:ind w:firstLine="720"/>
        <w:jc w:val="both"/>
        <w:rPr>
          <w:rFonts w:eastAsia="Times New Roman" w:cs="Times New Roman"/>
          <w:szCs w:val="24"/>
          <w:lang w:eastAsia="lv-LV"/>
        </w:rPr>
      </w:pPr>
      <w:r w:rsidRPr="00560ABC">
        <w:rPr>
          <w:rFonts w:eastAsia="Times New Roman" w:cs="Times New Roman"/>
          <w:szCs w:val="24"/>
          <w:lang w:eastAsia="lv-LV"/>
        </w:rPr>
        <w:t xml:space="preserve">Līdz ar jaunās darba samaksas sistēmas ieviešanu, iekšlietu sistēmas dienestos ir noteiktas funkcijas, kuru īstenošanu veic amatpersonas ar speciālajām dienesta pakāpēm, tādejādi, nodalot dienestu tiešās un atbalsta funkcijas, kuru izpildi nodrošina amatpersonas saskaņā ar Darba likumu vai Valsts civildienesta likumu. Minēto amatu pārveidošana tika nodrošināta pakāpeniski katrā no dienestiem Valsts ugunsdzēsības un glābšanas dienestā, Valsts policijā un Valsts robežsardzē tika pārveidoti 665 amati. Iekšlietu ministrijas provizoriski aprēķini, par pamatu pieņemot, ka, pārveidojot minētos atbalsta funkciju amatus, maksimālais (ļoti aptuvenais) valsts budžeta līdzekļu ietaupījums ilgtermiņā varētu būt ap 509 </w:t>
      </w:r>
      <w:r w:rsidRPr="00B13082">
        <w:rPr>
          <w:rFonts w:eastAsia="Times New Roman" w:cs="Times New Roman"/>
          <w:i/>
          <w:szCs w:val="24"/>
          <w:lang w:eastAsia="lv-LV"/>
        </w:rPr>
        <w:lastRenderedPageBreak/>
        <w:t>euro</w:t>
      </w:r>
      <w:r w:rsidRPr="00560ABC">
        <w:rPr>
          <w:rFonts w:eastAsia="Times New Roman" w:cs="Times New Roman"/>
          <w:szCs w:val="24"/>
          <w:lang w:eastAsia="lv-LV"/>
        </w:rPr>
        <w:t xml:space="preserve"> mēnesī par vienu pārveidoto amatu (izdienas pensija – 428 </w:t>
      </w:r>
      <w:r w:rsidRPr="00B13082">
        <w:rPr>
          <w:rFonts w:eastAsia="Times New Roman" w:cs="Times New Roman"/>
          <w:i/>
          <w:szCs w:val="24"/>
          <w:lang w:eastAsia="lv-LV"/>
        </w:rPr>
        <w:t>euro</w:t>
      </w:r>
      <w:r w:rsidRPr="00560ABC">
        <w:rPr>
          <w:rFonts w:eastAsia="Times New Roman" w:cs="Times New Roman"/>
          <w:szCs w:val="24"/>
          <w:lang w:eastAsia="lv-LV"/>
        </w:rPr>
        <w:t xml:space="preserve">; veselības aprūpe – 22 </w:t>
      </w:r>
      <w:r w:rsidRPr="00B13082">
        <w:rPr>
          <w:rFonts w:eastAsia="Times New Roman" w:cs="Times New Roman"/>
          <w:i/>
          <w:szCs w:val="24"/>
          <w:lang w:eastAsia="lv-LV"/>
        </w:rPr>
        <w:t>euro</w:t>
      </w:r>
      <w:r w:rsidRPr="00560ABC">
        <w:rPr>
          <w:rFonts w:eastAsia="Times New Roman" w:cs="Times New Roman"/>
          <w:szCs w:val="24"/>
          <w:lang w:eastAsia="lv-LV"/>
        </w:rPr>
        <w:t xml:space="preserve">, formas tērpa iegāde – 15 </w:t>
      </w:r>
      <w:r w:rsidRPr="00B13082">
        <w:rPr>
          <w:rFonts w:eastAsia="Times New Roman" w:cs="Times New Roman"/>
          <w:i/>
          <w:szCs w:val="24"/>
          <w:lang w:eastAsia="lv-LV"/>
        </w:rPr>
        <w:t>euro</w:t>
      </w:r>
      <w:r w:rsidRPr="00560ABC">
        <w:rPr>
          <w:rFonts w:eastAsia="Times New Roman" w:cs="Times New Roman"/>
          <w:szCs w:val="24"/>
          <w:lang w:eastAsia="lv-LV"/>
        </w:rPr>
        <w:t xml:space="preserve">, garāks ikgadējais atvaļinājums – 37 </w:t>
      </w:r>
      <w:r w:rsidRPr="00B13082">
        <w:rPr>
          <w:rFonts w:eastAsia="Times New Roman" w:cs="Times New Roman"/>
          <w:i/>
          <w:szCs w:val="24"/>
          <w:lang w:eastAsia="lv-LV"/>
        </w:rPr>
        <w:t>euro</w:t>
      </w:r>
      <w:r w:rsidRPr="00560ABC">
        <w:rPr>
          <w:rFonts w:eastAsia="Times New Roman" w:cs="Times New Roman"/>
          <w:szCs w:val="24"/>
          <w:lang w:eastAsia="lv-LV"/>
        </w:rPr>
        <w:t xml:space="preserve">, pabalstu un kompensācijas, kā arī mācību izdevumu apmaksa – 14 </w:t>
      </w:r>
      <w:r w:rsidRPr="00B13082">
        <w:rPr>
          <w:rFonts w:eastAsia="Times New Roman" w:cs="Times New Roman"/>
          <w:i/>
          <w:szCs w:val="24"/>
          <w:lang w:eastAsia="lv-LV"/>
        </w:rPr>
        <w:t>euro</w:t>
      </w:r>
      <w:r w:rsidRPr="00560ABC">
        <w:rPr>
          <w:rFonts w:eastAsia="Times New Roman" w:cs="Times New Roman"/>
          <w:szCs w:val="24"/>
          <w:lang w:eastAsia="lv-LV"/>
        </w:rPr>
        <w:t>).</w:t>
      </w:r>
    </w:p>
    <w:p w:rsidR="005C7F8B" w:rsidRPr="005C7F8B" w:rsidRDefault="00DA0167" w:rsidP="005C7F8B">
      <w:pPr>
        <w:jc w:val="both"/>
        <w:rPr>
          <w:b/>
          <w:iCs/>
        </w:rPr>
      </w:pPr>
      <w:r>
        <w:rPr>
          <w:b/>
          <w:iCs/>
        </w:rPr>
        <w:t>6</w:t>
      </w:r>
      <w:r w:rsidR="005C7F8B" w:rsidRPr="005C7F8B">
        <w:rPr>
          <w:b/>
          <w:iCs/>
        </w:rPr>
        <w:t xml:space="preserve">. Papildus informācija par </w:t>
      </w:r>
      <w:r w:rsidR="005C7F8B">
        <w:rPr>
          <w:b/>
          <w:iCs/>
        </w:rPr>
        <w:t xml:space="preserve">ĀM </w:t>
      </w:r>
      <w:r w:rsidR="005C7F8B" w:rsidRPr="005C7F8B">
        <w:rPr>
          <w:b/>
          <w:iCs/>
        </w:rPr>
        <w:t>veikto iepirkumu sakaru nodrošināšanai</w:t>
      </w:r>
    </w:p>
    <w:p w:rsidR="005C7F8B" w:rsidRDefault="005C7F8B" w:rsidP="005C7F8B">
      <w:pPr>
        <w:spacing w:before="120"/>
        <w:ind w:firstLine="720"/>
        <w:jc w:val="both"/>
      </w:pPr>
      <w:r>
        <w:t>ĀM ir pārskatījusi un izanalizējusi prasības sakaru nodrošināšanai ar diplomātiskajām un konsulārajām pārstāvniecībām ārvalstīs. Tā ietvaros tika veikts audits par pārstāvniecību datu pārraides vajadzībām un audita atzinums un ieteikumi tika apkopoti tehniskās specifikācijas prasībās. Analīzes rezultātā 2016.gadā tika veikta iepirkuma procedūra, kurā tiesības slēgt līgumu ieguva pakalpojuma sniedzējs, kurš, sākot ar 2017.gadu, IP datu pārraidi nodrošina ar ministrijai tehniski un saimnieciski  izdevīgākiem nosacījumiem, nekā iepriekšējais pakalpojuma sniedzējs.</w:t>
      </w:r>
    </w:p>
    <w:p w:rsidR="001777E6" w:rsidRPr="001777E6" w:rsidRDefault="00DA0167" w:rsidP="001777E6">
      <w:pPr>
        <w:spacing w:before="120" w:after="120"/>
        <w:rPr>
          <w:rFonts w:eastAsia="Times New Roman" w:cs="Times New Roman"/>
          <w:b/>
          <w:szCs w:val="24"/>
          <w:lang w:eastAsia="lv-LV"/>
        </w:rPr>
      </w:pPr>
      <w:r>
        <w:rPr>
          <w:rFonts w:eastAsia="Times New Roman" w:cs="Times New Roman"/>
          <w:b/>
          <w:szCs w:val="24"/>
          <w:lang w:eastAsia="lv-LV"/>
        </w:rPr>
        <w:t>7</w:t>
      </w:r>
      <w:r w:rsidR="00282015">
        <w:rPr>
          <w:rFonts w:eastAsia="Times New Roman" w:cs="Times New Roman"/>
          <w:b/>
          <w:szCs w:val="24"/>
          <w:lang w:eastAsia="lv-LV"/>
        </w:rPr>
        <w:t xml:space="preserve">. FM </w:t>
      </w:r>
      <w:r w:rsidR="001777E6" w:rsidRPr="001777E6">
        <w:rPr>
          <w:rFonts w:eastAsia="Times New Roman" w:cs="Times New Roman"/>
          <w:b/>
          <w:szCs w:val="24"/>
          <w:lang w:eastAsia="lv-LV"/>
        </w:rPr>
        <w:t>priekšlikumi par JPI:</w:t>
      </w:r>
    </w:p>
    <w:p w:rsidR="00EB746F" w:rsidRPr="00E37583" w:rsidRDefault="00EB746F" w:rsidP="00A17001">
      <w:pPr>
        <w:ind w:firstLine="720"/>
        <w:jc w:val="both"/>
        <w:rPr>
          <w:rFonts w:eastAsia="Times New Roman" w:cs="Times New Roman"/>
          <w:szCs w:val="24"/>
          <w:lang w:eastAsia="lv-LV"/>
        </w:rPr>
      </w:pPr>
      <w:r w:rsidRPr="00E37583">
        <w:rPr>
          <w:rFonts w:eastAsia="Times New Roman" w:cs="Times New Roman"/>
          <w:szCs w:val="24"/>
          <w:lang w:eastAsia="lv-LV"/>
        </w:rPr>
        <w:t xml:space="preserve">No 2014.gada Valsts ieņēmumu dienests (VID) īsteno jaunās politikas iniciatīvu (JPI) “Radikāla rīcība ēnu ekonomikas apkarošanai nodokļu administrēšanas un muitas lietu jomā”, kuras mērķis – samazināt ēnu ekonomikas apmērus uzņēmējdarbībā, paaugstinot VID kontrolējošo funkciju un darbības efektivitāti, saskaņā ar nodokļu un muitas saistību izpildes riska vadību un kapacitātes stiprināšanu. </w:t>
      </w:r>
    </w:p>
    <w:p w:rsidR="00EB746F" w:rsidRDefault="00EB746F" w:rsidP="00A17001">
      <w:pPr>
        <w:ind w:firstLine="720"/>
        <w:jc w:val="both"/>
        <w:rPr>
          <w:rFonts w:eastAsia="Times New Roman" w:cs="Times New Roman"/>
          <w:szCs w:val="24"/>
          <w:lang w:eastAsia="lv-LV"/>
        </w:rPr>
      </w:pPr>
      <w:r w:rsidRPr="00E37583">
        <w:rPr>
          <w:rFonts w:eastAsia="Times New Roman" w:cs="Times New Roman"/>
          <w:szCs w:val="24"/>
          <w:lang w:eastAsia="lv-LV"/>
        </w:rPr>
        <w:t xml:space="preserve">Lai pilnveidotu analītisko darbu un sniegtu atbalstu muitas kontroles punktiem (MKP) drošības, drošuma un citu muitas risku analīzes un novērtēšanas procesa nodrošināšanā, VID plāno izveidot muitas kontroles atbalsta centru, kas dotu iespēju efektīvāk izmantot VID rīcībā esošos resursus, vienlaikus veicinot rezultatīvo rādītāju uzlabošanos muitas noteikumu pārkāpumu atklāšanas jomā, to starp mazinot iespējamo koruptīvo rīcību no muitas amatpersonu puses. Muitas kontroles atbalsta centra izveides rezultātā zudīs nepieciešamība izveidot 25 jaunas amata vietas MKP “Vientuļi” un 28 jaunas amata vietas MKP “Ventspils osta” un MKP “Liepājas osta”. </w:t>
      </w:r>
    </w:p>
    <w:p w:rsidR="00EB746F" w:rsidRPr="001777E6" w:rsidRDefault="00EB746F" w:rsidP="00A17001">
      <w:pPr>
        <w:ind w:firstLine="720"/>
        <w:jc w:val="both"/>
        <w:rPr>
          <w:rFonts w:eastAsia="Times New Roman" w:cs="Times New Roman"/>
          <w:szCs w:val="24"/>
          <w:lang w:eastAsia="lv-LV"/>
        </w:rPr>
      </w:pPr>
      <w:r w:rsidRPr="001777E6">
        <w:rPr>
          <w:rFonts w:eastAsia="Times New Roman" w:cs="Times New Roman"/>
          <w:szCs w:val="24"/>
          <w:lang w:eastAsia="lv-LV"/>
        </w:rPr>
        <w:t>JPI  ietvaros citu aktuālu pasākumu īstenošanai</w:t>
      </w:r>
      <w:r>
        <w:rPr>
          <w:rFonts w:eastAsia="Times New Roman" w:cs="Times New Roman"/>
          <w:szCs w:val="24"/>
          <w:lang w:eastAsia="lv-LV"/>
        </w:rPr>
        <w:t>, kas vienlaicīgi sekmēs minētā JPI mērķa sasniegšanu</w:t>
      </w:r>
      <w:r w:rsidRPr="001777E6">
        <w:rPr>
          <w:rFonts w:eastAsia="Times New Roman" w:cs="Times New Roman"/>
          <w:szCs w:val="24"/>
          <w:lang w:eastAsia="lv-LV"/>
        </w:rPr>
        <w:t xml:space="preserve"> (Valsts nodokļu politikas pamatnostādņu 2018.-2021.gadam ieviešana, </w:t>
      </w:r>
      <w:r>
        <w:rPr>
          <w:rFonts w:eastAsia="Times New Roman" w:cs="Times New Roman"/>
          <w:szCs w:val="24"/>
          <w:lang w:eastAsia="lv-LV"/>
        </w:rPr>
        <w:t>riska analīzes ieviešana</w:t>
      </w:r>
      <w:r w:rsidRPr="00E37583">
        <w:rPr>
          <w:rFonts w:eastAsia="Times New Roman" w:cs="Times New Roman"/>
          <w:szCs w:val="24"/>
          <w:lang w:eastAsia="lv-LV"/>
        </w:rPr>
        <w:t xml:space="preserve"> muitas deklarāciju pēcmuitošanas datu atbilstības pārbaužu, datu ticamības pārbaužu un kontroles  plānošanas vajadzībām, izmantojot datorizēto nodokļu maksātāju riska novērtēšanas sistēmu ESKORT</w:t>
      </w:r>
      <w:r w:rsidRPr="001777E6">
        <w:rPr>
          <w:rFonts w:eastAsia="Times New Roman" w:cs="Times New Roman"/>
          <w:szCs w:val="24"/>
          <w:lang w:eastAsia="lv-LV"/>
        </w:rPr>
        <w:t xml:space="preserve">, Transporta līdzekļu un konteineru automātiskās identificēšanas sistēmas (TLKAIS) modernizēšana, </w:t>
      </w:r>
      <w:r w:rsidRPr="005335C8">
        <w:rPr>
          <w:rFonts w:eastAsia="Times New Roman" w:cs="Times New Roman"/>
          <w:szCs w:val="24"/>
          <w:lang w:eastAsia="lv-LV"/>
        </w:rPr>
        <w:t>informācijas sistēmas izst</w:t>
      </w:r>
      <w:r>
        <w:rPr>
          <w:rFonts w:eastAsia="Times New Roman" w:cs="Times New Roman"/>
          <w:szCs w:val="24"/>
          <w:lang w:eastAsia="lv-LV"/>
        </w:rPr>
        <w:t>rāde</w:t>
      </w:r>
      <w:r w:rsidRPr="005335C8">
        <w:rPr>
          <w:rFonts w:eastAsia="Times New Roman" w:cs="Times New Roman"/>
          <w:szCs w:val="24"/>
          <w:lang w:eastAsia="lv-LV"/>
        </w:rPr>
        <w:t xml:space="preserve"> automātiskai VID Muitas pārvaldes muitas amatpersonu sadalīšanai pa darba vietām MKP</w:t>
      </w:r>
      <w:r w:rsidRPr="001777E6">
        <w:rPr>
          <w:rFonts w:eastAsia="Times New Roman" w:cs="Times New Roman"/>
          <w:szCs w:val="24"/>
          <w:lang w:eastAsia="lv-LV"/>
        </w:rPr>
        <w:t xml:space="preserve">) novirzāmi 2018.gadā </w:t>
      </w:r>
      <w:r w:rsidR="00AD6A07">
        <w:rPr>
          <w:rFonts w:eastAsia="Times New Roman" w:cs="Times New Roman"/>
          <w:szCs w:val="24"/>
          <w:lang w:eastAsia="lv-LV"/>
        </w:rPr>
        <w:t>2,3</w:t>
      </w:r>
      <w:r w:rsidRPr="001777E6">
        <w:rPr>
          <w:rFonts w:eastAsia="Times New Roman" w:cs="Times New Roman"/>
          <w:szCs w:val="24"/>
          <w:lang w:eastAsia="lv-LV"/>
        </w:rPr>
        <w:t xml:space="preserve"> milj. </w:t>
      </w:r>
      <w:r w:rsidRPr="001777E6">
        <w:rPr>
          <w:rFonts w:eastAsia="Times New Roman" w:cs="Times New Roman"/>
          <w:i/>
          <w:szCs w:val="24"/>
          <w:lang w:eastAsia="lv-LV"/>
        </w:rPr>
        <w:t>euro</w:t>
      </w:r>
      <w:r w:rsidRPr="001777E6">
        <w:rPr>
          <w:rFonts w:eastAsia="Times New Roman" w:cs="Times New Roman"/>
          <w:szCs w:val="24"/>
          <w:lang w:eastAsia="lv-LV"/>
        </w:rPr>
        <w:t xml:space="preserve"> un 2019.gadā </w:t>
      </w:r>
      <w:r w:rsidR="00AD6A07">
        <w:rPr>
          <w:rFonts w:eastAsia="Times New Roman" w:cs="Times New Roman"/>
          <w:szCs w:val="24"/>
          <w:lang w:eastAsia="lv-LV"/>
        </w:rPr>
        <w:t>un turpmāk ik gadu 1,3</w:t>
      </w:r>
      <w:r w:rsidRPr="001777E6">
        <w:rPr>
          <w:rFonts w:eastAsia="Times New Roman" w:cs="Times New Roman"/>
          <w:szCs w:val="24"/>
          <w:lang w:eastAsia="lv-LV"/>
        </w:rPr>
        <w:t xml:space="preserve"> milj. </w:t>
      </w:r>
      <w:r w:rsidRPr="001777E6">
        <w:rPr>
          <w:rFonts w:eastAsia="Times New Roman" w:cs="Times New Roman"/>
          <w:i/>
          <w:szCs w:val="24"/>
          <w:lang w:eastAsia="lv-LV"/>
        </w:rPr>
        <w:t>euro</w:t>
      </w:r>
      <w:r w:rsidRPr="001777E6">
        <w:rPr>
          <w:rFonts w:eastAsia="Times New Roman" w:cs="Times New Roman"/>
          <w:szCs w:val="24"/>
          <w:lang w:eastAsia="lv-LV"/>
        </w:rPr>
        <w:t xml:space="preserve">. </w:t>
      </w:r>
    </w:p>
    <w:p w:rsidR="001777E6" w:rsidRPr="002C199C" w:rsidRDefault="00DA0167" w:rsidP="002C199C">
      <w:pPr>
        <w:spacing w:before="120" w:after="120"/>
        <w:jc w:val="both"/>
        <w:rPr>
          <w:rFonts w:eastAsia="Times New Roman" w:cs="Times New Roman"/>
          <w:b/>
          <w:szCs w:val="24"/>
          <w:lang w:eastAsia="lv-LV"/>
        </w:rPr>
      </w:pPr>
      <w:r>
        <w:rPr>
          <w:rFonts w:eastAsia="Times New Roman" w:cs="Times New Roman"/>
          <w:b/>
          <w:szCs w:val="24"/>
          <w:lang w:eastAsia="lv-LV"/>
        </w:rPr>
        <w:t>8</w:t>
      </w:r>
      <w:r w:rsidR="002C199C" w:rsidRPr="002C199C">
        <w:rPr>
          <w:rFonts w:eastAsia="Times New Roman" w:cs="Times New Roman"/>
          <w:b/>
          <w:szCs w:val="24"/>
          <w:lang w:eastAsia="lv-LV"/>
        </w:rPr>
        <w:t xml:space="preserve">. </w:t>
      </w:r>
      <w:r w:rsidR="00282015">
        <w:rPr>
          <w:rFonts w:eastAsia="Times New Roman" w:cs="Times New Roman"/>
          <w:b/>
          <w:szCs w:val="24"/>
          <w:lang w:eastAsia="lv-LV"/>
        </w:rPr>
        <w:t xml:space="preserve">FM </w:t>
      </w:r>
      <w:r w:rsidR="002C199C">
        <w:rPr>
          <w:rFonts w:eastAsia="Times New Roman" w:cs="Times New Roman"/>
          <w:b/>
          <w:szCs w:val="24"/>
          <w:lang w:eastAsia="lv-LV"/>
        </w:rPr>
        <w:t>p</w:t>
      </w:r>
      <w:r w:rsidR="001777E6" w:rsidRPr="002C199C">
        <w:rPr>
          <w:rFonts w:eastAsia="Times New Roman" w:cs="Times New Roman"/>
          <w:b/>
          <w:szCs w:val="24"/>
          <w:lang w:eastAsia="lv-LV"/>
        </w:rPr>
        <w:t>riekšlikumi par provizoriski prognozēto izdevumu ietaupījumu FM:</w:t>
      </w:r>
    </w:p>
    <w:p w:rsidR="00EB746F" w:rsidRPr="005335C8" w:rsidRDefault="00EB746F" w:rsidP="00A17001">
      <w:pPr>
        <w:spacing w:before="120"/>
        <w:ind w:firstLine="720"/>
        <w:jc w:val="both"/>
        <w:rPr>
          <w:rFonts w:eastAsia="Times New Roman" w:cs="Times New Roman"/>
          <w:szCs w:val="24"/>
          <w:lang w:eastAsia="lv-LV"/>
        </w:rPr>
      </w:pPr>
      <w:r w:rsidRPr="005335C8">
        <w:rPr>
          <w:rFonts w:eastAsia="Times New Roman" w:cs="Times New Roman"/>
          <w:szCs w:val="24"/>
          <w:lang w:eastAsia="lv-LV"/>
        </w:rPr>
        <w:t xml:space="preserve">Finanšu ministrija veica padziļinātu resora izdevumu pārskatīšanu, tai skaitā Valsts kases administrētajā apakšprogrammā 31.02.00 “Valsts parāda vadība”, atbilstoši pēdējām aplēsēm pārskatīts finansējums procentu izdevumiem. Procentu izdevumi precizēti, ņemot vērā līdz 2017.gada 15.jūnijam faktiski uzņemtās valsts parāda saistības un bāzes aizņemšanās scenāriju vidējam termiņam. </w:t>
      </w:r>
    </w:p>
    <w:p w:rsidR="00EB746F" w:rsidRDefault="00AD6A07" w:rsidP="00A17001">
      <w:pPr>
        <w:ind w:firstLine="720"/>
        <w:jc w:val="both"/>
        <w:rPr>
          <w:rFonts w:eastAsia="Times New Roman" w:cs="Times New Roman"/>
          <w:szCs w:val="24"/>
          <w:lang w:eastAsia="lv-LV"/>
        </w:rPr>
      </w:pPr>
      <w:r w:rsidRPr="00AD6A07">
        <w:rPr>
          <w:rFonts w:eastAsia="Times New Roman" w:cs="Times New Roman"/>
          <w:szCs w:val="24"/>
          <w:lang w:eastAsia="lv-LV"/>
        </w:rPr>
        <w:t xml:space="preserve">Ņemot vērā valsts parāda saistību dzēšanas grafiku vidējam termiņam, saskaņā ar bāzes aizņemšanās scenāriju, kopējais aizņemšanās apjoms iekšējā un starptautiskajos finanšu tirgos 2018. – 2020.gadā prognozēts vismaz 4,9 mljrd. </w:t>
      </w:r>
      <w:r w:rsidRPr="00195837">
        <w:rPr>
          <w:rFonts w:eastAsia="Times New Roman" w:cs="Times New Roman"/>
          <w:i/>
          <w:szCs w:val="24"/>
          <w:lang w:eastAsia="lv-LV"/>
        </w:rPr>
        <w:t>euro</w:t>
      </w:r>
      <w:r w:rsidRPr="00AD6A07">
        <w:rPr>
          <w:rFonts w:eastAsia="Times New Roman" w:cs="Times New Roman"/>
          <w:szCs w:val="24"/>
          <w:lang w:eastAsia="lv-LV"/>
        </w:rPr>
        <w:t xml:space="preserve"> apmērā un lielākā daļa no šī finansējuma tiks izmantota valsts ārējā parāda saistību pārfinansēšanai, t.sk. Eiropas Komisijas aizdevuma dzēšanai 2019.gadā (500 milj. </w:t>
      </w:r>
      <w:r w:rsidRPr="00195837">
        <w:rPr>
          <w:rFonts w:eastAsia="Times New Roman" w:cs="Times New Roman"/>
          <w:i/>
          <w:szCs w:val="24"/>
          <w:lang w:eastAsia="lv-LV"/>
        </w:rPr>
        <w:t>euro</w:t>
      </w:r>
      <w:r w:rsidRPr="00AD6A07">
        <w:rPr>
          <w:rFonts w:eastAsia="Times New Roman" w:cs="Times New Roman"/>
          <w:szCs w:val="24"/>
          <w:lang w:eastAsia="lv-LV"/>
        </w:rPr>
        <w:t xml:space="preserve">), Pasaules bankas aizdevuma dzēšanai 2018.-2020.gadā (180 milj. </w:t>
      </w:r>
      <w:r w:rsidRPr="00195837">
        <w:rPr>
          <w:rFonts w:eastAsia="Times New Roman" w:cs="Times New Roman"/>
          <w:i/>
          <w:szCs w:val="24"/>
          <w:lang w:eastAsia="lv-LV"/>
        </w:rPr>
        <w:t>euro</w:t>
      </w:r>
      <w:r w:rsidRPr="00AD6A07">
        <w:rPr>
          <w:rFonts w:eastAsia="Times New Roman" w:cs="Times New Roman"/>
          <w:szCs w:val="24"/>
          <w:lang w:eastAsia="lv-LV"/>
        </w:rPr>
        <w:t xml:space="preserve">), eiroobligāciju dzēšanai 2020.gadā (~700 milj. USD un 550 milj. </w:t>
      </w:r>
      <w:r w:rsidRPr="00195837">
        <w:rPr>
          <w:rFonts w:eastAsia="Times New Roman" w:cs="Times New Roman"/>
          <w:i/>
          <w:szCs w:val="24"/>
          <w:lang w:eastAsia="lv-LV"/>
        </w:rPr>
        <w:t>euro</w:t>
      </w:r>
      <w:r w:rsidRPr="00AD6A07">
        <w:rPr>
          <w:rFonts w:eastAsia="Times New Roman" w:cs="Times New Roman"/>
          <w:szCs w:val="24"/>
          <w:lang w:eastAsia="lv-LV"/>
        </w:rPr>
        <w:t xml:space="preserve">), kā arī eiroobligāciju dzēšanas 2021.gada janvārī 1 mljrd. </w:t>
      </w:r>
      <w:r w:rsidRPr="00195837">
        <w:rPr>
          <w:rFonts w:eastAsia="Times New Roman" w:cs="Times New Roman"/>
          <w:i/>
          <w:szCs w:val="24"/>
          <w:lang w:eastAsia="lv-LV"/>
        </w:rPr>
        <w:t>euro</w:t>
      </w:r>
      <w:r w:rsidRPr="00AD6A07">
        <w:rPr>
          <w:rFonts w:eastAsia="Times New Roman" w:cs="Times New Roman"/>
          <w:szCs w:val="24"/>
          <w:lang w:eastAsia="lv-LV"/>
        </w:rPr>
        <w:t xml:space="preserve"> apmērā priekšfinansēšanai. 2019.gadā ir plānots relatīvi liels aizņemšanās apjoms starptautiskajos finanšu tirgos, jo būs jānodrošina finansējums gan finansēšanas nepieciešamības segšanai 2019.gadā, gan jāpiesaista resursi USD obligāciju dzēšanai 2020.gada janvārī. Aizņemšanos vidējā termiņā plānots nodrošināt </w:t>
      </w:r>
      <w:r w:rsidRPr="00AD6A07">
        <w:rPr>
          <w:rFonts w:eastAsia="Times New Roman" w:cs="Times New Roman"/>
          <w:szCs w:val="24"/>
          <w:lang w:eastAsia="lv-LV"/>
        </w:rPr>
        <w:lastRenderedPageBreak/>
        <w:t>galvenokārt ar publiskām ilgtermiņa etalona eiroobligāciju emisijām, ievērojot pēc iespējas lielāku elastību aizņemšanās nosacījumu izvēlē, lai nodrošinātu resursu piesaisti ar labvēlīgiem nosacījumiem.</w:t>
      </w:r>
    </w:p>
    <w:p w:rsidR="00EB746F" w:rsidRDefault="00EB746F" w:rsidP="00A17001">
      <w:pPr>
        <w:ind w:firstLine="720"/>
        <w:jc w:val="both"/>
        <w:rPr>
          <w:rFonts w:eastAsia="Times New Roman" w:cs="Times New Roman"/>
          <w:szCs w:val="24"/>
          <w:lang w:eastAsia="lv-LV"/>
        </w:rPr>
      </w:pPr>
      <w:r w:rsidRPr="005335C8">
        <w:rPr>
          <w:rFonts w:eastAsia="Times New Roman" w:cs="Times New Roman"/>
          <w:szCs w:val="24"/>
          <w:lang w:eastAsia="lv-LV"/>
        </w:rPr>
        <w:t>Papildus jāvērš uzmanība apstāklim, ka aizņemšanās apjomu vidējā termiņā ietekmē ne tikai pārfinansējamo parāda saistību apjoms, bet arī finansējamā valsts budžeta deficīta un valsts aizdevumu apjoms, kas veido būtisku daļu no kopējās finansēšanas nepieciešamības, izraisot valsts parāda pieaugumu un līdz ar to arī valsts parāda apkalpošanas izdevumu pieaugumu vidējā termiņā. Paredzamo nodokļu politikas izmaiņu vidēja termiņa negatīva fiskālā ietekme pašreiz vēl nav precīzi novērtēta, līdz ar to šobrīd nav iespējams precīzi noteikt minēto izmaiņu ietekmi uz aizņemšanās scenāriju un valsts parāda apkalpošanas izmaksām vidējā termiņā. Tādēļ 2018.gada budžeta un vidēja termiņa budžeta sagatavošanas procesā apakšprogrammas 31.02.00 “Valsts parāda vadība” ietvaros 2018.–2020.gadā plānotie izdevumi var tikt precizēti, ņemot vērā nodokļu politikas pamatnostādņu fiskālās ietekmes novērtējumu vidējam termiņam un citus parāda apkalpošanas izdevumus ietekmējošos faktorus.</w:t>
      </w:r>
    </w:p>
    <w:p w:rsidR="00AD6A07" w:rsidRPr="00195837" w:rsidRDefault="00EB746F" w:rsidP="00A17001">
      <w:pPr>
        <w:ind w:firstLine="720"/>
        <w:jc w:val="both"/>
        <w:rPr>
          <w:rFonts w:eastAsia="Times New Roman" w:cs="Times New Roman"/>
          <w:szCs w:val="24"/>
          <w:lang w:eastAsia="lv-LV"/>
        </w:rPr>
      </w:pPr>
      <w:r w:rsidRPr="001777E6">
        <w:rPr>
          <w:rFonts w:eastAsia="Times New Roman" w:cs="Times New Roman"/>
          <w:szCs w:val="24"/>
          <w:lang w:eastAsia="lv-LV"/>
        </w:rPr>
        <w:t xml:space="preserve">Pamatojoties uz Valsts kases indikatīvo novērtējumu valsts pamatbudžeta apakšprogrammā 31.02.00 “Valsts parāda vadība” procentu izdevumu ietaupījums būtu 2018.gadā </w:t>
      </w:r>
      <w:r w:rsidR="00AD6A07">
        <w:rPr>
          <w:rFonts w:eastAsia="Times New Roman" w:cs="Times New Roman"/>
          <w:szCs w:val="24"/>
          <w:lang w:eastAsia="lv-LV"/>
        </w:rPr>
        <w:t>2</w:t>
      </w:r>
      <w:r w:rsidR="00AD6A07" w:rsidRPr="001777E6">
        <w:rPr>
          <w:rFonts w:eastAsia="Times New Roman" w:cs="Times New Roman"/>
          <w:szCs w:val="24"/>
          <w:lang w:eastAsia="lv-LV"/>
        </w:rPr>
        <w:t>0</w:t>
      </w:r>
      <w:r w:rsidRPr="001777E6">
        <w:rPr>
          <w:rFonts w:eastAsia="Times New Roman" w:cs="Times New Roman"/>
          <w:szCs w:val="24"/>
          <w:lang w:eastAsia="lv-LV"/>
        </w:rPr>
        <w:t xml:space="preserve">,0 milj. </w:t>
      </w:r>
      <w:r w:rsidRPr="002C199C">
        <w:rPr>
          <w:rFonts w:eastAsia="Times New Roman" w:cs="Times New Roman"/>
          <w:i/>
          <w:szCs w:val="24"/>
          <w:lang w:eastAsia="lv-LV"/>
        </w:rPr>
        <w:t>euro</w:t>
      </w:r>
      <w:r w:rsidRPr="001777E6">
        <w:rPr>
          <w:rFonts w:eastAsia="Times New Roman" w:cs="Times New Roman"/>
          <w:szCs w:val="24"/>
          <w:lang w:eastAsia="lv-LV"/>
        </w:rPr>
        <w:t xml:space="preserve"> un 2019.gadā </w:t>
      </w:r>
      <w:r w:rsidR="00AD6A07">
        <w:rPr>
          <w:rFonts w:eastAsia="Times New Roman" w:cs="Times New Roman"/>
          <w:szCs w:val="24"/>
          <w:lang w:eastAsia="lv-LV"/>
        </w:rPr>
        <w:t>20</w:t>
      </w:r>
      <w:r w:rsidRPr="001777E6">
        <w:rPr>
          <w:rFonts w:eastAsia="Times New Roman" w:cs="Times New Roman"/>
          <w:szCs w:val="24"/>
          <w:lang w:eastAsia="lv-LV"/>
        </w:rPr>
        <w:t xml:space="preserve">,0 milj. </w:t>
      </w:r>
      <w:r w:rsidRPr="002C199C">
        <w:rPr>
          <w:rFonts w:eastAsia="Times New Roman" w:cs="Times New Roman"/>
          <w:i/>
          <w:szCs w:val="24"/>
          <w:lang w:eastAsia="lv-LV"/>
        </w:rPr>
        <w:t>euro</w:t>
      </w:r>
      <w:r w:rsidR="00AD6A07" w:rsidRPr="00AD6A07">
        <w:rPr>
          <w:szCs w:val="24"/>
        </w:rPr>
        <w:t>, no kuriem attiecīgi:</w:t>
      </w:r>
    </w:p>
    <w:p w:rsidR="00AD6A07" w:rsidRPr="001C0004" w:rsidRDefault="00AD6A07" w:rsidP="00AD6A07">
      <w:pPr>
        <w:pStyle w:val="ListParagraph"/>
        <w:numPr>
          <w:ilvl w:val="0"/>
          <w:numId w:val="148"/>
        </w:numPr>
        <w:ind w:right="12"/>
        <w:jc w:val="both"/>
        <w:rPr>
          <w:szCs w:val="24"/>
        </w:rPr>
      </w:pPr>
      <w:r w:rsidRPr="001C0004">
        <w:rPr>
          <w:szCs w:val="24"/>
        </w:rPr>
        <w:t xml:space="preserve">1 699 507 </w:t>
      </w:r>
      <w:r w:rsidRPr="001C0004">
        <w:rPr>
          <w:i/>
          <w:szCs w:val="24"/>
        </w:rPr>
        <w:t>euro</w:t>
      </w:r>
      <w:r w:rsidRPr="001C0004">
        <w:rPr>
          <w:szCs w:val="24"/>
        </w:rPr>
        <w:t xml:space="preserve"> un  1 434 387 </w:t>
      </w:r>
      <w:r w:rsidRPr="001C0004">
        <w:rPr>
          <w:i/>
          <w:szCs w:val="24"/>
        </w:rPr>
        <w:t>euro</w:t>
      </w:r>
      <w:r w:rsidRPr="001C0004">
        <w:t xml:space="preserve"> plānoti iesniegto FM prioritāro pasākumu finansēšanai, bet kuriem vienlaicīgi ir nepieciešams papildu finansējums no 2020.gada;</w:t>
      </w:r>
    </w:p>
    <w:p w:rsidR="00AD6A07" w:rsidRDefault="00AD6A07" w:rsidP="00195837">
      <w:pPr>
        <w:pStyle w:val="ListParagraph"/>
        <w:numPr>
          <w:ilvl w:val="0"/>
          <w:numId w:val="148"/>
        </w:numPr>
        <w:ind w:right="12"/>
        <w:jc w:val="both"/>
        <w:rPr>
          <w:szCs w:val="24"/>
        </w:rPr>
      </w:pPr>
      <w:r w:rsidRPr="001C0004">
        <w:rPr>
          <w:szCs w:val="24"/>
        </w:rPr>
        <w:t xml:space="preserve">40 331 </w:t>
      </w:r>
      <w:r w:rsidRPr="001C0004">
        <w:rPr>
          <w:i/>
          <w:szCs w:val="24"/>
        </w:rPr>
        <w:t>euro</w:t>
      </w:r>
      <w:r w:rsidRPr="001C0004">
        <w:rPr>
          <w:szCs w:val="24"/>
        </w:rPr>
        <w:t xml:space="preserve"> un 374 523 </w:t>
      </w:r>
      <w:r w:rsidRPr="001C0004">
        <w:rPr>
          <w:i/>
          <w:szCs w:val="24"/>
        </w:rPr>
        <w:t>euro</w:t>
      </w:r>
      <w:r w:rsidRPr="001C0004">
        <w:rPr>
          <w:szCs w:val="24"/>
        </w:rPr>
        <w:t xml:space="preserve"> tiek pārstrukturizēti FM resora ietvaros;</w:t>
      </w:r>
    </w:p>
    <w:p w:rsidR="00AD6A07" w:rsidRPr="00AD6A07" w:rsidRDefault="00AD6A07" w:rsidP="00195837">
      <w:pPr>
        <w:pStyle w:val="ListParagraph"/>
        <w:numPr>
          <w:ilvl w:val="0"/>
          <w:numId w:val="148"/>
        </w:numPr>
        <w:ind w:right="12"/>
        <w:jc w:val="both"/>
        <w:rPr>
          <w:szCs w:val="24"/>
        </w:rPr>
      </w:pPr>
      <w:r>
        <w:rPr>
          <w:szCs w:val="24"/>
        </w:rPr>
        <w:t>18</w:t>
      </w:r>
      <w:r w:rsidRPr="00AD6A07">
        <w:rPr>
          <w:szCs w:val="24"/>
        </w:rPr>
        <w:t xml:space="preserve"> 260 162 </w:t>
      </w:r>
      <w:r w:rsidRPr="00AD6A07">
        <w:rPr>
          <w:i/>
          <w:szCs w:val="24"/>
        </w:rPr>
        <w:t>euro</w:t>
      </w:r>
      <w:r w:rsidRPr="00AD6A07">
        <w:rPr>
          <w:szCs w:val="24"/>
        </w:rPr>
        <w:t xml:space="preserve"> un </w:t>
      </w:r>
      <w:r>
        <w:rPr>
          <w:szCs w:val="24"/>
        </w:rPr>
        <w:t>18</w:t>
      </w:r>
      <w:r w:rsidRPr="00AD6A07">
        <w:rPr>
          <w:szCs w:val="24"/>
        </w:rPr>
        <w:t xml:space="preserve"> 191 090 </w:t>
      </w:r>
      <w:r w:rsidRPr="00AD6A07">
        <w:rPr>
          <w:i/>
          <w:szCs w:val="24"/>
        </w:rPr>
        <w:t>euro</w:t>
      </w:r>
      <w:r w:rsidRPr="00AD6A07">
        <w:rPr>
          <w:szCs w:val="24"/>
        </w:rPr>
        <w:t xml:space="preserve"> novirzāmi </w:t>
      </w:r>
      <w:r w:rsidR="00961DED">
        <w:rPr>
          <w:szCs w:val="24"/>
        </w:rPr>
        <w:t>fiskālās telpas palielināšanai</w:t>
      </w:r>
      <w:r w:rsidRPr="00AD6A07">
        <w:rPr>
          <w:szCs w:val="24"/>
        </w:rPr>
        <w:t>;</w:t>
      </w:r>
    </w:p>
    <w:p w:rsidR="00EB746F" w:rsidRPr="00195837" w:rsidRDefault="00E76B85" w:rsidP="00195837">
      <w:pPr>
        <w:ind w:right="12"/>
        <w:jc w:val="both"/>
        <w:rPr>
          <w:szCs w:val="24"/>
        </w:rPr>
      </w:pPr>
      <w:r w:rsidRPr="00195837">
        <w:rPr>
          <w:rFonts w:eastAsia="Times New Roman" w:cs="Times New Roman"/>
          <w:szCs w:val="24"/>
          <w:lang w:eastAsia="lv-LV"/>
        </w:rPr>
        <w:t xml:space="preserve"> vienlaikus 2020.gadam nepieciešams papildus finansējums 15 milj. </w:t>
      </w:r>
      <w:r w:rsidRPr="00195837">
        <w:rPr>
          <w:rFonts w:eastAsia="Times New Roman" w:cs="Times New Roman"/>
          <w:i/>
          <w:szCs w:val="24"/>
          <w:lang w:eastAsia="lv-LV"/>
        </w:rPr>
        <w:t>euro</w:t>
      </w:r>
      <w:r w:rsidRPr="00195837">
        <w:rPr>
          <w:rFonts w:eastAsia="Times New Roman" w:cs="Times New Roman"/>
          <w:szCs w:val="24"/>
          <w:lang w:eastAsia="lv-LV"/>
        </w:rPr>
        <w:t xml:space="preserve"> apmērā</w:t>
      </w:r>
      <w:r w:rsidR="00EB746F" w:rsidRPr="00195837">
        <w:rPr>
          <w:rFonts w:eastAsia="Times New Roman" w:cs="Times New Roman"/>
          <w:szCs w:val="24"/>
          <w:lang w:eastAsia="lv-LV"/>
        </w:rPr>
        <w:t xml:space="preserve">. </w:t>
      </w:r>
    </w:p>
    <w:p w:rsidR="00EB746F" w:rsidRDefault="00EB746F" w:rsidP="003F26CD">
      <w:pPr>
        <w:spacing w:before="120" w:after="120"/>
        <w:ind w:firstLine="720"/>
        <w:jc w:val="both"/>
        <w:rPr>
          <w:rFonts w:eastAsia="Times New Roman" w:cs="Times New Roman"/>
          <w:szCs w:val="24"/>
          <w:lang w:eastAsia="lv-LV"/>
        </w:rPr>
      </w:pPr>
      <w:r w:rsidRPr="001777E6">
        <w:rPr>
          <w:rFonts w:eastAsia="Times New Roman" w:cs="Times New Roman"/>
          <w:szCs w:val="24"/>
          <w:lang w:eastAsia="lv-LV"/>
        </w:rPr>
        <w:t xml:space="preserve">Pamatojoties uz FM indikatīvo novērtējumu izdevumu ietaupījums iemaksām </w:t>
      </w:r>
      <w:r>
        <w:rPr>
          <w:rFonts w:eastAsia="Times New Roman" w:cs="Times New Roman"/>
          <w:szCs w:val="24"/>
          <w:lang w:eastAsia="lv-LV"/>
        </w:rPr>
        <w:t>ES</w:t>
      </w:r>
      <w:r w:rsidRPr="001777E6">
        <w:rPr>
          <w:rFonts w:eastAsia="Times New Roman" w:cs="Times New Roman"/>
          <w:szCs w:val="24"/>
          <w:lang w:eastAsia="lv-LV"/>
        </w:rPr>
        <w:t xml:space="preserve"> budžetā 2018.gadā būtu </w:t>
      </w:r>
      <w:r w:rsidR="00AD6A07">
        <w:rPr>
          <w:rFonts w:eastAsia="Times New Roman" w:cs="Times New Roman"/>
          <w:szCs w:val="24"/>
          <w:lang w:eastAsia="lv-LV"/>
        </w:rPr>
        <w:t>6,1</w:t>
      </w:r>
      <w:r w:rsidRPr="001777E6">
        <w:rPr>
          <w:rFonts w:eastAsia="Times New Roman" w:cs="Times New Roman"/>
          <w:szCs w:val="24"/>
          <w:lang w:eastAsia="lv-LV"/>
        </w:rPr>
        <w:t xml:space="preserve"> milj. </w:t>
      </w:r>
      <w:r w:rsidRPr="002C199C">
        <w:rPr>
          <w:rFonts w:eastAsia="Times New Roman" w:cs="Times New Roman"/>
          <w:i/>
          <w:szCs w:val="24"/>
          <w:lang w:eastAsia="lv-LV"/>
        </w:rPr>
        <w:t>euro</w:t>
      </w:r>
      <w:r w:rsidR="00AD6A07">
        <w:rPr>
          <w:rFonts w:eastAsia="Times New Roman" w:cs="Times New Roman"/>
          <w:szCs w:val="24"/>
          <w:lang w:eastAsia="lv-LV"/>
        </w:rPr>
        <w:t xml:space="preserve">, </w:t>
      </w:r>
      <w:r w:rsidR="00832E23">
        <w:rPr>
          <w:rFonts w:eastAsia="Times New Roman" w:cs="Times New Roman"/>
          <w:szCs w:val="24"/>
          <w:lang w:eastAsia="lv-LV"/>
        </w:rPr>
        <w:t xml:space="preserve">attiecīgi palielinot fiskālo telpu, </w:t>
      </w:r>
      <w:r w:rsidR="00AD6A07">
        <w:rPr>
          <w:rFonts w:eastAsia="Times New Roman" w:cs="Times New Roman"/>
          <w:szCs w:val="24"/>
          <w:lang w:eastAsia="lv-LV"/>
        </w:rPr>
        <w:t xml:space="preserve">vienlaikus nepieciešams papildus finansējums 2019.gadā 0,7 milj. </w:t>
      </w:r>
      <w:r w:rsidR="00AD6A07">
        <w:rPr>
          <w:rFonts w:eastAsia="Times New Roman" w:cs="Times New Roman"/>
          <w:i/>
          <w:szCs w:val="24"/>
          <w:lang w:eastAsia="lv-LV"/>
        </w:rPr>
        <w:t xml:space="preserve">euro </w:t>
      </w:r>
      <w:r w:rsidR="00AD6A07">
        <w:rPr>
          <w:rFonts w:eastAsia="Times New Roman" w:cs="Times New Roman"/>
          <w:szCs w:val="24"/>
          <w:lang w:eastAsia="lv-LV"/>
        </w:rPr>
        <w:t xml:space="preserve">apmērā un 2020.gadā 30,3 milj. </w:t>
      </w:r>
      <w:r w:rsidR="00AD6A07">
        <w:rPr>
          <w:rFonts w:eastAsia="Times New Roman" w:cs="Times New Roman"/>
          <w:i/>
          <w:szCs w:val="24"/>
          <w:lang w:eastAsia="lv-LV"/>
        </w:rPr>
        <w:t xml:space="preserve">euro </w:t>
      </w:r>
      <w:r w:rsidR="00AD6A07">
        <w:rPr>
          <w:rFonts w:eastAsia="Times New Roman" w:cs="Times New Roman"/>
          <w:szCs w:val="24"/>
          <w:lang w:eastAsia="lv-LV"/>
        </w:rPr>
        <w:t>apmērā</w:t>
      </w:r>
      <w:r w:rsidRPr="001777E6">
        <w:rPr>
          <w:rFonts w:eastAsia="Times New Roman" w:cs="Times New Roman"/>
          <w:szCs w:val="24"/>
          <w:lang w:eastAsia="lv-LV"/>
        </w:rPr>
        <w:t>.</w:t>
      </w:r>
    </w:p>
    <w:p w:rsidR="00EB746F" w:rsidRDefault="00DA0167" w:rsidP="00A17001">
      <w:pPr>
        <w:spacing w:before="120" w:after="160" w:line="259" w:lineRule="auto"/>
        <w:jc w:val="both"/>
        <w:rPr>
          <w:rFonts w:cs="Times New Roman"/>
          <w:b/>
          <w:bCs/>
          <w:szCs w:val="24"/>
        </w:rPr>
      </w:pPr>
      <w:r>
        <w:rPr>
          <w:rFonts w:cs="Times New Roman"/>
          <w:b/>
          <w:bCs/>
          <w:szCs w:val="24"/>
        </w:rPr>
        <w:t>9</w:t>
      </w:r>
      <w:r w:rsidR="00EB746F">
        <w:rPr>
          <w:rFonts w:cs="Times New Roman"/>
          <w:b/>
          <w:bCs/>
          <w:szCs w:val="24"/>
        </w:rPr>
        <w:t>. Papil</w:t>
      </w:r>
      <w:r w:rsidR="005F228F">
        <w:rPr>
          <w:rFonts w:cs="Times New Roman"/>
          <w:b/>
          <w:bCs/>
          <w:szCs w:val="24"/>
        </w:rPr>
        <w:t xml:space="preserve">dus informācija par FM </w:t>
      </w:r>
      <w:r w:rsidR="00EB746F">
        <w:rPr>
          <w:rFonts w:cs="Times New Roman"/>
          <w:b/>
          <w:bCs/>
          <w:szCs w:val="24"/>
        </w:rPr>
        <w:t>informācijas tehnoloģijas auditiem Valsts kasē:</w:t>
      </w:r>
    </w:p>
    <w:p w:rsidR="00EB746F" w:rsidRPr="004D0428" w:rsidRDefault="00EB746F" w:rsidP="003F26CD">
      <w:pPr>
        <w:ind w:firstLine="720"/>
        <w:jc w:val="both"/>
        <w:rPr>
          <w:highlight w:val="cyan"/>
        </w:rPr>
      </w:pPr>
      <w:r w:rsidRPr="00F2321F">
        <w:rPr>
          <w:szCs w:val="24"/>
        </w:rPr>
        <w:t>Finanšu ministrija un padotības iestādes regulāri izvērtē IT sistēmas. Piemēram, 2017. gadā paredzēts veikt Valsts kases informāciju tehnoloģiju izvērtējumu ar mērķi vispusīgi izvērtēt esošo situāciju Valsts kases IT risinājumos, to attīstībā un uzturēšanā un sniegt detalizētus ieteikumus, uz kā pamata tiks veidota Valsts kases IT stratēģija tuvākajiem 3–5 gadiem. Izvērtējumā paredzēts iekļaut informācijas sistēmu arhitektūras analīzi, IT platformu piemērotības vērtējumu informācijas sistēmu arhitektūrai, novērtēt kopējos IT arhitektūras drošības aspektus un IT personāla kapacitāti.</w:t>
      </w:r>
      <w:r>
        <w:rPr>
          <w:szCs w:val="24"/>
          <w:highlight w:val="cyan"/>
        </w:rPr>
        <w:t xml:space="preserve"> </w:t>
      </w:r>
    </w:p>
    <w:p w:rsidR="00A821CA" w:rsidRPr="00A821CA" w:rsidRDefault="00A821CA" w:rsidP="00A821CA">
      <w:pPr>
        <w:spacing w:before="240" w:after="160" w:line="259" w:lineRule="auto"/>
        <w:jc w:val="both"/>
        <w:rPr>
          <w:rFonts w:cs="Times New Roman"/>
          <w:b/>
          <w:bCs/>
          <w:szCs w:val="24"/>
        </w:rPr>
      </w:pPr>
      <w:r>
        <w:rPr>
          <w:rFonts w:cs="Times New Roman"/>
          <w:b/>
          <w:bCs/>
          <w:szCs w:val="24"/>
        </w:rPr>
        <w:t>1</w:t>
      </w:r>
      <w:r w:rsidR="00DA0167">
        <w:rPr>
          <w:rFonts w:cs="Times New Roman"/>
          <w:b/>
          <w:bCs/>
          <w:szCs w:val="24"/>
        </w:rPr>
        <w:t>0</w:t>
      </w:r>
      <w:r>
        <w:rPr>
          <w:rFonts w:cs="Times New Roman"/>
          <w:b/>
          <w:bCs/>
          <w:szCs w:val="24"/>
        </w:rPr>
        <w:t xml:space="preserve">. </w:t>
      </w:r>
      <w:r w:rsidRPr="00A821CA">
        <w:rPr>
          <w:rFonts w:cs="Times New Roman"/>
          <w:b/>
          <w:bCs/>
          <w:szCs w:val="24"/>
        </w:rPr>
        <w:t>Apcietināto un notiesāto personu konvojēšanas funkcijas pārņemšana no VP:</w:t>
      </w:r>
    </w:p>
    <w:p w:rsidR="00A821CA" w:rsidRPr="0068657E" w:rsidRDefault="00A821CA" w:rsidP="003F26CD">
      <w:pPr>
        <w:ind w:firstLine="720"/>
        <w:jc w:val="both"/>
        <w:rPr>
          <w:rFonts w:eastAsia="Calibri" w:cs="Times New Roman"/>
          <w:szCs w:val="24"/>
        </w:rPr>
      </w:pPr>
      <w:r>
        <w:rPr>
          <w:rFonts w:eastAsia="Calibri" w:cs="Times New Roman"/>
          <w:szCs w:val="24"/>
        </w:rPr>
        <w:t>Pēc TM sniegtās informācijas a</w:t>
      </w:r>
      <w:r w:rsidRPr="0068657E">
        <w:rPr>
          <w:rFonts w:eastAsia="Calibri" w:cs="Times New Roman"/>
          <w:szCs w:val="24"/>
        </w:rPr>
        <w:t xml:space="preserve">r </w:t>
      </w:r>
      <w:r>
        <w:rPr>
          <w:rFonts w:eastAsia="Calibri" w:cs="Times New Roman"/>
          <w:szCs w:val="24"/>
        </w:rPr>
        <w:t>MK</w:t>
      </w:r>
      <w:r w:rsidRPr="0068657E">
        <w:rPr>
          <w:rFonts w:eastAsia="Calibri" w:cs="Times New Roman"/>
          <w:szCs w:val="24"/>
        </w:rPr>
        <w:t xml:space="preserve"> 2016.gada 6.aprīļa rīkojumu Nr.248 atbalstītā Valsts policijas attīstības koncepcija (rīkojuma 4.punkts*) paredz </w:t>
      </w:r>
      <w:bookmarkStart w:id="32" w:name="_Hlk485050102"/>
      <w:r w:rsidRPr="0068657E">
        <w:rPr>
          <w:rFonts w:eastAsia="Calibri" w:cs="Times New Roman"/>
          <w:szCs w:val="24"/>
        </w:rPr>
        <w:t xml:space="preserve">ieslodzīto konvojēšanas kompetences pakāpenisku pārdali no VP uz </w:t>
      </w:r>
      <w:r>
        <w:rPr>
          <w:rFonts w:eastAsia="Calibri" w:cs="Times New Roman"/>
          <w:szCs w:val="24"/>
        </w:rPr>
        <w:t>IeVP</w:t>
      </w:r>
      <w:r w:rsidRPr="0068657E">
        <w:rPr>
          <w:rFonts w:eastAsia="Calibri" w:cs="Times New Roman"/>
          <w:szCs w:val="24"/>
        </w:rPr>
        <w:t>.  </w:t>
      </w:r>
      <w:bookmarkEnd w:id="32"/>
      <w:r w:rsidRPr="0068657E">
        <w:rPr>
          <w:rFonts w:eastAsia="Calibri" w:cs="Times New Roman"/>
          <w:szCs w:val="24"/>
        </w:rPr>
        <w:t xml:space="preserve">Īstenojot Koncepcijā paredzēto risinājumu, </w:t>
      </w:r>
      <w:r>
        <w:rPr>
          <w:rFonts w:eastAsia="Calibri" w:cs="Times New Roman"/>
          <w:szCs w:val="24"/>
        </w:rPr>
        <w:t>TM</w:t>
      </w:r>
      <w:r w:rsidRPr="0068657E">
        <w:rPr>
          <w:rFonts w:eastAsia="Calibri" w:cs="Times New Roman"/>
          <w:szCs w:val="24"/>
        </w:rPr>
        <w:t xml:space="preserve"> ir konstatējusi šādas problēmas:</w:t>
      </w:r>
    </w:p>
    <w:p w:rsidR="00A821CA" w:rsidRPr="0068657E" w:rsidRDefault="00A821CA" w:rsidP="008C25BB">
      <w:pPr>
        <w:numPr>
          <w:ilvl w:val="0"/>
          <w:numId w:val="100"/>
        </w:numPr>
        <w:jc w:val="both"/>
        <w:rPr>
          <w:rFonts w:eastAsia="Times New Roman" w:cs="Times New Roman"/>
          <w:szCs w:val="24"/>
        </w:rPr>
      </w:pPr>
      <w:r>
        <w:rPr>
          <w:rFonts w:eastAsia="Times New Roman" w:cs="Times New Roman"/>
          <w:szCs w:val="24"/>
        </w:rPr>
        <w:t>v</w:t>
      </w:r>
      <w:r w:rsidRPr="0068657E">
        <w:rPr>
          <w:rFonts w:eastAsia="Times New Roman" w:cs="Times New Roman"/>
          <w:szCs w:val="24"/>
        </w:rPr>
        <w:t xml:space="preserve">alstī būs divi bruņoti dienesti ar vienādu konvojēšanas un apsardzes funkciju (atšķirsies tikai objekti no/uz kuriem konvojē), turklāt Koncepcija nerisina </w:t>
      </w:r>
      <w:r>
        <w:rPr>
          <w:rFonts w:eastAsia="Times New Roman" w:cs="Times New Roman"/>
          <w:szCs w:val="24"/>
        </w:rPr>
        <w:t>VP</w:t>
      </w:r>
      <w:r w:rsidRPr="0068657E">
        <w:rPr>
          <w:rFonts w:eastAsia="Times New Roman" w:cs="Times New Roman"/>
          <w:szCs w:val="24"/>
        </w:rPr>
        <w:t xml:space="preserve"> resursu trūkumu un darba organizācijas pilnveidojumu problēmas, kas jau ilgstoši pastāv </w:t>
      </w:r>
      <w:r>
        <w:rPr>
          <w:rFonts w:eastAsia="Times New Roman" w:cs="Times New Roman"/>
          <w:szCs w:val="24"/>
        </w:rPr>
        <w:t>VP</w:t>
      </w:r>
      <w:r w:rsidRPr="0068657E">
        <w:rPr>
          <w:rFonts w:eastAsia="Times New Roman" w:cs="Times New Roman"/>
          <w:szCs w:val="24"/>
        </w:rPr>
        <w:t xml:space="preserve">. Risinājums paredz nodot IeVP mazāk par 50% no konvojēšanas kompetences, saglabājot  </w:t>
      </w:r>
      <w:r>
        <w:rPr>
          <w:rFonts w:eastAsia="Times New Roman" w:cs="Times New Roman"/>
          <w:szCs w:val="24"/>
        </w:rPr>
        <w:t>VP</w:t>
      </w:r>
      <w:r w:rsidRPr="0068657E">
        <w:rPr>
          <w:rFonts w:eastAsia="Times New Roman" w:cs="Times New Roman"/>
          <w:szCs w:val="24"/>
        </w:rPr>
        <w:t xml:space="preserve"> aizturēto un noteiktu ieslodzīto grupu (lietās, kur procesa virzītājs ir VP) konvojēšanas un apsardzes pienākums; </w:t>
      </w:r>
    </w:p>
    <w:p w:rsidR="00A821CA" w:rsidRPr="0068657E" w:rsidRDefault="00A821CA" w:rsidP="008C25BB">
      <w:pPr>
        <w:numPr>
          <w:ilvl w:val="0"/>
          <w:numId w:val="100"/>
        </w:numPr>
        <w:jc w:val="both"/>
        <w:rPr>
          <w:rFonts w:eastAsia="Times New Roman" w:cs="Times New Roman"/>
          <w:szCs w:val="24"/>
        </w:rPr>
      </w:pPr>
      <w:r>
        <w:rPr>
          <w:rFonts w:eastAsia="Times New Roman" w:cs="Times New Roman"/>
          <w:szCs w:val="24"/>
        </w:rPr>
        <w:t>l</w:t>
      </w:r>
      <w:r w:rsidRPr="0068657E">
        <w:rPr>
          <w:rFonts w:eastAsia="Times New Roman" w:cs="Times New Roman"/>
          <w:szCs w:val="24"/>
        </w:rPr>
        <w:t xml:space="preserve">ai ieviestu Koncepciju IeVP, būs nepieciešams noteikt no jauna ieslodzīto konvojēšanas  organizāciju un kārtību, jo pastāv būtiskas atšķirības abu iestāžu (VP un IeVP) reģionālajā izvietojumā, darbības organizācijā, normatīvo aktu prasībās un </w:t>
      </w:r>
      <w:r w:rsidRPr="0068657E">
        <w:rPr>
          <w:rFonts w:eastAsia="Times New Roman" w:cs="Times New Roman"/>
          <w:szCs w:val="24"/>
        </w:rPr>
        <w:lastRenderedPageBreak/>
        <w:t>iespējā novirzīt personālu no vienas funkcijas uz citu (</w:t>
      </w:r>
      <w:r>
        <w:rPr>
          <w:rFonts w:eastAsia="Times New Roman" w:cs="Times New Roman"/>
          <w:szCs w:val="24"/>
        </w:rPr>
        <w:t>VP</w:t>
      </w:r>
      <w:r w:rsidRPr="0068657E">
        <w:rPr>
          <w:rFonts w:eastAsia="Times New Roman" w:cs="Times New Roman"/>
          <w:szCs w:val="24"/>
        </w:rPr>
        <w:t xml:space="preserve"> šobrīd praktizētā pieeja; savukārt ieslodzījuma vietās nav iespējams, piemēram,</w:t>
      </w:r>
      <w:r>
        <w:rPr>
          <w:rFonts w:eastAsia="Times New Roman" w:cs="Times New Roman"/>
          <w:szCs w:val="24"/>
        </w:rPr>
        <w:t xml:space="preserve"> uzraudzības personālu novirzīt</w:t>
      </w:r>
      <w:r w:rsidRPr="0068657E">
        <w:rPr>
          <w:rFonts w:eastAsia="Times New Roman" w:cs="Times New Roman"/>
          <w:szCs w:val="24"/>
        </w:rPr>
        <w:t xml:space="preserve"> uz konvojēšanu, ja tajā ir vakances).</w:t>
      </w:r>
    </w:p>
    <w:p w:rsidR="00A821CA" w:rsidRPr="0068657E" w:rsidRDefault="00A821CA" w:rsidP="008C25BB">
      <w:pPr>
        <w:numPr>
          <w:ilvl w:val="0"/>
          <w:numId w:val="100"/>
        </w:numPr>
        <w:jc w:val="both"/>
        <w:rPr>
          <w:rFonts w:eastAsia="Times New Roman" w:cs="Times New Roman"/>
          <w:szCs w:val="24"/>
        </w:rPr>
      </w:pPr>
      <w:r>
        <w:rPr>
          <w:rFonts w:eastAsia="Times New Roman" w:cs="Times New Roman"/>
          <w:szCs w:val="24"/>
          <w:u w:val="single"/>
        </w:rPr>
        <w:t>IeVP</w:t>
      </w:r>
      <w:r w:rsidRPr="0068657E">
        <w:rPr>
          <w:rFonts w:eastAsia="Times New Roman" w:cs="Times New Roman"/>
          <w:szCs w:val="24"/>
          <w:u w:val="single"/>
        </w:rPr>
        <w:t xml:space="preserve"> būs nepieciešami papildus valsts budžeta līdzekļi</w:t>
      </w:r>
      <w:r w:rsidRPr="0068657E">
        <w:rPr>
          <w:rFonts w:eastAsia="Times New Roman" w:cs="Times New Roman"/>
          <w:szCs w:val="24"/>
        </w:rPr>
        <w:t xml:space="preserve"> jaunās kompetences ieviešanai, jo IeVP šobrīd nav ne telpu, ne transporta, ne personāla, ne speciālo līdzekļu, ne atbilstošas administratīvās kapacitātes, kas nepieciešama jaunās kompetences ieviešanai:</w:t>
      </w:r>
    </w:p>
    <w:p w:rsidR="00A821CA" w:rsidRPr="0068657E" w:rsidRDefault="00A821CA" w:rsidP="008C25BB">
      <w:pPr>
        <w:numPr>
          <w:ilvl w:val="0"/>
          <w:numId w:val="101"/>
        </w:numPr>
        <w:jc w:val="both"/>
        <w:rPr>
          <w:rFonts w:eastAsia="Times New Roman" w:cs="Times New Roman"/>
          <w:szCs w:val="24"/>
        </w:rPr>
      </w:pPr>
      <w:r w:rsidRPr="0068657E">
        <w:rPr>
          <w:rFonts w:eastAsia="Times New Roman" w:cs="Times New Roman"/>
          <w:szCs w:val="24"/>
        </w:rPr>
        <w:t xml:space="preserve">Būs jānomā vai jābūvē jaunas konvoja bāzes telpas (iespējamās izmaksas ~1,1 miljons </w:t>
      </w:r>
      <w:r w:rsidRPr="001F6DFC">
        <w:rPr>
          <w:rFonts w:eastAsia="Times New Roman" w:cs="Times New Roman"/>
          <w:i/>
          <w:szCs w:val="24"/>
        </w:rPr>
        <w:t>euro</w:t>
      </w:r>
      <w:r w:rsidRPr="0068657E">
        <w:rPr>
          <w:rFonts w:eastAsia="Times New Roman" w:cs="Times New Roman"/>
          <w:szCs w:val="24"/>
        </w:rPr>
        <w:t>) ar drošības prasībām atbilstošu infrastruktūru un piekļuves ceļiem;</w:t>
      </w:r>
    </w:p>
    <w:p w:rsidR="00A821CA" w:rsidRPr="0068657E" w:rsidRDefault="00A821CA" w:rsidP="008C25BB">
      <w:pPr>
        <w:numPr>
          <w:ilvl w:val="0"/>
          <w:numId w:val="101"/>
        </w:numPr>
        <w:jc w:val="both"/>
        <w:rPr>
          <w:rFonts w:eastAsia="Times New Roman" w:cs="Times New Roman"/>
          <w:szCs w:val="24"/>
        </w:rPr>
      </w:pPr>
      <w:r w:rsidRPr="0068657E">
        <w:rPr>
          <w:rFonts w:eastAsia="Times New Roman" w:cs="Times New Roman"/>
          <w:szCs w:val="24"/>
        </w:rPr>
        <w:t xml:space="preserve">Konvojējamo ieslodzīto skaita dēļ IeVP nav nepieciešamas lielas transporta vienības (autobusi) ieslodzīto pārvešanai, ko šobrīd izmanto VP, bet būs jāveido mobilas vienības neliela ieslodzīto skaita pārvietošanai ar mazākām mašīnām, lai atbilstoši Latvijā esošo ieslodzījuma vietu teritoriālajam izvietojumam veidotu maksimāli īsus un efektīvus konvojēšanas maršrutus. Papildus nepieciešami apmēram 260 000 </w:t>
      </w:r>
      <w:r w:rsidRPr="001F6DFC">
        <w:rPr>
          <w:rFonts w:eastAsia="Times New Roman" w:cs="Times New Roman"/>
          <w:i/>
          <w:szCs w:val="24"/>
        </w:rPr>
        <w:t>euro</w:t>
      </w:r>
      <w:r w:rsidRPr="0068657E">
        <w:rPr>
          <w:rFonts w:eastAsia="Times New Roman" w:cs="Times New Roman"/>
          <w:szCs w:val="24"/>
        </w:rPr>
        <w:t>.</w:t>
      </w:r>
    </w:p>
    <w:p w:rsidR="00A821CA" w:rsidRPr="0068657E" w:rsidRDefault="00A821CA" w:rsidP="008C25BB">
      <w:pPr>
        <w:numPr>
          <w:ilvl w:val="0"/>
          <w:numId w:val="101"/>
        </w:numPr>
        <w:jc w:val="both"/>
        <w:rPr>
          <w:rFonts w:eastAsia="Calibri" w:cs="Times New Roman"/>
          <w:szCs w:val="24"/>
        </w:rPr>
      </w:pPr>
      <w:r w:rsidRPr="0068657E">
        <w:rPr>
          <w:rFonts w:eastAsia="Calibri" w:cs="Times New Roman"/>
          <w:szCs w:val="24"/>
        </w:rPr>
        <w:t xml:space="preserve">jaunās kompetences ieviešanai no 2019.gada 1.jūlija, ievērojot drošības prasības, būs papildus nepieciešamas 46 amata vietas, no kurām tikai 10 amata vietas tiks pārdalītas no </w:t>
      </w:r>
      <w:r>
        <w:rPr>
          <w:rFonts w:eastAsia="Calibri" w:cs="Times New Roman"/>
          <w:szCs w:val="24"/>
        </w:rPr>
        <w:t>VP</w:t>
      </w:r>
      <w:r w:rsidRPr="0068657E">
        <w:rPr>
          <w:rFonts w:eastAsia="Calibri" w:cs="Times New Roman"/>
          <w:szCs w:val="24"/>
        </w:rPr>
        <w:t xml:space="preserve"> amata vietām (to paredz Koncepcija). Būs nepieciešami papildus valsts budžeta līdzekļi amatpersonu atalgojumam </w:t>
      </w:r>
      <w:bookmarkStart w:id="33" w:name="_Hlk484432116"/>
      <w:r>
        <w:rPr>
          <w:rFonts w:eastAsia="Calibri" w:cs="Times New Roman"/>
          <w:szCs w:val="24"/>
        </w:rPr>
        <w:t>(2019.gadā (no 1.</w:t>
      </w:r>
      <w:r w:rsidRPr="0068657E">
        <w:rPr>
          <w:rFonts w:eastAsia="Calibri" w:cs="Times New Roman"/>
          <w:szCs w:val="24"/>
        </w:rPr>
        <w:t>jūlija) 368 692 </w:t>
      </w:r>
      <w:r w:rsidRPr="0068657E">
        <w:rPr>
          <w:rFonts w:eastAsia="Calibri" w:cs="Times New Roman"/>
          <w:i/>
          <w:iCs/>
          <w:szCs w:val="24"/>
        </w:rPr>
        <w:t>euro</w:t>
      </w:r>
      <w:r>
        <w:rPr>
          <w:rFonts w:eastAsia="Calibri" w:cs="Times New Roman"/>
          <w:szCs w:val="24"/>
        </w:rPr>
        <w:t>, 2020.</w:t>
      </w:r>
      <w:r w:rsidRPr="0068657E">
        <w:rPr>
          <w:rFonts w:eastAsia="Calibri" w:cs="Times New Roman"/>
          <w:szCs w:val="24"/>
        </w:rPr>
        <w:t>gadā un turpmāk ik gadu 734 688 </w:t>
      </w:r>
      <w:r w:rsidRPr="0068657E">
        <w:rPr>
          <w:rFonts w:eastAsia="Calibri" w:cs="Times New Roman"/>
          <w:i/>
          <w:iCs/>
          <w:szCs w:val="24"/>
        </w:rPr>
        <w:t>euro</w:t>
      </w:r>
      <w:r w:rsidRPr="0068657E">
        <w:rPr>
          <w:rFonts w:eastAsia="Calibri" w:cs="Times New Roman"/>
          <w:szCs w:val="24"/>
        </w:rPr>
        <w:t xml:space="preserve">) </w:t>
      </w:r>
      <w:bookmarkEnd w:id="33"/>
      <w:r w:rsidRPr="0068657E">
        <w:rPr>
          <w:rFonts w:eastAsia="Calibri" w:cs="Times New Roman"/>
          <w:szCs w:val="24"/>
        </w:rPr>
        <w:t xml:space="preserve">un speciālajiem līdzekļiem (~250 000 </w:t>
      </w:r>
      <w:r w:rsidRPr="001F6DFC">
        <w:rPr>
          <w:rFonts w:eastAsia="Calibri" w:cs="Times New Roman"/>
          <w:i/>
          <w:szCs w:val="24"/>
        </w:rPr>
        <w:t>euro</w:t>
      </w:r>
      <w:r w:rsidRPr="0068657E">
        <w:rPr>
          <w:rFonts w:eastAsia="Calibri" w:cs="Times New Roman"/>
          <w:szCs w:val="24"/>
        </w:rPr>
        <w:t xml:space="preserve">).  Turklāt atbilstoši normatīvajiem aktiem, jaunie darbinieki ir jāapmāca 6 mēnešu periodā pirms darba uzsākšanas (apmācību periodā tiek maksāts atalgojums). </w:t>
      </w:r>
    </w:p>
    <w:p w:rsidR="00A821CA" w:rsidRPr="00A821CA" w:rsidRDefault="00A821CA" w:rsidP="008C25BB">
      <w:pPr>
        <w:numPr>
          <w:ilvl w:val="0"/>
          <w:numId w:val="100"/>
        </w:numPr>
        <w:jc w:val="both"/>
        <w:rPr>
          <w:rFonts w:eastAsia="Times New Roman" w:cs="Times New Roman"/>
          <w:szCs w:val="24"/>
        </w:rPr>
      </w:pPr>
      <w:r w:rsidRPr="0068657E">
        <w:rPr>
          <w:rFonts w:eastAsia="Times New Roman" w:cs="Times New Roman"/>
          <w:szCs w:val="24"/>
        </w:rPr>
        <w:t>šobrīd VP konvojēšanas laikā transporta līdzekļos neievēro virkni normatīvajos aktos noteiktu prasību attiecībā uz konvojēšanas apstākļiem, par ko savā 2017.gada 12.maija vēstulē Nr.6-1/890 ir norādījis Tiesībsargs. Līdz ar to, veidojot jauno IeVP kompetenci, būtu jāveido prasībām atbilstoši transportlīdzekļu un konvojēšanas nosacījumi, t.sk. drošības nosacījumi, lai novērstu iespējamu tiesvedību riskus;</w:t>
      </w:r>
    </w:p>
    <w:p w:rsidR="00A821CA" w:rsidRPr="00A821CA" w:rsidRDefault="00A821CA" w:rsidP="00A17001">
      <w:pPr>
        <w:ind w:firstLine="720"/>
        <w:jc w:val="both"/>
        <w:rPr>
          <w:rFonts w:eastAsia="Times New Roman" w:cs="Times New Roman"/>
          <w:szCs w:val="24"/>
        </w:rPr>
      </w:pPr>
      <w:r w:rsidRPr="0068657E">
        <w:rPr>
          <w:rFonts w:eastAsia="Times New Roman" w:cs="Times New Roman"/>
          <w:szCs w:val="24"/>
        </w:rPr>
        <w:t>Ņemot vērā minētos apsvērumus, TM ir aprēķinājusi, ka Koncepcijas rīkojuma 4.1.apakšpunktā minētās kompetences pārdales nodrošināšanai papildus būs nepieciešami valsts budžeta līdzekļi 2018. gadā 1 449 300 </w:t>
      </w:r>
      <w:r w:rsidRPr="0068657E">
        <w:rPr>
          <w:rFonts w:eastAsia="Times New Roman" w:cs="Times New Roman"/>
          <w:i/>
          <w:iCs/>
          <w:szCs w:val="24"/>
        </w:rPr>
        <w:t>euro</w:t>
      </w:r>
      <w:r w:rsidRPr="0068657E">
        <w:rPr>
          <w:rFonts w:eastAsia="Times New Roman" w:cs="Times New Roman"/>
          <w:szCs w:val="24"/>
        </w:rPr>
        <w:t xml:space="preserve"> apmērā (t.sk. vienreizējie izdevumi 1 449 300 </w:t>
      </w:r>
      <w:r w:rsidRPr="0068657E">
        <w:rPr>
          <w:rFonts w:eastAsia="Times New Roman" w:cs="Times New Roman"/>
          <w:i/>
          <w:iCs/>
          <w:szCs w:val="24"/>
        </w:rPr>
        <w:t>euro</w:t>
      </w:r>
      <w:r w:rsidRPr="0068657E">
        <w:rPr>
          <w:rFonts w:eastAsia="Times New Roman" w:cs="Times New Roman"/>
          <w:szCs w:val="24"/>
        </w:rPr>
        <w:t>), 2019. gadā 727 324 </w:t>
      </w:r>
      <w:r w:rsidRPr="0068657E">
        <w:rPr>
          <w:rFonts w:eastAsia="Times New Roman" w:cs="Times New Roman"/>
          <w:i/>
          <w:iCs/>
          <w:szCs w:val="24"/>
        </w:rPr>
        <w:t>euro</w:t>
      </w:r>
      <w:r w:rsidRPr="0068657E">
        <w:rPr>
          <w:rFonts w:eastAsia="Times New Roman" w:cs="Times New Roman"/>
          <w:szCs w:val="24"/>
        </w:rPr>
        <w:t xml:space="preserve"> apmērā (t.sk. vienreizējie izdevumi 309 029 </w:t>
      </w:r>
      <w:r w:rsidRPr="0068657E">
        <w:rPr>
          <w:rFonts w:eastAsia="Times New Roman" w:cs="Times New Roman"/>
          <w:i/>
          <w:iCs/>
          <w:szCs w:val="24"/>
        </w:rPr>
        <w:t>euro</w:t>
      </w:r>
      <w:r w:rsidRPr="0068657E">
        <w:rPr>
          <w:rFonts w:eastAsia="Times New Roman" w:cs="Times New Roman"/>
          <w:szCs w:val="24"/>
        </w:rPr>
        <w:t>), 2020. gadā 826 874 </w:t>
      </w:r>
      <w:r w:rsidRPr="0068657E">
        <w:rPr>
          <w:rFonts w:eastAsia="Times New Roman" w:cs="Times New Roman"/>
          <w:i/>
          <w:iCs/>
          <w:szCs w:val="24"/>
        </w:rPr>
        <w:t>euro</w:t>
      </w:r>
      <w:r w:rsidRPr="0068657E">
        <w:rPr>
          <w:rFonts w:eastAsia="Times New Roman" w:cs="Times New Roman"/>
          <w:szCs w:val="24"/>
        </w:rPr>
        <w:t>, 2021.gadā un turpmāk ik gadu 833 774 </w:t>
      </w:r>
      <w:r w:rsidRPr="0068657E">
        <w:rPr>
          <w:rFonts w:eastAsia="Times New Roman" w:cs="Times New Roman"/>
          <w:i/>
          <w:iCs/>
          <w:szCs w:val="24"/>
        </w:rPr>
        <w:t>euro</w:t>
      </w:r>
      <w:r w:rsidRPr="0068657E">
        <w:rPr>
          <w:rFonts w:eastAsia="Times New Roman" w:cs="Times New Roman"/>
          <w:szCs w:val="24"/>
        </w:rPr>
        <w:t xml:space="preserve"> apmērā. Papildus nepieciešamo finansējumu TM ir iekļāvusi prioritāro pasākumu sarakstā.</w:t>
      </w:r>
    </w:p>
    <w:p w:rsidR="006870E3" w:rsidRDefault="003F26CD" w:rsidP="00A17001">
      <w:pPr>
        <w:ind w:firstLine="720"/>
        <w:jc w:val="both"/>
        <w:rPr>
          <w:rFonts w:cs="Times New Roman"/>
          <w:bCs/>
          <w:szCs w:val="24"/>
        </w:rPr>
      </w:pPr>
      <w:bookmarkStart w:id="34" w:name="_Hlk485050437"/>
      <w:r>
        <w:rPr>
          <w:rFonts w:cs="Times New Roman"/>
          <w:bCs/>
          <w:szCs w:val="24"/>
        </w:rPr>
        <w:t xml:space="preserve">Ievērojot </w:t>
      </w:r>
      <w:r w:rsidR="006870E3" w:rsidRPr="006870E3">
        <w:rPr>
          <w:rFonts w:cs="Times New Roman"/>
          <w:bCs/>
          <w:szCs w:val="24"/>
        </w:rPr>
        <w:t xml:space="preserve">minēto un ierobežotās valsts budžeta finansiālās iespējas, būtu nosakāms uzdevums pārskatīt risinājumus, lai uzlabotu konvojēšanas un apsardzes funkcijas izpildi, un </w:t>
      </w:r>
      <w:r w:rsidR="006870E3">
        <w:rPr>
          <w:rFonts w:cs="Times New Roman"/>
          <w:bCs/>
          <w:szCs w:val="24"/>
        </w:rPr>
        <w:t>TM</w:t>
      </w:r>
      <w:r w:rsidR="006870E3" w:rsidRPr="006870E3">
        <w:rPr>
          <w:rFonts w:cs="Times New Roman"/>
          <w:bCs/>
          <w:szCs w:val="24"/>
        </w:rPr>
        <w:t xml:space="preserve"> sadarbībā ar </w:t>
      </w:r>
      <w:r w:rsidR="006870E3">
        <w:rPr>
          <w:rFonts w:cs="Times New Roman"/>
          <w:bCs/>
          <w:szCs w:val="24"/>
        </w:rPr>
        <w:t>IeM</w:t>
      </w:r>
      <w:r w:rsidR="006870E3" w:rsidRPr="006870E3">
        <w:rPr>
          <w:rFonts w:cs="Times New Roman"/>
          <w:bCs/>
          <w:szCs w:val="24"/>
        </w:rPr>
        <w:t xml:space="preserve"> līdz 2017.gada 1.septembrim izvērtēt ieslodzīto konvojēšanas funkcijas nodrošinājumu Valsts policijā un Ieslodzījuma vietu pārvaldē, izstrādājot efektīvāko risinājumu ar esošajām valsts budžeta finansiālajām iespējām, un pēc saskaņošanas ar </w:t>
      </w:r>
      <w:r w:rsidR="006870E3">
        <w:rPr>
          <w:rFonts w:cs="Times New Roman"/>
          <w:bCs/>
          <w:szCs w:val="24"/>
        </w:rPr>
        <w:t>FM</w:t>
      </w:r>
      <w:r w:rsidR="006870E3" w:rsidRPr="006870E3">
        <w:rPr>
          <w:rFonts w:cs="Times New Roman"/>
          <w:bCs/>
          <w:szCs w:val="24"/>
        </w:rPr>
        <w:t xml:space="preserve"> iesniegt priekšlikumus ieslodzīto konvojēšanas funkcijas pārskatīšanai izskatīšanai </w:t>
      </w:r>
      <w:r w:rsidR="006870E3">
        <w:rPr>
          <w:rFonts w:cs="Times New Roman"/>
          <w:bCs/>
          <w:szCs w:val="24"/>
        </w:rPr>
        <w:t>MK</w:t>
      </w:r>
      <w:r w:rsidR="006870E3" w:rsidRPr="006870E3">
        <w:rPr>
          <w:rFonts w:cs="Times New Roman"/>
          <w:bCs/>
          <w:szCs w:val="24"/>
        </w:rPr>
        <w:t>.</w:t>
      </w:r>
    </w:p>
    <w:p w:rsidR="00A821CA" w:rsidRPr="00A821CA" w:rsidRDefault="00A821CA" w:rsidP="00A821CA">
      <w:pPr>
        <w:spacing w:before="120" w:after="120"/>
        <w:jc w:val="both"/>
        <w:rPr>
          <w:rFonts w:cs="Times New Roman"/>
          <w:b/>
          <w:bCs/>
          <w:szCs w:val="24"/>
        </w:rPr>
      </w:pPr>
      <w:r w:rsidRPr="00A821CA">
        <w:rPr>
          <w:rFonts w:cs="Times New Roman"/>
          <w:b/>
          <w:bCs/>
          <w:szCs w:val="24"/>
        </w:rPr>
        <w:t>1</w:t>
      </w:r>
      <w:r w:rsidR="00DA0167">
        <w:rPr>
          <w:rFonts w:cs="Times New Roman"/>
          <w:b/>
          <w:bCs/>
          <w:szCs w:val="24"/>
        </w:rPr>
        <w:t>1</w:t>
      </w:r>
      <w:r w:rsidRPr="00A821CA">
        <w:rPr>
          <w:rFonts w:cs="Times New Roman"/>
          <w:b/>
          <w:bCs/>
          <w:szCs w:val="24"/>
        </w:rPr>
        <w:t>. TM apakšprogrammas 06.04.00 “Darbinieku prasījumu garantiju fonds” un 06.03.00 “Maksātnespējas procesa pārvaldība” finansēšanas politikas maiņa</w:t>
      </w:r>
    </w:p>
    <w:p w:rsidR="00A821CA" w:rsidRDefault="00A821CA" w:rsidP="00A17001">
      <w:pPr>
        <w:spacing w:before="120"/>
        <w:ind w:firstLine="357"/>
        <w:jc w:val="both"/>
        <w:rPr>
          <w:rFonts w:cs="Times New Roman"/>
          <w:bCs/>
          <w:szCs w:val="24"/>
        </w:rPr>
      </w:pPr>
      <w:r>
        <w:rPr>
          <w:rFonts w:cs="Times New Roman"/>
          <w:bCs/>
          <w:szCs w:val="24"/>
        </w:rPr>
        <w:t>TM ir iesniegusi informāciju par iespējamo finansēšanas politikas maiņu apakšprogrammā</w:t>
      </w:r>
      <w:r w:rsidRPr="005512F0">
        <w:rPr>
          <w:rFonts w:cs="Times New Roman"/>
          <w:bCs/>
          <w:szCs w:val="24"/>
        </w:rPr>
        <w:t xml:space="preserve"> 06.04.00 “Darbinieku prasījumu garantiju fonds” un </w:t>
      </w:r>
      <w:r>
        <w:rPr>
          <w:rFonts w:cs="Times New Roman"/>
          <w:bCs/>
          <w:szCs w:val="24"/>
        </w:rPr>
        <w:t xml:space="preserve">apakšprogrammā </w:t>
      </w:r>
      <w:r w:rsidRPr="005512F0">
        <w:rPr>
          <w:rFonts w:cs="Times New Roman"/>
          <w:bCs/>
          <w:szCs w:val="24"/>
        </w:rPr>
        <w:t>06.03.00 “Maksātnespējas procesa pārvaldība”</w:t>
      </w:r>
      <w:r>
        <w:rPr>
          <w:rFonts w:cs="Times New Roman"/>
          <w:bCs/>
          <w:szCs w:val="24"/>
        </w:rPr>
        <w:t xml:space="preserve">. </w:t>
      </w:r>
    </w:p>
    <w:p w:rsidR="00A821CA" w:rsidRPr="0068657E" w:rsidRDefault="00A821CA" w:rsidP="00A17001">
      <w:pPr>
        <w:ind w:firstLine="720"/>
        <w:jc w:val="both"/>
        <w:rPr>
          <w:rFonts w:cs="Times New Roman"/>
          <w:bCs/>
          <w:szCs w:val="24"/>
        </w:rPr>
      </w:pPr>
      <w:r>
        <w:rPr>
          <w:rFonts w:cs="Times New Roman"/>
          <w:bCs/>
          <w:szCs w:val="24"/>
        </w:rPr>
        <w:t>Atbilstoši likumam “</w:t>
      </w:r>
      <w:r w:rsidRPr="0068657E">
        <w:rPr>
          <w:rFonts w:cs="Times New Roman"/>
          <w:bCs/>
          <w:szCs w:val="24"/>
        </w:rPr>
        <w:t>Par darbinieku aizsardzību darba</w:t>
      </w:r>
      <w:r>
        <w:rPr>
          <w:rFonts w:cs="Times New Roman"/>
          <w:bCs/>
          <w:szCs w:val="24"/>
        </w:rPr>
        <w:t xml:space="preserve"> devēja maksātnespējas gadījumā”</w:t>
      </w:r>
      <w:r w:rsidRPr="0068657E">
        <w:rPr>
          <w:rFonts w:cs="Times New Roman"/>
          <w:bCs/>
          <w:szCs w:val="24"/>
        </w:rPr>
        <w:t xml:space="preserve"> (turpmāk – likums) </w:t>
      </w:r>
      <w:r>
        <w:rPr>
          <w:rFonts w:cs="Times New Roman"/>
          <w:bCs/>
          <w:szCs w:val="24"/>
        </w:rPr>
        <w:t>DPGF</w:t>
      </w:r>
      <w:r w:rsidRPr="0068657E">
        <w:rPr>
          <w:rFonts w:cs="Times New Roman"/>
          <w:bCs/>
          <w:szCs w:val="24"/>
        </w:rPr>
        <w:t xml:space="preserve"> līdzekļus veido </w:t>
      </w:r>
      <w:r>
        <w:rPr>
          <w:rFonts w:cs="Times New Roman"/>
          <w:bCs/>
          <w:szCs w:val="24"/>
        </w:rPr>
        <w:t>URVN</w:t>
      </w:r>
      <w:r w:rsidRPr="0068657E">
        <w:rPr>
          <w:rFonts w:cs="Times New Roman"/>
          <w:bCs/>
          <w:szCs w:val="24"/>
        </w:rPr>
        <w:t xml:space="preserve"> daļa un administratoru atgūtie līdzekļi. Likums arī nosaka, ka DPGF ieņēmumus un izdevumus iekļauj gadskārtējā valsts budžetā atsevišķā pamatbudžeta apakšprogrammā un DPGF līdzekļi tiek izlietoti tikai darbinieku </w:t>
      </w:r>
      <w:r w:rsidRPr="0068657E">
        <w:rPr>
          <w:rFonts w:cs="Times New Roman"/>
          <w:bCs/>
          <w:szCs w:val="24"/>
        </w:rPr>
        <w:lastRenderedPageBreak/>
        <w:t>prasījumu apmierināšanai darba devēja maksātnespējas gadījumā un administratora atlīdzības samaksai par darbinieku prasījumu iesniegšanu.</w:t>
      </w:r>
    </w:p>
    <w:p w:rsidR="00A821CA" w:rsidRPr="0068657E" w:rsidRDefault="00A821CA" w:rsidP="00A17001">
      <w:pPr>
        <w:ind w:firstLine="720"/>
        <w:jc w:val="both"/>
        <w:rPr>
          <w:rFonts w:cs="Times New Roman"/>
          <w:bCs/>
          <w:szCs w:val="24"/>
        </w:rPr>
      </w:pPr>
      <w:r w:rsidRPr="0068657E">
        <w:rPr>
          <w:rFonts w:cs="Times New Roman"/>
          <w:bCs/>
          <w:szCs w:val="24"/>
        </w:rPr>
        <w:t>Līdzekļi tiek plānoti bu</w:t>
      </w:r>
      <w:r>
        <w:rPr>
          <w:rFonts w:cs="Times New Roman"/>
          <w:bCs/>
          <w:szCs w:val="24"/>
        </w:rPr>
        <w:t>džeta apakšprogrammā 06.04.00 “</w:t>
      </w:r>
      <w:r w:rsidRPr="0068657E">
        <w:rPr>
          <w:rFonts w:cs="Times New Roman"/>
          <w:bCs/>
          <w:szCs w:val="24"/>
        </w:rPr>
        <w:t>Darbin</w:t>
      </w:r>
      <w:r>
        <w:rPr>
          <w:rFonts w:cs="Times New Roman"/>
          <w:bCs/>
          <w:szCs w:val="24"/>
        </w:rPr>
        <w:t>ieku prasījumu garantiju fonds”</w:t>
      </w:r>
      <w:r w:rsidRPr="0068657E">
        <w:rPr>
          <w:rFonts w:cs="Times New Roman"/>
          <w:bCs/>
          <w:szCs w:val="24"/>
        </w:rPr>
        <w:t xml:space="preserve"> kā pašu ieņēmumi un kārtējā gadā neiztērētie līdzekļi tiek uzkrāti izmantošanai nākamajos periodos.</w:t>
      </w:r>
    </w:p>
    <w:p w:rsidR="00A821CA" w:rsidRPr="0068657E" w:rsidRDefault="00A821CA" w:rsidP="00A17001">
      <w:pPr>
        <w:jc w:val="both"/>
        <w:rPr>
          <w:rFonts w:cs="Times New Roman"/>
          <w:bCs/>
          <w:szCs w:val="24"/>
        </w:rPr>
      </w:pPr>
      <w:r w:rsidRPr="0068657E">
        <w:rPr>
          <w:rFonts w:cs="Times New Roman"/>
          <w:bCs/>
          <w:szCs w:val="24"/>
        </w:rPr>
        <w:t xml:space="preserve"> </w:t>
      </w:r>
      <w:r>
        <w:rPr>
          <w:rFonts w:cs="Times New Roman"/>
          <w:bCs/>
          <w:szCs w:val="24"/>
        </w:rPr>
        <w:tab/>
      </w:r>
      <w:r w:rsidRPr="0068657E">
        <w:rPr>
          <w:rFonts w:cs="Times New Roman"/>
          <w:bCs/>
          <w:szCs w:val="24"/>
        </w:rPr>
        <w:t>Atlikums bu</w:t>
      </w:r>
      <w:r>
        <w:rPr>
          <w:rFonts w:cs="Times New Roman"/>
          <w:bCs/>
          <w:szCs w:val="24"/>
        </w:rPr>
        <w:t>džeta apakšprogrammā 06.04.00 “</w:t>
      </w:r>
      <w:r w:rsidRPr="0068657E">
        <w:rPr>
          <w:rFonts w:cs="Times New Roman"/>
          <w:bCs/>
          <w:szCs w:val="24"/>
        </w:rPr>
        <w:t>Darbin</w:t>
      </w:r>
      <w:r>
        <w:rPr>
          <w:rFonts w:cs="Times New Roman"/>
          <w:bCs/>
          <w:szCs w:val="24"/>
        </w:rPr>
        <w:t>ieku prasījumu garantiju fonds”</w:t>
      </w:r>
      <w:r w:rsidRPr="0068657E">
        <w:rPr>
          <w:rFonts w:cs="Times New Roman"/>
          <w:bCs/>
          <w:szCs w:val="24"/>
        </w:rPr>
        <w:t xml:space="preserve"> uz 2017.</w:t>
      </w:r>
      <w:r>
        <w:rPr>
          <w:rFonts w:cs="Times New Roman"/>
          <w:bCs/>
          <w:szCs w:val="24"/>
        </w:rPr>
        <w:t>gada 1.</w:t>
      </w:r>
      <w:r w:rsidRPr="0068657E">
        <w:rPr>
          <w:rFonts w:cs="Times New Roman"/>
          <w:bCs/>
          <w:szCs w:val="24"/>
        </w:rPr>
        <w:t xml:space="preserve">janvāri ir 9 170 662 </w:t>
      </w:r>
      <w:r w:rsidRPr="005512F0">
        <w:rPr>
          <w:rFonts w:cs="Times New Roman"/>
          <w:bCs/>
          <w:i/>
          <w:szCs w:val="24"/>
        </w:rPr>
        <w:t>euro</w:t>
      </w:r>
      <w:r w:rsidRPr="0068657E">
        <w:rPr>
          <w:rFonts w:cs="Times New Roman"/>
          <w:bCs/>
          <w:szCs w:val="24"/>
        </w:rPr>
        <w:t>.</w:t>
      </w:r>
    </w:p>
    <w:p w:rsidR="00A821CA" w:rsidRPr="0068657E" w:rsidRDefault="00A821CA" w:rsidP="00A17001">
      <w:pPr>
        <w:ind w:firstLine="720"/>
        <w:jc w:val="both"/>
        <w:rPr>
          <w:rFonts w:cs="Times New Roman"/>
          <w:bCs/>
          <w:szCs w:val="24"/>
        </w:rPr>
      </w:pPr>
      <w:r>
        <w:rPr>
          <w:rFonts w:cs="Times New Roman"/>
          <w:bCs/>
          <w:szCs w:val="24"/>
        </w:rPr>
        <w:t>Atbilstoši 2016.gada 2.</w:t>
      </w:r>
      <w:r w:rsidRPr="0068657E">
        <w:rPr>
          <w:rFonts w:cs="Times New Roman"/>
          <w:bCs/>
          <w:szCs w:val="24"/>
        </w:rPr>
        <w:t xml:space="preserve">augustā </w:t>
      </w:r>
      <w:r>
        <w:rPr>
          <w:rFonts w:cs="Times New Roman"/>
          <w:bCs/>
          <w:szCs w:val="24"/>
        </w:rPr>
        <w:t>MK</w:t>
      </w:r>
      <w:r w:rsidRPr="0068657E">
        <w:rPr>
          <w:rFonts w:cs="Times New Roman"/>
          <w:bCs/>
          <w:szCs w:val="24"/>
        </w:rPr>
        <w:t xml:space="preserve"> apstiprinātajam Informatīvajam ziņojumam “Par uzņēmējdarbības riska valsts nodevas sadalījum</w:t>
      </w:r>
      <w:r>
        <w:rPr>
          <w:rFonts w:cs="Times New Roman"/>
          <w:bCs/>
          <w:szCs w:val="24"/>
        </w:rPr>
        <w:t>u 2017.-2019. gadam” (prot. Nr.38 38.§ 5.punkts) un 2016.gada 20.</w:t>
      </w:r>
      <w:r w:rsidRPr="0068657E">
        <w:rPr>
          <w:rFonts w:cs="Times New Roman"/>
          <w:bCs/>
          <w:szCs w:val="24"/>
        </w:rPr>
        <w:t xml:space="preserve">decembra </w:t>
      </w:r>
      <w:r>
        <w:rPr>
          <w:rFonts w:cs="Times New Roman"/>
          <w:bCs/>
          <w:szCs w:val="24"/>
        </w:rPr>
        <w:t>MK</w:t>
      </w:r>
      <w:r w:rsidRPr="0068657E">
        <w:rPr>
          <w:rFonts w:cs="Times New Roman"/>
          <w:bCs/>
          <w:szCs w:val="24"/>
        </w:rPr>
        <w:t xml:space="preserve"> noteikumiem Nr.836 “Noteikumi par uzņēmējdarbības riska valsts nodevu 2017.gadā” URVN ieņēmumi šobrīd tiek novirzīti divām apakšprogrammām – 06.04.00 ''Darbinieku prasījumu garantiju fonds'' (turpmāk – darbinieku apakšprogramma) 84% apmērā un 06.03.00 “Maksātnespējas procesu pārvaldība” (turpmāk – MNA) 16% apmērā.</w:t>
      </w:r>
    </w:p>
    <w:p w:rsidR="00A821CA" w:rsidRPr="002A444D" w:rsidRDefault="00A821CA" w:rsidP="00A821CA">
      <w:pPr>
        <w:spacing w:before="120" w:after="120"/>
        <w:jc w:val="both"/>
        <w:rPr>
          <w:rFonts w:cs="Times New Roman"/>
          <w:bCs/>
          <w:szCs w:val="24"/>
          <w:u w:val="single"/>
        </w:rPr>
      </w:pPr>
      <w:r w:rsidRPr="002A444D">
        <w:rPr>
          <w:rFonts w:cs="Times New Roman"/>
          <w:bCs/>
          <w:szCs w:val="24"/>
          <w:u w:val="single"/>
        </w:rPr>
        <w:t xml:space="preserve">Priekšlikumi turpmākai </w:t>
      </w:r>
      <w:bookmarkStart w:id="35" w:name="_Hlk485055331"/>
      <w:r w:rsidRPr="002A444D">
        <w:rPr>
          <w:rFonts w:cs="Times New Roman"/>
          <w:bCs/>
          <w:szCs w:val="24"/>
          <w:u w:val="single"/>
        </w:rPr>
        <w:t>URVN ieņēmumu sadalei</w:t>
      </w:r>
      <w:bookmarkEnd w:id="35"/>
      <w:r w:rsidRPr="002A444D">
        <w:rPr>
          <w:rFonts w:cs="Times New Roman"/>
          <w:bCs/>
          <w:szCs w:val="24"/>
          <w:u w:val="single"/>
        </w:rPr>
        <w:t>.</w:t>
      </w:r>
    </w:p>
    <w:p w:rsidR="00A821CA" w:rsidRPr="0068657E" w:rsidRDefault="00A821CA" w:rsidP="00A17001">
      <w:pPr>
        <w:ind w:firstLine="720"/>
        <w:jc w:val="both"/>
        <w:rPr>
          <w:rFonts w:cs="Times New Roman"/>
          <w:bCs/>
          <w:szCs w:val="24"/>
        </w:rPr>
      </w:pPr>
      <w:r>
        <w:rPr>
          <w:rFonts w:cs="Times New Roman"/>
          <w:bCs/>
          <w:szCs w:val="24"/>
        </w:rPr>
        <w:t>MK 2016.gada 6.</w:t>
      </w:r>
      <w:r w:rsidRPr="0068657E">
        <w:rPr>
          <w:rFonts w:cs="Times New Roman"/>
          <w:bCs/>
          <w:szCs w:val="24"/>
        </w:rPr>
        <w:t xml:space="preserve">septembrī atbalstīja Maksātnespējas politikas </w:t>
      </w:r>
      <w:r>
        <w:rPr>
          <w:rFonts w:cs="Times New Roman"/>
          <w:bCs/>
          <w:szCs w:val="24"/>
        </w:rPr>
        <w:t>attīstības pamatnostādnes 2016.-2020.</w:t>
      </w:r>
      <w:r w:rsidRPr="0068657E">
        <w:rPr>
          <w:rFonts w:cs="Times New Roman"/>
          <w:bCs/>
          <w:szCs w:val="24"/>
        </w:rPr>
        <w:t xml:space="preserve">gadam (atbalstītas ar </w:t>
      </w:r>
      <w:r>
        <w:rPr>
          <w:rFonts w:cs="Times New Roman"/>
          <w:bCs/>
          <w:szCs w:val="24"/>
        </w:rPr>
        <w:t>MK 2016.gada 21.septembra rīkojumu Nr.527 “</w:t>
      </w:r>
      <w:r w:rsidRPr="0068657E">
        <w:rPr>
          <w:rFonts w:cs="Times New Roman"/>
          <w:bCs/>
          <w:szCs w:val="24"/>
        </w:rPr>
        <w:t xml:space="preserve">Par Maksātnespējas politikas attīstības pamatnostādnēm 2016.-2020. gadam </w:t>
      </w:r>
      <w:r>
        <w:rPr>
          <w:rFonts w:cs="Times New Roman"/>
          <w:bCs/>
          <w:szCs w:val="24"/>
        </w:rPr>
        <w:t>un to īstenošanas plānu”</w:t>
      </w:r>
      <w:r w:rsidRPr="0068657E">
        <w:rPr>
          <w:rFonts w:cs="Times New Roman"/>
          <w:bCs/>
          <w:szCs w:val="24"/>
        </w:rPr>
        <w:t xml:space="preserve">) (turpmāk – Pamatnostādnes). Pamatnostādņu īstenošanas plāna viens no rīcības virzieniem ir vērsts uz Maksātnespējas administrācijas veiktā uzraudzības procesa efektivitātes paaugstināšanu, tādējādi uzlabojot maksātnespējas procesu efektivitāti un kvalitāti. </w:t>
      </w:r>
    </w:p>
    <w:p w:rsidR="00A821CA" w:rsidRDefault="00A821CA" w:rsidP="00A17001">
      <w:pPr>
        <w:spacing w:after="120"/>
        <w:ind w:firstLine="720"/>
        <w:jc w:val="both"/>
        <w:rPr>
          <w:rFonts w:cs="Times New Roman"/>
          <w:bCs/>
          <w:szCs w:val="24"/>
        </w:rPr>
      </w:pPr>
      <w:r w:rsidRPr="0068657E">
        <w:rPr>
          <w:rFonts w:cs="Times New Roman"/>
          <w:bCs/>
          <w:szCs w:val="24"/>
        </w:rPr>
        <w:t xml:space="preserve">Lai nodrošinātu Maksātnespējas likumā un Pamatnostādnēs noteikto papildu funkciju izpildi, ir jāstiprina Maksātnespējas administrācijas kapacitāte. Atbilstoši </w:t>
      </w:r>
      <w:r>
        <w:rPr>
          <w:rFonts w:cs="Times New Roman"/>
          <w:bCs/>
          <w:szCs w:val="24"/>
        </w:rPr>
        <w:t>FM</w:t>
      </w:r>
      <w:r w:rsidRPr="0068657E">
        <w:rPr>
          <w:rFonts w:cs="Times New Roman"/>
          <w:bCs/>
          <w:szCs w:val="24"/>
        </w:rPr>
        <w:t xml:space="preserve"> ies</w:t>
      </w:r>
      <w:r>
        <w:rPr>
          <w:rFonts w:cs="Times New Roman"/>
          <w:bCs/>
          <w:szCs w:val="24"/>
        </w:rPr>
        <w:t>niegtajam informatīvā ziņojuma “</w:t>
      </w:r>
      <w:r w:rsidRPr="0068657E">
        <w:rPr>
          <w:rFonts w:cs="Times New Roman"/>
          <w:bCs/>
          <w:szCs w:val="24"/>
        </w:rPr>
        <w:t>Par Maksātnespējas administrācijas attīstību</w:t>
      </w:r>
      <w:r>
        <w:rPr>
          <w:rFonts w:cs="Times New Roman"/>
          <w:bCs/>
          <w:szCs w:val="24"/>
        </w:rPr>
        <w:t>”</w:t>
      </w:r>
      <w:r w:rsidRPr="0068657E">
        <w:rPr>
          <w:rFonts w:cs="Times New Roman"/>
          <w:bCs/>
          <w:szCs w:val="24"/>
        </w:rPr>
        <w:t xml:space="preserve"> projektam, Maksātnespējas administrācijas kapacitātes stiprināšanai būs nepieciešams papildu finansējums, kura apjoms tiks precizēts skaņošanas procesā</w:t>
      </w:r>
      <w:r w:rsidR="00F66808">
        <w:rPr>
          <w:rFonts w:cs="Times New Roman"/>
          <w:bCs/>
          <w:szCs w:val="24"/>
        </w:rPr>
        <w:t xml:space="preserve"> (skat. 3.7</w:t>
      </w:r>
      <w:r w:rsidR="00DB6534">
        <w:rPr>
          <w:rFonts w:cs="Times New Roman"/>
          <w:bCs/>
          <w:szCs w:val="24"/>
        </w:rPr>
        <w:t>3</w:t>
      </w:r>
      <w:r w:rsidR="00F66808">
        <w:rPr>
          <w:rFonts w:cs="Times New Roman"/>
          <w:bCs/>
          <w:szCs w:val="24"/>
        </w:rPr>
        <w:t>.attēlu)</w:t>
      </w:r>
      <w:r w:rsidRPr="0068657E">
        <w:rPr>
          <w:rFonts w:cs="Times New Roman"/>
          <w:bCs/>
          <w:szCs w:val="24"/>
        </w:rPr>
        <w:t xml:space="preserve">. </w:t>
      </w:r>
    </w:p>
    <w:p w:rsidR="00A821CA" w:rsidRDefault="00A821CA" w:rsidP="00A821CA">
      <w:pPr>
        <w:jc w:val="both"/>
        <w:rPr>
          <w:rFonts w:cs="Times New Roman"/>
          <w:bCs/>
          <w:szCs w:val="24"/>
        </w:rPr>
      </w:pPr>
      <w:r>
        <w:rPr>
          <w:noProof/>
          <w:lang w:eastAsia="lv-LV"/>
        </w:rPr>
        <w:drawing>
          <wp:inline distT="0" distB="0" distL="0" distR="0" wp14:anchorId="55B649B3" wp14:editId="4D362B33">
            <wp:extent cx="5749290" cy="3291840"/>
            <wp:effectExtent l="0" t="0" r="3810" b="381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5"/>
              </a:graphicData>
            </a:graphic>
          </wp:inline>
        </w:drawing>
      </w:r>
    </w:p>
    <w:p w:rsidR="00A821CA" w:rsidRPr="00C11DAD" w:rsidRDefault="00F66808" w:rsidP="00A821CA">
      <w:pPr>
        <w:spacing w:before="120" w:after="120"/>
        <w:jc w:val="center"/>
        <w:rPr>
          <w:rFonts w:cs="Times New Roman"/>
          <w:b/>
          <w:sz w:val="22"/>
        </w:rPr>
      </w:pPr>
      <w:r w:rsidRPr="00C11DAD">
        <w:rPr>
          <w:rFonts w:cs="Times New Roman"/>
          <w:i/>
          <w:sz w:val="22"/>
        </w:rPr>
        <w:t>3.7</w:t>
      </w:r>
      <w:r w:rsidR="00DB6534">
        <w:rPr>
          <w:rFonts w:cs="Times New Roman"/>
          <w:i/>
          <w:sz w:val="22"/>
        </w:rPr>
        <w:t>3</w:t>
      </w:r>
      <w:r w:rsidRPr="00C11DAD">
        <w:rPr>
          <w:rFonts w:cs="Times New Roman"/>
          <w:i/>
          <w:sz w:val="22"/>
        </w:rPr>
        <w:t>.</w:t>
      </w:r>
      <w:r w:rsidR="00A821CA" w:rsidRPr="00C11DAD">
        <w:rPr>
          <w:rFonts w:cs="Times New Roman"/>
          <w:i/>
          <w:sz w:val="22"/>
        </w:rPr>
        <w:t>att.</w:t>
      </w:r>
      <w:r w:rsidR="00A821CA" w:rsidRPr="00C11DAD">
        <w:rPr>
          <w:rFonts w:cs="Times New Roman"/>
          <w:sz w:val="22"/>
        </w:rPr>
        <w:t xml:space="preserve"> </w:t>
      </w:r>
      <w:r w:rsidR="00A821CA" w:rsidRPr="00C11DAD">
        <w:rPr>
          <w:rFonts w:cs="Times New Roman"/>
          <w:b/>
          <w:sz w:val="22"/>
        </w:rPr>
        <w:t>Izdevumu izmaiņas TM apakšprogrammā 06.03.00 “Maksātnespējas procesa pārvaldība”</w:t>
      </w:r>
      <w:r w:rsidR="00C11DAD">
        <w:rPr>
          <w:rStyle w:val="FootnoteReference"/>
          <w:rFonts w:cs="Times New Roman"/>
          <w:b/>
          <w:sz w:val="22"/>
        </w:rPr>
        <w:footnoteReference w:id="107"/>
      </w:r>
    </w:p>
    <w:p w:rsidR="00A821CA" w:rsidRPr="0068657E" w:rsidRDefault="00A821CA" w:rsidP="00A821CA">
      <w:pPr>
        <w:ind w:firstLine="720"/>
        <w:jc w:val="both"/>
        <w:rPr>
          <w:rFonts w:cs="Times New Roman"/>
          <w:bCs/>
          <w:szCs w:val="24"/>
        </w:rPr>
      </w:pPr>
      <w:r w:rsidRPr="0068657E">
        <w:rPr>
          <w:rFonts w:cs="Times New Roman"/>
          <w:bCs/>
          <w:szCs w:val="24"/>
        </w:rPr>
        <w:lastRenderedPageBreak/>
        <w:t xml:space="preserve">Pamatnostādņu ieviešanas plānā ir paredzēti citi papildus pasākumi maksātnespējas procesa efektivizācijai, kuru realizācijai atbilstoši pašreizējiem </w:t>
      </w:r>
      <w:r>
        <w:rPr>
          <w:rFonts w:cs="Times New Roman"/>
          <w:bCs/>
          <w:szCs w:val="24"/>
        </w:rPr>
        <w:t>TM</w:t>
      </w:r>
      <w:r w:rsidRPr="0068657E">
        <w:rPr>
          <w:rFonts w:cs="Times New Roman"/>
          <w:bCs/>
          <w:szCs w:val="24"/>
        </w:rPr>
        <w:t xml:space="preserve"> pieņēmumiem būs nepieciešams papildu finansējums aptuveni 200 000 </w:t>
      </w:r>
      <w:r w:rsidRPr="002A444D">
        <w:rPr>
          <w:rFonts w:cs="Times New Roman"/>
          <w:bCs/>
          <w:i/>
          <w:szCs w:val="24"/>
        </w:rPr>
        <w:t>euro</w:t>
      </w:r>
      <w:r w:rsidRPr="0068657E">
        <w:rPr>
          <w:rFonts w:cs="Times New Roman"/>
          <w:bCs/>
          <w:szCs w:val="24"/>
        </w:rPr>
        <w:t xml:space="preserve"> apmērā. Precīzi aprēķini tiks sagatavoti vienlaikus ar attiecīgu normatīvo aktu grozījumu izstrādi. </w:t>
      </w:r>
    </w:p>
    <w:p w:rsidR="00A821CA" w:rsidRPr="0068657E" w:rsidRDefault="00A821CA" w:rsidP="00A821CA">
      <w:pPr>
        <w:spacing w:before="120"/>
        <w:ind w:firstLine="720"/>
        <w:jc w:val="both"/>
        <w:rPr>
          <w:rFonts w:cs="Times New Roman"/>
          <w:bCs/>
          <w:szCs w:val="24"/>
        </w:rPr>
      </w:pPr>
      <w:r w:rsidRPr="0068657E">
        <w:rPr>
          <w:rFonts w:cs="Times New Roman"/>
          <w:bCs/>
          <w:szCs w:val="24"/>
        </w:rPr>
        <w:t xml:space="preserve">Tāpat </w:t>
      </w:r>
      <w:r>
        <w:rPr>
          <w:rFonts w:cs="Times New Roman"/>
          <w:bCs/>
          <w:szCs w:val="24"/>
        </w:rPr>
        <w:t>TM</w:t>
      </w:r>
      <w:r w:rsidRPr="0068657E">
        <w:rPr>
          <w:rFonts w:cs="Times New Roman"/>
          <w:bCs/>
          <w:szCs w:val="24"/>
        </w:rPr>
        <w:t xml:space="preserve"> ierosina izvērtēt iespēju palielināt darbiniekiem izmaksājamo summu darba devēja maksātnespējas gadījumā, minimālajai algai piemērojot koeficientu 1,5 (līdzšinējā 1 vietā)</w:t>
      </w:r>
      <w:r w:rsidRPr="0068657E">
        <w:t xml:space="preserve">, </w:t>
      </w:r>
      <w:r w:rsidRPr="0068657E">
        <w:rPr>
          <w:rFonts w:cs="Times New Roman"/>
          <w:bCs/>
          <w:szCs w:val="24"/>
        </w:rPr>
        <w:t xml:space="preserve">lai  palielinātu darbiniekam izmaksājamo summu, lai mazinātu negatīvo ietekmi, ko rada darba dēvēji ilgstoši neizmaksātās atlīdzības uz darbinieku kā fizisko personu maksātspēju. </w:t>
      </w:r>
    </w:p>
    <w:p w:rsidR="00A821CA" w:rsidRPr="0068657E" w:rsidRDefault="00A821CA" w:rsidP="00A821CA">
      <w:pPr>
        <w:spacing w:before="120"/>
        <w:ind w:firstLine="720"/>
        <w:jc w:val="both"/>
        <w:rPr>
          <w:rFonts w:cs="Times New Roman"/>
          <w:bCs/>
          <w:szCs w:val="24"/>
        </w:rPr>
      </w:pPr>
      <w:r w:rsidRPr="0068657E">
        <w:rPr>
          <w:rFonts w:cs="Times New Roman"/>
          <w:bCs/>
          <w:szCs w:val="24"/>
        </w:rPr>
        <w:t xml:space="preserve">Ņemot vērā </w:t>
      </w:r>
      <w:r>
        <w:rPr>
          <w:rFonts w:cs="Times New Roman"/>
          <w:bCs/>
          <w:szCs w:val="24"/>
        </w:rPr>
        <w:t>DPGF</w:t>
      </w:r>
      <w:r w:rsidRPr="0068657E">
        <w:rPr>
          <w:rFonts w:cs="Times New Roman"/>
          <w:bCs/>
          <w:szCs w:val="24"/>
        </w:rPr>
        <w:t xml:space="preserve"> esošo līdzekļu atlikumu un  līdzekļu apmēru, kāds ir jāuztur DPGF atlikumā, ja iestājas krīzes situācija, ir izvērtējama iespēja samazināt DPGF ieskaitāmo </w:t>
      </w:r>
      <w:r>
        <w:rPr>
          <w:rFonts w:cs="Times New Roman"/>
          <w:bCs/>
          <w:szCs w:val="24"/>
        </w:rPr>
        <w:t>URVN</w:t>
      </w:r>
      <w:r w:rsidRPr="0068657E">
        <w:rPr>
          <w:rFonts w:cs="Times New Roman"/>
          <w:bCs/>
          <w:szCs w:val="24"/>
        </w:rPr>
        <w:t xml:space="preserve"> daļu, attiecīgi pārējo novirzot maksātnespējas administrācijas kapacitātes stiprināšanai un maksātnespējas procesa efektivizācijai,</w:t>
      </w:r>
      <w:r>
        <w:rPr>
          <w:rFonts w:cs="Times New Roman"/>
          <w:bCs/>
          <w:szCs w:val="24"/>
        </w:rPr>
        <w:t xml:space="preserve"> savukārt no DPGF ieskaitītās su</w:t>
      </w:r>
      <w:r w:rsidRPr="0068657E">
        <w:rPr>
          <w:rFonts w:cs="Times New Roman"/>
          <w:bCs/>
          <w:szCs w:val="24"/>
        </w:rPr>
        <w:t>mmas samazināt daļu, kas tiek saglabāta uzkrājumam krīzes situācijai un palielināt daļu, kas tiek novirzīta izmaksām darbiniekiem.</w:t>
      </w:r>
    </w:p>
    <w:p w:rsidR="00A27348" w:rsidRDefault="00A821CA" w:rsidP="00A27348">
      <w:pPr>
        <w:spacing w:before="120"/>
        <w:ind w:firstLine="720"/>
        <w:jc w:val="both"/>
        <w:rPr>
          <w:rFonts w:cs="Times New Roman"/>
          <w:bCs/>
          <w:szCs w:val="24"/>
        </w:rPr>
      </w:pPr>
      <w:r w:rsidRPr="0068657E">
        <w:rPr>
          <w:rFonts w:cs="Times New Roman"/>
          <w:bCs/>
          <w:szCs w:val="24"/>
        </w:rPr>
        <w:t>Par precīzu URVN ieņēmumu sadalījumu un tā novirzīšanu maksātnespējas jomas attīstībai</w:t>
      </w:r>
      <w:r>
        <w:rPr>
          <w:rFonts w:cs="Times New Roman"/>
          <w:bCs/>
          <w:szCs w:val="24"/>
        </w:rPr>
        <w:t>, izskatot iespēju mainīt finansēšanas kārtību,</w:t>
      </w:r>
      <w:r w:rsidRPr="0068657E">
        <w:rPr>
          <w:rFonts w:cs="Times New Roman"/>
          <w:bCs/>
          <w:szCs w:val="24"/>
        </w:rPr>
        <w:t xml:space="preserve"> </w:t>
      </w:r>
      <w:r>
        <w:rPr>
          <w:rFonts w:cs="Times New Roman"/>
          <w:bCs/>
          <w:szCs w:val="24"/>
        </w:rPr>
        <w:t>MK</w:t>
      </w:r>
      <w:r w:rsidRPr="0068657E">
        <w:rPr>
          <w:rFonts w:cs="Times New Roman"/>
          <w:bCs/>
          <w:szCs w:val="24"/>
        </w:rPr>
        <w:t xml:space="preserve"> lēmums tiks pieņemts, izskatot </w:t>
      </w:r>
      <w:r>
        <w:rPr>
          <w:rFonts w:cs="Times New Roman"/>
          <w:bCs/>
          <w:szCs w:val="24"/>
        </w:rPr>
        <w:t>TM</w:t>
      </w:r>
      <w:r w:rsidRPr="0068657E">
        <w:rPr>
          <w:rFonts w:cs="Times New Roman"/>
          <w:bCs/>
          <w:szCs w:val="24"/>
        </w:rPr>
        <w:t xml:space="preserve"> izstrādāto informatīvo ziņojumu</w:t>
      </w:r>
      <w:r>
        <w:rPr>
          <w:rFonts w:cs="Times New Roman"/>
          <w:bCs/>
          <w:szCs w:val="24"/>
        </w:rPr>
        <w:t xml:space="preserve"> “</w:t>
      </w:r>
      <w:r w:rsidRPr="0068657E">
        <w:rPr>
          <w:rFonts w:cs="Times New Roman"/>
          <w:bCs/>
          <w:szCs w:val="24"/>
        </w:rPr>
        <w:t>Par Maksātnes</w:t>
      </w:r>
      <w:r>
        <w:rPr>
          <w:rFonts w:cs="Times New Roman"/>
          <w:bCs/>
          <w:szCs w:val="24"/>
        </w:rPr>
        <w:t>pējas administrācijas attīstību”</w:t>
      </w:r>
      <w:r w:rsidRPr="0068657E">
        <w:rPr>
          <w:rFonts w:cs="Times New Roman"/>
          <w:bCs/>
          <w:szCs w:val="24"/>
        </w:rPr>
        <w:t>.</w:t>
      </w:r>
      <w:r w:rsidR="00032AA2">
        <w:rPr>
          <w:rFonts w:cs="Times New Roman"/>
          <w:bCs/>
          <w:szCs w:val="24"/>
        </w:rPr>
        <w:t xml:space="preserve"> </w:t>
      </w:r>
      <w:r w:rsidR="00A27348" w:rsidRPr="00A27348">
        <w:rPr>
          <w:rFonts w:cs="Times New Roman"/>
          <w:bCs/>
          <w:szCs w:val="24"/>
        </w:rPr>
        <w:t>Palielinot MNA novirzāmo URVN daļu, TM ir sagatavojusi priekšlikumu esošo MNA budžeta finansējuma daļu 150</w:t>
      </w:r>
      <w:r w:rsidR="00A27348">
        <w:rPr>
          <w:rFonts w:cs="Times New Roman"/>
          <w:bCs/>
          <w:szCs w:val="24"/>
        </w:rPr>
        <w:t> 000 </w:t>
      </w:r>
      <w:r w:rsidR="00A27348" w:rsidRPr="00A27348">
        <w:rPr>
          <w:rFonts w:cs="Times New Roman"/>
          <w:bCs/>
          <w:i/>
          <w:szCs w:val="24"/>
        </w:rPr>
        <w:t>euro</w:t>
      </w:r>
      <w:r w:rsidR="00A27348" w:rsidRPr="00A27348">
        <w:rPr>
          <w:rFonts w:cs="Times New Roman"/>
          <w:bCs/>
          <w:szCs w:val="24"/>
        </w:rPr>
        <w:t xml:space="preserve"> apmērā novirzīt citiem TM prioritāriem pasākumiem.</w:t>
      </w:r>
    </w:p>
    <w:p w:rsidR="001A4FA7" w:rsidRPr="001A4FA7" w:rsidRDefault="001A4FA7" w:rsidP="00A27348">
      <w:pPr>
        <w:spacing w:before="120"/>
        <w:ind w:firstLine="720"/>
        <w:jc w:val="both"/>
        <w:rPr>
          <w:b/>
        </w:rPr>
      </w:pPr>
      <w:r w:rsidRPr="001A4FA7">
        <w:rPr>
          <w:rFonts w:cs="Times New Roman"/>
          <w:b/>
          <w:bCs/>
          <w:szCs w:val="24"/>
        </w:rPr>
        <w:t>1</w:t>
      </w:r>
      <w:r w:rsidR="00DA0167">
        <w:rPr>
          <w:rFonts w:cs="Times New Roman"/>
          <w:b/>
          <w:bCs/>
          <w:szCs w:val="24"/>
        </w:rPr>
        <w:t>2</w:t>
      </w:r>
      <w:r w:rsidRPr="001A4FA7">
        <w:rPr>
          <w:rFonts w:cs="Times New Roman"/>
          <w:b/>
          <w:bCs/>
          <w:szCs w:val="24"/>
        </w:rPr>
        <w:t>.</w:t>
      </w:r>
      <w:r w:rsidRPr="001A4FA7">
        <w:rPr>
          <w:b/>
        </w:rPr>
        <w:t xml:space="preserve"> EM savā </w:t>
      </w:r>
      <w:r w:rsidRPr="001A4FA7">
        <w:rPr>
          <w:rFonts w:cs="Times New Roman"/>
          <w:b/>
          <w:bCs/>
          <w:szCs w:val="24"/>
        </w:rPr>
        <w:t>vietnē jāpublicē pieņēmumus par būvniecības un projektēšanas izmaksām (cenām)</w:t>
      </w:r>
    </w:p>
    <w:p w:rsidR="001A4FA7" w:rsidRDefault="001A4FA7" w:rsidP="001A4FA7">
      <w:pPr>
        <w:spacing w:before="120"/>
        <w:ind w:firstLine="720"/>
        <w:jc w:val="both"/>
        <w:rPr>
          <w:rFonts w:cs="Times New Roman"/>
          <w:bCs/>
          <w:szCs w:val="24"/>
        </w:rPr>
      </w:pPr>
      <w:r w:rsidRPr="001A4FA7">
        <w:rPr>
          <w:rFonts w:cs="Times New Roman"/>
          <w:bCs/>
          <w:szCs w:val="24"/>
        </w:rPr>
        <w:t xml:space="preserve">Ņemot vērā, ka ministrijām un citām centrālajām valsts iestādēm ir nepieciešama informācija par būvniecības un projektēšanas izmaksām (cenām), </w:t>
      </w:r>
      <w:r>
        <w:rPr>
          <w:rFonts w:cs="Times New Roman"/>
          <w:bCs/>
          <w:szCs w:val="24"/>
        </w:rPr>
        <w:t>EM</w:t>
      </w:r>
      <w:r w:rsidRPr="001A4FA7">
        <w:rPr>
          <w:rFonts w:cs="Times New Roman"/>
          <w:bCs/>
          <w:szCs w:val="24"/>
        </w:rPr>
        <w:t xml:space="preserve"> ar 2018.gadu un turpmāk ik gadu, līdz kārtējā gada 1. jūlijam savā tīmekļa vietnē jāpublicē pieņēmumus par būvniecības un projektēšanas izmaksām (cenām), kā arī to izmaiņu prognozēm vai atsauci uz starptautisko institūciju prognozēm. </w:t>
      </w:r>
      <w:r>
        <w:rPr>
          <w:rFonts w:cs="Times New Roman"/>
          <w:bCs/>
          <w:szCs w:val="24"/>
        </w:rPr>
        <w:t xml:space="preserve"> </w:t>
      </w:r>
    </w:p>
    <w:p w:rsidR="00242511" w:rsidRPr="00242511" w:rsidRDefault="00242511" w:rsidP="00242511">
      <w:pPr>
        <w:spacing w:before="120"/>
        <w:ind w:firstLine="720"/>
        <w:jc w:val="both"/>
        <w:rPr>
          <w:rFonts w:cs="Times New Roman"/>
          <w:bCs/>
          <w:szCs w:val="24"/>
        </w:rPr>
      </w:pPr>
      <w:r w:rsidRPr="00242511">
        <w:rPr>
          <w:rFonts w:cs="Times New Roman"/>
          <w:bCs/>
          <w:szCs w:val="24"/>
        </w:rPr>
        <w:t>EM nepiekrīt šādu pieņēmumu veikšanai un publicēšanai. Starptautiskās institūcijas neveic būvniecības cenu prognozes, vienlaicīgi tiek prognozētas izmaiņas būvniecības apjomos. Konkrētā projekta izmaksas ir lielā mērā atkarīgas no paša pasūtītāja dotā projektēšanas uzdevuma un nekustamā īpašuma specifikas. Būvniecības procesā ievērojamu izmaksu daļu veido darbaspēka izmaksas un materiāla izmaksas. Taču katras komponentes īpatsvars, kā arī apjoms būs atšķirīgs katrā konkrētā projektā. Nav iespējams salīdzināt cenas kultūrvēsturisko objektu rekonstrukcijai un restaurācijai (piemēram, Rīgas pils restaurācija) militāro objektu būvniecībai (ar augstām drošības prasībām), kultūras objektu būvniecībai (piemēram, teātra vai koncertzāles būvniecība), šāda būvniecības cenu prognozēšana būs maldinoša un radīs problēmas valsts iepirkumu plānošanā un īstenošanā.</w:t>
      </w:r>
    </w:p>
    <w:p w:rsidR="000952DC" w:rsidRPr="000952DC" w:rsidRDefault="005112A0" w:rsidP="000952DC">
      <w:pPr>
        <w:spacing w:before="240"/>
        <w:jc w:val="both"/>
        <w:rPr>
          <w:rFonts w:cs="Times New Roman"/>
          <w:b/>
          <w:bCs/>
          <w:szCs w:val="24"/>
        </w:rPr>
      </w:pPr>
      <w:r>
        <w:rPr>
          <w:rFonts w:cs="Times New Roman"/>
          <w:b/>
          <w:bCs/>
          <w:szCs w:val="24"/>
        </w:rPr>
        <w:t>1</w:t>
      </w:r>
      <w:r w:rsidR="00DA0167">
        <w:rPr>
          <w:rFonts w:cs="Times New Roman"/>
          <w:b/>
          <w:bCs/>
          <w:szCs w:val="24"/>
        </w:rPr>
        <w:t>3</w:t>
      </w:r>
      <w:r w:rsidR="000952DC" w:rsidRPr="000952DC">
        <w:rPr>
          <w:rFonts w:cs="Times New Roman"/>
          <w:b/>
          <w:bCs/>
          <w:szCs w:val="24"/>
        </w:rPr>
        <w:t>. VM - izmaiņas asins donoru kompensāciju izmaksas kārtībā</w:t>
      </w:r>
    </w:p>
    <w:p w:rsidR="000952DC" w:rsidRPr="000952DC" w:rsidRDefault="000952DC" w:rsidP="000952DC">
      <w:pPr>
        <w:spacing w:before="120"/>
        <w:ind w:firstLine="720"/>
        <w:jc w:val="both"/>
        <w:rPr>
          <w:rFonts w:cs="Times New Roman"/>
          <w:bCs/>
          <w:szCs w:val="24"/>
        </w:rPr>
      </w:pPr>
      <w:r w:rsidRPr="000952DC">
        <w:rPr>
          <w:rFonts w:cs="Times New Roman"/>
          <w:bCs/>
          <w:szCs w:val="24"/>
        </w:rPr>
        <w:t xml:space="preserve">Valsts asinsdonoru centra (turpmāk- VAC) darbības mērķis atbilstoši </w:t>
      </w:r>
      <w:r>
        <w:rPr>
          <w:rFonts w:cs="Times New Roman"/>
          <w:bCs/>
          <w:szCs w:val="24"/>
        </w:rPr>
        <w:t xml:space="preserve">MK </w:t>
      </w:r>
      <w:r w:rsidRPr="000952DC">
        <w:rPr>
          <w:rFonts w:cs="Times New Roman"/>
          <w:bCs/>
          <w:szCs w:val="24"/>
        </w:rPr>
        <w:t xml:space="preserve">2005.gada 22.februāra noteikumiem Nr.138 "Valsts asinsdonoru centra nolikums" ir nodrošināt kvalitātes un drošības prasībām atbilstošas asinis un asins komponentus ārstniecības iestādēm (transfūzijām) un asins pagatavojumu ražošanai. </w:t>
      </w:r>
    </w:p>
    <w:p w:rsidR="000952DC" w:rsidRPr="000952DC" w:rsidRDefault="000952DC" w:rsidP="000952DC">
      <w:pPr>
        <w:spacing w:before="120"/>
        <w:ind w:firstLine="720"/>
        <w:jc w:val="both"/>
        <w:rPr>
          <w:rFonts w:cs="Times New Roman"/>
          <w:bCs/>
          <w:szCs w:val="24"/>
        </w:rPr>
      </w:pPr>
      <w:r w:rsidRPr="000952DC">
        <w:rPr>
          <w:rFonts w:cs="Times New Roman"/>
          <w:bCs/>
          <w:szCs w:val="24"/>
        </w:rPr>
        <w:t xml:space="preserve">Atbilstoši </w:t>
      </w:r>
      <w:r>
        <w:rPr>
          <w:rFonts w:cs="Times New Roman"/>
          <w:bCs/>
          <w:szCs w:val="24"/>
        </w:rPr>
        <w:t>MK</w:t>
      </w:r>
      <w:r w:rsidRPr="000952DC">
        <w:rPr>
          <w:rFonts w:cs="Times New Roman"/>
          <w:bCs/>
          <w:szCs w:val="24"/>
        </w:rPr>
        <w:t xml:space="preserve"> 2005.gada 27.decembra noteikumiem Nr.1037 “Noteikumi par cilvēka asiņu un asins komponentu savākšanas, testēšanas, apstrādes, uzglabāšanas un izplatīšanas kvalitātes un drošības standartiem un kompensāciju par izdevumiem zaudētā asins apjoma atjaunošanai” asins donoram izmaksā kompensāciju par izdevumiem zaudētā asins apjoma atjaunošanai 4,27 </w:t>
      </w:r>
      <w:r w:rsidRPr="000952DC">
        <w:rPr>
          <w:rFonts w:cs="Times New Roman"/>
          <w:bCs/>
          <w:i/>
          <w:szCs w:val="24"/>
        </w:rPr>
        <w:t>euro</w:t>
      </w:r>
      <w:r w:rsidRPr="000952DC">
        <w:rPr>
          <w:rFonts w:cs="Times New Roman"/>
          <w:bCs/>
          <w:szCs w:val="24"/>
        </w:rPr>
        <w:t xml:space="preserve"> apmērā un izsniedz bezmaksas maltīti 1,42 </w:t>
      </w:r>
      <w:r w:rsidRPr="000952DC">
        <w:rPr>
          <w:rFonts w:cs="Times New Roman"/>
          <w:bCs/>
          <w:i/>
          <w:szCs w:val="24"/>
        </w:rPr>
        <w:t>euro</w:t>
      </w:r>
      <w:r w:rsidRPr="000952DC">
        <w:rPr>
          <w:rFonts w:cs="Times New Roman"/>
          <w:bCs/>
          <w:szCs w:val="24"/>
        </w:rPr>
        <w:t xml:space="preserve"> vērtībā.</w:t>
      </w:r>
    </w:p>
    <w:p w:rsidR="000952DC" w:rsidRPr="000952DC" w:rsidRDefault="000952DC" w:rsidP="000952DC">
      <w:pPr>
        <w:spacing w:before="120"/>
        <w:ind w:firstLine="720"/>
        <w:jc w:val="both"/>
        <w:rPr>
          <w:rFonts w:cs="Times New Roman"/>
          <w:bCs/>
          <w:szCs w:val="24"/>
        </w:rPr>
      </w:pPr>
      <w:r w:rsidRPr="000952DC">
        <w:rPr>
          <w:rFonts w:cs="Times New Roman"/>
          <w:bCs/>
          <w:szCs w:val="24"/>
        </w:rPr>
        <w:lastRenderedPageBreak/>
        <w:t>VAC darbības nodrošinājumam finansējums tiek plānots VM budžeta apakšprogrammā 3</w:t>
      </w:r>
      <w:r w:rsidR="00E60590">
        <w:rPr>
          <w:rFonts w:cs="Times New Roman"/>
          <w:bCs/>
          <w:szCs w:val="24"/>
        </w:rPr>
        <w:t>9</w:t>
      </w:r>
      <w:r w:rsidRPr="000952DC">
        <w:rPr>
          <w:rFonts w:cs="Times New Roman"/>
          <w:bCs/>
          <w:szCs w:val="24"/>
        </w:rPr>
        <w:t xml:space="preserve">.03.00 “Asins un asins komponentu nodrošināšana”. Saskaņā ar VM sniegto informāciju 2014.gadā kompensācijai par izdevumiem zaudētā asins apjoma atjaunošanai izlietoti 227 919 euro un bezmaksas maltītēm 53 040 </w:t>
      </w:r>
      <w:r w:rsidRPr="000952DC">
        <w:rPr>
          <w:rFonts w:cs="Times New Roman"/>
          <w:bCs/>
          <w:i/>
          <w:szCs w:val="24"/>
        </w:rPr>
        <w:t>euro</w:t>
      </w:r>
      <w:r w:rsidRPr="000952DC">
        <w:rPr>
          <w:rFonts w:cs="Times New Roman"/>
          <w:bCs/>
          <w:szCs w:val="24"/>
        </w:rPr>
        <w:t xml:space="preserve">, 2015.gadā attiecīgi izlietoti 304 464 </w:t>
      </w:r>
      <w:r w:rsidRPr="000952DC">
        <w:rPr>
          <w:rFonts w:cs="Times New Roman"/>
          <w:bCs/>
          <w:i/>
          <w:szCs w:val="24"/>
        </w:rPr>
        <w:t>euro</w:t>
      </w:r>
      <w:r w:rsidRPr="000952DC">
        <w:rPr>
          <w:rFonts w:cs="Times New Roman"/>
          <w:bCs/>
          <w:szCs w:val="24"/>
        </w:rPr>
        <w:t xml:space="preserve"> un 57 288 </w:t>
      </w:r>
      <w:r w:rsidRPr="000952DC">
        <w:rPr>
          <w:rFonts w:cs="Times New Roman"/>
          <w:bCs/>
          <w:i/>
          <w:szCs w:val="24"/>
        </w:rPr>
        <w:t>euro</w:t>
      </w:r>
      <w:r w:rsidRPr="000952DC">
        <w:rPr>
          <w:rFonts w:cs="Times New Roman"/>
          <w:bCs/>
          <w:szCs w:val="24"/>
        </w:rPr>
        <w:t xml:space="preserve">, bet 2016.gadā 275 983 </w:t>
      </w:r>
      <w:r w:rsidRPr="000952DC">
        <w:rPr>
          <w:rFonts w:cs="Times New Roman"/>
          <w:bCs/>
          <w:i/>
          <w:szCs w:val="24"/>
        </w:rPr>
        <w:t>euro</w:t>
      </w:r>
      <w:r w:rsidRPr="000952DC">
        <w:rPr>
          <w:rFonts w:cs="Times New Roman"/>
          <w:bCs/>
          <w:szCs w:val="24"/>
        </w:rPr>
        <w:t xml:space="preserve"> un 56 412 </w:t>
      </w:r>
      <w:r w:rsidRPr="000952DC">
        <w:rPr>
          <w:rFonts w:cs="Times New Roman"/>
          <w:bCs/>
          <w:i/>
          <w:szCs w:val="24"/>
        </w:rPr>
        <w:t>euro</w:t>
      </w:r>
      <w:r w:rsidRPr="000952DC">
        <w:rPr>
          <w:rFonts w:cs="Times New Roman"/>
          <w:bCs/>
          <w:szCs w:val="24"/>
        </w:rPr>
        <w:t>.</w:t>
      </w:r>
    </w:p>
    <w:p w:rsidR="000952DC" w:rsidRPr="000952DC" w:rsidRDefault="000952DC" w:rsidP="000952DC">
      <w:pPr>
        <w:spacing w:before="120"/>
        <w:ind w:firstLine="720"/>
        <w:jc w:val="both"/>
        <w:rPr>
          <w:rFonts w:cs="Times New Roman"/>
          <w:bCs/>
          <w:szCs w:val="24"/>
        </w:rPr>
      </w:pPr>
      <w:r w:rsidRPr="000952DC">
        <w:rPr>
          <w:rFonts w:cs="Times New Roman"/>
          <w:bCs/>
          <w:szCs w:val="24"/>
        </w:rPr>
        <w:t xml:space="preserve">Kompensācijai asins donoram nevajadzētu kļūt par primāro iemeslu asins nodošanai, bet gan kā vēlmei palīdzēt nelaimē nonākušajiem.  Turklāt, tajos gadījumus, kad naudas saņemšana ir svarīgs iemesls, pastāv risks, ka donors ārstam var sniegt par sevi nepatiesu informāciju, kas savukārt apdraudētu asins saņēmēju veselību. Lielākā daļa Eiropas valstu par asinīm nemaksā. Līdz ar to būtu attīstāma asins nodošana balstoties uz brīvprātības principiem. </w:t>
      </w:r>
    </w:p>
    <w:p w:rsidR="00E930A9" w:rsidRDefault="000952DC" w:rsidP="00F66808">
      <w:pPr>
        <w:spacing w:before="120"/>
        <w:ind w:firstLine="720"/>
        <w:jc w:val="both"/>
        <w:rPr>
          <w:rFonts w:eastAsiaTheme="majorEastAsia" w:cs="Times New Roman"/>
          <w:sz w:val="28"/>
          <w:szCs w:val="28"/>
        </w:rPr>
      </w:pPr>
      <w:r w:rsidRPr="000952DC">
        <w:rPr>
          <w:rFonts w:cs="Times New Roman"/>
          <w:bCs/>
          <w:szCs w:val="24"/>
        </w:rPr>
        <w:t xml:space="preserve">VM nepieciešams veikt izmaiņas asins donoru kompensāciju izmaksas kārtībā, kas ļautu donoriem, pēc brīvprātības un labas gribas principa, izvēlēties atteikties no atlīdzības par asins nodošanu. FM ieskatā, veicot eksperta novērtējumu un pieņemot, ka indikatīvi 10% no asins donoriem brīvprātīgi atteiktos no atlīdzības par asins nodošanu, tas ļautu nozares prioritātēm novirzīt aptuveni 27,6 tūkst. </w:t>
      </w:r>
      <w:r w:rsidRPr="00E322B6">
        <w:rPr>
          <w:rFonts w:cs="Times New Roman"/>
          <w:bCs/>
          <w:i/>
          <w:szCs w:val="24"/>
        </w:rPr>
        <w:t>euro</w:t>
      </w:r>
      <w:r w:rsidRPr="000952DC">
        <w:rPr>
          <w:rFonts w:cs="Times New Roman"/>
          <w:bCs/>
          <w:szCs w:val="24"/>
        </w:rPr>
        <w:t>.</w:t>
      </w:r>
      <w:bookmarkEnd w:id="34"/>
      <w:r w:rsidR="00E930A9">
        <w:rPr>
          <w:rFonts w:cs="Times New Roman"/>
          <w:sz w:val="28"/>
          <w:szCs w:val="28"/>
        </w:rPr>
        <w:br w:type="page"/>
      </w:r>
    </w:p>
    <w:p w:rsidR="00C255C8" w:rsidRDefault="00E65A4E" w:rsidP="000D3B4E">
      <w:pPr>
        <w:pStyle w:val="Heading1"/>
        <w:spacing w:after="360"/>
        <w:jc w:val="center"/>
        <w:rPr>
          <w:rFonts w:ascii="Times New Roman" w:hAnsi="Times New Roman" w:cs="Times New Roman"/>
          <w:color w:val="auto"/>
          <w:sz w:val="28"/>
          <w:szCs w:val="28"/>
        </w:rPr>
      </w:pPr>
      <w:bookmarkStart w:id="36" w:name="_Toc487036810"/>
      <w:r>
        <w:rPr>
          <w:rFonts w:ascii="Times New Roman" w:hAnsi="Times New Roman" w:cs="Times New Roman"/>
          <w:color w:val="auto"/>
          <w:sz w:val="28"/>
          <w:szCs w:val="28"/>
        </w:rPr>
        <w:lastRenderedPageBreak/>
        <w:t>4. </w:t>
      </w:r>
      <w:r w:rsidR="00C255C8">
        <w:rPr>
          <w:rFonts w:ascii="Times New Roman" w:hAnsi="Times New Roman" w:cs="Times New Roman"/>
          <w:color w:val="auto"/>
          <w:sz w:val="28"/>
          <w:szCs w:val="28"/>
        </w:rPr>
        <w:t>VALSTS BUDŽETA IESTĀŽU PUBLISKO PAKALPOJUMU PIEGĀDES UN IKT JOM</w:t>
      </w:r>
      <w:r>
        <w:rPr>
          <w:rFonts w:ascii="Times New Roman" w:hAnsi="Times New Roman" w:cs="Times New Roman"/>
          <w:color w:val="auto"/>
          <w:sz w:val="28"/>
          <w:szCs w:val="28"/>
        </w:rPr>
        <w:t>A</w:t>
      </w:r>
      <w:bookmarkEnd w:id="36"/>
    </w:p>
    <w:p w:rsidR="00B908F1" w:rsidRDefault="007D24F7" w:rsidP="00EF4C25">
      <w:pPr>
        <w:ind w:firstLine="720"/>
        <w:jc w:val="both"/>
      </w:pPr>
      <w:r>
        <w:t>IKT</w:t>
      </w:r>
      <w:r w:rsidR="00B908F1" w:rsidRPr="006E77D6">
        <w:t xml:space="preserve"> valsts un pašvaldības iestādēs ieņem arvien lielāku nozīmi, radot iespējas daudzas manuālas darbības automatizēt. IKT ir būtiska loma gan uzlabojot klientu apkalpošanu, gan arī iestādes iekšējos un starpiestāžu sadarbības procesus, kas sekmē pakalpojumu pieejamību un kvalitāti, atvieglo administratīvos procesus iedzīvotājiem un uzņēmējiem un veicina informācijas pieejamību. Turklāt publisko pakalpojumu sniegšanas pilnveidošana ir būtiska valsts pārvaldes modernizācijas un valsts pārvaldes strukturālo reformu sastāvdaļa.</w:t>
      </w:r>
      <w:r w:rsidR="00B908F1" w:rsidRPr="0079049D">
        <w:t xml:space="preserve"> </w:t>
      </w:r>
      <w:r w:rsidR="00B908F1">
        <w:t xml:space="preserve">Lai nodrošinātu savu funkciju īstenošanu un pakalpojumu sniegšanu iedzīvotājam, valsts un pašvaldību iestādes veido un uztur dažādas elektroniskas datu bāzes jeb sistēmas, tai skaitā arī valsts informācijas sistēmas (turpmāk – VIS). </w:t>
      </w:r>
    </w:p>
    <w:p w:rsidR="00B908F1" w:rsidRDefault="00B908F1" w:rsidP="00B908F1">
      <w:pPr>
        <w:ind w:firstLine="720"/>
        <w:jc w:val="both"/>
      </w:pPr>
      <w:r>
        <w:t xml:space="preserve">Ministrijas ik gadu pieprasa finansējumu, lai nodrošinātu dažādas nozīmes informācijas sistēmu uzturēšanu, tai skaitā tādu sistēmu, kas izveidotas </w:t>
      </w:r>
      <w:r w:rsidRPr="00ED4519">
        <w:t xml:space="preserve">Eiropas Savienības politiku instrumentu un pārējo ārvalstu finanšu palīdzības </w:t>
      </w:r>
      <w:r>
        <w:t xml:space="preserve">līdzfinansēto projektu ietvaros (turpmāk – ĀFP projekti). </w:t>
      </w:r>
    </w:p>
    <w:p w:rsidR="00B908F1" w:rsidRDefault="00B908F1" w:rsidP="00860963">
      <w:pPr>
        <w:spacing w:after="120"/>
        <w:ind w:firstLine="720"/>
        <w:jc w:val="both"/>
      </w:pPr>
      <w:r>
        <w:t>Piemēram, 2016.gadā VARAM tika noteikts uzdevums</w:t>
      </w:r>
      <w:r>
        <w:rPr>
          <w:rStyle w:val="FootnoteReference"/>
        </w:rPr>
        <w:footnoteReference w:id="108"/>
      </w:r>
      <w:r>
        <w:t xml:space="preserve"> izvērtēt ministrijām nepieciešamo finansējumu ĀFP projektu ietvaros izveidoto </w:t>
      </w:r>
      <w:r w:rsidR="007D24F7">
        <w:t>IKT</w:t>
      </w:r>
      <w:r>
        <w:t xml:space="preserve"> sistēmu uzturēšanai 2017.-2019.gadam no valsts budžeta līdzekļiem. VARAM uzdevuma izpildei sagatavoja informatīvo ziņojumu, kurā bija norādīta informācija par: </w:t>
      </w:r>
    </w:p>
    <w:p w:rsidR="00B908F1" w:rsidRDefault="00B908F1" w:rsidP="008C25BB">
      <w:pPr>
        <w:pStyle w:val="ListParagraph"/>
        <w:numPr>
          <w:ilvl w:val="0"/>
          <w:numId w:val="94"/>
        </w:numPr>
        <w:jc w:val="both"/>
      </w:pPr>
      <w:r>
        <w:t xml:space="preserve">ministriju un citu centrālo valsts iestāžu pieprasīto finansējumu sistēmu uzturēšanai; </w:t>
      </w:r>
    </w:p>
    <w:p w:rsidR="00B908F1" w:rsidRDefault="00B908F1" w:rsidP="008C25BB">
      <w:pPr>
        <w:pStyle w:val="ListParagraph"/>
        <w:numPr>
          <w:ilvl w:val="0"/>
          <w:numId w:val="94"/>
        </w:numPr>
        <w:jc w:val="both"/>
      </w:pPr>
      <w:r>
        <w:t>optimālo nepieciešamo finansējumu sistēmu uzturēšanai pēc VARAM novērtējuma,</w:t>
      </w:r>
    </w:p>
    <w:p w:rsidR="00B908F1" w:rsidRDefault="00B908F1" w:rsidP="008C25BB">
      <w:pPr>
        <w:pStyle w:val="ListParagraph"/>
        <w:numPr>
          <w:ilvl w:val="0"/>
          <w:numId w:val="94"/>
        </w:numPr>
        <w:jc w:val="both"/>
      </w:pPr>
      <w:r>
        <w:t>sistēmu uzturēšanai MK noteiktā finansējuma apmēra</w:t>
      </w:r>
      <w:r>
        <w:rPr>
          <w:rStyle w:val="FootnoteReference"/>
        </w:rPr>
        <w:footnoteReference w:id="109"/>
      </w:r>
      <w:r>
        <w:t xml:space="preserve"> sadalījumu pa ministrijām, piemērojot principus par izmaksām, no kurām pēc VARAM novērtējuma ir iespējams atteikties (galvenokārt personāla izmaksas – personāla atalgojums, darba vietas iekārtošanas un uzturēšanas izmaksas, personāla kvalifikācijas celšanas pasākumi), </w:t>
      </w:r>
    </w:p>
    <w:p w:rsidR="00B908F1" w:rsidRDefault="00B908F1" w:rsidP="00860963">
      <w:pPr>
        <w:spacing w:before="120"/>
        <w:ind w:firstLine="720"/>
        <w:jc w:val="both"/>
      </w:pPr>
      <w:r>
        <w:t>Izskatot šo ziņojumu MK sēdē, ministrijas izteica vairākus iebildumus par piedāvātā finansējuma sadalījumu pēc vienotiem kritērijiem, attiecīgi  tika pieņemts lēmums finansējumu sistēmu uzturēšanai starp ministrijām sadalīt proporcionāli pieprasītajam, attiecīgi finansējums tika sadalīts aritmētiski, nevis pēc būtības.</w:t>
      </w:r>
    </w:p>
    <w:p w:rsidR="00B908F1" w:rsidRDefault="00B908F1" w:rsidP="00860963">
      <w:pPr>
        <w:spacing w:before="120"/>
        <w:ind w:firstLine="720"/>
        <w:jc w:val="both"/>
      </w:pPr>
      <w:r>
        <w:t>Pagājušajā gadā risinātais jautājums iezīmēja tikai nelielu daļu no IKT jomas, kas ir sakārtojama, turklāt norādīja uz problēmu, kas aktuāla jau vairākus gadus, proti, IKT sistēmu uzturēšanā nav vienotu principu, izmaksas par vienlīdzīgiem pakalpojumiem ir dažādas, trūkst kopējās IKT jautājuma pārvaldības, tādēļ IKT jomas pārraudzībā nepieciešami būtiski uzlabojumi, lai nodrošinātu efektīvu valsts budžeta lī</w:t>
      </w:r>
      <w:r w:rsidR="00860963">
        <w:t xml:space="preserve">dzekļu izlietošanu šim mērķim. </w:t>
      </w:r>
    </w:p>
    <w:p w:rsidR="00B908F1" w:rsidRDefault="00B908F1" w:rsidP="00860963">
      <w:pPr>
        <w:spacing w:before="120"/>
        <w:ind w:firstLine="720"/>
        <w:jc w:val="both"/>
      </w:pPr>
      <w:r>
        <w:t>Ņemot vērā minēto, definējot izdevumu pārskatīšanas ietvaru tika noteikts uzdevums</w:t>
      </w:r>
      <w:r>
        <w:rPr>
          <w:rStyle w:val="FootnoteReference"/>
        </w:rPr>
        <w:footnoteReference w:id="110"/>
      </w:r>
      <w:r>
        <w:t xml:space="preserve"> VARAM sadarbībā ar FM:</w:t>
      </w:r>
    </w:p>
    <w:p w:rsidR="00B908F1" w:rsidRDefault="00B908F1" w:rsidP="008C25BB">
      <w:pPr>
        <w:pStyle w:val="ListParagraph"/>
        <w:numPr>
          <w:ilvl w:val="0"/>
          <w:numId w:val="96"/>
        </w:numPr>
        <w:jc w:val="both"/>
      </w:pPr>
      <w:r>
        <w:t xml:space="preserve">uzsākt visaptverošu optimizācijas priekšlikumu izstrādi valsts budžeta iestāžu publisko pakalpojumu piegādes jomā un </w:t>
      </w:r>
      <w:r w:rsidR="007D24F7">
        <w:t>IKT</w:t>
      </w:r>
      <w:r>
        <w:t xml:space="preserve"> jomā, paredzot šīs jomas par izdevumu pārskatīšanas jomām 2018. g</w:t>
      </w:r>
      <w:r w:rsidR="00EF4C25">
        <w:t>adā, izstrādājot likumprojektu “</w:t>
      </w:r>
      <w:r>
        <w:t>Par vidēja termiņa budžeta ietvaru 2019., 2020. un</w:t>
      </w:r>
      <w:r w:rsidR="00EF4C25">
        <w:t xml:space="preserve"> 2021. gadam” un likumprojektu “</w:t>
      </w:r>
      <w:r>
        <w:t>Par valsts budžetu 2019. gadam</w:t>
      </w:r>
      <w:r w:rsidR="00EF4C25">
        <w:t>”</w:t>
      </w:r>
      <w:r>
        <w:t xml:space="preserve">. </w:t>
      </w:r>
    </w:p>
    <w:p w:rsidR="00B908F1" w:rsidRDefault="00B908F1" w:rsidP="008C25BB">
      <w:pPr>
        <w:pStyle w:val="ListParagraph"/>
        <w:numPr>
          <w:ilvl w:val="0"/>
          <w:numId w:val="96"/>
        </w:numPr>
        <w:jc w:val="both"/>
      </w:pPr>
      <w:r>
        <w:t xml:space="preserve">izstrādāt darbības plānu iepriekšējā punktā minēto uzdevumu izpildei, prioritāri izvērtējot informācijas sistēmu funkcionalitātes nepamatotas dublēšanās novēršanu un resursu koplietošanas iespējas publisko pakalpojumu piegādes jomā un </w:t>
      </w:r>
      <w:r w:rsidR="007D24F7">
        <w:t>IKT</w:t>
      </w:r>
      <w:r>
        <w:t xml:space="preserve"> jomā.</w:t>
      </w:r>
    </w:p>
    <w:p w:rsidR="00B908F1" w:rsidRDefault="00B908F1" w:rsidP="00860963">
      <w:pPr>
        <w:spacing w:before="120"/>
        <w:ind w:firstLine="720"/>
        <w:jc w:val="both"/>
      </w:pPr>
      <w:r>
        <w:lastRenderedPageBreak/>
        <w:t>Lai radītu sākotnēju priekšstatu par resursiem, kas tiek novirzīti IKT jomas finansēšanai, FM analizēja tās rīcībā esošo informāciju par budžeta izdevumiem, kas saistīti ar IKT jomu un arī amata vietām, kurām definēti pienākumi saistībā ar IKT jomu.</w:t>
      </w:r>
    </w:p>
    <w:p w:rsidR="00B908F1" w:rsidRDefault="00B908F1" w:rsidP="00860963">
      <w:pPr>
        <w:spacing w:before="120"/>
        <w:ind w:firstLine="720"/>
        <w:jc w:val="both"/>
      </w:pPr>
      <w:r>
        <w:t>Budžeta uzskaitē FM vērtējumā iespējams iezīmēt 5 ekonomiskās klasifikācijas kodus, kuros tiek grāmatoti IKT jomas izdevumi:</w:t>
      </w:r>
    </w:p>
    <w:p w:rsidR="00B908F1" w:rsidRDefault="00B908F1" w:rsidP="008C25BB">
      <w:pPr>
        <w:pStyle w:val="ListParagraph"/>
        <w:numPr>
          <w:ilvl w:val="0"/>
          <w:numId w:val="95"/>
        </w:numPr>
        <w:jc w:val="both"/>
      </w:pPr>
      <w:r>
        <w:t>EKK 2251 “</w:t>
      </w:r>
      <w:r w:rsidRPr="004E3485">
        <w:t>Informācijas sistēmas uzturēšana</w:t>
      </w:r>
      <w:r>
        <w:t>”, kurā uzskaita izdevumus, kas saistīti ar informācijas sistēmu uzturēšanu, tajā skaitā par datortehnikas nomu, datortehnikas izvietošanu specializētajos datu centros, par serveru apkalpošanu un administrēšanu, kā arī programmatūras uzturēšanu, pilnveidošanu un papildināšanu, ja šie izdevumi nav kapitalizējami, kā arī izdevumus par informācijas tehnoloģiju infrastruktūras apkalpošanas pakalpojumiem,</w:t>
      </w:r>
    </w:p>
    <w:p w:rsidR="00B908F1" w:rsidRDefault="00B908F1" w:rsidP="008C25BB">
      <w:pPr>
        <w:pStyle w:val="ListParagraph"/>
        <w:numPr>
          <w:ilvl w:val="0"/>
          <w:numId w:val="95"/>
        </w:numPr>
        <w:jc w:val="both"/>
      </w:pPr>
      <w:r>
        <w:t>EKK 2252 “</w:t>
      </w:r>
      <w:r w:rsidRPr="004E3485">
        <w:t>Informācijas sistēmas licenču nomas izdevumi</w:t>
      </w:r>
      <w:r>
        <w:t>”, kurā uzskaita izdevumus standartprogrammatūras licenču nomai un uzturēšanai, kā arī izdevumus licenču abonēšanai un programmu/licenču atjaunošanas izdevumus,</w:t>
      </w:r>
    </w:p>
    <w:p w:rsidR="00B908F1" w:rsidRDefault="00B908F1" w:rsidP="008C25BB">
      <w:pPr>
        <w:pStyle w:val="ListParagraph"/>
        <w:numPr>
          <w:ilvl w:val="0"/>
          <w:numId w:val="95"/>
        </w:numPr>
        <w:jc w:val="both"/>
      </w:pPr>
      <w:r>
        <w:t>EKK 2259 “</w:t>
      </w:r>
      <w:r w:rsidRPr="004E3485">
        <w:t>Pārējie informācijas tehnoloģiju pakalpojumi</w:t>
      </w:r>
      <w:r>
        <w:t>”, kurā uzskaita citus izdevumus (ja tie nav kapitalizējami) par informācijas tehnoloģiju pakalpojumiem, domēnu īri (abonēšanu), digitālo drošības sertifikātu abonēšanu, izdevumus par tīmekļvietņu uzturēšanu un atjaunošanu, ekspertu konsultācijas par programmatūras izmantošanu, izdevumus par ekspertu slēdzienu par datoru likvidāciju apmaksu,</w:t>
      </w:r>
    </w:p>
    <w:p w:rsidR="00B908F1" w:rsidRDefault="00B908F1" w:rsidP="008C25BB">
      <w:pPr>
        <w:pStyle w:val="ListParagraph"/>
        <w:numPr>
          <w:ilvl w:val="0"/>
          <w:numId w:val="95"/>
        </w:numPr>
        <w:jc w:val="both"/>
      </w:pPr>
      <w:r>
        <w:t>EKK 5121 “Datorprogrammas”, kuru piemēro datorprogrammu un to licenču iegādei un vērtības samazinājuma (amortizācijas) norakstīšanai,</w:t>
      </w:r>
    </w:p>
    <w:p w:rsidR="00B908F1" w:rsidRDefault="00B908F1" w:rsidP="008C25BB">
      <w:pPr>
        <w:pStyle w:val="ListParagraph"/>
        <w:numPr>
          <w:ilvl w:val="0"/>
          <w:numId w:val="95"/>
        </w:numPr>
        <w:jc w:val="both"/>
      </w:pPr>
      <w:r>
        <w:t>EKK 5238 “Datortehnika, sakaru un cita biroja tehnika”, kuru piemēro izmaksām un izdevumiem tādiem ilgtermiņa aktīviem kā datori, serveri, kopētāji, faksa aparāti, telefoni, telefonu centrāles un cita biroja tehnika.</w:t>
      </w:r>
    </w:p>
    <w:p w:rsidR="00B908F1" w:rsidRDefault="00B908F1" w:rsidP="00F66808">
      <w:pPr>
        <w:spacing w:before="120"/>
        <w:ind w:firstLine="720"/>
        <w:jc w:val="both"/>
      </w:pPr>
      <w:r>
        <w:t>Pēdējos gados valsts budžeta izdevumi IKT jomā ir būtiski pieauguši tieši pamatfunkcijās, kas ir skaidrojams ar to, ka ĀFP projektu ietvaros izveidoto IKT sistēmu uzturēšana ir sedzama no valsts budžeta, kā arī ar to, ka valsts pārvalde kopumā virzās uz e-pārvaldi, maksimāli mazinot tās pārvaldes funkcijas un uzdevumus, kas nav veicami elektroniski. Sagaidāms, ka arī turpmākajos gados šie izdevumi palielināsies, ņemot vērā IKT jomas plānoto attīstību, tai skaitā ieviešot jaunus ĀFP projektus. Attiecīgi būtu izvērtējama IKT jomas kopējā situācijā, lai uzsāktu risināt šīs jomas poten</w:t>
      </w:r>
      <w:r w:rsidR="00F66808">
        <w:t>ciālās efektivizēšanas iespējas (skat. 4.1.attēlu).</w:t>
      </w:r>
    </w:p>
    <w:p w:rsidR="00B908F1" w:rsidRDefault="00B908F1" w:rsidP="00B908F1">
      <w:pPr>
        <w:jc w:val="both"/>
      </w:pPr>
      <w:r>
        <w:rPr>
          <w:noProof/>
          <w:lang w:eastAsia="lv-LV"/>
        </w:rPr>
        <w:drawing>
          <wp:inline distT="0" distB="0" distL="0" distR="0" wp14:anchorId="6BB7D37D" wp14:editId="06395A4D">
            <wp:extent cx="5939790" cy="2581275"/>
            <wp:effectExtent l="0" t="0" r="3810" b="0"/>
            <wp:docPr id="164" name="Chart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B908F1" w:rsidRPr="005F1F75" w:rsidRDefault="00F66808" w:rsidP="00B908F1">
      <w:pPr>
        <w:jc w:val="center"/>
        <w:rPr>
          <w:i/>
          <w:sz w:val="22"/>
        </w:rPr>
      </w:pPr>
      <w:r>
        <w:rPr>
          <w:i/>
          <w:sz w:val="22"/>
        </w:rPr>
        <w:t>4.1</w:t>
      </w:r>
      <w:r w:rsidR="00B908F1" w:rsidRPr="005F1F75">
        <w:rPr>
          <w:i/>
          <w:sz w:val="22"/>
        </w:rPr>
        <w:t xml:space="preserve">.att. </w:t>
      </w:r>
      <w:r w:rsidR="00B908F1" w:rsidRPr="005F1F75">
        <w:rPr>
          <w:b/>
          <w:sz w:val="22"/>
        </w:rPr>
        <w:t>Valsts budžeta izdevumi</w:t>
      </w:r>
      <w:r w:rsidR="00B908F1">
        <w:rPr>
          <w:b/>
          <w:sz w:val="22"/>
        </w:rPr>
        <w:t xml:space="preserve"> precēm un pakalpojumiem, kapitālajām iegādēm</w:t>
      </w:r>
      <w:r w:rsidR="00B908F1" w:rsidRPr="005F1F75">
        <w:rPr>
          <w:b/>
          <w:sz w:val="22"/>
        </w:rPr>
        <w:t xml:space="preserve"> IKT jomā, milj. </w:t>
      </w:r>
      <w:r w:rsidR="00B908F1" w:rsidRPr="005F1F75">
        <w:rPr>
          <w:b/>
          <w:i/>
          <w:sz w:val="22"/>
        </w:rPr>
        <w:t>euro</w:t>
      </w:r>
      <w:r w:rsidR="00B908F1" w:rsidRPr="005F1F75">
        <w:rPr>
          <w:rStyle w:val="FootnoteReference"/>
          <w:b/>
          <w:sz w:val="22"/>
        </w:rPr>
        <w:footnoteReference w:id="111"/>
      </w:r>
    </w:p>
    <w:p w:rsidR="00B908F1" w:rsidRDefault="00B908F1" w:rsidP="00B908F1">
      <w:pPr>
        <w:jc w:val="both"/>
      </w:pPr>
      <w:r>
        <w:lastRenderedPageBreak/>
        <w:tab/>
        <w:t>Pamatfunkcijās lielākie izdevumi IKT jomā 2016.gadā bija FM, IeM, kas ir arī resori, kuri uztur visvairāk VIS, kā arī lieli izdevumi ir AiM, kura uztur 2 VIS, tomēr tās izdevumi ir saistīti arī ar 101 citas nozīmes informācijas sistēmu uzturēšanu</w:t>
      </w:r>
      <w:r>
        <w:rPr>
          <w:rStyle w:val="FootnoteReference"/>
        </w:rPr>
        <w:footnoteReference w:id="112"/>
      </w:r>
      <w:r>
        <w:t>. Būtisks IKT jomas izdevumu apmērs ir arī TM, kas daļēji skaidrojams ar lielo skaitu valsts informāciju sistēmu, kas tai jāuztur, kā arī IZM, kuras pārraudzībā ir 8 VIS. Vienlaikus VM, kuras pārraudzībā ir 23 VIS, izdevu</w:t>
      </w:r>
      <w:r w:rsidR="00F66808">
        <w:t>mi IKT jomā ir salīdzinoši zemi (skat. 4.2.attēlu).</w:t>
      </w:r>
    </w:p>
    <w:p w:rsidR="00B908F1" w:rsidRPr="005F1F75" w:rsidRDefault="00B908F1" w:rsidP="00B908F1">
      <w:pPr>
        <w:jc w:val="both"/>
      </w:pPr>
    </w:p>
    <w:p w:rsidR="00B908F1" w:rsidRDefault="00B908F1" w:rsidP="00B908F1">
      <w:pPr>
        <w:jc w:val="center"/>
        <w:rPr>
          <w14:textOutline w14:w="9525" w14:cap="rnd" w14:cmpd="sng" w14:algn="ctr">
            <w14:solidFill>
              <w14:schemeClr w14:val="accent3"/>
            </w14:solidFill>
            <w14:prstDash w14:val="solid"/>
            <w14:bevel/>
          </w14:textOutline>
        </w:rPr>
      </w:pPr>
      <w:r>
        <w:rPr>
          <w:noProof/>
          <w:lang w:eastAsia="lv-LV"/>
        </w:rPr>
        <w:drawing>
          <wp:inline distT="0" distB="0" distL="0" distR="0" wp14:anchorId="6149E10F" wp14:editId="6A4BF947">
            <wp:extent cx="5314950" cy="2676525"/>
            <wp:effectExtent l="0" t="0" r="0" b="0"/>
            <wp:docPr id="165" name="Chart 1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7"/>
              </a:graphicData>
            </a:graphic>
          </wp:inline>
        </w:drawing>
      </w:r>
    </w:p>
    <w:p w:rsidR="00B908F1" w:rsidRPr="005F1F75" w:rsidRDefault="00F66808" w:rsidP="00B908F1">
      <w:pPr>
        <w:jc w:val="center"/>
        <w:rPr>
          <w:i/>
          <w:sz w:val="22"/>
        </w:rPr>
      </w:pPr>
      <w:r>
        <w:rPr>
          <w:i/>
          <w:sz w:val="22"/>
        </w:rPr>
        <w:t>4.2</w:t>
      </w:r>
      <w:r w:rsidR="00B908F1" w:rsidRPr="005F1F75">
        <w:rPr>
          <w:i/>
          <w:sz w:val="22"/>
        </w:rPr>
        <w:t xml:space="preserve">.att. </w:t>
      </w:r>
      <w:r w:rsidR="00B908F1" w:rsidRPr="005F1F75">
        <w:rPr>
          <w:b/>
          <w:sz w:val="22"/>
        </w:rPr>
        <w:t xml:space="preserve">Valsts budžeta </w:t>
      </w:r>
      <w:r w:rsidR="00B908F1">
        <w:rPr>
          <w:b/>
          <w:sz w:val="22"/>
        </w:rPr>
        <w:t xml:space="preserve">pamatfunkciju </w:t>
      </w:r>
      <w:r w:rsidR="00B908F1" w:rsidRPr="005F1F75">
        <w:rPr>
          <w:b/>
          <w:sz w:val="22"/>
        </w:rPr>
        <w:t xml:space="preserve">izdevumi </w:t>
      </w:r>
      <w:r w:rsidR="00B908F1">
        <w:rPr>
          <w:b/>
          <w:sz w:val="22"/>
        </w:rPr>
        <w:t>precēm un pakalpojumiem, kapitālajām iegādēm</w:t>
      </w:r>
      <w:r w:rsidR="00B908F1" w:rsidRPr="005F1F75">
        <w:rPr>
          <w:b/>
          <w:sz w:val="22"/>
        </w:rPr>
        <w:t xml:space="preserve"> IKT jomā</w:t>
      </w:r>
      <w:r w:rsidR="00B908F1">
        <w:rPr>
          <w:b/>
          <w:sz w:val="22"/>
        </w:rPr>
        <w:t xml:space="preserve"> 2016.gadā</w:t>
      </w:r>
      <w:r w:rsidR="00B908F1" w:rsidRPr="005F1F75">
        <w:rPr>
          <w:b/>
          <w:sz w:val="22"/>
        </w:rPr>
        <w:t xml:space="preserve">, milj. </w:t>
      </w:r>
      <w:r w:rsidR="00B908F1" w:rsidRPr="005F1F75">
        <w:rPr>
          <w:b/>
          <w:i/>
          <w:sz w:val="22"/>
        </w:rPr>
        <w:t>euro</w:t>
      </w:r>
      <w:r w:rsidR="00B908F1" w:rsidRPr="005F1F75">
        <w:rPr>
          <w:rStyle w:val="FootnoteReference"/>
          <w:b/>
          <w:sz w:val="22"/>
        </w:rPr>
        <w:footnoteReference w:id="113"/>
      </w:r>
    </w:p>
    <w:p w:rsidR="00B908F1" w:rsidRDefault="00B908F1" w:rsidP="00B908F1">
      <w:pPr>
        <w:jc w:val="center"/>
      </w:pPr>
    </w:p>
    <w:p w:rsidR="00B908F1" w:rsidRDefault="00B908F1" w:rsidP="00B908F1">
      <w:pPr>
        <w:jc w:val="both"/>
      </w:pPr>
      <w:r>
        <w:tab/>
        <w:t xml:space="preserve">Analizējot pamatfunkciju izdevumu struktūru IKT jomā </w:t>
      </w:r>
      <w:r w:rsidR="00F66808">
        <w:t>M</w:t>
      </w:r>
      <w:r>
        <w:t>inistrijās kopā, tad varam secināt, ka 36,8% no tiem veido izdevumi tieši informācijas sistēmu uzturēšanai (EKK 2251), 27,0% datortehnikas, sakaru un citas biroja tehnikas iegādei (EKK 5238), 13,4% datorprogrammām (EKK 5121), 13,0% informācijas sistēmas licenču nomas izdevumiem (EKK 2252) un 9,7% pārējiem informācijas tehnoloģiju pakalpojumiem (EKK 2259). Tomēr katrā ministrijā atsevišķi šo izdevumu struktūra ir ļoti dažāda un nav konstatējumu kopsakarību</w:t>
      </w:r>
      <w:r w:rsidR="00F66808">
        <w:t xml:space="preserve"> (skat. 4.3.attēlu)</w:t>
      </w:r>
      <w:r>
        <w:t>.</w:t>
      </w:r>
    </w:p>
    <w:p w:rsidR="00B908F1" w:rsidRDefault="00B908F1" w:rsidP="00B908F1">
      <w:pPr>
        <w:jc w:val="both"/>
      </w:pPr>
    </w:p>
    <w:p w:rsidR="00B908F1" w:rsidRDefault="00B908F1" w:rsidP="00B908F1">
      <w:pPr>
        <w:jc w:val="both"/>
      </w:pPr>
      <w:r>
        <w:rPr>
          <w:noProof/>
          <w:lang w:eastAsia="lv-LV"/>
        </w:rPr>
        <w:drawing>
          <wp:inline distT="0" distB="0" distL="0" distR="0" wp14:anchorId="7FA70A28" wp14:editId="463D99EA">
            <wp:extent cx="5907820" cy="2464904"/>
            <wp:effectExtent l="0" t="0" r="0" b="0"/>
            <wp:docPr id="166" name="Chart 16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B908F1" w:rsidRDefault="00F66808" w:rsidP="00B908F1">
      <w:pPr>
        <w:jc w:val="center"/>
        <w:rPr>
          <w:b/>
          <w:i/>
          <w:sz w:val="22"/>
        </w:rPr>
      </w:pPr>
      <w:r>
        <w:rPr>
          <w:i/>
          <w:sz w:val="22"/>
        </w:rPr>
        <w:t>4.3</w:t>
      </w:r>
      <w:r w:rsidR="00B908F1" w:rsidRPr="00DF145D">
        <w:rPr>
          <w:i/>
          <w:sz w:val="22"/>
        </w:rPr>
        <w:t>.att.</w:t>
      </w:r>
      <w:r w:rsidR="00B908F1" w:rsidRPr="00DF145D">
        <w:rPr>
          <w:b/>
          <w:sz w:val="22"/>
        </w:rPr>
        <w:t xml:space="preserve"> Valsts budžeta pamatfunkciju </w:t>
      </w:r>
      <w:r w:rsidR="00B908F1">
        <w:rPr>
          <w:b/>
          <w:sz w:val="22"/>
        </w:rPr>
        <w:t>izdevumu IKT jomā struktūra</w:t>
      </w:r>
      <w:r w:rsidR="00B908F1" w:rsidRPr="00DF145D">
        <w:rPr>
          <w:b/>
          <w:sz w:val="22"/>
        </w:rPr>
        <w:t xml:space="preserve"> 2016.gadā sadalījumā pa ministrijām</w:t>
      </w:r>
    </w:p>
    <w:p w:rsidR="00B908F1" w:rsidRDefault="00B908F1" w:rsidP="00B908F1">
      <w:pPr>
        <w:jc w:val="both"/>
        <w:rPr>
          <w:szCs w:val="24"/>
        </w:rPr>
      </w:pPr>
      <w:r w:rsidRPr="003B4F05">
        <w:rPr>
          <w:szCs w:val="24"/>
        </w:rPr>
        <w:lastRenderedPageBreak/>
        <w:tab/>
      </w:r>
      <w:r>
        <w:rPr>
          <w:szCs w:val="24"/>
        </w:rPr>
        <w:t>Kā jau tika minēts iepriekš, tad vairāku ministriju pārziņā ir liels skaits VIS. Saskaņā ar Valsts informācijas sistēmu reģistru, Latvijā kopā ir 180 valsts informācijas sistēmas</w:t>
      </w:r>
      <w:r>
        <w:rPr>
          <w:rStyle w:val="FootnoteReference"/>
          <w:szCs w:val="24"/>
        </w:rPr>
        <w:footnoteReference w:id="114"/>
      </w:r>
      <w:r>
        <w:rPr>
          <w:szCs w:val="24"/>
        </w:rPr>
        <w:t xml:space="preserve"> un 177 no tām kāda no ministrijām ir norādīta kā VIS augstākā iestāde. 57 % no VIS skaita ir IeM, FM, VM un TM kā augstākās iestādes pārziņā.</w:t>
      </w:r>
    </w:p>
    <w:p w:rsidR="00B908F1" w:rsidRDefault="00B908F1" w:rsidP="00B908F1">
      <w:pPr>
        <w:jc w:val="both"/>
        <w:rPr>
          <w:szCs w:val="24"/>
        </w:rPr>
      </w:pPr>
    </w:p>
    <w:p w:rsidR="00B908F1" w:rsidRDefault="00B908F1" w:rsidP="00B908F1">
      <w:pPr>
        <w:jc w:val="both"/>
        <w:rPr>
          <w:szCs w:val="24"/>
        </w:rPr>
      </w:pPr>
      <w:r>
        <w:rPr>
          <w:noProof/>
          <w:lang w:eastAsia="lv-LV"/>
        </w:rPr>
        <w:drawing>
          <wp:inline distT="0" distB="0" distL="0" distR="0" wp14:anchorId="444689BD" wp14:editId="611EE86E">
            <wp:extent cx="5939790" cy="2962275"/>
            <wp:effectExtent l="0" t="0" r="3810" b="0"/>
            <wp:docPr id="167" name="Chart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B908F1" w:rsidRDefault="00F66808" w:rsidP="00B908F1">
      <w:pPr>
        <w:jc w:val="center"/>
        <w:rPr>
          <w:sz w:val="22"/>
        </w:rPr>
      </w:pPr>
      <w:r>
        <w:rPr>
          <w:i/>
          <w:sz w:val="22"/>
        </w:rPr>
        <w:t>4.4</w:t>
      </w:r>
      <w:r w:rsidR="00B908F1" w:rsidRPr="00DF46E5">
        <w:rPr>
          <w:i/>
          <w:sz w:val="22"/>
        </w:rPr>
        <w:t>.att.</w:t>
      </w:r>
      <w:r w:rsidR="00B908F1">
        <w:rPr>
          <w:sz w:val="22"/>
        </w:rPr>
        <w:t xml:space="preserve"> </w:t>
      </w:r>
      <w:r w:rsidR="00B908F1" w:rsidRPr="00DF46E5">
        <w:rPr>
          <w:b/>
          <w:sz w:val="22"/>
        </w:rPr>
        <w:t>V</w:t>
      </w:r>
      <w:r w:rsidR="00B908F1">
        <w:rPr>
          <w:b/>
          <w:sz w:val="22"/>
        </w:rPr>
        <w:t xml:space="preserve">IS </w:t>
      </w:r>
      <w:r w:rsidR="00B908F1" w:rsidRPr="00DF46E5">
        <w:rPr>
          <w:b/>
          <w:sz w:val="22"/>
        </w:rPr>
        <w:t>skaits</w:t>
      </w:r>
      <w:r w:rsidR="00B908F1">
        <w:rPr>
          <w:rStyle w:val="FootnoteReference"/>
          <w:b/>
          <w:sz w:val="22"/>
        </w:rPr>
        <w:footnoteReference w:id="115"/>
      </w:r>
      <w:r w:rsidR="00B908F1" w:rsidRPr="00DF46E5">
        <w:rPr>
          <w:b/>
          <w:sz w:val="22"/>
        </w:rPr>
        <w:t xml:space="preserve"> un </w:t>
      </w:r>
      <w:r w:rsidR="00B908F1">
        <w:rPr>
          <w:b/>
          <w:sz w:val="22"/>
        </w:rPr>
        <w:t xml:space="preserve">IKT jomas </w:t>
      </w:r>
      <w:r w:rsidR="00B908F1" w:rsidRPr="00DF46E5">
        <w:rPr>
          <w:b/>
          <w:sz w:val="22"/>
        </w:rPr>
        <w:t>faktisko darbinieku skaits</w:t>
      </w:r>
      <w:r w:rsidR="00B908F1">
        <w:rPr>
          <w:b/>
          <w:sz w:val="22"/>
        </w:rPr>
        <w:t xml:space="preserve"> (19.saime)</w:t>
      </w:r>
      <w:r w:rsidR="00B908F1">
        <w:rPr>
          <w:rStyle w:val="FootnoteReference"/>
          <w:b/>
          <w:sz w:val="22"/>
        </w:rPr>
        <w:footnoteReference w:id="116"/>
      </w:r>
      <w:r w:rsidR="00B908F1" w:rsidRPr="00DF46E5">
        <w:rPr>
          <w:b/>
          <w:sz w:val="22"/>
        </w:rPr>
        <w:t xml:space="preserve"> 2017.gadā</w:t>
      </w:r>
    </w:p>
    <w:p w:rsidR="00B908F1" w:rsidRDefault="00B908F1" w:rsidP="00B908F1">
      <w:pPr>
        <w:jc w:val="both"/>
        <w:rPr>
          <w:sz w:val="22"/>
        </w:rPr>
      </w:pPr>
    </w:p>
    <w:p w:rsidR="00B908F1" w:rsidRDefault="00B908F1" w:rsidP="00B908F1">
      <w:pPr>
        <w:jc w:val="both"/>
        <w:rPr>
          <w:szCs w:val="24"/>
        </w:rPr>
      </w:pPr>
      <w:r>
        <w:rPr>
          <w:szCs w:val="24"/>
        </w:rPr>
        <w:tab/>
        <w:t>Ministrijas vai iestādes pārziņā esošo VIS skaitam nav tiešas kopsakarības ar ministrijās vai iestādēs IKT jomā nodarbināto skaitu (19.saime), kas daļēji ir skaidrojams ar to, ka ministriju pārziņā ir arī citas informācijas sistēmas, kas nav VIS, piemēram, AiM ir liels skaits informāciju sistēmu, kas nav reģistrētas VIS reģistrā</w:t>
      </w:r>
      <w:r w:rsidR="00A66F55">
        <w:rPr>
          <w:szCs w:val="24"/>
        </w:rPr>
        <w:t xml:space="preserve"> (skat. 4.4.attēlu)</w:t>
      </w:r>
      <w:r>
        <w:rPr>
          <w:szCs w:val="24"/>
        </w:rPr>
        <w:t>. Tomēr vienlaikus šādai situācijai var būt arī citi izskaidrojumi, kas būtu noskaidrojami</w:t>
      </w:r>
      <w:r w:rsidRPr="009745D6">
        <w:rPr>
          <w:szCs w:val="24"/>
        </w:rPr>
        <w:t xml:space="preserve"> </w:t>
      </w:r>
      <w:r>
        <w:rPr>
          <w:szCs w:val="24"/>
        </w:rPr>
        <w:t>IKT jomas pārskatīšanas ietvaros, jo, piemēram, LM kopējais informāciju skaits ir 16</w:t>
      </w:r>
      <w:r>
        <w:rPr>
          <w:rStyle w:val="FootnoteReference"/>
          <w:szCs w:val="24"/>
        </w:rPr>
        <w:footnoteReference w:id="117"/>
      </w:r>
      <w:r>
        <w:rPr>
          <w:szCs w:val="24"/>
        </w:rPr>
        <w:t xml:space="preserve"> un IKT jomas darbinieku skaits ir gandrīz tikpat augsts kā FM, kuras pārziņā ir 99 informācijas sistēmas</w:t>
      </w:r>
      <w:r>
        <w:rPr>
          <w:rStyle w:val="FootnoteReference"/>
          <w:szCs w:val="24"/>
        </w:rPr>
        <w:footnoteReference w:id="118"/>
      </w:r>
      <w:r>
        <w:rPr>
          <w:szCs w:val="24"/>
        </w:rPr>
        <w:t>.</w:t>
      </w:r>
    </w:p>
    <w:p w:rsidR="00B908F1" w:rsidRDefault="00B908F1" w:rsidP="00B908F1">
      <w:pPr>
        <w:jc w:val="both"/>
        <w:rPr>
          <w:szCs w:val="24"/>
        </w:rPr>
      </w:pPr>
      <w:r>
        <w:rPr>
          <w:szCs w:val="24"/>
        </w:rPr>
        <w:tab/>
      </w:r>
    </w:p>
    <w:p w:rsidR="00B908F1" w:rsidRDefault="00B908F1" w:rsidP="00B908F1">
      <w:pPr>
        <w:jc w:val="both"/>
        <w:rPr>
          <w:szCs w:val="24"/>
        </w:rPr>
      </w:pPr>
      <w:r>
        <w:rPr>
          <w:szCs w:val="24"/>
        </w:rPr>
        <w:tab/>
        <w:t>Kā jau pieminēts iepriekš, tad situācijas atspoguļošanai FM analizēja arī informāciju par ministrijās un citās centrālās valsts iestādēs IKT jomas darbiniekiem, kuri amatu klasifikācijā atbilst 19.saimei “Informācijas tehnoloģijas”</w:t>
      </w:r>
      <w:r w:rsidR="00A66F55">
        <w:rPr>
          <w:szCs w:val="24"/>
        </w:rPr>
        <w:t xml:space="preserve"> (skat. tabulu Nr.4.1</w:t>
      </w:r>
      <w:r w:rsidR="00D86274">
        <w:rPr>
          <w:szCs w:val="24"/>
        </w:rPr>
        <w:t>.</w:t>
      </w:r>
      <w:r w:rsidR="00A66F55">
        <w:rPr>
          <w:szCs w:val="24"/>
        </w:rPr>
        <w:t>)</w:t>
      </w:r>
      <w:r>
        <w:rPr>
          <w:szCs w:val="24"/>
        </w:rPr>
        <w:t>.</w:t>
      </w:r>
    </w:p>
    <w:p w:rsidR="00B908F1" w:rsidRDefault="00B908F1" w:rsidP="00A66F55">
      <w:pPr>
        <w:spacing w:before="120" w:after="120"/>
        <w:jc w:val="right"/>
        <w:rPr>
          <w:szCs w:val="24"/>
        </w:rPr>
      </w:pPr>
      <w:r w:rsidRPr="00A66F55">
        <w:rPr>
          <w:szCs w:val="24"/>
        </w:rPr>
        <w:t>Tabula Nr.</w:t>
      </w:r>
      <w:r w:rsidR="00A66F55" w:rsidRPr="00A66F55">
        <w:rPr>
          <w:szCs w:val="24"/>
        </w:rPr>
        <w:t>4.1</w:t>
      </w:r>
      <w:r w:rsidR="00D86274">
        <w:rPr>
          <w:szCs w:val="24"/>
        </w:rPr>
        <w:t>.</w:t>
      </w:r>
    </w:p>
    <w:p w:rsidR="00B908F1" w:rsidRPr="004C5AB9" w:rsidRDefault="00B908F1" w:rsidP="00B908F1">
      <w:pPr>
        <w:spacing w:after="120"/>
        <w:jc w:val="center"/>
        <w:rPr>
          <w:b/>
          <w:szCs w:val="24"/>
        </w:rPr>
      </w:pPr>
      <w:r w:rsidRPr="004C5AB9">
        <w:rPr>
          <w:b/>
          <w:szCs w:val="24"/>
        </w:rPr>
        <w:t>19.saimes “Informācijas tehnoloģijas” apakšsaimes amatu raksturojums</w:t>
      </w:r>
      <w:r>
        <w:rPr>
          <w:rStyle w:val="FootnoteReference"/>
          <w:b/>
          <w:szCs w:val="24"/>
        </w:rPr>
        <w:footnoteReference w:id="119"/>
      </w:r>
    </w:p>
    <w:tbl>
      <w:tblPr>
        <w:tblW w:w="9280" w:type="dxa"/>
        <w:tblLook w:val="04A0" w:firstRow="1" w:lastRow="0" w:firstColumn="1" w:lastColumn="0" w:noHBand="0" w:noVBand="1"/>
      </w:tblPr>
      <w:tblGrid>
        <w:gridCol w:w="1250"/>
        <w:gridCol w:w="2714"/>
        <w:gridCol w:w="5316"/>
      </w:tblGrid>
      <w:tr w:rsidR="00B908F1" w:rsidRPr="004C5AB9" w:rsidTr="00A931A3">
        <w:trPr>
          <w:trHeight w:val="133"/>
          <w:tblHeader/>
        </w:trPr>
        <w:tc>
          <w:tcPr>
            <w:tcW w:w="1250" w:type="dxa"/>
            <w:tcBorders>
              <w:top w:val="single" w:sz="4" w:space="0" w:color="auto"/>
              <w:left w:val="single" w:sz="4" w:space="0" w:color="auto"/>
              <w:bottom w:val="single" w:sz="4" w:space="0" w:color="auto"/>
              <w:right w:val="single" w:sz="4" w:space="0" w:color="auto"/>
            </w:tcBorders>
            <w:shd w:val="clear" w:color="000000" w:fill="C6E0B4"/>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Apakšsaime</w:t>
            </w:r>
          </w:p>
        </w:tc>
        <w:tc>
          <w:tcPr>
            <w:tcW w:w="2714" w:type="dxa"/>
            <w:tcBorders>
              <w:top w:val="single" w:sz="4" w:space="0" w:color="auto"/>
              <w:left w:val="nil"/>
              <w:bottom w:val="single" w:sz="4" w:space="0" w:color="auto"/>
              <w:right w:val="single" w:sz="4" w:space="0" w:color="auto"/>
            </w:tcBorders>
            <w:shd w:val="clear" w:color="000000" w:fill="C6E0B4"/>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Nosaukums</w:t>
            </w:r>
          </w:p>
        </w:tc>
        <w:tc>
          <w:tcPr>
            <w:tcW w:w="5316" w:type="dxa"/>
            <w:tcBorders>
              <w:top w:val="single" w:sz="4" w:space="0" w:color="auto"/>
              <w:left w:val="nil"/>
              <w:bottom w:val="single" w:sz="4" w:space="0" w:color="auto"/>
              <w:right w:val="single" w:sz="4" w:space="0" w:color="auto"/>
            </w:tcBorders>
            <w:shd w:val="clear" w:color="000000" w:fill="C6E0B4"/>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Amata raksturojums</w:t>
            </w:r>
          </w:p>
        </w:tc>
      </w:tr>
      <w:tr w:rsidR="00B908F1" w:rsidRPr="004C5AB9" w:rsidTr="00A931A3">
        <w:trPr>
          <w:trHeight w:val="70"/>
        </w:trPr>
        <w:tc>
          <w:tcPr>
            <w:tcW w:w="125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19.1.</w:t>
            </w:r>
          </w:p>
        </w:tc>
        <w:tc>
          <w:tcPr>
            <w:tcW w:w="2714"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rPr>
                <w:rFonts w:eastAsia="Times New Roman" w:cs="Times New Roman"/>
                <w:sz w:val="20"/>
                <w:szCs w:val="20"/>
                <w:lang w:eastAsia="lv-LV"/>
              </w:rPr>
            </w:pPr>
            <w:r w:rsidRPr="004C5AB9">
              <w:rPr>
                <w:rFonts w:eastAsia="Times New Roman" w:cs="Times New Roman"/>
                <w:sz w:val="20"/>
                <w:szCs w:val="20"/>
                <w:lang w:eastAsia="lv-LV"/>
              </w:rPr>
              <w:t>Datorgrafika un WEB dizains</w:t>
            </w:r>
          </w:p>
        </w:tc>
        <w:tc>
          <w:tcPr>
            <w:tcW w:w="5316"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jc w:val="both"/>
              <w:rPr>
                <w:rFonts w:eastAsia="Times New Roman" w:cs="Times New Roman"/>
                <w:sz w:val="20"/>
                <w:szCs w:val="20"/>
                <w:lang w:eastAsia="lv-LV"/>
              </w:rPr>
            </w:pPr>
            <w:r w:rsidRPr="004C5AB9">
              <w:rPr>
                <w:rFonts w:eastAsia="Times New Roman" w:cs="Times New Roman"/>
                <w:sz w:val="20"/>
                <w:szCs w:val="20"/>
                <w:lang w:eastAsia="lv-LV"/>
              </w:rPr>
              <w:t>Amati, kuru pildītāji veido un uztur iestāžu mājaslapas internetā</w:t>
            </w:r>
          </w:p>
        </w:tc>
      </w:tr>
      <w:tr w:rsidR="00B908F1" w:rsidRPr="004C5AB9" w:rsidTr="00A931A3">
        <w:trPr>
          <w:trHeight w:val="70"/>
        </w:trPr>
        <w:tc>
          <w:tcPr>
            <w:tcW w:w="125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19.2.</w:t>
            </w:r>
          </w:p>
        </w:tc>
        <w:tc>
          <w:tcPr>
            <w:tcW w:w="2714"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rPr>
                <w:rFonts w:eastAsia="Times New Roman" w:cs="Times New Roman"/>
                <w:sz w:val="20"/>
                <w:szCs w:val="20"/>
                <w:lang w:eastAsia="lv-LV"/>
              </w:rPr>
            </w:pPr>
            <w:r w:rsidRPr="004C5AB9">
              <w:rPr>
                <w:rFonts w:eastAsia="Times New Roman" w:cs="Times New Roman"/>
                <w:sz w:val="20"/>
                <w:szCs w:val="20"/>
                <w:lang w:eastAsia="lv-LV"/>
              </w:rPr>
              <w:t>Datu atbalsts</w:t>
            </w:r>
          </w:p>
        </w:tc>
        <w:tc>
          <w:tcPr>
            <w:tcW w:w="5316"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jc w:val="both"/>
              <w:rPr>
                <w:rFonts w:eastAsia="Times New Roman" w:cs="Times New Roman"/>
                <w:sz w:val="20"/>
                <w:szCs w:val="20"/>
                <w:lang w:eastAsia="lv-LV"/>
              </w:rPr>
            </w:pPr>
            <w:r w:rsidRPr="004C5AB9">
              <w:rPr>
                <w:rFonts w:eastAsia="Times New Roman" w:cs="Times New Roman"/>
                <w:sz w:val="20"/>
                <w:szCs w:val="20"/>
                <w:lang w:eastAsia="lv-LV"/>
              </w:rPr>
              <w:t>Amati, kuru pildītāji administrē datubāzes</w:t>
            </w:r>
          </w:p>
        </w:tc>
      </w:tr>
      <w:tr w:rsidR="00B908F1" w:rsidRPr="004C5AB9" w:rsidTr="00A931A3">
        <w:trPr>
          <w:trHeight w:val="149"/>
        </w:trPr>
        <w:tc>
          <w:tcPr>
            <w:tcW w:w="125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19.3.</w:t>
            </w:r>
          </w:p>
        </w:tc>
        <w:tc>
          <w:tcPr>
            <w:tcW w:w="2714"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rPr>
                <w:rFonts w:eastAsia="Times New Roman" w:cs="Times New Roman"/>
                <w:sz w:val="20"/>
                <w:szCs w:val="20"/>
                <w:lang w:eastAsia="lv-LV"/>
              </w:rPr>
            </w:pPr>
            <w:r w:rsidRPr="004C5AB9">
              <w:rPr>
                <w:rFonts w:eastAsia="Times New Roman" w:cs="Times New Roman"/>
                <w:sz w:val="20"/>
                <w:szCs w:val="20"/>
                <w:lang w:eastAsia="lv-LV"/>
              </w:rPr>
              <w:t xml:space="preserve"> IT un IS vadība</w:t>
            </w:r>
          </w:p>
        </w:tc>
        <w:tc>
          <w:tcPr>
            <w:tcW w:w="5316"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jc w:val="both"/>
              <w:rPr>
                <w:rFonts w:eastAsia="Times New Roman" w:cs="Times New Roman"/>
                <w:sz w:val="20"/>
                <w:szCs w:val="20"/>
                <w:lang w:eastAsia="lv-LV"/>
              </w:rPr>
            </w:pPr>
            <w:r w:rsidRPr="004C5AB9">
              <w:rPr>
                <w:rFonts w:eastAsia="Times New Roman" w:cs="Times New Roman"/>
                <w:sz w:val="20"/>
                <w:szCs w:val="20"/>
                <w:lang w:eastAsia="lv-LV"/>
              </w:rPr>
              <w:t>Amati, kuru pildītāji vada IT un IS struktūrvienības, projektus vai darba grupas.</w:t>
            </w:r>
          </w:p>
        </w:tc>
      </w:tr>
      <w:tr w:rsidR="00B908F1" w:rsidRPr="004C5AB9" w:rsidTr="00A931A3">
        <w:trPr>
          <w:trHeight w:val="318"/>
        </w:trPr>
        <w:tc>
          <w:tcPr>
            <w:tcW w:w="125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19.4.</w:t>
            </w:r>
          </w:p>
        </w:tc>
        <w:tc>
          <w:tcPr>
            <w:tcW w:w="2714"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rPr>
                <w:rFonts w:eastAsia="Times New Roman" w:cs="Times New Roman"/>
                <w:sz w:val="20"/>
                <w:szCs w:val="20"/>
                <w:lang w:eastAsia="lv-LV"/>
              </w:rPr>
            </w:pPr>
            <w:r w:rsidRPr="004C5AB9">
              <w:rPr>
                <w:rFonts w:eastAsia="Times New Roman" w:cs="Times New Roman"/>
                <w:sz w:val="20"/>
                <w:szCs w:val="20"/>
                <w:lang w:eastAsia="lv-LV"/>
              </w:rPr>
              <w:t>Programmatūras attīstība</w:t>
            </w:r>
          </w:p>
        </w:tc>
        <w:tc>
          <w:tcPr>
            <w:tcW w:w="5316"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jc w:val="both"/>
              <w:rPr>
                <w:rFonts w:eastAsia="Times New Roman" w:cs="Times New Roman"/>
                <w:sz w:val="20"/>
                <w:szCs w:val="20"/>
                <w:lang w:eastAsia="lv-LV"/>
              </w:rPr>
            </w:pPr>
            <w:r w:rsidRPr="004C5AB9">
              <w:rPr>
                <w:rFonts w:eastAsia="Times New Roman" w:cs="Times New Roman"/>
                <w:sz w:val="20"/>
                <w:szCs w:val="20"/>
                <w:lang w:eastAsia="lv-LV"/>
              </w:rPr>
              <w:t>Amati, kuru pildītāji izstrādā un attīsta programmatūru (lietojumus)</w:t>
            </w:r>
          </w:p>
        </w:tc>
      </w:tr>
      <w:tr w:rsidR="00B908F1" w:rsidRPr="004C5AB9" w:rsidTr="00A931A3">
        <w:trPr>
          <w:trHeight w:val="70"/>
        </w:trPr>
        <w:tc>
          <w:tcPr>
            <w:tcW w:w="125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lastRenderedPageBreak/>
              <w:t>19.5.</w:t>
            </w:r>
          </w:p>
        </w:tc>
        <w:tc>
          <w:tcPr>
            <w:tcW w:w="2714"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rPr>
                <w:rFonts w:eastAsia="Times New Roman" w:cs="Times New Roman"/>
                <w:sz w:val="20"/>
                <w:szCs w:val="20"/>
                <w:lang w:eastAsia="lv-LV"/>
              </w:rPr>
            </w:pPr>
            <w:r w:rsidRPr="004C5AB9">
              <w:rPr>
                <w:rFonts w:eastAsia="Times New Roman" w:cs="Times New Roman"/>
                <w:sz w:val="20"/>
                <w:szCs w:val="20"/>
                <w:lang w:eastAsia="lv-LV"/>
              </w:rPr>
              <w:t>Sistēmu administrēšana un uzturēšana</w:t>
            </w:r>
          </w:p>
        </w:tc>
        <w:tc>
          <w:tcPr>
            <w:tcW w:w="5316"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jc w:val="both"/>
              <w:rPr>
                <w:rFonts w:eastAsia="Times New Roman" w:cs="Times New Roman"/>
                <w:sz w:val="20"/>
                <w:szCs w:val="20"/>
                <w:lang w:eastAsia="lv-LV"/>
              </w:rPr>
            </w:pPr>
            <w:r w:rsidRPr="004C5AB9">
              <w:rPr>
                <w:rFonts w:eastAsia="Times New Roman" w:cs="Times New Roman"/>
                <w:sz w:val="20"/>
                <w:szCs w:val="20"/>
                <w:lang w:eastAsia="lv-LV"/>
              </w:rPr>
              <w:t>Amati, kuru pildītāji administrē un uztur informācijas sistēmas un programmatūru (lietojumus)</w:t>
            </w:r>
          </w:p>
        </w:tc>
      </w:tr>
      <w:tr w:rsidR="00B908F1" w:rsidRPr="004C5AB9" w:rsidTr="00A931A3">
        <w:trPr>
          <w:trHeight w:val="70"/>
        </w:trPr>
        <w:tc>
          <w:tcPr>
            <w:tcW w:w="1250" w:type="dxa"/>
            <w:tcBorders>
              <w:top w:val="nil"/>
              <w:left w:val="single" w:sz="4" w:space="0" w:color="auto"/>
              <w:bottom w:val="single" w:sz="4" w:space="0" w:color="auto"/>
              <w:right w:val="single" w:sz="4" w:space="0" w:color="auto"/>
            </w:tcBorders>
            <w:shd w:val="clear" w:color="auto" w:fill="C5E0B3" w:themeFill="accent6" w:themeFillTint="66"/>
            <w:vAlign w:val="center"/>
            <w:hideMark/>
          </w:tcPr>
          <w:p w:rsidR="00B908F1" w:rsidRPr="004C5AB9" w:rsidRDefault="00B908F1" w:rsidP="00A931A3">
            <w:pPr>
              <w:jc w:val="center"/>
              <w:rPr>
                <w:rFonts w:eastAsia="Times New Roman" w:cs="Times New Roman"/>
                <w:b/>
                <w:sz w:val="20"/>
                <w:szCs w:val="20"/>
                <w:lang w:eastAsia="lv-LV"/>
              </w:rPr>
            </w:pPr>
            <w:r w:rsidRPr="004C5AB9">
              <w:rPr>
                <w:rFonts w:eastAsia="Times New Roman" w:cs="Times New Roman"/>
                <w:b/>
                <w:sz w:val="20"/>
                <w:szCs w:val="20"/>
                <w:lang w:eastAsia="lv-LV"/>
              </w:rPr>
              <w:t>19.6.</w:t>
            </w:r>
          </w:p>
        </w:tc>
        <w:tc>
          <w:tcPr>
            <w:tcW w:w="2714"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rPr>
                <w:rFonts w:eastAsia="Times New Roman" w:cs="Times New Roman"/>
                <w:sz w:val="20"/>
                <w:szCs w:val="20"/>
                <w:lang w:eastAsia="lv-LV"/>
              </w:rPr>
            </w:pPr>
            <w:r w:rsidRPr="004C5AB9">
              <w:rPr>
                <w:rFonts w:eastAsia="Times New Roman" w:cs="Times New Roman"/>
                <w:sz w:val="20"/>
                <w:szCs w:val="20"/>
                <w:lang w:eastAsia="lv-LV"/>
              </w:rPr>
              <w:t>Lietotāju atbalsts</w:t>
            </w:r>
          </w:p>
        </w:tc>
        <w:tc>
          <w:tcPr>
            <w:tcW w:w="5316" w:type="dxa"/>
            <w:tcBorders>
              <w:top w:val="nil"/>
              <w:left w:val="nil"/>
              <w:bottom w:val="single" w:sz="4" w:space="0" w:color="auto"/>
              <w:right w:val="single" w:sz="4" w:space="0" w:color="auto"/>
            </w:tcBorders>
            <w:shd w:val="clear" w:color="auto" w:fill="auto"/>
            <w:vAlign w:val="center"/>
            <w:hideMark/>
          </w:tcPr>
          <w:p w:rsidR="00B908F1" w:rsidRPr="004C5AB9" w:rsidRDefault="00B908F1" w:rsidP="00A931A3">
            <w:pPr>
              <w:jc w:val="both"/>
              <w:rPr>
                <w:rFonts w:eastAsia="Times New Roman" w:cs="Times New Roman"/>
                <w:sz w:val="20"/>
                <w:szCs w:val="20"/>
                <w:lang w:eastAsia="lv-LV"/>
              </w:rPr>
            </w:pPr>
            <w:r w:rsidRPr="004C5AB9">
              <w:rPr>
                <w:rFonts w:eastAsia="Times New Roman" w:cs="Times New Roman"/>
                <w:sz w:val="20"/>
                <w:szCs w:val="20"/>
                <w:lang w:eastAsia="lv-LV"/>
              </w:rPr>
              <w:t>Amati, kuru pildītāji sniedz atbalstu programmatūras galalietotājiem</w:t>
            </w:r>
          </w:p>
        </w:tc>
      </w:tr>
    </w:tbl>
    <w:p w:rsidR="00B908F1" w:rsidRDefault="00B908F1" w:rsidP="00B908F1">
      <w:pPr>
        <w:jc w:val="both"/>
        <w:rPr>
          <w:szCs w:val="24"/>
        </w:rPr>
      </w:pPr>
    </w:p>
    <w:p w:rsidR="00B908F1" w:rsidRDefault="00B908F1" w:rsidP="00B908F1">
      <w:pPr>
        <w:ind w:firstLine="720"/>
        <w:jc w:val="both"/>
        <w:rPr>
          <w:szCs w:val="24"/>
        </w:rPr>
      </w:pPr>
      <w:r>
        <w:rPr>
          <w:szCs w:val="24"/>
        </w:rPr>
        <w:t xml:space="preserve">Apkopojot informāciju par faktisko darbinieku skaitu (1 195 darbinieki) un tiem noteikto darba algu, tika aprēķināts, ka IKT jomā strādājošiem atlīdzībā (darba alga un valsts sociālās obligātās apdrošināšanas iemaksas) ikgadēji tiek novirzīts finansējums 19,2 milj. </w:t>
      </w:r>
      <w:r w:rsidRPr="005A74E2">
        <w:rPr>
          <w:i/>
          <w:szCs w:val="24"/>
        </w:rPr>
        <w:t>euro</w:t>
      </w:r>
      <w:r>
        <w:rPr>
          <w:szCs w:val="24"/>
        </w:rPr>
        <w:t xml:space="preserve"> apmērā</w:t>
      </w:r>
      <w:r>
        <w:rPr>
          <w:rStyle w:val="FootnoteReference"/>
          <w:szCs w:val="24"/>
        </w:rPr>
        <w:footnoteReference w:id="120"/>
      </w:r>
      <w:r>
        <w:rPr>
          <w:szCs w:val="24"/>
        </w:rPr>
        <w:t>.</w:t>
      </w:r>
    </w:p>
    <w:p w:rsidR="00B908F1" w:rsidRDefault="00B908F1" w:rsidP="00B908F1">
      <w:pPr>
        <w:jc w:val="both"/>
        <w:rPr>
          <w:szCs w:val="24"/>
        </w:rPr>
      </w:pPr>
    </w:p>
    <w:p w:rsidR="00B908F1" w:rsidRDefault="00B908F1" w:rsidP="00B908F1">
      <w:pPr>
        <w:jc w:val="both"/>
        <w:rPr>
          <w:szCs w:val="24"/>
        </w:rPr>
      </w:pPr>
      <w:r>
        <w:rPr>
          <w:noProof/>
          <w:lang w:eastAsia="lv-LV"/>
        </w:rPr>
        <w:drawing>
          <wp:inline distT="0" distB="0" distL="0" distR="0" wp14:anchorId="79C7BCD1" wp14:editId="7EA39D9A">
            <wp:extent cx="5939790" cy="2724150"/>
            <wp:effectExtent l="0" t="0" r="3810" b="0"/>
            <wp:docPr id="168" name="Chart 1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p>
    <w:p w:rsidR="00B908F1" w:rsidRPr="00A66F55" w:rsidRDefault="00A66F55" w:rsidP="00B908F1">
      <w:pPr>
        <w:jc w:val="center"/>
        <w:rPr>
          <w:b/>
          <w:sz w:val="22"/>
        </w:rPr>
      </w:pPr>
      <w:r w:rsidRPr="00A66F55">
        <w:rPr>
          <w:i/>
          <w:sz w:val="22"/>
        </w:rPr>
        <w:t>4.5</w:t>
      </w:r>
      <w:r w:rsidR="00B908F1" w:rsidRPr="00A66F55">
        <w:rPr>
          <w:i/>
          <w:sz w:val="22"/>
        </w:rPr>
        <w:t>.att.</w:t>
      </w:r>
      <w:r w:rsidR="00B908F1" w:rsidRPr="00A66F55">
        <w:rPr>
          <w:sz w:val="22"/>
        </w:rPr>
        <w:t xml:space="preserve"> </w:t>
      </w:r>
      <w:r w:rsidR="00B908F1" w:rsidRPr="00A66F55">
        <w:rPr>
          <w:b/>
          <w:sz w:val="22"/>
        </w:rPr>
        <w:t>Valsts budžeta finansējums IKT jomā strādājošajiem sadalījumā pa ministrijām un citām centrālām valsts iestādēm</w:t>
      </w:r>
      <w:r w:rsidR="00B908F1" w:rsidRPr="00A66F55">
        <w:rPr>
          <w:rStyle w:val="FootnoteReference"/>
          <w:b/>
          <w:sz w:val="22"/>
        </w:rPr>
        <w:footnoteReference w:id="121"/>
      </w:r>
    </w:p>
    <w:p w:rsidR="00B908F1" w:rsidRDefault="00B908F1" w:rsidP="00B908F1">
      <w:pPr>
        <w:ind w:firstLine="720"/>
        <w:jc w:val="both"/>
        <w:rPr>
          <w:szCs w:val="24"/>
        </w:rPr>
      </w:pPr>
    </w:p>
    <w:p w:rsidR="00B908F1" w:rsidRDefault="00B908F1" w:rsidP="00B908F1">
      <w:pPr>
        <w:ind w:firstLine="720"/>
        <w:jc w:val="both"/>
        <w:rPr>
          <w:szCs w:val="24"/>
        </w:rPr>
      </w:pPr>
      <w:r>
        <w:rPr>
          <w:szCs w:val="24"/>
        </w:rPr>
        <w:t xml:space="preserve">Lielākais finansējums IKT jomas darbinieku atlīdzībai ir IeM un FM, kurās arī ir vislielākais IKT jomas darbinieku skaits, attiecīgi 194 un 169 darbinieki, savukārt lielākās vidējās darba algas mēnesī (vairāk kā 1 300 </w:t>
      </w:r>
      <w:r w:rsidRPr="00F1266C">
        <w:rPr>
          <w:i/>
          <w:szCs w:val="24"/>
        </w:rPr>
        <w:t>euro</w:t>
      </w:r>
      <w:r>
        <w:rPr>
          <w:szCs w:val="24"/>
        </w:rPr>
        <w:t>) nodrošina SM, ĀM, Prokuratūra un VARAM</w:t>
      </w:r>
      <w:r w:rsidR="00A66F55">
        <w:rPr>
          <w:szCs w:val="24"/>
        </w:rPr>
        <w:t xml:space="preserve"> (skat. 4.5.attēlu)</w:t>
      </w:r>
      <w:r>
        <w:rPr>
          <w:szCs w:val="24"/>
        </w:rPr>
        <w:t>. Jāņem vērā, ka finansējums IKT jomā nodarbināto atlīdzībai ir atkarīgs arī no tā, kurā apakšsaimē šie darbinieki ir uzskaitīti, jo visaugstāk atalgotā ir 19.3.apakšaime, savukārt viszemāk atalgotā ir 19.1.apakšsaime</w:t>
      </w:r>
      <w:r w:rsidR="00A66F55">
        <w:rPr>
          <w:szCs w:val="24"/>
        </w:rPr>
        <w:t xml:space="preserve"> (skat. 4.6.attēlu)</w:t>
      </w:r>
      <w:r>
        <w:rPr>
          <w:szCs w:val="24"/>
        </w:rPr>
        <w:t>.</w:t>
      </w:r>
    </w:p>
    <w:p w:rsidR="00B908F1" w:rsidRDefault="00B908F1" w:rsidP="00B908F1">
      <w:pPr>
        <w:ind w:firstLine="720"/>
        <w:jc w:val="both"/>
        <w:rPr>
          <w:szCs w:val="24"/>
        </w:rPr>
      </w:pPr>
    </w:p>
    <w:p w:rsidR="00B908F1" w:rsidRDefault="00B908F1" w:rsidP="00B908F1">
      <w:pPr>
        <w:jc w:val="center"/>
        <w:rPr>
          <w:szCs w:val="24"/>
        </w:rPr>
      </w:pPr>
      <w:r>
        <w:rPr>
          <w:noProof/>
          <w:lang w:eastAsia="lv-LV"/>
        </w:rPr>
        <w:lastRenderedPageBreak/>
        <w:drawing>
          <wp:inline distT="0" distB="0" distL="0" distR="0" wp14:anchorId="65E20A90" wp14:editId="2BBC2CA0">
            <wp:extent cx="5657850" cy="2333625"/>
            <wp:effectExtent l="0" t="0" r="0" b="0"/>
            <wp:docPr id="169" name="Chart 16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B908F1" w:rsidRPr="00A66F55" w:rsidRDefault="00A66F55" w:rsidP="00B908F1">
      <w:pPr>
        <w:jc w:val="center"/>
        <w:rPr>
          <w:b/>
          <w:sz w:val="22"/>
        </w:rPr>
      </w:pPr>
      <w:r w:rsidRPr="00A66F55">
        <w:rPr>
          <w:i/>
          <w:sz w:val="22"/>
        </w:rPr>
        <w:t>4.6</w:t>
      </w:r>
      <w:r w:rsidR="00B908F1" w:rsidRPr="00A66F55">
        <w:rPr>
          <w:i/>
          <w:sz w:val="22"/>
        </w:rPr>
        <w:t xml:space="preserve">.att. </w:t>
      </w:r>
      <w:r w:rsidR="00B908F1" w:rsidRPr="00A66F55">
        <w:rPr>
          <w:b/>
          <w:sz w:val="22"/>
        </w:rPr>
        <w:t>Valsts budžeta finansējums IKT jomā strādājošajiem sadalījumā pa apkšsaimēm</w:t>
      </w:r>
      <w:r w:rsidR="00B908F1" w:rsidRPr="00A66F55">
        <w:rPr>
          <w:rStyle w:val="FootnoteReference"/>
          <w:b/>
          <w:sz w:val="22"/>
        </w:rPr>
        <w:footnoteReference w:id="122"/>
      </w:r>
    </w:p>
    <w:p w:rsidR="00B908F1" w:rsidRDefault="00B908F1" w:rsidP="00A66F55">
      <w:pPr>
        <w:spacing w:before="120"/>
        <w:jc w:val="both"/>
        <w:rPr>
          <w:szCs w:val="24"/>
        </w:rPr>
      </w:pPr>
      <w:r>
        <w:rPr>
          <w:szCs w:val="24"/>
        </w:rPr>
        <w:tab/>
        <w:t>Lielākā daļa IKT jomā nodarbināto ir saistīti ar sistēmu administrēšanu un uzturēšanu, kuriem arī ir trešā augstākā apakšsaimes darba alga, vērtējot vidējo darba algu visās 6 apakšsaimēs, savukārt vismazāk nodarbinātie ir datorgrafikā un WEB dizainā, kurai kā minēts iepriekš ir viszemākā darba alga</w:t>
      </w:r>
      <w:r w:rsidR="00A66F55">
        <w:rPr>
          <w:szCs w:val="24"/>
        </w:rPr>
        <w:t xml:space="preserve"> (skat. 4.7.attēlu).</w:t>
      </w:r>
    </w:p>
    <w:p w:rsidR="00B908F1" w:rsidRDefault="00B908F1" w:rsidP="00B908F1">
      <w:pPr>
        <w:jc w:val="both"/>
        <w:rPr>
          <w:szCs w:val="24"/>
        </w:rPr>
      </w:pPr>
      <w:r>
        <w:rPr>
          <w:szCs w:val="24"/>
        </w:rPr>
        <w:tab/>
      </w:r>
    </w:p>
    <w:p w:rsidR="00B908F1" w:rsidRDefault="00B908F1" w:rsidP="00B908F1">
      <w:pPr>
        <w:jc w:val="both"/>
        <w:rPr>
          <w:szCs w:val="24"/>
        </w:rPr>
      </w:pPr>
      <w:r>
        <w:rPr>
          <w:noProof/>
          <w:lang w:eastAsia="lv-LV"/>
        </w:rPr>
        <w:drawing>
          <wp:inline distT="0" distB="0" distL="0" distR="0" wp14:anchorId="6D08C8B2" wp14:editId="050834F3">
            <wp:extent cx="5899868" cy="3593990"/>
            <wp:effectExtent l="0" t="0" r="5715" b="6985"/>
            <wp:docPr id="170" name="Chart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2"/>
              </a:graphicData>
            </a:graphic>
          </wp:inline>
        </w:drawing>
      </w:r>
    </w:p>
    <w:p w:rsidR="00B908F1" w:rsidRDefault="00A66F55" w:rsidP="00B908F1">
      <w:pPr>
        <w:jc w:val="center"/>
        <w:rPr>
          <w:b/>
          <w:sz w:val="22"/>
        </w:rPr>
      </w:pPr>
      <w:r>
        <w:rPr>
          <w:i/>
          <w:sz w:val="22"/>
        </w:rPr>
        <w:t>4.7</w:t>
      </w:r>
      <w:r w:rsidR="00B908F1" w:rsidRPr="00076515">
        <w:rPr>
          <w:i/>
          <w:sz w:val="22"/>
        </w:rPr>
        <w:t xml:space="preserve">.att. </w:t>
      </w:r>
      <w:r w:rsidR="00B908F1" w:rsidRPr="00076515">
        <w:rPr>
          <w:b/>
          <w:sz w:val="22"/>
        </w:rPr>
        <w:t>IKT jomas darbinieku skaits sadalījumā pa ministrijām un citām centrālajām valsts iestādēm</w:t>
      </w:r>
      <w:r w:rsidR="00B908F1">
        <w:rPr>
          <w:rStyle w:val="FootnoteReference"/>
          <w:b/>
          <w:sz w:val="22"/>
        </w:rPr>
        <w:footnoteReference w:id="123"/>
      </w:r>
    </w:p>
    <w:p w:rsidR="00B908F1" w:rsidRPr="00076515" w:rsidRDefault="00B908F1" w:rsidP="00B908F1">
      <w:pPr>
        <w:jc w:val="center"/>
        <w:rPr>
          <w:b/>
          <w:sz w:val="22"/>
        </w:rPr>
      </w:pPr>
    </w:p>
    <w:p w:rsidR="00B908F1" w:rsidRDefault="00B908F1" w:rsidP="00B908F1">
      <w:pPr>
        <w:jc w:val="both"/>
        <w:rPr>
          <w:szCs w:val="24"/>
        </w:rPr>
      </w:pPr>
      <w:r>
        <w:rPr>
          <w:szCs w:val="24"/>
        </w:rPr>
        <w:tab/>
        <w:t xml:space="preserve">Savukārt analizējot datus sadalījumā pa ministrijām un citām centrālām valsts iestādēm, tad secināms, ka atsevišķās ministrijās liela daļa IKT jomā nodarbināto ir saistīti ar IT un IS vadību, piemēram, VARAM un ĀM, kas arī daļēji izskaidro iepriekš konstatēto, ka šajā ministrijās vidējā darba alga IKT jomā nodarbinātiem ir viena no visaugstākajām. Savukārt IeM un FM, kurās ir vislielākais IKT jomā nodarbināto skaits, lielākā daļa darbinieku ir saistīti ar </w:t>
      </w:r>
      <w:r>
        <w:rPr>
          <w:szCs w:val="24"/>
        </w:rPr>
        <w:lastRenderedPageBreak/>
        <w:t>sistēmu administrēšanu un uzturēšanu, kā arī programmatūras attīstību, kas ir 19.saimes ietvaros ir vidēja līmeņa atalgoti amati.</w:t>
      </w:r>
    </w:p>
    <w:p w:rsidR="00B908F1" w:rsidRDefault="00B908F1" w:rsidP="00B908F1">
      <w:pPr>
        <w:jc w:val="both"/>
        <w:rPr>
          <w:szCs w:val="24"/>
        </w:rPr>
      </w:pPr>
      <w:r>
        <w:rPr>
          <w:szCs w:val="24"/>
        </w:rPr>
        <w:tab/>
        <w:t xml:space="preserve">Salīdzinoši zems darbinieku skaits ir nodarbināts lietotāju atbalstam, lielāko skaitu sasniedzot VM, kā arī datorgrafikā un WEB dizainā, lielāko skaitu sasniedzot IZM. </w:t>
      </w:r>
    </w:p>
    <w:p w:rsidR="00B908F1" w:rsidRDefault="00B908F1" w:rsidP="00B908F1">
      <w:pPr>
        <w:jc w:val="both"/>
        <w:rPr>
          <w:szCs w:val="24"/>
        </w:rPr>
      </w:pPr>
      <w:r>
        <w:rPr>
          <w:szCs w:val="24"/>
        </w:rPr>
        <w:tab/>
        <w:t xml:space="preserve">Vienlaikus jānorāda, ka turpmākās analīzes veikšanai par IKT jomā nodarbināto skaitu ministrijās un citās centrālās valsts iestādēs un saistošo valsts budžeta finansējumu, būtu jāņem vērā arī dati par piemaksām, ko šie darbinieki saņem, kā arī dažādiem pabalstiem, lai būtu iespējams situāciju novērtēt kopumā, kā arī nepieciešams datus izvērtēt dažādos periodos, lai varētu analizēt to izmaiņu tendences. </w:t>
      </w:r>
    </w:p>
    <w:p w:rsidR="00B908F1" w:rsidRDefault="00B908F1" w:rsidP="00B908F1">
      <w:pPr>
        <w:ind w:firstLine="720"/>
        <w:jc w:val="both"/>
        <w:rPr>
          <w:szCs w:val="24"/>
        </w:rPr>
      </w:pPr>
      <w:r>
        <w:rPr>
          <w:szCs w:val="24"/>
        </w:rPr>
        <w:t>Gatavojoties izdevumu pārskatīšanas sanāksmēm ar ministrijām</w:t>
      </w:r>
      <w:r>
        <w:rPr>
          <w:rStyle w:val="FootnoteReference"/>
          <w:szCs w:val="24"/>
        </w:rPr>
        <w:footnoteReference w:id="124"/>
      </w:r>
      <w:r>
        <w:rPr>
          <w:szCs w:val="24"/>
        </w:rPr>
        <w:t xml:space="preserve">, attiecībā uz IKT jomu tām tika uzdoti vairāki jautājumi par informācijas sistēmu skaitu, to uzturēšanas izmaksu apmēru, IKT jomas pārvaldību, informācijas sistēmu funkcionālo pārklāšanos, izveidoto informācijas sistēmu aktualitāti un tamlīdzīgi. </w:t>
      </w:r>
    </w:p>
    <w:p w:rsidR="00B908F1" w:rsidRDefault="00B908F1" w:rsidP="00B908F1">
      <w:pPr>
        <w:ind w:firstLine="720"/>
        <w:jc w:val="both"/>
        <w:rPr>
          <w:szCs w:val="24"/>
        </w:rPr>
      </w:pPr>
      <w:r>
        <w:rPr>
          <w:szCs w:val="24"/>
        </w:rPr>
        <w:t>Apkopojot informāciju, kas tika saņemta izdevumu pārskatīšanas ietvaros notikušajās sanāksmēs ar ministrijām</w:t>
      </w:r>
      <w:r>
        <w:rPr>
          <w:rStyle w:val="FootnoteReference"/>
          <w:szCs w:val="24"/>
        </w:rPr>
        <w:footnoteReference w:id="125"/>
      </w:r>
      <w:r>
        <w:rPr>
          <w:szCs w:val="24"/>
        </w:rPr>
        <w:t>, tika iegūta šāda informācija:</w:t>
      </w:r>
    </w:p>
    <w:p w:rsidR="00B908F1" w:rsidRDefault="00B908F1" w:rsidP="008C25BB">
      <w:pPr>
        <w:pStyle w:val="ListParagraph"/>
        <w:numPr>
          <w:ilvl w:val="0"/>
          <w:numId w:val="98"/>
        </w:numPr>
        <w:jc w:val="both"/>
        <w:rPr>
          <w:szCs w:val="24"/>
        </w:rPr>
      </w:pPr>
      <w:r>
        <w:rPr>
          <w:szCs w:val="24"/>
        </w:rPr>
        <w:t xml:space="preserve">13 </w:t>
      </w:r>
      <w:r w:rsidRPr="00667AF3">
        <w:rPr>
          <w:szCs w:val="24"/>
        </w:rPr>
        <w:t>ministrijas kopā uztur vairāk kā 590 informācijas sistēmas (precīzs skaits būtu identificējams IKT jomas pārskatīšanas ietvaros, jo šobrīd ministriju sniegtā informācija ir nepilnīga), tātad lielākā daļa no valsts budžeta uzturamo informācijas sistēmu nav uzskatāmas par valsts nozīmes sistēmām</w:t>
      </w:r>
      <w:r>
        <w:rPr>
          <w:szCs w:val="24"/>
        </w:rPr>
        <w:t>;</w:t>
      </w:r>
    </w:p>
    <w:p w:rsidR="00B908F1" w:rsidRDefault="00B908F1" w:rsidP="008C25BB">
      <w:pPr>
        <w:pStyle w:val="ListParagraph"/>
        <w:numPr>
          <w:ilvl w:val="0"/>
          <w:numId w:val="98"/>
        </w:numPr>
        <w:jc w:val="both"/>
        <w:rPr>
          <w:szCs w:val="24"/>
        </w:rPr>
      </w:pPr>
      <w:r w:rsidRPr="00667AF3">
        <w:rPr>
          <w:szCs w:val="24"/>
        </w:rPr>
        <w:t>starp ministrijām un arī vienas ministrijas kā resora ietvaros būtiski atšķiras informācijas sistēmu uzturēšanas izmaksas, kā arī ir dažāda pieeja šo izmaksu grāmatošanā, tāpēc var secināt, ka FM rīcībā esošie dati nav viennozīmīgi analizējami un būtu nepieciešama vien</w:t>
      </w:r>
      <w:r>
        <w:rPr>
          <w:szCs w:val="24"/>
        </w:rPr>
        <w:t>ota pieeja šo izdevumu uzskaitē;</w:t>
      </w:r>
    </w:p>
    <w:p w:rsidR="00B908F1" w:rsidRDefault="00B908F1" w:rsidP="008C25BB">
      <w:pPr>
        <w:pStyle w:val="ListParagraph"/>
        <w:numPr>
          <w:ilvl w:val="0"/>
          <w:numId w:val="98"/>
        </w:numPr>
        <w:jc w:val="both"/>
        <w:rPr>
          <w:szCs w:val="24"/>
        </w:rPr>
      </w:pPr>
      <w:r w:rsidRPr="00667AF3">
        <w:rPr>
          <w:szCs w:val="24"/>
        </w:rPr>
        <w:t>IKT pārvaldības modeli</w:t>
      </w:r>
      <w:r>
        <w:rPr>
          <w:szCs w:val="24"/>
        </w:rPr>
        <w:t xml:space="preserve">s ministrijās ir dažāds </w:t>
      </w:r>
      <w:r w:rsidRPr="00667AF3">
        <w:rPr>
          <w:szCs w:val="24"/>
        </w:rPr>
        <w:t xml:space="preserve">– </w:t>
      </w:r>
      <w:r>
        <w:rPr>
          <w:szCs w:val="24"/>
        </w:rPr>
        <w:t xml:space="preserve">atsevišķas ministrijas </w:t>
      </w:r>
      <w:r w:rsidRPr="00667AF3">
        <w:rPr>
          <w:szCs w:val="24"/>
        </w:rPr>
        <w:t>nodrošina cen</w:t>
      </w:r>
      <w:r>
        <w:rPr>
          <w:szCs w:val="24"/>
        </w:rPr>
        <w:t>t</w:t>
      </w:r>
      <w:r w:rsidRPr="00667AF3">
        <w:rPr>
          <w:szCs w:val="24"/>
        </w:rPr>
        <w:t>ralizētu IKT jomas pārvaldību, citas norāda, ka ministrijā ieviests daļēj</w:t>
      </w:r>
      <w:r>
        <w:rPr>
          <w:szCs w:val="24"/>
        </w:rPr>
        <w:t xml:space="preserve">i centralizēts IKT </w:t>
      </w:r>
      <w:r w:rsidRPr="00667AF3">
        <w:rPr>
          <w:szCs w:val="24"/>
        </w:rPr>
        <w:t>pārvaldības modelis, kā arī ir tādas, kas norāda, ka tās neiejaucas tās padotībā esošo institūciju IKT jomas pārvaldībā, piemēram, SM</w:t>
      </w:r>
      <w:r>
        <w:rPr>
          <w:szCs w:val="24"/>
        </w:rPr>
        <w:t>;</w:t>
      </w:r>
    </w:p>
    <w:p w:rsidR="00B908F1" w:rsidRDefault="00B908F1" w:rsidP="008C25BB">
      <w:pPr>
        <w:pStyle w:val="ListParagraph"/>
        <w:numPr>
          <w:ilvl w:val="0"/>
          <w:numId w:val="98"/>
        </w:numPr>
        <w:jc w:val="both"/>
        <w:rPr>
          <w:szCs w:val="24"/>
        </w:rPr>
      </w:pPr>
      <w:r w:rsidRPr="00667AF3">
        <w:rPr>
          <w:szCs w:val="24"/>
        </w:rPr>
        <w:t xml:space="preserve">par datu </w:t>
      </w:r>
      <w:r>
        <w:rPr>
          <w:szCs w:val="24"/>
        </w:rPr>
        <w:t xml:space="preserve">un funkcionālo informācijas sistēmu </w:t>
      </w:r>
      <w:r w:rsidRPr="00667AF3">
        <w:rPr>
          <w:szCs w:val="24"/>
        </w:rPr>
        <w:t>pārklāšanos 5 no 13 ministrijām norādīja, ka plāno efektivizēšanas pasākumus šajā jomā, pārējās norādīja, ka nav kons</w:t>
      </w:r>
      <w:r>
        <w:rPr>
          <w:szCs w:val="24"/>
        </w:rPr>
        <w:t>t</w:t>
      </w:r>
      <w:r w:rsidRPr="00667AF3">
        <w:rPr>
          <w:szCs w:val="24"/>
        </w:rPr>
        <w:t>atēta datu vai funkcionalitātes pārklāšanās</w:t>
      </w:r>
      <w:r>
        <w:rPr>
          <w:szCs w:val="24"/>
        </w:rPr>
        <w:t>;</w:t>
      </w:r>
      <w:r w:rsidRPr="00667AF3">
        <w:rPr>
          <w:szCs w:val="24"/>
        </w:rPr>
        <w:t xml:space="preserve"> </w:t>
      </w:r>
    </w:p>
    <w:p w:rsidR="00B908F1" w:rsidRDefault="00B908F1" w:rsidP="008C25BB">
      <w:pPr>
        <w:pStyle w:val="ListParagraph"/>
        <w:numPr>
          <w:ilvl w:val="0"/>
          <w:numId w:val="98"/>
        </w:numPr>
        <w:jc w:val="both"/>
        <w:rPr>
          <w:szCs w:val="24"/>
        </w:rPr>
      </w:pPr>
      <w:r>
        <w:rPr>
          <w:szCs w:val="24"/>
        </w:rPr>
        <w:t xml:space="preserve">tikai </w:t>
      </w:r>
      <w:r w:rsidRPr="00667AF3">
        <w:rPr>
          <w:szCs w:val="24"/>
        </w:rPr>
        <w:t xml:space="preserve">viena ministrija </w:t>
      </w:r>
      <w:r>
        <w:rPr>
          <w:szCs w:val="24"/>
        </w:rPr>
        <w:t xml:space="preserve">(LM) </w:t>
      </w:r>
      <w:r w:rsidRPr="00667AF3">
        <w:rPr>
          <w:szCs w:val="24"/>
        </w:rPr>
        <w:t>norādīja, ka konstatējusi tādu informācijas sistēmu</w:t>
      </w:r>
      <w:r w:rsidR="00307E00">
        <w:rPr>
          <w:szCs w:val="24"/>
        </w:rPr>
        <w:t xml:space="preserve"> (DLUS)</w:t>
      </w:r>
      <w:r w:rsidRPr="00667AF3">
        <w:rPr>
          <w:szCs w:val="24"/>
        </w:rPr>
        <w:t xml:space="preserve">, kas nesniedz gaidīto rezultātu, </w:t>
      </w:r>
      <w:r>
        <w:rPr>
          <w:szCs w:val="24"/>
        </w:rPr>
        <w:t xml:space="preserve">jautājums attiecībā uz citām ministrijām </w:t>
      </w:r>
      <w:r w:rsidRPr="00667AF3">
        <w:rPr>
          <w:szCs w:val="24"/>
        </w:rPr>
        <w:t xml:space="preserve">būtu vērtējams </w:t>
      </w:r>
      <w:r>
        <w:rPr>
          <w:szCs w:val="24"/>
        </w:rPr>
        <w:t>detalizētāk IKT jomas pārskatīšanas ietvaros;</w:t>
      </w:r>
    </w:p>
    <w:p w:rsidR="00B908F1" w:rsidRPr="0030232A" w:rsidRDefault="00B908F1" w:rsidP="008C25BB">
      <w:pPr>
        <w:pStyle w:val="ListParagraph"/>
        <w:numPr>
          <w:ilvl w:val="0"/>
          <w:numId w:val="98"/>
        </w:numPr>
        <w:jc w:val="both"/>
        <w:rPr>
          <w:szCs w:val="24"/>
        </w:rPr>
      </w:pPr>
      <w:r w:rsidRPr="0030232A">
        <w:rPr>
          <w:szCs w:val="24"/>
        </w:rPr>
        <w:t xml:space="preserve">par lētākām alternatīvām informācijas sistēmu datu uzturēšanā neviena no ministrijām nebija sniegusi priekšlikumus, tikai norādījusi, ka tas ir izvērtējams process un tā ietvaros jāņem vērā, vai informācijas sistēmu uzturēšanas alternatīvie risinājumi ilgtermiņā nav dārgāki, tomēr </w:t>
      </w:r>
      <w:r>
        <w:rPr>
          <w:szCs w:val="24"/>
        </w:rPr>
        <w:t xml:space="preserve">arī šis jautājums būtu vērtējams detalizētāk, jo, piemēram, FM, </w:t>
      </w:r>
      <w:r w:rsidRPr="0030232A">
        <w:rPr>
          <w:szCs w:val="24"/>
        </w:rPr>
        <w:t xml:space="preserve">izskatot VIS reģistru, konstatēja, ka IZM ir augstākā iestāde tādai </w:t>
      </w:r>
      <w:r>
        <w:rPr>
          <w:szCs w:val="24"/>
        </w:rPr>
        <w:t xml:space="preserve">VIS </w:t>
      </w:r>
      <w:r w:rsidRPr="0030232A">
        <w:rPr>
          <w:szCs w:val="24"/>
        </w:rPr>
        <w:t>kā “Bērnu un jauniešu nometņu vadītājiem izsniegto apliecību datubāze”, kuras pārzinis ir VISC</w:t>
      </w:r>
      <w:r>
        <w:rPr>
          <w:szCs w:val="24"/>
        </w:rPr>
        <w:t>, un,</w:t>
      </w:r>
      <w:r w:rsidRPr="0030232A">
        <w:rPr>
          <w:szCs w:val="24"/>
        </w:rPr>
        <w:t xml:space="preserve"> </w:t>
      </w:r>
      <w:r>
        <w:rPr>
          <w:szCs w:val="24"/>
        </w:rPr>
        <w:t>s</w:t>
      </w:r>
      <w:r w:rsidRPr="0030232A">
        <w:rPr>
          <w:szCs w:val="24"/>
        </w:rPr>
        <w:t xml:space="preserve">alīdzinot ar citām VIS un to aprakstiem, </w:t>
      </w:r>
      <w:r>
        <w:rPr>
          <w:szCs w:val="24"/>
        </w:rPr>
        <w:t xml:space="preserve">būtu izvērtējams, </w:t>
      </w:r>
      <w:r w:rsidRPr="0030232A">
        <w:rPr>
          <w:szCs w:val="24"/>
        </w:rPr>
        <w:t>vai šai sistēmai</w:t>
      </w:r>
      <w:r>
        <w:rPr>
          <w:szCs w:val="24"/>
        </w:rPr>
        <w:t xml:space="preserve"> kā alternatīvs risinājums</w:t>
      </w:r>
      <w:r w:rsidRPr="0030232A">
        <w:rPr>
          <w:szCs w:val="24"/>
        </w:rPr>
        <w:t xml:space="preserve"> varētu būt Microsoft Excel tabulā noformēts reģistrs</w:t>
      </w:r>
      <w:r w:rsidRPr="00A66F55">
        <w:rPr>
          <w:szCs w:val="24"/>
        </w:rPr>
        <w:t>;</w:t>
      </w:r>
    </w:p>
    <w:p w:rsidR="00B908F1" w:rsidRDefault="00B908F1" w:rsidP="00B908F1">
      <w:pPr>
        <w:ind w:firstLine="720"/>
        <w:jc w:val="both"/>
        <w:rPr>
          <w:szCs w:val="24"/>
          <w:highlight w:val="cyan"/>
        </w:rPr>
      </w:pPr>
    </w:p>
    <w:p w:rsidR="00B908F1" w:rsidRDefault="00B908F1" w:rsidP="00B908F1">
      <w:pPr>
        <w:ind w:firstLine="720"/>
        <w:jc w:val="both"/>
        <w:rPr>
          <w:szCs w:val="24"/>
        </w:rPr>
      </w:pPr>
      <w:r>
        <w:rPr>
          <w:szCs w:val="24"/>
        </w:rPr>
        <w:t xml:space="preserve">Ministrijas sanāksmju laikā papildus norādīja, ka viena no horizontāli risināmajām problēmām būtu pakalpojumu līgumi, kas saistīti ar resursu vadības programmu </w:t>
      </w:r>
      <w:r w:rsidRPr="003F6FB1">
        <w:rPr>
          <w:i/>
          <w:szCs w:val="24"/>
        </w:rPr>
        <w:t>Horizon</w:t>
      </w:r>
      <w:r>
        <w:rPr>
          <w:szCs w:val="24"/>
        </w:rPr>
        <w:t xml:space="preserve">, jo šo informācijas sistēmu lieto lielākā daļa valsts pārvaldes iestāžu, tās uzturēšana ir salīdzinoši dārga, iestādēm ir dažādas šīs informācijas sistēmas versijas, tām ir atšķirīgi atsevišķi līgumi ar </w:t>
      </w:r>
      <w:r>
        <w:rPr>
          <w:szCs w:val="24"/>
        </w:rPr>
        <w:lastRenderedPageBreak/>
        <w:t xml:space="preserve">sistēmas izstrādātāju, rezultātā ir arī atšķirīgs cenrādis par sniedzamo pakalpojumu apmaksu un tamlīdzīgi. </w:t>
      </w:r>
    </w:p>
    <w:p w:rsidR="00B908F1" w:rsidRPr="005F228F" w:rsidRDefault="00B908F1" w:rsidP="00B908F1">
      <w:pPr>
        <w:ind w:firstLine="720"/>
        <w:jc w:val="both"/>
        <w:rPr>
          <w:szCs w:val="24"/>
        </w:rPr>
      </w:pPr>
      <w:r w:rsidRPr="005F228F">
        <w:rPr>
          <w:szCs w:val="24"/>
        </w:rPr>
        <w:t>Papildus atsevišķas ministrijas norādīja, ka būtu nepieciešams centralizēti risināt arī jautājumu par Microsoft licenču nodrošināšanu, piemēram, veicot vienotu iepirkumu šajā jomā, ņemot vērā, ka šobrīd izmaksas par vienādu preci/pakalpojumu starp ministrijām mēdz atšķirties.</w:t>
      </w:r>
    </w:p>
    <w:p w:rsidR="00B908F1" w:rsidRPr="005F228F" w:rsidRDefault="00B908F1" w:rsidP="00B908F1">
      <w:pPr>
        <w:ind w:firstLine="720"/>
        <w:jc w:val="both"/>
        <w:rPr>
          <w:szCs w:val="24"/>
        </w:rPr>
      </w:pPr>
      <w:r w:rsidRPr="005F228F">
        <w:rPr>
          <w:szCs w:val="24"/>
        </w:rPr>
        <w:t>Attiecīgi arī šie ir jautājumi, kam jāpievērš pastiprināta uzmanība IKT jomas pārskatīšanas ietvaros.</w:t>
      </w:r>
    </w:p>
    <w:p w:rsidR="00B908F1" w:rsidRPr="005F228F" w:rsidRDefault="00B908F1" w:rsidP="00B908F1">
      <w:pPr>
        <w:ind w:firstLine="720"/>
        <w:jc w:val="both"/>
        <w:rPr>
          <w:szCs w:val="24"/>
        </w:rPr>
      </w:pPr>
    </w:p>
    <w:p w:rsidR="00B908F1" w:rsidRPr="005F228F" w:rsidRDefault="00B908F1" w:rsidP="00B908F1">
      <w:pPr>
        <w:ind w:firstLine="720"/>
        <w:jc w:val="both"/>
      </w:pPr>
      <w:r w:rsidRPr="005F228F">
        <w:rPr>
          <w:szCs w:val="24"/>
        </w:rPr>
        <w:t>VM pēc izdevumu pārskatīšanas sanāksmes sniedza informāciju</w:t>
      </w:r>
      <w:r w:rsidRPr="005F228F">
        <w:rPr>
          <w:rStyle w:val="FootnoteReference"/>
          <w:szCs w:val="24"/>
        </w:rPr>
        <w:footnoteReference w:id="126"/>
      </w:r>
      <w:r w:rsidRPr="005F228F">
        <w:rPr>
          <w:szCs w:val="24"/>
        </w:rPr>
        <w:t xml:space="preserve">, ka, veicot IKT centralizāciju un uzlabojot apstrādes efektivitāti statistikas datiem, kas nepieciešami citām valsts pārvaldes iestādēm, pētniekiem un citiem Latvijas sabiedrības pārstāvjiem, samazināsies laika patēriņš datu pieprasījumu sagatavošanai, saskaņošanai, datu interpretēšanai un citu ar datu iegūšanu saistīto uzdevumu izpildei, attiecīgi sagaidāms, ka uzlabojumi varētu radīt laika ietaupījumu gan nozarē, gan ārpus tās (VM provizoriskā vērtējumā tikai nozarē ietaupījums būtu aptuveni 200 tūkstoši </w:t>
      </w:r>
      <w:r w:rsidRPr="005F228F">
        <w:rPr>
          <w:i/>
          <w:szCs w:val="24"/>
        </w:rPr>
        <w:t>euro</w:t>
      </w:r>
      <w:r w:rsidRPr="005F228F">
        <w:rPr>
          <w:szCs w:val="24"/>
        </w:rPr>
        <w:t xml:space="preserve">, kas aprēķināts, pieņemot, ka 100 darbiniekiem, kuriem viena darbinieka vidējās izmaksas ir 1 200 </w:t>
      </w:r>
      <w:r w:rsidRPr="005F228F">
        <w:rPr>
          <w:i/>
          <w:szCs w:val="24"/>
        </w:rPr>
        <w:t>euro</w:t>
      </w:r>
      <w:r w:rsidRPr="005F228F">
        <w:rPr>
          <w:szCs w:val="24"/>
        </w:rPr>
        <w:t>/mēnesī, uzlabojumu rezultātā varētu veidoties aptuveni 15% nepieciešamā laika patēriņa samazinājums). Šis ir viens no aspektiem, kas būtu izvērtējams visās ministrijās.</w:t>
      </w:r>
    </w:p>
    <w:p w:rsidR="00B908F1" w:rsidRDefault="00B908F1" w:rsidP="00B908F1">
      <w:pPr>
        <w:ind w:firstLine="720"/>
        <w:jc w:val="both"/>
        <w:rPr>
          <w:szCs w:val="24"/>
        </w:rPr>
      </w:pPr>
    </w:p>
    <w:p w:rsidR="00B908F1" w:rsidRDefault="00B908F1" w:rsidP="00B908F1">
      <w:pPr>
        <w:ind w:firstLine="720"/>
        <w:jc w:val="both"/>
        <w:rPr>
          <w:szCs w:val="24"/>
        </w:rPr>
      </w:pPr>
      <w:r>
        <w:rPr>
          <w:szCs w:val="24"/>
        </w:rPr>
        <w:t>Kopumā vērtējot ministriju sniegto informāciju, konstatējams, ka turpmākās IKT jomas analīzei ir nepieciešams definēt skaidru informācijas pieprasījuma formu, lai analizējamie dati būtu savstarpēji salīdzināmi.</w:t>
      </w:r>
    </w:p>
    <w:p w:rsidR="00B908F1" w:rsidRDefault="00B908F1" w:rsidP="00B908F1">
      <w:pPr>
        <w:ind w:firstLine="720"/>
        <w:jc w:val="both"/>
        <w:rPr>
          <w:szCs w:val="24"/>
        </w:rPr>
      </w:pPr>
    </w:p>
    <w:p w:rsidR="00B908F1" w:rsidRDefault="00B908F1" w:rsidP="00B908F1">
      <w:pPr>
        <w:ind w:firstLine="720"/>
        <w:jc w:val="both"/>
        <w:rPr>
          <w:szCs w:val="24"/>
        </w:rPr>
      </w:pPr>
      <w:r>
        <w:rPr>
          <w:szCs w:val="24"/>
        </w:rPr>
        <w:t>Ņemot vērā minēto, IKT jomas pārskatīšanas uzsākšanai tika definētas trīs darbības jomas:</w:t>
      </w:r>
    </w:p>
    <w:p w:rsidR="00B908F1" w:rsidRDefault="00B908F1" w:rsidP="008C25BB">
      <w:pPr>
        <w:pStyle w:val="ListParagraph"/>
        <w:numPr>
          <w:ilvl w:val="0"/>
          <w:numId w:val="97"/>
        </w:numPr>
        <w:jc w:val="both"/>
      </w:pPr>
      <w:r>
        <w:t xml:space="preserve">A joma – </w:t>
      </w:r>
      <w:r w:rsidRPr="00930E09">
        <w:t>IKT pārvaldības optimizācija</w:t>
      </w:r>
      <w:r>
        <w:t xml:space="preserve">, </w:t>
      </w:r>
    </w:p>
    <w:p w:rsidR="00B908F1" w:rsidRPr="00D43590" w:rsidRDefault="00B908F1" w:rsidP="008C25BB">
      <w:pPr>
        <w:pStyle w:val="ListParagraph"/>
        <w:numPr>
          <w:ilvl w:val="0"/>
          <w:numId w:val="97"/>
        </w:numPr>
        <w:jc w:val="both"/>
        <w:rPr>
          <w:szCs w:val="24"/>
        </w:rPr>
      </w:pPr>
      <w:r>
        <w:t xml:space="preserve">B joma – </w:t>
      </w:r>
      <w:r w:rsidRPr="00930E09">
        <w:t>IKT risinājumos balstīto administratīvo funkciju optimizācija</w:t>
      </w:r>
      <w:r>
        <w:t>,</w:t>
      </w:r>
    </w:p>
    <w:p w:rsidR="00B908F1" w:rsidRPr="007B2C8A" w:rsidRDefault="00B908F1" w:rsidP="008C25BB">
      <w:pPr>
        <w:pStyle w:val="ListParagraph"/>
        <w:numPr>
          <w:ilvl w:val="0"/>
          <w:numId w:val="97"/>
        </w:numPr>
        <w:jc w:val="both"/>
        <w:rPr>
          <w:szCs w:val="24"/>
        </w:rPr>
      </w:pPr>
      <w:r>
        <w:t xml:space="preserve">C joma – </w:t>
      </w:r>
      <w:r w:rsidRPr="00930E09">
        <w:t>Publisko pakalpojumu sniegšanas optimizācija</w:t>
      </w:r>
      <w:r>
        <w:t>.</w:t>
      </w:r>
    </w:p>
    <w:p w:rsidR="00B908F1" w:rsidRDefault="00B908F1" w:rsidP="00B908F1">
      <w:pPr>
        <w:jc w:val="both"/>
        <w:rPr>
          <w:szCs w:val="24"/>
        </w:rPr>
      </w:pPr>
    </w:p>
    <w:p w:rsidR="00B908F1" w:rsidRDefault="00B908F1" w:rsidP="00B908F1">
      <w:pPr>
        <w:ind w:firstLine="720"/>
        <w:jc w:val="both"/>
        <w:rPr>
          <w:szCs w:val="24"/>
        </w:rPr>
      </w:pPr>
      <w:r>
        <w:rPr>
          <w:szCs w:val="24"/>
        </w:rPr>
        <w:t xml:space="preserve">Uzdevumi, kas veicami katras jomas ietvaros, ir norādīti </w:t>
      </w:r>
      <w:r w:rsidR="001D19CD" w:rsidRPr="001D19CD">
        <w:rPr>
          <w:szCs w:val="24"/>
        </w:rPr>
        <w:t>1</w:t>
      </w:r>
      <w:r w:rsidR="007C421B">
        <w:rPr>
          <w:szCs w:val="24"/>
        </w:rPr>
        <w:t>4</w:t>
      </w:r>
      <w:r w:rsidRPr="001D19CD">
        <w:rPr>
          <w:szCs w:val="24"/>
        </w:rPr>
        <w:t>.pielikumā</w:t>
      </w:r>
      <w:r>
        <w:rPr>
          <w:rStyle w:val="FootnoteReference"/>
          <w:szCs w:val="24"/>
        </w:rPr>
        <w:footnoteReference w:id="127"/>
      </w:r>
      <w:r>
        <w:rPr>
          <w:szCs w:val="24"/>
        </w:rPr>
        <w:t>, ar kura izstrādāšanu tiek izpildīts MK uzdevums par IKT jomas pārskatīšanas darbības plāna izstrādi</w:t>
      </w:r>
      <w:r>
        <w:rPr>
          <w:rStyle w:val="FootnoteReference"/>
          <w:szCs w:val="24"/>
        </w:rPr>
        <w:footnoteReference w:id="128"/>
      </w:r>
      <w:r>
        <w:rPr>
          <w:szCs w:val="24"/>
        </w:rPr>
        <w:t xml:space="preserve">. </w:t>
      </w:r>
      <w:r w:rsidRPr="005F228F">
        <w:rPr>
          <w:szCs w:val="24"/>
        </w:rPr>
        <w:t xml:space="preserve">Turpmākās darbības plānā kopā šobrīd ir definēti 23 uzdevumi, kas īstenojami 1-3 gadu ietvaros, kā arī ilgākā termiņā, turklāt </w:t>
      </w:r>
      <w:r w:rsidR="001B3901">
        <w:rPr>
          <w:szCs w:val="24"/>
        </w:rPr>
        <w:t>3</w:t>
      </w:r>
      <w:bookmarkStart w:id="37" w:name="_GoBack"/>
      <w:bookmarkEnd w:id="37"/>
      <w:r w:rsidRPr="005F228F">
        <w:rPr>
          <w:szCs w:val="24"/>
        </w:rPr>
        <w:t xml:space="preserve"> no tiem ir prioritārie uzdevumi, kas īstenojami līdz 2018.gada 1.</w:t>
      </w:r>
      <w:r w:rsidR="006070DB">
        <w:rPr>
          <w:szCs w:val="24"/>
        </w:rPr>
        <w:t>augustam</w:t>
      </w:r>
      <w:r w:rsidR="00B54634">
        <w:rPr>
          <w:szCs w:val="24"/>
        </w:rPr>
        <w:t xml:space="preserve"> (skat. tabulu Nr.4.2</w:t>
      </w:r>
      <w:r w:rsidR="00D86274">
        <w:rPr>
          <w:szCs w:val="24"/>
        </w:rPr>
        <w:t>.</w:t>
      </w:r>
      <w:r w:rsidR="00B54634">
        <w:rPr>
          <w:szCs w:val="24"/>
        </w:rPr>
        <w:t>)</w:t>
      </w:r>
      <w:r w:rsidRPr="005F228F">
        <w:rPr>
          <w:szCs w:val="24"/>
        </w:rPr>
        <w:t>, lai sniegtu rezultātus izdevumu pārskatīšanai, kas tiks veikta 2018.gadā.</w:t>
      </w:r>
    </w:p>
    <w:p w:rsidR="00B908F1" w:rsidRDefault="00B908F1" w:rsidP="00B908F1">
      <w:pPr>
        <w:jc w:val="right"/>
        <w:rPr>
          <w:szCs w:val="24"/>
        </w:rPr>
      </w:pPr>
      <w:r w:rsidRPr="001D19CD">
        <w:rPr>
          <w:szCs w:val="24"/>
        </w:rPr>
        <w:t>Tabula Nr.</w:t>
      </w:r>
      <w:r w:rsidR="001D19CD" w:rsidRPr="001D19CD">
        <w:rPr>
          <w:szCs w:val="24"/>
        </w:rPr>
        <w:t>4.2</w:t>
      </w:r>
      <w:r w:rsidR="00D86274">
        <w:rPr>
          <w:szCs w:val="24"/>
        </w:rPr>
        <w:t>.</w:t>
      </w:r>
    </w:p>
    <w:p w:rsidR="00B334D2" w:rsidRDefault="00B334D2" w:rsidP="00B334D2">
      <w:pPr>
        <w:jc w:val="center"/>
        <w:rPr>
          <w:b/>
          <w:szCs w:val="24"/>
        </w:rPr>
      </w:pPr>
    </w:p>
    <w:p w:rsidR="00B908F1" w:rsidRPr="00107DEB" w:rsidRDefault="00B908F1" w:rsidP="00B908F1">
      <w:pPr>
        <w:spacing w:after="120"/>
        <w:jc w:val="center"/>
        <w:rPr>
          <w:b/>
          <w:szCs w:val="24"/>
        </w:rPr>
      </w:pPr>
      <w:r w:rsidRPr="00107DEB">
        <w:rPr>
          <w:b/>
          <w:szCs w:val="24"/>
        </w:rPr>
        <w:t>Prioritārie uzdevumi, kas īstenojami līdz 2018.gada 1.</w:t>
      </w:r>
      <w:r w:rsidR="006070DB">
        <w:rPr>
          <w:b/>
          <w:szCs w:val="24"/>
        </w:rPr>
        <w:t>augustam</w:t>
      </w:r>
    </w:p>
    <w:tbl>
      <w:tblPr>
        <w:tblStyle w:val="TableGrid"/>
        <w:tblW w:w="9351" w:type="dxa"/>
        <w:tblLook w:val="04A0" w:firstRow="1" w:lastRow="0" w:firstColumn="1" w:lastColumn="0" w:noHBand="0" w:noVBand="1"/>
      </w:tblPr>
      <w:tblGrid>
        <w:gridCol w:w="7366"/>
        <w:gridCol w:w="1985"/>
      </w:tblGrid>
      <w:tr w:rsidR="00B908F1" w:rsidRPr="001D19CD" w:rsidTr="00A931A3">
        <w:trPr>
          <w:tblHeader/>
        </w:trPr>
        <w:tc>
          <w:tcPr>
            <w:tcW w:w="7366" w:type="dxa"/>
            <w:shd w:val="clear" w:color="auto" w:fill="C5E0B3" w:themeFill="accent6" w:themeFillTint="66"/>
            <w:vAlign w:val="center"/>
          </w:tcPr>
          <w:p w:rsidR="00B908F1" w:rsidRPr="001D19CD" w:rsidRDefault="00B908F1" w:rsidP="00A931A3">
            <w:pPr>
              <w:jc w:val="center"/>
              <w:rPr>
                <w:b/>
                <w:sz w:val="22"/>
              </w:rPr>
            </w:pPr>
            <w:r w:rsidRPr="001D19CD">
              <w:rPr>
                <w:sz w:val="22"/>
              </w:rPr>
              <w:t>Uzdevums</w:t>
            </w:r>
          </w:p>
        </w:tc>
        <w:tc>
          <w:tcPr>
            <w:tcW w:w="1985" w:type="dxa"/>
            <w:shd w:val="clear" w:color="auto" w:fill="C5E0B3" w:themeFill="accent6" w:themeFillTint="66"/>
            <w:vAlign w:val="center"/>
          </w:tcPr>
          <w:p w:rsidR="00B908F1" w:rsidRPr="001D19CD" w:rsidRDefault="00B908F1" w:rsidP="00A931A3">
            <w:pPr>
              <w:jc w:val="center"/>
              <w:rPr>
                <w:b/>
                <w:sz w:val="22"/>
              </w:rPr>
            </w:pPr>
            <w:r w:rsidRPr="001D19CD">
              <w:rPr>
                <w:sz w:val="22"/>
              </w:rPr>
              <w:t>Atbildīgā/ līdzatbildīgā institūcija</w:t>
            </w:r>
          </w:p>
        </w:tc>
      </w:tr>
      <w:tr w:rsidR="00B908F1" w:rsidRPr="001D19CD" w:rsidTr="00A931A3">
        <w:tc>
          <w:tcPr>
            <w:tcW w:w="7366" w:type="dxa"/>
          </w:tcPr>
          <w:p w:rsidR="00B908F1" w:rsidRPr="001D19CD" w:rsidRDefault="00B908F1" w:rsidP="00A931A3">
            <w:pPr>
              <w:rPr>
                <w:sz w:val="22"/>
              </w:rPr>
            </w:pPr>
            <w:r w:rsidRPr="001D19CD">
              <w:rPr>
                <w:sz w:val="22"/>
              </w:rPr>
              <w:t>Apkopot datus par informācijas sistēmu uzturēšanu, analizēt informācijas sistēmu uzturēšanas procesus un sagatavot izvērtējumu  (A joma)</w:t>
            </w:r>
          </w:p>
        </w:tc>
        <w:tc>
          <w:tcPr>
            <w:tcW w:w="1985" w:type="dxa"/>
          </w:tcPr>
          <w:p w:rsidR="00B908F1" w:rsidRPr="001D19CD" w:rsidRDefault="00B908F1" w:rsidP="00A931A3">
            <w:pPr>
              <w:jc w:val="center"/>
              <w:rPr>
                <w:b/>
                <w:sz w:val="22"/>
              </w:rPr>
            </w:pPr>
            <w:r w:rsidRPr="001D19CD">
              <w:rPr>
                <w:sz w:val="22"/>
              </w:rPr>
              <w:t>VARAM/ visas ministrijas</w:t>
            </w:r>
          </w:p>
        </w:tc>
      </w:tr>
      <w:tr w:rsidR="00B908F1" w:rsidRPr="001D19CD" w:rsidTr="00A931A3">
        <w:tc>
          <w:tcPr>
            <w:tcW w:w="7366" w:type="dxa"/>
          </w:tcPr>
          <w:p w:rsidR="00B908F1" w:rsidRPr="001D19CD" w:rsidRDefault="00B908F1" w:rsidP="00A931A3">
            <w:pPr>
              <w:rPr>
                <w:sz w:val="22"/>
              </w:rPr>
            </w:pPr>
            <w:r w:rsidRPr="001D19CD">
              <w:rPr>
                <w:sz w:val="22"/>
              </w:rPr>
              <w:t>Izvērtēt iespēju nodrošināt centralizētu IKT attīstības projektu portfeļa plānošanu, vērtēšanu un uzraudzību (A joma)</w:t>
            </w:r>
          </w:p>
        </w:tc>
        <w:tc>
          <w:tcPr>
            <w:tcW w:w="1985" w:type="dxa"/>
          </w:tcPr>
          <w:p w:rsidR="00B908F1" w:rsidRPr="001D19CD" w:rsidRDefault="00B908F1" w:rsidP="00A931A3">
            <w:pPr>
              <w:jc w:val="center"/>
              <w:rPr>
                <w:sz w:val="22"/>
              </w:rPr>
            </w:pPr>
            <w:r w:rsidRPr="001D19CD">
              <w:rPr>
                <w:sz w:val="22"/>
              </w:rPr>
              <w:t>VARAM/ FM</w:t>
            </w:r>
          </w:p>
        </w:tc>
      </w:tr>
      <w:tr w:rsidR="00B908F1" w:rsidRPr="001D19CD" w:rsidTr="00A931A3">
        <w:tc>
          <w:tcPr>
            <w:tcW w:w="7366" w:type="dxa"/>
          </w:tcPr>
          <w:p w:rsidR="00B908F1" w:rsidRPr="001D19CD" w:rsidRDefault="00B908F1" w:rsidP="00A931A3">
            <w:pPr>
              <w:rPr>
                <w:sz w:val="22"/>
              </w:rPr>
            </w:pPr>
            <w:r w:rsidRPr="001D19CD">
              <w:rPr>
                <w:sz w:val="22"/>
              </w:rPr>
              <w:lastRenderedPageBreak/>
              <w:t>Izvērtēt iepirkumu funkcijas konsolidācijas un iepirkumu atbalsta funkcijas centralizācijas potenciālu un piedāvāt iespējamos centralizācijas risinājumus (B joma)</w:t>
            </w:r>
          </w:p>
        </w:tc>
        <w:tc>
          <w:tcPr>
            <w:tcW w:w="1985" w:type="dxa"/>
          </w:tcPr>
          <w:p w:rsidR="00B908F1" w:rsidRPr="001D19CD" w:rsidRDefault="00B908F1" w:rsidP="00A931A3">
            <w:pPr>
              <w:jc w:val="center"/>
              <w:rPr>
                <w:sz w:val="22"/>
              </w:rPr>
            </w:pPr>
            <w:r w:rsidRPr="001D19CD">
              <w:rPr>
                <w:sz w:val="22"/>
              </w:rPr>
              <w:t>VARAM (VRAA)/ FM</w:t>
            </w:r>
            <w:r w:rsidR="00C809CB">
              <w:rPr>
                <w:sz w:val="22"/>
              </w:rPr>
              <w:t>,</w:t>
            </w:r>
            <w:r w:rsidR="00C809CB">
              <w:t xml:space="preserve"> </w:t>
            </w:r>
            <w:r w:rsidR="00C809CB" w:rsidRPr="00C809CB">
              <w:rPr>
                <w:sz w:val="22"/>
              </w:rPr>
              <w:t>Valsts kanceleja</w:t>
            </w:r>
          </w:p>
        </w:tc>
      </w:tr>
    </w:tbl>
    <w:p w:rsidR="0072233C" w:rsidRDefault="0072233C" w:rsidP="0072233C"/>
    <w:p w:rsidR="0072233C" w:rsidRDefault="0072233C" w:rsidP="0072233C"/>
    <w:p w:rsidR="0072233C" w:rsidRDefault="0072233C" w:rsidP="0072233C">
      <w:r>
        <w:t xml:space="preserve">         Finanšu ministre</w:t>
      </w:r>
      <w:r>
        <w:tab/>
        <w:t xml:space="preserve"> </w:t>
      </w:r>
      <w:r>
        <w:tab/>
      </w:r>
      <w:r>
        <w:tab/>
      </w:r>
      <w:r>
        <w:tab/>
      </w:r>
      <w:r>
        <w:tab/>
      </w:r>
      <w:r>
        <w:tab/>
      </w:r>
      <w:r>
        <w:tab/>
        <w:t>D.Reizniece-Ozola</w:t>
      </w:r>
    </w:p>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Default="0072233C" w:rsidP="0072233C"/>
    <w:p w:rsidR="0072233C" w:rsidRPr="0072233C" w:rsidRDefault="0072233C" w:rsidP="0072233C">
      <w:pPr>
        <w:rPr>
          <w:sz w:val="20"/>
          <w:szCs w:val="20"/>
        </w:rPr>
      </w:pPr>
      <w:r w:rsidRPr="0072233C">
        <w:rPr>
          <w:sz w:val="20"/>
          <w:szCs w:val="20"/>
        </w:rPr>
        <w:t>Andris Baumanis, 67083981</w:t>
      </w:r>
    </w:p>
    <w:p w:rsidR="00EF1F9F" w:rsidRPr="003F0658" w:rsidRDefault="0072233C" w:rsidP="003F0658">
      <w:r w:rsidRPr="0072233C">
        <w:rPr>
          <w:sz w:val="20"/>
          <w:szCs w:val="20"/>
        </w:rPr>
        <w:t xml:space="preserve">andris.baumanis@fm.gov.lv </w:t>
      </w:r>
      <w:r w:rsidR="00D76317">
        <w:rPr>
          <w:sz w:val="20"/>
          <w:szCs w:val="20"/>
        </w:rPr>
        <w:t xml:space="preserve"> </w:t>
      </w:r>
    </w:p>
    <w:sectPr w:rsidR="00EF1F9F" w:rsidRPr="003F0658" w:rsidSect="000A371D">
      <w:headerReference w:type="default" r:id="rId143"/>
      <w:footerReference w:type="default" r:id="rId144"/>
      <w:footnotePr>
        <w:numRestart w:val="eachPage"/>
      </w:footnotePr>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784" w:rsidRDefault="00F16784" w:rsidP="009332EA">
      <w:r>
        <w:separator/>
      </w:r>
    </w:p>
  </w:endnote>
  <w:endnote w:type="continuationSeparator" w:id="0">
    <w:p w:rsidR="00F16784" w:rsidRDefault="00F16784" w:rsidP="0093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Liberation Serif">
    <w:altName w:val="Times New Roman"/>
    <w:charset w:val="00"/>
    <w:family w:val="roman"/>
    <w:pitch w:val="variable"/>
  </w:font>
  <w:font w:name="Droid Sans Fallback">
    <w:altName w:val="Times New Roman"/>
    <w:charset w:val="00"/>
    <w:family w:val="auto"/>
    <w:pitch w:val="variable"/>
  </w:font>
  <w:font w:name="FreeSans">
    <w:altName w:val="Arial"/>
    <w:charset w:val="00"/>
    <w:family w:val="swiss"/>
    <w:pitch w:val="default"/>
  </w:font>
  <w:font w:name="Minion Pro">
    <w:altName w:val="Times New Roman"/>
    <w:panose1 w:val="00000000000000000000"/>
    <w:charset w:val="00"/>
    <w:family w:val="roman"/>
    <w:notTrueType/>
    <w:pitch w:val="variable"/>
    <w:sig w:usb0="E00002AF" w:usb1="5000E07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mn-ea">
    <w:panose1 w:val="00000000000000000000"/>
    <w:charset w:val="00"/>
    <w:family w:val="roman"/>
    <w:notTrueType/>
    <w:pitch w:val="default"/>
  </w:font>
  <w:font w:name="Verdana">
    <w:panose1 w:val="020B0604030504040204"/>
    <w:charset w:val="BA"/>
    <w:family w:val="swiss"/>
    <w:pitch w:val="variable"/>
    <w:sig w:usb0="A10006FF" w:usb1="4000205B" w:usb2="0000001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84" w:rsidRPr="009332EA" w:rsidRDefault="00F16784" w:rsidP="009332EA">
    <w:pPr>
      <w:pStyle w:val="Footer"/>
      <w:jc w:val="both"/>
      <w:rPr>
        <w:sz w:val="20"/>
        <w:szCs w:val="20"/>
      </w:rPr>
    </w:pPr>
    <w:r w:rsidRPr="004D7AE0">
      <w:rPr>
        <w:rFonts w:cs="Times New Roman"/>
        <w:sz w:val="20"/>
        <w:szCs w:val="20"/>
      </w:rPr>
      <w:fldChar w:fldCharType="begin"/>
    </w:r>
    <w:r w:rsidRPr="004D7AE0">
      <w:rPr>
        <w:rFonts w:cs="Times New Roman"/>
        <w:sz w:val="20"/>
        <w:szCs w:val="20"/>
      </w:rPr>
      <w:instrText xml:space="preserve"> FILENAME   \* MERGEFORMAT </w:instrText>
    </w:r>
    <w:r w:rsidRPr="004D7AE0">
      <w:rPr>
        <w:rFonts w:cs="Times New Roman"/>
        <w:sz w:val="20"/>
        <w:szCs w:val="20"/>
      </w:rPr>
      <w:fldChar w:fldCharType="separate"/>
    </w:r>
    <w:r w:rsidR="00A73CAE">
      <w:rPr>
        <w:rFonts w:cs="Times New Roman"/>
        <w:noProof/>
        <w:sz w:val="20"/>
        <w:szCs w:val="20"/>
      </w:rPr>
      <w:t>FMzin_160817_parsk.docx</w:t>
    </w:r>
    <w:r w:rsidRPr="004D7AE0">
      <w:rPr>
        <w:rFonts w:cs="Times New Roman"/>
        <w:sz w:val="20"/>
        <w:szCs w:val="20"/>
      </w:rPr>
      <w:fldChar w:fldCharType="end"/>
    </w:r>
    <w:r>
      <w:rPr>
        <w:rFonts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784" w:rsidRDefault="00F16784" w:rsidP="009332EA">
      <w:r>
        <w:separator/>
      </w:r>
    </w:p>
  </w:footnote>
  <w:footnote w:type="continuationSeparator" w:id="0">
    <w:p w:rsidR="00F16784" w:rsidRDefault="00F16784" w:rsidP="009332EA">
      <w:r>
        <w:continuationSeparator/>
      </w:r>
    </w:p>
  </w:footnote>
  <w:footnote w:id="1">
    <w:p w:rsidR="00F16784" w:rsidRDefault="00F16784">
      <w:pPr>
        <w:pStyle w:val="FootnoteText"/>
      </w:pPr>
      <w:r>
        <w:rPr>
          <w:rStyle w:val="FootnoteReference"/>
        </w:rPr>
        <w:footnoteRef/>
      </w:r>
      <w:r>
        <w:t xml:space="preserve"> </w:t>
      </w:r>
      <w:r w:rsidRPr="00412683">
        <w:rPr>
          <w:rFonts w:cs="Times New Roman"/>
        </w:rPr>
        <w:t>Izņemot AiM prezentācij</w:t>
      </w:r>
      <w:r>
        <w:rPr>
          <w:rFonts w:cs="Times New Roman"/>
        </w:rPr>
        <w:t>u</w:t>
      </w:r>
      <w:r w:rsidRPr="00412683">
        <w:rPr>
          <w:rFonts w:cs="Times New Roman"/>
        </w:rPr>
        <w:t xml:space="preserve"> (</w:t>
      </w:r>
      <w:r w:rsidRPr="00412683">
        <w:rPr>
          <w:rStyle w:val="Strong"/>
          <w:rFonts w:cs="Times New Roman"/>
          <w:b w:val="0"/>
          <w:shd w:val="clear" w:color="auto" w:fill="FFFFFF"/>
        </w:rPr>
        <w:t>ierobežotas pieejamības informācija</w:t>
      </w:r>
      <w:r w:rsidRPr="00412683">
        <w:rPr>
          <w:rFonts w:cs="Times New Roman"/>
        </w:rPr>
        <w:t>).</w:t>
      </w:r>
    </w:p>
  </w:footnote>
  <w:footnote w:id="2">
    <w:p w:rsidR="00F16784" w:rsidRDefault="00F16784">
      <w:pPr>
        <w:pStyle w:val="FootnoteText"/>
      </w:pPr>
      <w:r>
        <w:rPr>
          <w:rStyle w:val="FootnoteReference"/>
        </w:rPr>
        <w:footnoteRef/>
      </w:r>
      <w:r>
        <w:t xml:space="preserve"> Informācija uz 20.06.2017.</w:t>
      </w:r>
    </w:p>
  </w:footnote>
  <w:footnote w:id="3">
    <w:p w:rsidR="00F16784" w:rsidRDefault="00F16784">
      <w:pPr>
        <w:pStyle w:val="FootnoteText"/>
      </w:pPr>
      <w:r>
        <w:rPr>
          <w:rStyle w:val="FootnoteReference"/>
        </w:rPr>
        <w:footnoteRef/>
      </w:r>
      <w:r>
        <w:t xml:space="preserve"> Uzdevumi, kuru izpildes statusu nav iespējams novērtēt.</w:t>
      </w:r>
    </w:p>
  </w:footnote>
  <w:footnote w:id="4">
    <w:p w:rsidR="00F16784" w:rsidRDefault="00F16784" w:rsidP="00C62BAA">
      <w:pPr>
        <w:pStyle w:val="FootnoteText"/>
        <w:jc w:val="both"/>
      </w:pPr>
      <w:r>
        <w:rPr>
          <w:rStyle w:val="FootnoteReference"/>
        </w:rPr>
        <w:footnoteRef/>
      </w:r>
      <w:r>
        <w:t xml:space="preserve"> VPK, Saeima, TB, SPRK, VKo, AT, ST, Prokuratūra, RTV</w:t>
      </w:r>
    </w:p>
  </w:footnote>
  <w:footnote w:id="5">
    <w:p w:rsidR="00F16784" w:rsidRDefault="00F16784" w:rsidP="00BD3230">
      <w:pPr>
        <w:jc w:val="both"/>
      </w:pPr>
      <w:r>
        <w:rPr>
          <w:rStyle w:val="FootnoteReference"/>
        </w:rPr>
        <w:footnoteRef/>
      </w:r>
      <w:r>
        <w:t xml:space="preserve"> </w:t>
      </w:r>
      <w:r w:rsidRPr="00EB2A2C">
        <w:rPr>
          <w:i/>
          <w:sz w:val="20"/>
          <w:szCs w:val="20"/>
        </w:rPr>
        <w:t>* MK 2005.gada 27.decembra noteikumi Nr.1031 “Noteikumi par budžetu izdevumu klasifikāciju atbilstoši ekonomiskajām kategorijām” (turpmāk – MK noteikumi Nr.1031).</w:t>
      </w:r>
    </w:p>
  </w:footnote>
  <w:footnote w:id="6">
    <w:p w:rsidR="00F16784" w:rsidRDefault="00F16784">
      <w:pPr>
        <w:pStyle w:val="FootnoteText"/>
      </w:pPr>
      <w:r>
        <w:rPr>
          <w:rStyle w:val="FootnoteReference"/>
        </w:rPr>
        <w:footnoteRef/>
      </w:r>
      <w:r>
        <w:t xml:space="preserve"> Saskaņā ar Valsts kases “Valsts budžeta iestāžu saraksts” uz 01.01.2017.</w:t>
      </w:r>
      <w:r w:rsidRPr="00D72B05">
        <w:t xml:space="preserve"> (</w:t>
      </w:r>
      <w:hyperlink r:id="rId1" w:history="1">
        <w:r w:rsidRPr="00B01655">
          <w:rPr>
            <w:rStyle w:val="Hyperlink"/>
            <w:color w:val="auto"/>
          </w:rPr>
          <w:t>http://www.kase.gov.lv/uploaded_files/Pasvaldibam/iestades_PAS_VBI_01012017.pdf</w:t>
        </w:r>
      </w:hyperlink>
      <w:r w:rsidRPr="00B01655">
        <w:t xml:space="preserve">)  </w:t>
      </w:r>
    </w:p>
  </w:footnote>
  <w:footnote w:id="7">
    <w:p w:rsidR="00F16784" w:rsidRDefault="00F16784">
      <w:pPr>
        <w:pStyle w:val="FootnoteText"/>
      </w:pPr>
      <w:r>
        <w:rPr>
          <w:rStyle w:val="FootnoteReference"/>
        </w:rPr>
        <w:footnoteRef/>
      </w:r>
      <w:r>
        <w:t xml:space="preserve"> </w:t>
      </w:r>
      <w:hyperlink r:id="rId2" w:history="1">
        <w:r w:rsidRPr="00A24721">
          <w:rPr>
            <w:rStyle w:val="Hyperlink"/>
            <w:color w:val="auto"/>
          </w:rPr>
          <w:t>http://www.csb.gov.lv/statistikas-temas/darbaspeka-izmaksas-galvenie-raditaji-30319.html</w:t>
        </w:r>
      </w:hyperlink>
      <w:r w:rsidRPr="00A24721">
        <w:t xml:space="preserve"> </w:t>
      </w:r>
    </w:p>
  </w:footnote>
  <w:footnote w:id="8">
    <w:p w:rsidR="00F16784" w:rsidRPr="00BF445B" w:rsidRDefault="00F16784" w:rsidP="00BA4D8A">
      <w:pPr>
        <w:pStyle w:val="FootnoteText"/>
      </w:pPr>
      <w:r>
        <w:rPr>
          <w:rStyle w:val="FootnoteReference"/>
        </w:rPr>
        <w:footnoteRef/>
      </w:r>
      <w:r>
        <w:t xml:space="preserve"> Saskaņā ar Valsts kases “Valsts budžeta iestāžu saraksts” uz 01.01.2017.</w:t>
      </w:r>
      <w:r w:rsidRPr="00D72B05">
        <w:t xml:space="preserve"> (</w:t>
      </w:r>
      <w:hyperlink r:id="rId3" w:history="1">
        <w:r w:rsidRPr="00BF445B">
          <w:rPr>
            <w:rStyle w:val="Hyperlink"/>
            <w:color w:val="auto"/>
          </w:rPr>
          <w:t>http://www.kase.gov.lv/uploaded_files/Pasvaldibam/iestades_PAS_VBI_01012017.pdf</w:t>
        </w:r>
      </w:hyperlink>
      <w:r w:rsidRPr="00BF445B">
        <w:t xml:space="preserve">)  </w:t>
      </w:r>
    </w:p>
  </w:footnote>
  <w:footnote w:id="9">
    <w:p w:rsidR="00F16784" w:rsidRDefault="00F16784" w:rsidP="00BA4D8A">
      <w:pPr>
        <w:pStyle w:val="FootnoteText"/>
      </w:pPr>
      <w:r w:rsidRPr="00BF445B">
        <w:rPr>
          <w:rStyle w:val="FootnoteReference"/>
        </w:rPr>
        <w:footnoteRef/>
      </w:r>
      <w:r w:rsidRPr="00BF445B">
        <w:t xml:space="preserve"> </w:t>
      </w:r>
      <w:hyperlink r:id="rId4" w:history="1">
        <w:r w:rsidRPr="00BF445B">
          <w:rPr>
            <w:rStyle w:val="Hyperlink"/>
            <w:color w:val="auto"/>
          </w:rPr>
          <w:t>http://www.csb.gov.lv/statistikas-temas/darbaspeka-izmaksas-galvenie-raditaji-30319.html</w:t>
        </w:r>
      </w:hyperlink>
      <w:r w:rsidRPr="00BF445B">
        <w:t xml:space="preserve"> </w:t>
      </w:r>
    </w:p>
  </w:footnote>
  <w:footnote w:id="10">
    <w:p w:rsidR="00F16784" w:rsidRPr="00455EE1" w:rsidRDefault="00F16784">
      <w:pPr>
        <w:pStyle w:val="FootnoteText"/>
      </w:pPr>
      <w:r w:rsidRPr="00455EE1">
        <w:rPr>
          <w:rStyle w:val="FootnoteReference"/>
        </w:rPr>
        <w:footnoteRef/>
      </w:r>
      <w:r w:rsidRPr="00455EE1">
        <w:t xml:space="preserve"> Datu avots: FM – Atlīdzības uzskaites sistēmas dati, 2017.gada 31.marts</w:t>
      </w:r>
    </w:p>
  </w:footnote>
  <w:footnote w:id="11">
    <w:p w:rsidR="00F16784" w:rsidRDefault="00F16784">
      <w:pPr>
        <w:pStyle w:val="FootnoteText"/>
      </w:pPr>
      <w:r w:rsidRPr="00455EE1">
        <w:rPr>
          <w:rStyle w:val="FootnoteReference"/>
        </w:rPr>
        <w:footnoteRef/>
      </w:r>
      <w:r w:rsidRPr="00455EE1">
        <w:t xml:space="preserve"> Datu avots: FM – Atlīdzības uzskaites sistēmas dati, 2017.gada 31.marts</w:t>
      </w:r>
    </w:p>
  </w:footnote>
  <w:footnote w:id="12">
    <w:p w:rsidR="00F16784" w:rsidRDefault="00F16784" w:rsidP="00455EE1">
      <w:pPr>
        <w:pStyle w:val="FootnoteText"/>
        <w:jc w:val="both"/>
      </w:pPr>
      <w:r>
        <w:rPr>
          <w:rStyle w:val="FootnoteReference"/>
        </w:rPr>
        <w:footnoteRef/>
      </w:r>
      <w:r>
        <w:t xml:space="preserve"> </w:t>
      </w:r>
      <w:r w:rsidRPr="00721289">
        <w:t>K</w:t>
      </w:r>
      <w:r w:rsidRPr="00721289">
        <w:rPr>
          <w:rFonts w:eastAsia="Times New Roman" w:cs="Times New Roman"/>
          <w:bCs/>
          <w:szCs w:val="24"/>
          <w:lang w:eastAsia="lv-LV"/>
        </w:rPr>
        <w:t>ompensējamo medikamentu un materiālu nodrošināšanas</w:t>
      </w:r>
      <w:r w:rsidRPr="00721289">
        <w:t xml:space="preserve"> </w:t>
      </w:r>
      <w:r>
        <w:t>izdevumos ietilpst VM valsts budžeta apakšprogrammas 3</w:t>
      </w:r>
      <w:r w:rsidRPr="00721289">
        <w:t xml:space="preserve">3.03.00 “Kompensējamo medikamentu un materiālu apmaksāšana” </w:t>
      </w:r>
      <w:r>
        <w:t xml:space="preserve">izdevumi un </w:t>
      </w:r>
      <w:r w:rsidRPr="00721289">
        <w:t>papi</w:t>
      </w:r>
      <w:r>
        <w:t>ldu piešķirtais finansējums no valsts budžeta programmas 02.00.00 „Līdzekļi neparedzētiem gadījumiem”</w:t>
      </w:r>
    </w:p>
  </w:footnote>
  <w:footnote w:id="13">
    <w:p w:rsidR="00F16784" w:rsidRDefault="00F16784" w:rsidP="007B5387">
      <w:pPr>
        <w:pStyle w:val="FootnoteText"/>
      </w:pPr>
      <w:r>
        <w:rPr>
          <w:rStyle w:val="FootnoteReference"/>
        </w:rPr>
        <w:footnoteRef/>
      </w:r>
      <w:r>
        <w:t xml:space="preserve"> NVD </w:t>
      </w:r>
      <w:r w:rsidRPr="005E0DDD">
        <w:t>http://www.vmnvd.gov.lv/lv/kompensejamie-medikamenti/kompensacijas-kartiba</w:t>
      </w:r>
    </w:p>
  </w:footnote>
  <w:footnote w:id="14">
    <w:p w:rsidR="00F16784" w:rsidRDefault="00F16784" w:rsidP="007B5387">
      <w:pPr>
        <w:pStyle w:val="FootnoteText"/>
      </w:pPr>
      <w:r>
        <w:rPr>
          <w:rStyle w:val="FootnoteReference"/>
        </w:rPr>
        <w:footnoteRef/>
      </w:r>
      <w:r>
        <w:t xml:space="preserve"> VM, </w:t>
      </w:r>
      <w:r w:rsidRPr="00F13E71">
        <w:t>http://www.vm.gov.lv/lv/tava_veseliba/medikamenti/jautajumi_un_atbildes_par_kompensejamajiem_medikamentiem/</w:t>
      </w:r>
    </w:p>
  </w:footnote>
  <w:footnote w:id="15">
    <w:p w:rsidR="00F16784" w:rsidRDefault="00F16784" w:rsidP="007B5387">
      <w:pPr>
        <w:pStyle w:val="FootnoteText"/>
      </w:pPr>
      <w:r>
        <w:rPr>
          <w:rStyle w:val="FootnoteReference"/>
        </w:rPr>
        <w:footnoteRef/>
      </w:r>
      <w:r>
        <w:t xml:space="preserve"> NVD </w:t>
      </w:r>
      <w:r w:rsidRPr="005E0DDD">
        <w:t>http://www.vmnvd.gov.lv/lv/kompensejamie-medikamenti/kompensacijas-kartiba</w:t>
      </w:r>
    </w:p>
  </w:footnote>
  <w:footnote w:id="16">
    <w:p w:rsidR="00F16784" w:rsidRDefault="00F16784" w:rsidP="007B5387">
      <w:pPr>
        <w:pStyle w:val="FootnoteText"/>
      </w:pPr>
      <w:r>
        <w:rPr>
          <w:rStyle w:val="FootnoteReference"/>
        </w:rPr>
        <w:footnoteRef/>
      </w:r>
      <w:r>
        <w:t xml:space="preserve"> NVD </w:t>
      </w:r>
      <w:r w:rsidRPr="005E0DDD">
        <w:t>http://www.vmnvd.gov.lv/lv/kompensejamie-medikamenti/kompensacijas-kartiba</w:t>
      </w:r>
    </w:p>
  </w:footnote>
  <w:footnote w:id="17">
    <w:p w:rsidR="00F16784" w:rsidRDefault="00F16784" w:rsidP="00455EE1">
      <w:pPr>
        <w:shd w:val="clear" w:color="auto" w:fill="FFFFFF"/>
        <w:jc w:val="both"/>
        <w:textAlignment w:val="baseline"/>
      </w:pPr>
      <w:r>
        <w:rPr>
          <w:rStyle w:val="FootnoteReference"/>
        </w:rPr>
        <w:footnoteRef/>
      </w:r>
      <w:r>
        <w:t xml:space="preserve"> </w:t>
      </w:r>
      <w:r w:rsidRPr="00455EE1">
        <w:rPr>
          <w:rFonts w:cs="Times New Roman"/>
          <w:sz w:val="18"/>
          <w:szCs w:val="18"/>
        </w:rPr>
        <w:t>Datu avots: VM</w:t>
      </w:r>
    </w:p>
  </w:footnote>
  <w:footnote w:id="18">
    <w:p w:rsidR="00F16784" w:rsidRDefault="00F16784" w:rsidP="005210D4">
      <w:pPr>
        <w:pStyle w:val="ListParagraph"/>
        <w:ind w:left="0"/>
        <w:jc w:val="both"/>
      </w:pPr>
      <w:r>
        <w:rPr>
          <w:rStyle w:val="FootnoteReference"/>
        </w:rPr>
        <w:footnoteRef/>
      </w:r>
      <w:r>
        <w:t xml:space="preserve"> </w:t>
      </w:r>
      <w:r w:rsidRPr="00811AD8">
        <w:rPr>
          <w:rFonts w:cs="Times New Roman"/>
          <w:i/>
          <w:sz w:val="18"/>
          <w:szCs w:val="18"/>
        </w:rPr>
        <w:t>Aprēķins no VM sagatavotā konceptuālā ziņojuma “Par veselības aprūpes sistēmas reformu” projekta.</w:t>
      </w:r>
    </w:p>
  </w:footnote>
  <w:footnote w:id="19">
    <w:p w:rsidR="00F16784" w:rsidRDefault="00F16784" w:rsidP="005210D4">
      <w:pPr>
        <w:pStyle w:val="FootnoteText"/>
      </w:pPr>
      <w:r>
        <w:rPr>
          <w:rStyle w:val="FootnoteReference"/>
        </w:rPr>
        <w:footnoteRef/>
      </w:r>
      <w:r>
        <w:t xml:space="preserve"> </w:t>
      </w:r>
      <w:r w:rsidRPr="00811AD8">
        <w:rPr>
          <w:rFonts w:cs="Times New Roman"/>
          <w:i/>
          <w:sz w:val="18"/>
          <w:szCs w:val="18"/>
        </w:rPr>
        <w:t>Provizorisks NVD aprēķins.</w:t>
      </w:r>
    </w:p>
  </w:footnote>
  <w:footnote w:id="20">
    <w:p w:rsidR="00F16784" w:rsidRDefault="00F16784" w:rsidP="00501744">
      <w:pPr>
        <w:shd w:val="clear" w:color="auto" w:fill="FFFFFF"/>
        <w:spacing w:before="60"/>
        <w:jc w:val="both"/>
        <w:textAlignment w:val="baseline"/>
      </w:pPr>
      <w:r>
        <w:rPr>
          <w:rStyle w:val="FootnoteReference"/>
        </w:rPr>
        <w:footnoteRef/>
      </w:r>
      <w:r>
        <w:t xml:space="preserve"> </w:t>
      </w:r>
      <w:r w:rsidRPr="00A77EE1">
        <w:rPr>
          <w:rFonts w:cs="Times New Roman"/>
          <w:i/>
          <w:sz w:val="18"/>
          <w:szCs w:val="18"/>
        </w:rPr>
        <w:t>Datu avots: VM</w:t>
      </w:r>
    </w:p>
  </w:footnote>
  <w:footnote w:id="21">
    <w:p w:rsidR="00F16784" w:rsidRDefault="00F16784" w:rsidP="005B3062">
      <w:pPr>
        <w:pStyle w:val="FootnoteText"/>
      </w:pPr>
      <w:r>
        <w:rPr>
          <w:rStyle w:val="FootnoteReference"/>
        </w:rPr>
        <w:footnoteRef/>
      </w:r>
      <w:r>
        <w:t xml:space="preserve"> Finanšu un kapitāla tirgus komisijas 11.04.2017 dati un Valsts kases dati</w:t>
      </w:r>
    </w:p>
  </w:footnote>
  <w:footnote w:id="22">
    <w:p w:rsidR="00F16784" w:rsidRDefault="00F16784">
      <w:pPr>
        <w:pStyle w:val="FootnoteText"/>
      </w:pPr>
      <w:r>
        <w:rPr>
          <w:rStyle w:val="FootnoteReference"/>
        </w:rPr>
        <w:footnoteRef/>
      </w:r>
      <w:r>
        <w:t xml:space="preserve"> VARAM sniegtie dati, atlasot potenciālos ietaupījumus tikai valsts budžeta iestādēs (tiešās pārvaldes iestādēs).</w:t>
      </w:r>
    </w:p>
  </w:footnote>
  <w:footnote w:id="23">
    <w:p w:rsidR="00F16784" w:rsidRDefault="00F16784" w:rsidP="007D4D4C">
      <w:pPr>
        <w:pStyle w:val="FootnoteText"/>
        <w:jc w:val="both"/>
      </w:pPr>
      <w:r>
        <w:rPr>
          <w:rStyle w:val="FootnoteReference"/>
        </w:rPr>
        <w:footnoteRef/>
      </w:r>
      <w:r>
        <w:t xml:space="preserve"> </w:t>
      </w:r>
      <w:r w:rsidRPr="002E420F">
        <w:t>M</w:t>
      </w:r>
      <w:r>
        <w:t>K 2011.gada 29.marta noteikumu</w:t>
      </w:r>
      <w:r w:rsidRPr="002E420F">
        <w:t xml:space="preserve"> Nr.233 </w:t>
      </w:r>
      <w:r>
        <w:t>“</w:t>
      </w:r>
      <w:r w:rsidRPr="002E420F">
        <w:t>Vides aizsardzības un reģionālās attīstības ministrijas nolikums</w:t>
      </w:r>
      <w:r>
        <w:t>” 1.punkts</w:t>
      </w:r>
    </w:p>
  </w:footnote>
  <w:footnote w:id="24">
    <w:p w:rsidR="00F16784" w:rsidRPr="003A0D92" w:rsidRDefault="00F16784" w:rsidP="007D4D4C">
      <w:pPr>
        <w:pStyle w:val="FootnoteText"/>
      </w:pPr>
      <w:r>
        <w:rPr>
          <w:rStyle w:val="FootnoteReference"/>
        </w:rPr>
        <w:footnoteRef/>
      </w:r>
      <w:r>
        <w:t xml:space="preserve"> 2015.gadā – 20,1 milj. </w:t>
      </w:r>
      <w:r w:rsidRPr="003A0D92">
        <w:rPr>
          <w:i/>
        </w:rPr>
        <w:t>euro</w:t>
      </w:r>
      <w:r>
        <w:t xml:space="preserve">, 2016.gadā – 20,0 milj. </w:t>
      </w:r>
      <w:r w:rsidRPr="003A0D92">
        <w:rPr>
          <w:i/>
        </w:rPr>
        <w:t>euro</w:t>
      </w:r>
      <w:r>
        <w:t xml:space="preserve">, 2017.gadā – 23,7 milj. </w:t>
      </w:r>
      <w:r w:rsidRPr="003A0D92">
        <w:rPr>
          <w:i/>
        </w:rPr>
        <w:t>euro</w:t>
      </w:r>
      <w:r>
        <w:t xml:space="preserve">, 2018.gadā 24,9 milj. </w:t>
      </w:r>
      <w:r w:rsidRPr="003A0D92">
        <w:rPr>
          <w:i/>
        </w:rPr>
        <w:t>euro</w:t>
      </w:r>
      <w:r>
        <w:t xml:space="preserve"> un 2019.gadā – 22,9 milj. </w:t>
      </w:r>
      <w:r w:rsidRPr="003A0D92">
        <w:rPr>
          <w:i/>
        </w:rPr>
        <w:t>euro</w:t>
      </w:r>
      <w:r>
        <w:t xml:space="preserve"> (saskaņā ar Valsts kases pārskata datiem)</w:t>
      </w:r>
    </w:p>
  </w:footnote>
  <w:footnote w:id="25">
    <w:p w:rsidR="00F16784" w:rsidRDefault="00F16784" w:rsidP="007D4D4C">
      <w:pPr>
        <w:pStyle w:val="FootnoteText"/>
      </w:pPr>
      <w:r>
        <w:rPr>
          <w:rStyle w:val="FootnoteReference"/>
        </w:rPr>
        <w:footnoteRef/>
      </w:r>
      <w:r>
        <w:t xml:space="preserve"> 2015.gadā – 16,7 milj. </w:t>
      </w:r>
      <w:r w:rsidRPr="003A0D92">
        <w:rPr>
          <w:i/>
        </w:rPr>
        <w:t>euro</w:t>
      </w:r>
      <w:r>
        <w:t xml:space="preserve">, 2016.gadā – 16,0 milj. </w:t>
      </w:r>
      <w:r w:rsidRPr="003A0D92">
        <w:rPr>
          <w:i/>
        </w:rPr>
        <w:t>euro</w:t>
      </w:r>
      <w:r>
        <w:t xml:space="preserve">, 2017.gadā – 18,5 milj. </w:t>
      </w:r>
      <w:r w:rsidRPr="003A0D92">
        <w:rPr>
          <w:i/>
        </w:rPr>
        <w:t>euro</w:t>
      </w:r>
      <w:r>
        <w:t xml:space="preserve">, 2018.gadā 19,5 milj. </w:t>
      </w:r>
      <w:r w:rsidRPr="003A0D92">
        <w:rPr>
          <w:i/>
        </w:rPr>
        <w:t>euro</w:t>
      </w:r>
      <w:r>
        <w:t xml:space="preserve"> un 2019.gadā – 17,3 milj. </w:t>
      </w:r>
      <w:r w:rsidRPr="003A0D92">
        <w:rPr>
          <w:i/>
        </w:rPr>
        <w:t>euro</w:t>
      </w:r>
      <w:r>
        <w:t xml:space="preserve"> (saskaņā ar Valsts kases pārskata datiem)</w:t>
      </w:r>
    </w:p>
  </w:footnote>
  <w:footnote w:id="26">
    <w:p w:rsidR="00F16784" w:rsidRPr="0094202F" w:rsidRDefault="00F16784" w:rsidP="003D2149">
      <w:pPr>
        <w:pStyle w:val="FootnoteText"/>
        <w:jc w:val="both"/>
        <w:rPr>
          <w:sz w:val="19"/>
          <w:szCs w:val="19"/>
        </w:rPr>
      </w:pPr>
      <w:r w:rsidRPr="0094202F">
        <w:rPr>
          <w:rStyle w:val="FootnoteReference"/>
          <w:sz w:val="19"/>
          <w:szCs w:val="19"/>
        </w:rPr>
        <w:footnoteRef/>
      </w:r>
      <w:r w:rsidRPr="0094202F">
        <w:rPr>
          <w:sz w:val="19"/>
          <w:szCs w:val="19"/>
        </w:rPr>
        <w:t xml:space="preserve"> 2018.-2020.gadam finansējums norādīts saskaņā ar MK 23.03.2017. sēdē apstiprinātiem bāzes izdevumiem (prot.15, 2.§).</w:t>
      </w:r>
    </w:p>
  </w:footnote>
  <w:footnote w:id="27">
    <w:p w:rsidR="00F16784" w:rsidRPr="0094202F" w:rsidRDefault="00F16784" w:rsidP="007D4D4C">
      <w:pPr>
        <w:pStyle w:val="FootnoteText"/>
        <w:jc w:val="both"/>
        <w:rPr>
          <w:sz w:val="19"/>
          <w:szCs w:val="19"/>
        </w:rPr>
      </w:pPr>
      <w:r w:rsidRPr="0094202F">
        <w:rPr>
          <w:rStyle w:val="FootnoteReference"/>
          <w:sz w:val="19"/>
          <w:szCs w:val="19"/>
        </w:rPr>
        <w:footnoteRef/>
      </w:r>
      <w:r w:rsidRPr="0094202F">
        <w:rPr>
          <w:sz w:val="19"/>
          <w:szCs w:val="19"/>
        </w:rPr>
        <w:t xml:space="preserve"> MK 2004.gada 23.novembra noteikumi Nr.962 “Valsts vides dienesta nolikums”, MK 2004.gada 6.janvāra noteikumi Nr.4 “Vides pārraudzības valsts biroja nolikums”, MK 2009.gada 2.jūnija noteikumi Nr.507 “Dabas aizsardzības pārvaldes nolikums”, MK 2012.gada 9.oktobra noteikumi Nr.690 “Latvijas Dabas muzeja nolikums”, MK 2006.gada 28.marta noteikumi Nr.242 “Latvijas vides aizsardzības fonda administrācijas nolikums”, MK 2016.gada 14.jūnija noteikumi Nr.375 “Valsts reģionālās attīstības aģentūras nolikums”</w:t>
      </w:r>
    </w:p>
  </w:footnote>
  <w:footnote w:id="28">
    <w:p w:rsidR="00F16784" w:rsidRDefault="00F16784" w:rsidP="007D4D4C">
      <w:pPr>
        <w:pStyle w:val="FootnoteText"/>
      </w:pPr>
      <w:r w:rsidRPr="0094202F">
        <w:rPr>
          <w:rStyle w:val="FootnoteReference"/>
          <w:sz w:val="19"/>
          <w:szCs w:val="19"/>
        </w:rPr>
        <w:footnoteRef/>
      </w:r>
      <w:r w:rsidRPr="0094202F">
        <w:rPr>
          <w:sz w:val="19"/>
          <w:szCs w:val="19"/>
        </w:rPr>
        <w:t xml:space="preserve"> Saskaņā ar FM atlīdzības sistēmas uzskaites datiem uz 2017.gada 31.martu</w:t>
      </w:r>
    </w:p>
  </w:footnote>
  <w:footnote w:id="29">
    <w:p w:rsidR="00F16784" w:rsidRDefault="00F16784" w:rsidP="007D4D4C">
      <w:pPr>
        <w:pStyle w:val="FootnoteText"/>
      </w:pPr>
      <w:r>
        <w:rPr>
          <w:rStyle w:val="FootnoteReference"/>
        </w:rPr>
        <w:footnoteRef/>
      </w:r>
      <w:r>
        <w:t xml:space="preserve"> Faktiskie darbinieki, neskaitot vakantās amata vietas</w:t>
      </w:r>
    </w:p>
  </w:footnote>
  <w:footnote w:id="30">
    <w:p w:rsidR="00F16784" w:rsidRDefault="00F16784" w:rsidP="007D4D4C">
      <w:pPr>
        <w:pStyle w:val="FootnoteText"/>
      </w:pPr>
      <w:r>
        <w:rPr>
          <w:rStyle w:val="FootnoteReference"/>
        </w:rPr>
        <w:footnoteRef/>
      </w:r>
      <w:r>
        <w:t xml:space="preserve"> Saskaņā ar FM atlīdzības sistēmas uzskaites datiem uz 2017.gada 31.martu</w:t>
      </w:r>
    </w:p>
  </w:footnote>
  <w:footnote w:id="31">
    <w:p w:rsidR="00F16784" w:rsidRDefault="00F16784" w:rsidP="00F9691E">
      <w:pPr>
        <w:pStyle w:val="FootnoteText"/>
      </w:pPr>
      <w:r>
        <w:rPr>
          <w:rStyle w:val="FootnoteReference"/>
        </w:rPr>
        <w:footnoteRef/>
      </w:r>
      <w:r>
        <w:t xml:space="preserve"> </w:t>
      </w:r>
      <w:r w:rsidRPr="00376437">
        <w:t>Aprēķināts, izmantojot FM atlīdzības sistēmas uzskaites datus uz 2017.gada 31.martu</w:t>
      </w:r>
      <w:r>
        <w:t>.</w:t>
      </w:r>
    </w:p>
  </w:footnote>
  <w:footnote w:id="32">
    <w:p w:rsidR="00F16784" w:rsidRDefault="00F16784" w:rsidP="00846DAA">
      <w:pPr>
        <w:pStyle w:val="FootnoteText"/>
        <w:jc w:val="both"/>
      </w:pPr>
      <w:r>
        <w:rPr>
          <w:rStyle w:val="FootnoteReference"/>
        </w:rPr>
        <w:footnoteRef/>
      </w:r>
      <w:r>
        <w:t xml:space="preserve"> 2018.-2020.gadam finansējums norādīts saskaņā ar MK 23.03.2017. sēdē apstiprinātiem bāzes izdevumiem (prot.15, </w:t>
      </w:r>
      <w:r w:rsidRPr="00D62BB8">
        <w:t>2.§</w:t>
      </w:r>
      <w:r>
        <w:t>).</w:t>
      </w:r>
    </w:p>
  </w:footnote>
  <w:footnote w:id="33">
    <w:p w:rsidR="00F16784" w:rsidRPr="00B703D2" w:rsidRDefault="00F16784" w:rsidP="00F9691E">
      <w:pPr>
        <w:pStyle w:val="FootnoteText"/>
        <w:jc w:val="both"/>
      </w:pPr>
      <w:r>
        <w:rPr>
          <w:rStyle w:val="FootnoteReference"/>
        </w:rPr>
        <w:footnoteRef/>
      </w:r>
      <w:r>
        <w:t xml:space="preserve"> Funkcijas, kas noteiktas </w:t>
      </w:r>
      <w:r w:rsidRPr="00B703D2">
        <w:t>Vid</w:t>
      </w:r>
      <w:r>
        <w:t>es aizsardzības likumā, likumā “</w:t>
      </w:r>
      <w:r w:rsidRPr="00B703D2">
        <w:t>Par ietekmes uz vidi novērtējumu</w:t>
      </w:r>
      <w:r>
        <w:t>”</w:t>
      </w:r>
      <w:r w:rsidRPr="00B703D2">
        <w:t xml:space="preserve">, likumā </w:t>
      </w:r>
      <w:r>
        <w:t>“</w:t>
      </w:r>
      <w:r w:rsidRPr="00B703D2">
        <w:t>Par piesārņojumu</w:t>
      </w:r>
      <w:r>
        <w:t>”, likumā “</w:t>
      </w:r>
      <w:r w:rsidRPr="00B703D2">
        <w:t>Par īpaši aizsargājamām dabas teritorijām</w:t>
      </w:r>
      <w:r>
        <w:t xml:space="preserve">” </w:t>
      </w:r>
      <w:r w:rsidRPr="00B703D2">
        <w:t>un citos normatīvajos aktos par vides aizsardzību, rūpniecisko avāriju novēršanu un riska samazināšanu, ķīmisko vielu un ķīmisko produktu (preparātu) izmantošanu, ūdens apsaimniekošanu, kā arī atkritumu un iepakojuma apsaimniekošanu</w:t>
      </w:r>
      <w:r>
        <w:t>.</w:t>
      </w:r>
    </w:p>
  </w:footnote>
  <w:footnote w:id="34">
    <w:p w:rsidR="00F16784" w:rsidRDefault="00F16784" w:rsidP="007D4D4C">
      <w:pPr>
        <w:pStyle w:val="FootnoteText"/>
      </w:pPr>
      <w:r>
        <w:rPr>
          <w:rStyle w:val="FootnoteReference"/>
        </w:rPr>
        <w:footnoteRef/>
      </w:r>
      <w:r>
        <w:t xml:space="preserve"> </w:t>
      </w:r>
      <w:r w:rsidRPr="0030617F">
        <w:t>Saskaņā ar FM atlīdzības sistēmas uzskaites datiem uz 2017.gada 31.martu</w:t>
      </w:r>
    </w:p>
  </w:footnote>
  <w:footnote w:id="35">
    <w:p w:rsidR="00F16784" w:rsidRDefault="00F16784" w:rsidP="007D4D4C">
      <w:pPr>
        <w:pStyle w:val="FootnoteText"/>
        <w:jc w:val="both"/>
      </w:pPr>
      <w:r w:rsidRPr="00A673E8">
        <w:rPr>
          <w:rStyle w:val="FootnoteReference"/>
        </w:rPr>
        <w:footnoteRef/>
      </w:r>
      <w:r w:rsidRPr="00A673E8">
        <w:t xml:space="preserve"> </w:t>
      </w:r>
      <w:r>
        <w:t>ES</w:t>
      </w:r>
      <w:r w:rsidRPr="00A673E8">
        <w:t xml:space="preserve"> direktīvas šajā jomā nosaka, ka dalībvalstij ir jānodrošina iespēja apstrīdēt kompetento iestāžu izdotos lēmumus, tomēr vienlaikus ir noteikts, ka dalībvalstis nosaka, kurā stadijā minētos lēmumus, darbības vai bezdarbību var apstrīdēt.</w:t>
      </w:r>
    </w:p>
  </w:footnote>
  <w:footnote w:id="36">
    <w:p w:rsidR="00F16784" w:rsidRDefault="00F16784" w:rsidP="007B6BD6">
      <w:pPr>
        <w:pStyle w:val="FootnoteText"/>
      </w:pPr>
      <w:r>
        <w:rPr>
          <w:rStyle w:val="FootnoteReference"/>
        </w:rPr>
        <w:footnoteRef/>
      </w:r>
      <w:r>
        <w:t xml:space="preserve"> </w:t>
      </w:r>
      <w:r w:rsidRPr="00376437">
        <w:t>Aprēķināts, izmantojot FM atlīdzības sistēmas uzskaites datus uz 2017.gada 31.martu</w:t>
      </w:r>
      <w:r>
        <w:t>.</w:t>
      </w:r>
    </w:p>
  </w:footnote>
  <w:footnote w:id="37">
    <w:p w:rsidR="00F16784" w:rsidRDefault="00F16784" w:rsidP="007D4D4C">
      <w:pPr>
        <w:pStyle w:val="FootnoteText"/>
      </w:pPr>
      <w:r>
        <w:rPr>
          <w:rStyle w:val="FootnoteReference"/>
        </w:rPr>
        <w:footnoteRef/>
      </w:r>
      <w:r>
        <w:t xml:space="preserve"> </w:t>
      </w:r>
      <w:r w:rsidRPr="00783164">
        <w:t>Latvijas</w:t>
      </w:r>
      <w:r>
        <w:t xml:space="preserve"> vides aizsardzības fonda likums</w:t>
      </w:r>
    </w:p>
  </w:footnote>
  <w:footnote w:id="38">
    <w:p w:rsidR="00F16784" w:rsidRDefault="00F16784" w:rsidP="007D4D4C">
      <w:pPr>
        <w:pStyle w:val="FootnoteText"/>
      </w:pPr>
      <w:r>
        <w:rPr>
          <w:rStyle w:val="FootnoteReference"/>
        </w:rPr>
        <w:footnoteRef/>
      </w:r>
      <w:r>
        <w:t xml:space="preserve"> </w:t>
      </w:r>
      <w:r w:rsidRPr="0089725B">
        <w:t>Saskaņā ar FM atlīdzības sistēmas uzskaites datiem uz 2017.gada 31.martu</w:t>
      </w:r>
      <w:r>
        <w:t xml:space="preserve"> </w:t>
      </w:r>
    </w:p>
  </w:footnote>
  <w:footnote w:id="39">
    <w:p w:rsidR="00F16784" w:rsidRDefault="00F16784" w:rsidP="00A24E0C">
      <w:pPr>
        <w:pStyle w:val="FootnoteText"/>
      </w:pPr>
      <w:r>
        <w:rPr>
          <w:rStyle w:val="FootnoteReference"/>
        </w:rPr>
        <w:footnoteRef/>
      </w:r>
      <w:r>
        <w:t xml:space="preserve"> </w:t>
      </w:r>
      <w:r w:rsidRPr="0089725B">
        <w:t>Saskaņā ar FM atlīdzības sistēmas uzskaites datiem uz 2017.gada 31.martu</w:t>
      </w:r>
    </w:p>
  </w:footnote>
  <w:footnote w:id="40">
    <w:p w:rsidR="00F16784" w:rsidRDefault="00F16784" w:rsidP="007D4D4C">
      <w:pPr>
        <w:pStyle w:val="FootnoteText"/>
        <w:jc w:val="both"/>
      </w:pPr>
      <w:r>
        <w:rPr>
          <w:rStyle w:val="FootnoteReference"/>
        </w:rPr>
        <w:footnoteRef/>
      </w:r>
      <w:r>
        <w:t xml:space="preserve"> </w:t>
      </w:r>
      <w:r w:rsidRPr="00D946B1">
        <w:t>Komerclikum</w:t>
      </w:r>
      <w:r>
        <w:t>a spēkā stāšanās kārtības likuma Pārejas noteikumu 8.punkts</w:t>
      </w:r>
    </w:p>
  </w:footnote>
  <w:footnote w:id="41">
    <w:p w:rsidR="00F16784" w:rsidRDefault="00F16784" w:rsidP="007D4D4C">
      <w:pPr>
        <w:pStyle w:val="FootnoteText"/>
        <w:jc w:val="both"/>
      </w:pPr>
      <w:r>
        <w:rPr>
          <w:rStyle w:val="FootnoteReference"/>
        </w:rPr>
        <w:footnoteRef/>
      </w:r>
      <w:r>
        <w:t xml:space="preserve"> Zinātniskās darbības likuma 21.</w:t>
      </w:r>
      <w:r w:rsidRPr="00D946B1">
        <w:rPr>
          <w:vertAlign w:val="superscript"/>
        </w:rPr>
        <w:t>2</w:t>
      </w:r>
      <w:r>
        <w:t xml:space="preserve"> </w:t>
      </w:r>
      <w:r w:rsidRPr="00D946B1">
        <w:t>panta</w:t>
      </w:r>
      <w:r>
        <w:t xml:space="preserve"> sestā daļa</w:t>
      </w:r>
    </w:p>
  </w:footnote>
  <w:footnote w:id="42">
    <w:p w:rsidR="00F16784" w:rsidRDefault="00F16784" w:rsidP="007D4D4C">
      <w:pPr>
        <w:pStyle w:val="FootnoteText"/>
        <w:jc w:val="both"/>
      </w:pPr>
      <w:r>
        <w:rPr>
          <w:rStyle w:val="FootnoteReference"/>
        </w:rPr>
        <w:footnoteRef/>
      </w:r>
      <w:r>
        <w:t xml:space="preserve"> </w:t>
      </w:r>
      <w:r w:rsidRPr="00040380">
        <w:t>Jūras vides aizsardzības un pārvaldības likum</w:t>
      </w:r>
      <w:r>
        <w:t>s</w:t>
      </w:r>
    </w:p>
  </w:footnote>
  <w:footnote w:id="43">
    <w:p w:rsidR="00F16784" w:rsidRPr="00040380" w:rsidRDefault="00F16784" w:rsidP="007D4D4C">
      <w:pPr>
        <w:pStyle w:val="FootnoteText"/>
        <w:jc w:val="both"/>
      </w:pPr>
      <w:r>
        <w:rPr>
          <w:rStyle w:val="FootnoteReference"/>
        </w:rPr>
        <w:footnoteRef/>
      </w:r>
      <w:r>
        <w:t xml:space="preserve"> MK</w:t>
      </w:r>
      <w:r w:rsidRPr="00040380">
        <w:t xml:space="preserve"> 2012.gada 30.oktobra noteikumi Nr.740 “Jūras plānojuma izstrādes, ieviešanas un uzraudzības kārtība”</w:t>
      </w:r>
    </w:p>
  </w:footnote>
  <w:footnote w:id="44">
    <w:p w:rsidR="00F16784" w:rsidRPr="00A673E8" w:rsidRDefault="00F16784" w:rsidP="007D4D4C">
      <w:pPr>
        <w:pStyle w:val="FootnoteText"/>
        <w:jc w:val="both"/>
      </w:pPr>
      <w:r>
        <w:rPr>
          <w:rStyle w:val="FootnoteReference"/>
        </w:rPr>
        <w:footnoteRef/>
      </w:r>
      <w:r>
        <w:t xml:space="preserve"> LHEI gada pārskati, kas publicēti LHEI mājas lapā </w:t>
      </w:r>
      <w:hyperlink r:id="rId5" w:history="1">
        <w:r w:rsidRPr="00A673E8">
          <w:rPr>
            <w:rStyle w:val="Hyperlink"/>
            <w:color w:val="auto"/>
          </w:rPr>
          <w:t>http://www.lhei.lv/lv/par-mums/p%C4%81rskati</w:t>
        </w:r>
      </w:hyperlink>
      <w:r w:rsidRPr="00A673E8">
        <w:t xml:space="preserve"> </w:t>
      </w:r>
    </w:p>
  </w:footnote>
  <w:footnote w:id="45">
    <w:p w:rsidR="00F16784" w:rsidRDefault="00F16784" w:rsidP="007D4D4C">
      <w:pPr>
        <w:pStyle w:val="FootnoteText"/>
        <w:jc w:val="both"/>
      </w:pPr>
      <w:r w:rsidRPr="00A673E8">
        <w:rPr>
          <w:rStyle w:val="FootnoteReference"/>
        </w:rPr>
        <w:footnoteRef/>
      </w:r>
      <w:r w:rsidRPr="00A673E8">
        <w:t xml:space="preserve"> Saskaņā ar LHEI mājas lapā sniegto informāciju </w:t>
      </w:r>
      <w:hyperlink r:id="rId6" w:history="1">
        <w:r w:rsidRPr="00A673E8">
          <w:rPr>
            <w:rStyle w:val="Hyperlink"/>
            <w:color w:val="auto"/>
          </w:rPr>
          <w:t>http://www.lhei.lv/lv/aktu%C4%81lie_projekti/383-atsevi%C5%A1%C4%B7u-p%C4%81rvaldes-uzdevumu-dele%C4%A3%C4%93%C5%A1anas-l%C4%ABgums-starp-varam-un-lhei-par-atbalstu-j%C5%ABras-telpiskajam-pl%C4%81nojumam-2017-g</w:t>
        </w:r>
      </w:hyperlink>
    </w:p>
  </w:footnote>
  <w:footnote w:id="46">
    <w:p w:rsidR="00F16784" w:rsidRDefault="00F16784" w:rsidP="00846DAA">
      <w:pPr>
        <w:pStyle w:val="FootnoteText"/>
        <w:jc w:val="both"/>
      </w:pPr>
      <w:r>
        <w:rPr>
          <w:rStyle w:val="FootnoteReference"/>
        </w:rPr>
        <w:footnoteRef/>
      </w:r>
      <w:r>
        <w:t xml:space="preserve"> 2018.-2020.gadam finansējums norādīts saskaņā ar MK 23.03.2017. sēdē apstiprinātiem bāzes izdevumiem (prot.15, </w:t>
      </w:r>
      <w:r w:rsidRPr="00D62BB8">
        <w:t>2.§</w:t>
      </w:r>
      <w:r>
        <w:t>).</w:t>
      </w:r>
    </w:p>
  </w:footnote>
  <w:footnote w:id="47">
    <w:p w:rsidR="00F16784" w:rsidRDefault="00F16784" w:rsidP="007D4D4C">
      <w:pPr>
        <w:pStyle w:val="FootnoteText"/>
        <w:jc w:val="both"/>
      </w:pPr>
      <w:r>
        <w:rPr>
          <w:rStyle w:val="FootnoteReference"/>
        </w:rPr>
        <w:footnoteRef/>
      </w:r>
      <w:r>
        <w:t xml:space="preserve"> MK 2017.gada 16.maija sēdes protokols Nr.25, </w:t>
      </w:r>
      <w:r w:rsidRPr="005E3C17">
        <w:t>31.§</w:t>
      </w:r>
      <w:r>
        <w:t xml:space="preserve"> “Informatīvais ziņojums “</w:t>
      </w:r>
      <w:r w:rsidRPr="005E3C17">
        <w:t>Par Dau</w:t>
      </w:r>
      <w:r>
        <w:t>gavpils Universitātes attīstību””</w:t>
      </w:r>
    </w:p>
  </w:footnote>
  <w:footnote w:id="48">
    <w:p w:rsidR="00F16784" w:rsidRDefault="00F16784" w:rsidP="007D4D4C">
      <w:pPr>
        <w:pStyle w:val="FootnoteText"/>
      </w:pPr>
      <w:r>
        <w:rPr>
          <w:rStyle w:val="FootnoteReference"/>
        </w:rPr>
        <w:footnoteRef/>
      </w:r>
      <w:r>
        <w:t xml:space="preserve"> </w:t>
      </w:r>
      <w:r w:rsidRPr="006429DC">
        <w:rPr>
          <w:rFonts w:eastAsia="Times New Roman" w:cs="Times New Roman"/>
          <w:szCs w:val="24"/>
          <w:lang w:eastAsia="lv-LV"/>
        </w:rPr>
        <w:t xml:space="preserve">Atbilstoši </w:t>
      </w:r>
      <w:r>
        <w:rPr>
          <w:rFonts w:eastAsia="Times New Roman" w:cs="Times New Roman"/>
          <w:szCs w:val="24"/>
          <w:lang w:eastAsia="lv-LV"/>
        </w:rPr>
        <w:t>MK</w:t>
      </w:r>
      <w:r w:rsidRPr="006429DC">
        <w:rPr>
          <w:rFonts w:eastAsia="Times New Roman" w:cs="Times New Roman"/>
          <w:szCs w:val="24"/>
          <w:lang w:eastAsia="lv-LV"/>
        </w:rPr>
        <w:t xml:space="preserve"> 2013.gada 12.novembra noteikumu Nr.1316 “Kārtība, kādā aprēķina un piešķir bāzes finansējumu zinātniskajām institūcijām” 11.</w:t>
      </w:r>
      <w:r w:rsidRPr="006429DC">
        <w:rPr>
          <w:rFonts w:eastAsia="Times New Roman" w:cs="Times New Roman"/>
          <w:szCs w:val="24"/>
          <w:vertAlign w:val="superscript"/>
          <w:lang w:eastAsia="lv-LV"/>
        </w:rPr>
        <w:t>2</w:t>
      </w:r>
      <w:r w:rsidRPr="006429DC">
        <w:rPr>
          <w:rFonts w:eastAsia="Times New Roman" w:cs="Times New Roman"/>
          <w:szCs w:val="24"/>
          <w:lang w:eastAsia="lv-LV"/>
        </w:rPr>
        <w:t xml:space="preserve"> punktam</w:t>
      </w:r>
    </w:p>
  </w:footnote>
  <w:footnote w:id="49">
    <w:p w:rsidR="00F16784" w:rsidRPr="00B87575" w:rsidRDefault="00F16784" w:rsidP="00E808B0">
      <w:pPr>
        <w:pStyle w:val="FootnoteText"/>
        <w:jc w:val="both"/>
      </w:pPr>
      <w:r>
        <w:rPr>
          <w:rStyle w:val="FootnoteReference"/>
        </w:rPr>
        <w:footnoteRef/>
      </w:r>
      <w:r>
        <w:t xml:space="preserve"> Saskaņā ar MK</w:t>
      </w:r>
      <w:r w:rsidRPr="00B87575">
        <w:t xml:space="preserve"> 2013.gada 12.novembra noteikumu Nr.1316 “Kārtība, kādā aprēķina un piešķir bāzes finansējumu zinātniskajām institūcijām” 10. punktā noteikto termiņu </w:t>
      </w:r>
    </w:p>
  </w:footnote>
  <w:footnote w:id="50">
    <w:p w:rsidR="00F16784" w:rsidRDefault="00F16784" w:rsidP="007D4D4C">
      <w:pPr>
        <w:pStyle w:val="FootnoteText"/>
        <w:jc w:val="both"/>
      </w:pPr>
      <w:r>
        <w:rPr>
          <w:rStyle w:val="FootnoteReference"/>
        </w:rPr>
        <w:footnoteRef/>
      </w:r>
      <w:r>
        <w:t xml:space="preserve"> MK 2016.gada 27.septembra sēdes protokols Nr.48, </w:t>
      </w:r>
      <w:r w:rsidRPr="00E9003B">
        <w:t>60.§</w:t>
      </w:r>
      <w:r>
        <w:t xml:space="preserve"> “</w:t>
      </w:r>
      <w:r w:rsidRPr="00E9003B">
        <w:t>Informatīvais ziņojums "Par priekšlikumu sniegšanu par turpmāko rīcību ar sabiedrību ar ierobežotu atbildību "Vides investīciju fonds"""</w:t>
      </w:r>
    </w:p>
  </w:footnote>
  <w:footnote w:id="51">
    <w:p w:rsidR="00F16784" w:rsidRDefault="00F16784" w:rsidP="007D4D4C">
      <w:pPr>
        <w:pStyle w:val="FootnoteText"/>
        <w:jc w:val="both"/>
      </w:pPr>
      <w:r>
        <w:rPr>
          <w:rStyle w:val="FootnoteReference"/>
        </w:rPr>
        <w:footnoteRef/>
      </w:r>
      <w:r>
        <w:t xml:space="preserve"> Pasākuma īstenošanu VIF varēja uzsākt pēc </w:t>
      </w:r>
      <w:r w:rsidRPr="00D94750">
        <w:t xml:space="preserve">grozījumu </w:t>
      </w:r>
      <w:r>
        <w:t>MK</w:t>
      </w:r>
      <w:r w:rsidRPr="00D94750">
        <w:t xml:space="preserve"> 2011.gada 29.marta noteikumos Nr.233 "Vides aizsardzības un reģionālās attīstības ministrijas nolikums" spēkā stāšanās</w:t>
      </w:r>
      <w:r>
        <w:t>, kas notika 2016.gada 4.novembrī.</w:t>
      </w:r>
    </w:p>
  </w:footnote>
  <w:footnote w:id="52">
    <w:p w:rsidR="00F16784" w:rsidRPr="00A26944" w:rsidRDefault="00F16784" w:rsidP="007D4D4C">
      <w:pPr>
        <w:pStyle w:val="FootnoteText"/>
      </w:pPr>
      <w:r>
        <w:rPr>
          <w:rStyle w:val="FootnoteReference"/>
        </w:rPr>
        <w:footnoteRef/>
      </w:r>
      <w:r>
        <w:t xml:space="preserve"> Saskaņā ar VIF gada pārskatiem, kas publicēti VIF </w:t>
      </w:r>
      <w:r w:rsidRPr="00A26944">
        <w:t xml:space="preserve">mājas lapā </w:t>
      </w:r>
      <w:hyperlink r:id="rId7" w:history="1">
        <w:r w:rsidRPr="00A26944">
          <w:rPr>
            <w:rStyle w:val="Hyperlink"/>
            <w:color w:val="auto"/>
          </w:rPr>
          <w:t>http://www.lvif.gov.lv/?object_id=381</w:t>
        </w:r>
      </w:hyperlink>
      <w:r w:rsidRPr="00A26944">
        <w:t xml:space="preserve"> </w:t>
      </w:r>
    </w:p>
  </w:footnote>
  <w:footnote w:id="53">
    <w:p w:rsidR="00F16784" w:rsidRDefault="00F16784" w:rsidP="00E808B0">
      <w:pPr>
        <w:pStyle w:val="FootnoteText"/>
        <w:jc w:val="both"/>
      </w:pPr>
      <w:r>
        <w:rPr>
          <w:rStyle w:val="FootnoteReference"/>
        </w:rPr>
        <w:footnoteRef/>
      </w:r>
      <w:r>
        <w:t xml:space="preserve"> 2018.-2020.gadam finansējums norādīts saskaņā ar MK 23.03.2017. sēdē apstiprinātiem bāzes izdevumiem (prot.15, </w:t>
      </w:r>
      <w:r w:rsidRPr="00D62BB8">
        <w:t>2.§</w:t>
      </w:r>
      <w:r>
        <w:t>).</w:t>
      </w:r>
    </w:p>
  </w:footnote>
  <w:footnote w:id="54">
    <w:p w:rsidR="00F16784" w:rsidRPr="0082362C" w:rsidRDefault="00F16784" w:rsidP="007D4D4C">
      <w:pPr>
        <w:pStyle w:val="FootnoteText"/>
        <w:jc w:val="both"/>
      </w:pPr>
      <w:r>
        <w:rPr>
          <w:rStyle w:val="FootnoteReference"/>
        </w:rPr>
        <w:footnoteRef/>
      </w:r>
      <w:r>
        <w:t xml:space="preserve"> </w:t>
      </w:r>
      <w:r w:rsidRPr="00BB60DA">
        <w:t>M</w:t>
      </w:r>
      <w:r>
        <w:t xml:space="preserve">K 2009.gada 1.jūlija </w:t>
      </w:r>
      <w:r w:rsidRPr="00BB60DA">
        <w:t>rīkojum</w:t>
      </w:r>
      <w:r>
        <w:t>a</w:t>
      </w:r>
      <w:r w:rsidRPr="00BB60DA">
        <w:t xml:space="preserve"> Nr.448</w:t>
      </w:r>
      <w:r>
        <w:t xml:space="preserve"> “</w:t>
      </w:r>
      <w:r w:rsidRPr="00BB60DA">
        <w:t xml:space="preserve">Par valsts aģentūras "Latvijas Vides, ģeoloģijas un meteoroloģijas aģentūra" </w:t>
      </w:r>
      <w:r w:rsidRPr="0082362C">
        <w:t>un Bīstamo atkritumu pārvaldības valsts aģentūras likvidāciju un valsts sabiedrības ar ierobežotu atbildību "Latvijas Vides, ģeoloģijas un meteoroloģijas centrs" dibināšanu” anotācija</w:t>
      </w:r>
    </w:p>
  </w:footnote>
  <w:footnote w:id="55">
    <w:p w:rsidR="00F16784" w:rsidRDefault="00F16784" w:rsidP="007D4D4C">
      <w:pPr>
        <w:pStyle w:val="FootnoteText"/>
        <w:jc w:val="both"/>
      </w:pPr>
      <w:r w:rsidRPr="0082362C">
        <w:rPr>
          <w:rStyle w:val="FootnoteReference"/>
        </w:rPr>
        <w:footnoteRef/>
      </w:r>
      <w:r w:rsidRPr="0082362C">
        <w:t xml:space="preserve"> LVĢMC darba plāns atbilstoši atsevišķu pārvaldes uzdevumu deleģēšanas līgumam starp VARAM un LVĢMC, </w:t>
      </w:r>
      <w:hyperlink r:id="rId8" w:history="1">
        <w:r w:rsidRPr="0082362C">
          <w:rPr>
            <w:rStyle w:val="Hyperlink"/>
            <w:color w:val="auto"/>
          </w:rPr>
          <w:t>https://www.meteo.lv/lapas/par-centru/lvgmc-darba-plans-atbilstosi-atsevisku-parvaldes-uzdevumu-delegesanas-/lvgmc-darba-plans-atbilstosi-atsevisku-parvaldes-uzdevumu-delegesanas-?id=862&amp;nid=327</w:t>
        </w:r>
      </w:hyperlink>
      <w:r>
        <w:t xml:space="preserve"> </w:t>
      </w:r>
    </w:p>
  </w:footnote>
  <w:footnote w:id="56">
    <w:p w:rsidR="00F16784" w:rsidRPr="00A26944" w:rsidRDefault="00F16784" w:rsidP="007D4D4C">
      <w:pPr>
        <w:pStyle w:val="FootnoteText"/>
        <w:jc w:val="both"/>
      </w:pPr>
      <w:r>
        <w:rPr>
          <w:rStyle w:val="FootnoteReference"/>
        </w:rPr>
        <w:footnoteRef/>
      </w:r>
      <w:r>
        <w:t xml:space="preserve"> LVĢMC publiskie gada pārskati par 2014., 2015. un </w:t>
      </w:r>
      <w:r w:rsidRPr="00A26944">
        <w:t xml:space="preserve">2016.gadu </w:t>
      </w:r>
      <w:hyperlink r:id="rId9" w:history="1">
        <w:r w:rsidRPr="00A26944">
          <w:rPr>
            <w:rStyle w:val="Hyperlink"/>
            <w:color w:val="auto"/>
          </w:rPr>
          <w:t>https://www.meteo.lv/lapas/par-centru/publiskie-gada-parskati/publiskie-gada-parskati?id=1090&amp;nid=327</w:t>
        </w:r>
      </w:hyperlink>
      <w:r w:rsidRPr="00A26944">
        <w:t xml:space="preserve"> </w:t>
      </w:r>
    </w:p>
  </w:footnote>
  <w:footnote w:id="57">
    <w:p w:rsidR="00F16784" w:rsidRDefault="00F16784" w:rsidP="007D4D4C">
      <w:pPr>
        <w:pStyle w:val="FootnoteText"/>
        <w:jc w:val="both"/>
      </w:pPr>
      <w:r w:rsidRPr="00A26944">
        <w:rPr>
          <w:rStyle w:val="FootnoteReference"/>
        </w:rPr>
        <w:footnoteRef/>
      </w:r>
      <w:r w:rsidRPr="00A26944">
        <w:t xml:space="preserve"> Valsts kontroles 2017.gada 18.maijā publicētais revīzijas ziņojums </w:t>
      </w:r>
      <w:r>
        <w:t>“</w:t>
      </w:r>
      <w:r w:rsidRPr="00C26769">
        <w:t>Par Vides aizsardzības un reģionālās attīstības ministrijas 2016.gada pārskatu</w:t>
      </w:r>
      <w:r>
        <w:t>” (Revīzijas Nr.</w:t>
      </w:r>
      <w:r w:rsidRPr="00C26769">
        <w:t>Nr.2.4.1-39/2016</w:t>
      </w:r>
      <w:r>
        <w:t xml:space="preserve">), </w:t>
      </w:r>
      <w:r w:rsidRPr="00C26769">
        <w:t>http://www.lrvk.gov.lv/revizija/par-vides-aizsardzibas-un-regionalas-attistibas-ministrijas-2016-gada-parskatu/</w:t>
      </w:r>
    </w:p>
  </w:footnote>
  <w:footnote w:id="58">
    <w:p w:rsidR="00F16784" w:rsidRDefault="00F16784" w:rsidP="00A972F8">
      <w:pPr>
        <w:pStyle w:val="FootnoteText"/>
      </w:pPr>
      <w:r w:rsidRPr="00A335D4">
        <w:rPr>
          <w:rStyle w:val="FootnoteReference"/>
        </w:rPr>
        <w:footnoteRef/>
      </w:r>
      <w:r w:rsidRPr="00A335D4">
        <w:t xml:space="preserve"> VARAM 14.06.2017. vēstule Nr.7-47/4812 “Par izdevumu pārskatīšanas rezultātiem”</w:t>
      </w:r>
    </w:p>
  </w:footnote>
  <w:footnote w:id="59">
    <w:p w:rsidR="00F16784" w:rsidRPr="00751D4F" w:rsidRDefault="00F16784" w:rsidP="00623E7E">
      <w:pPr>
        <w:pStyle w:val="FootnoteText"/>
      </w:pPr>
      <w:r>
        <w:rPr>
          <w:rStyle w:val="FootnoteReference"/>
        </w:rPr>
        <w:footnoteRef/>
      </w:r>
      <w:r>
        <w:t xml:space="preserve"> </w:t>
      </w:r>
      <w:r w:rsidRPr="00751D4F">
        <w:rPr>
          <w:rFonts w:cs="Times New Roman"/>
        </w:rPr>
        <w:t xml:space="preserve">VAS "Latvijas </w:t>
      </w:r>
      <w:r>
        <w:rPr>
          <w:rFonts w:cs="Times New Roman"/>
        </w:rPr>
        <w:t>autoceļu uzturētājs</w:t>
      </w:r>
      <w:r w:rsidRPr="00751D4F">
        <w:rPr>
          <w:rFonts w:cs="Times New Roman"/>
        </w:rPr>
        <w:t>"</w:t>
      </w:r>
      <w:r>
        <w:rPr>
          <w:rFonts w:cs="Times New Roman"/>
        </w:rPr>
        <w:t xml:space="preserve"> 2015. gada pārskats</w:t>
      </w:r>
    </w:p>
  </w:footnote>
  <w:footnote w:id="60">
    <w:p w:rsidR="00F16784" w:rsidRPr="00751D4F" w:rsidRDefault="00F16784" w:rsidP="00E40BDF">
      <w:pPr>
        <w:pStyle w:val="FootnoteText"/>
      </w:pPr>
      <w:r>
        <w:rPr>
          <w:rStyle w:val="FootnoteReference"/>
        </w:rPr>
        <w:footnoteRef/>
      </w:r>
      <w:r>
        <w:t xml:space="preserve"> </w:t>
      </w:r>
      <w:r>
        <w:rPr>
          <w:rFonts w:cs="Times New Roman"/>
        </w:rPr>
        <w:t>VAS “Latvijas Valsts ceļi” 2015. gada pārskats, 2016.gada pārskats</w:t>
      </w:r>
    </w:p>
  </w:footnote>
  <w:footnote w:id="61">
    <w:p w:rsidR="00F16784" w:rsidRPr="00CF32A0" w:rsidRDefault="00F16784" w:rsidP="00E40BDF">
      <w:pPr>
        <w:spacing w:after="120"/>
        <w:jc w:val="both"/>
        <w:rPr>
          <w:highlight w:val="yellow"/>
        </w:rPr>
      </w:pPr>
      <w:r>
        <w:rPr>
          <w:rStyle w:val="FootnoteReference"/>
        </w:rPr>
        <w:footnoteRef/>
      </w:r>
      <w:r>
        <w:t xml:space="preserve"> </w:t>
      </w:r>
      <w:hyperlink r:id="rId10" w:history="1">
        <w:r w:rsidRPr="00E40BDF">
          <w:rPr>
            <w:rStyle w:val="Hyperlink"/>
            <w:color w:val="auto"/>
            <w:sz w:val="20"/>
            <w:szCs w:val="20"/>
          </w:rPr>
          <w:t>http://www.enguresnovads.lv/uploads/filedir/slokenbekas_muizas_strat2016_2025.pdf</w:t>
        </w:r>
      </w:hyperlink>
      <w:r w:rsidRPr="00E40BDF">
        <w:rPr>
          <w:sz w:val="20"/>
          <w:szCs w:val="20"/>
        </w:rPr>
        <w:t>, 9., 10.</w:t>
      </w:r>
      <w:r>
        <w:rPr>
          <w:sz w:val="20"/>
          <w:szCs w:val="20"/>
        </w:rPr>
        <w:t>lpp</w:t>
      </w:r>
    </w:p>
  </w:footnote>
  <w:footnote w:id="62">
    <w:p w:rsidR="00F16784" w:rsidRDefault="00F16784" w:rsidP="00B239DD">
      <w:pPr>
        <w:pStyle w:val="FootnoteText"/>
      </w:pPr>
      <w:r>
        <w:rPr>
          <w:rStyle w:val="FootnoteReference"/>
        </w:rPr>
        <w:footnoteRef/>
      </w:r>
      <w:r>
        <w:t xml:space="preserve"> Datu avots: </w:t>
      </w:r>
      <w:hyperlink r:id="rId11" w:history="1">
        <w:r w:rsidRPr="007C332D">
          <w:rPr>
            <w:rStyle w:val="Hyperlink"/>
            <w:rFonts w:cs="Times New Roman"/>
            <w:color w:val="auto"/>
            <w:szCs w:val="24"/>
          </w:rPr>
          <w:t>http://termini.lza.lv/term.php</w:t>
        </w:r>
      </w:hyperlink>
      <w:r w:rsidRPr="007C332D">
        <w:rPr>
          <w:rStyle w:val="Hyperlink"/>
          <w:rFonts w:cs="Times New Roman"/>
          <w:color w:val="auto"/>
          <w:szCs w:val="24"/>
        </w:rPr>
        <w:t xml:space="preserve"> </w:t>
      </w:r>
    </w:p>
  </w:footnote>
  <w:footnote w:id="63">
    <w:p w:rsidR="00F16784" w:rsidRPr="00E83E2E" w:rsidRDefault="00F16784" w:rsidP="00B239DD">
      <w:pPr>
        <w:pStyle w:val="FootnoteText"/>
        <w:jc w:val="both"/>
      </w:pPr>
      <w:r w:rsidRPr="00E83E2E">
        <w:rPr>
          <w:rStyle w:val="FootnoteReference"/>
        </w:rPr>
        <w:footnoteRef/>
      </w:r>
      <w:r w:rsidRPr="00E83E2E">
        <w:t xml:space="preserve"> </w:t>
      </w:r>
      <w:r w:rsidRPr="00E83E2E">
        <w:rPr>
          <w:rFonts w:eastAsiaTheme="majorEastAsia" w:cs="Times New Roman"/>
          <w:bCs/>
          <w:kern w:val="24"/>
          <w14:shadow w14:blurRad="63500" w14:dist="50800" w14:dir="13500000" w14:sx="0" w14:sy="0" w14:kx="0" w14:ky="0" w14:algn="none">
            <w14:srgbClr w14:val="000000">
              <w14:alpha w14:val="50000"/>
            </w14:srgbClr>
          </w14:shadow>
        </w:rPr>
        <w:t>VARAM, sniedzot inform</w:t>
      </w:r>
      <w:r>
        <w:rPr>
          <w:rFonts w:eastAsiaTheme="majorEastAsia" w:cs="Times New Roman"/>
          <w:bCs/>
          <w:kern w:val="24"/>
          <w14:shadow w14:blurRad="63500" w14:dist="50800" w14:dir="13500000" w14:sx="0" w14:sy="0" w14:kx="0" w14:ky="0" w14:algn="none">
            <w14:srgbClr w14:val="000000">
              <w14:alpha w14:val="50000"/>
            </w14:srgbClr>
          </w14:shadow>
        </w:rPr>
        <w:t xml:space="preserve">āciju par ekspertīzēm, pie 2 ekspertīzēm nespēja noradīt informāciju par ekspertīžu skaitu gadā, tāpēc tika norādīts </w:t>
      </w:r>
      <w:r w:rsidRPr="004142D0">
        <w:rPr>
          <w:rFonts w:eastAsiaTheme="majorEastAsia" w:cs="Times New Roman"/>
          <w:bCs/>
          <w:kern w:val="24"/>
          <w14:shadow w14:blurRad="63500" w14:dist="50800" w14:dir="13500000" w14:sx="0" w14:sy="0" w14:kx="0" w14:ky="0" w14:algn="none">
            <w14:srgbClr w14:val="000000">
              <w14:alpha w14:val="50000"/>
            </w14:srgbClr>
          </w14:shadow>
        </w:rPr>
        <w:t>noslēgto līgumu skaits</w:t>
      </w:r>
      <w:r>
        <w:rPr>
          <w:rFonts w:eastAsiaTheme="majorEastAsia" w:cs="Times New Roman"/>
          <w:bCs/>
          <w:kern w:val="24"/>
          <w14:shadow w14:blurRad="63500" w14:dist="50800" w14:dir="13500000" w14:sx="0" w14:sy="0" w14:kx="0" w14:ky="0" w14:algn="none">
            <w14:srgbClr w14:val="000000">
              <w14:alpha w14:val="50000"/>
            </w14:srgbClr>
          </w14:shadow>
        </w:rPr>
        <w:t xml:space="preserve">, uz kuru pamatā tiek veiktas ekspertīzes, </w:t>
      </w:r>
      <w:r w:rsidRPr="004142D0">
        <w:rPr>
          <w:rFonts w:eastAsiaTheme="majorEastAsia" w:cs="Times New Roman"/>
          <w:bCs/>
          <w:kern w:val="24"/>
          <w14:shadow w14:blurRad="63500" w14:dist="50800" w14:dir="13500000" w14:sx="0" w14:sy="0" w14:kx="0" w14:ky="0" w14:algn="none">
            <w14:srgbClr w14:val="000000">
              <w14:alpha w14:val="50000"/>
            </w14:srgbClr>
          </w14:shadow>
        </w:rPr>
        <w:t xml:space="preserve">līdz ar to dati nav </w:t>
      </w:r>
      <w:r>
        <w:rPr>
          <w:rFonts w:eastAsiaTheme="majorEastAsia" w:cs="Times New Roman"/>
          <w:bCs/>
          <w:kern w:val="24"/>
          <w14:shadow w14:blurRad="63500" w14:dist="50800" w14:dir="13500000" w14:sx="0" w14:sy="0" w14:kx="0" w14:ky="0" w14:algn="none">
            <w14:srgbClr w14:val="000000">
              <w14:alpha w14:val="50000"/>
            </w14:srgbClr>
          </w14:shadow>
        </w:rPr>
        <w:t xml:space="preserve">pilnvērtīgi </w:t>
      </w:r>
      <w:r w:rsidRPr="004142D0">
        <w:rPr>
          <w:rFonts w:eastAsiaTheme="majorEastAsia" w:cs="Times New Roman"/>
          <w:bCs/>
          <w:kern w:val="24"/>
          <w14:shadow w14:blurRad="63500" w14:dist="50800" w14:dir="13500000" w14:sx="0" w14:sy="0" w14:kx="0" w14:ky="0" w14:algn="none">
            <w14:srgbClr w14:val="000000">
              <w14:alpha w14:val="50000"/>
            </w14:srgbClr>
          </w14:shadow>
        </w:rPr>
        <w:t>salīdzināmi</w:t>
      </w:r>
    </w:p>
  </w:footnote>
  <w:footnote w:id="64">
    <w:p w:rsidR="00F16784" w:rsidRPr="00FA683B" w:rsidRDefault="00F16784" w:rsidP="00B239DD">
      <w:pPr>
        <w:pStyle w:val="FootnoteText"/>
        <w:jc w:val="both"/>
      </w:pPr>
      <w:r w:rsidRPr="00FA683B">
        <w:rPr>
          <w:rStyle w:val="FootnoteReference"/>
        </w:rPr>
        <w:footnoteRef/>
      </w:r>
      <w:r w:rsidRPr="00FA683B">
        <w:t xml:space="preserve"> </w:t>
      </w:r>
      <w:r w:rsidRPr="004142D0">
        <w:rPr>
          <w:rFonts w:cs="Times New Roman"/>
        </w:rPr>
        <w:t>Valsts ieņēmumu dienests veic ķīmiskās tiesu ekspertīzes saskaņā ar likuma “Par Valsts ieņēmumu dienestu” 11.panta 2.punkta 11.apakšpunktu.</w:t>
      </w:r>
    </w:p>
  </w:footnote>
  <w:footnote w:id="65">
    <w:p w:rsidR="00F16784" w:rsidRDefault="00F16784" w:rsidP="00B239DD">
      <w:pPr>
        <w:pStyle w:val="FootnoteText"/>
      </w:pPr>
      <w:r>
        <w:rPr>
          <w:rStyle w:val="FootnoteReference"/>
        </w:rPr>
        <w:footnoteRef/>
      </w:r>
      <w:r>
        <w:t xml:space="preserve"> VRGP n</w:t>
      </w:r>
      <w:r w:rsidRPr="004F0A9A">
        <w:t>odarbinātie veic arī citas funkcijas, ne tikai ekspertīzes</w:t>
      </w:r>
    </w:p>
  </w:footnote>
  <w:footnote w:id="66">
    <w:p w:rsidR="00F16784" w:rsidRPr="00ED4B5F" w:rsidRDefault="00F16784" w:rsidP="0079705C">
      <w:pPr>
        <w:spacing w:before="120"/>
        <w:jc w:val="both"/>
        <w:rPr>
          <w:color w:val="000000" w:themeColor="text1"/>
        </w:rPr>
      </w:pPr>
      <w:r w:rsidRPr="0079705C">
        <w:rPr>
          <w:rStyle w:val="FootnoteReference"/>
          <w:sz w:val="18"/>
          <w:szCs w:val="18"/>
        </w:rPr>
        <w:footnoteRef/>
      </w:r>
      <w:r w:rsidRPr="0079705C">
        <w:rPr>
          <w:sz w:val="18"/>
          <w:szCs w:val="18"/>
        </w:rPr>
        <w:t xml:space="preserve"> 2017.gada budžetā iestrādātajā atlikumā ir iekļauta informācija no FM </w:t>
      </w:r>
      <w:r w:rsidRPr="0079705C">
        <w:rPr>
          <w:color w:val="000000" w:themeColor="text1"/>
          <w:sz w:val="18"/>
          <w:szCs w:val="18"/>
        </w:rPr>
        <w:t xml:space="preserve">rīkojumiem uz 2017.gada 15.jūniju, kā arī VARAM, KM, TM un IZM iesniegtie pieprasījumi par pašu ieņēmumu atlikumu iestrādāšanu 2017.gada budžetā. </w:t>
      </w:r>
      <w:r w:rsidRPr="0079705C">
        <w:rPr>
          <w:sz w:val="18"/>
          <w:szCs w:val="18"/>
        </w:rPr>
        <w:t>Plānotajā atlikuma kopsummā uz n gada sākumu, netiek ņemts vērā budžetā iestrādātais negatīvais pašu ieņēmumu atlikums</w:t>
      </w:r>
      <w:r>
        <w:rPr>
          <w:sz w:val="18"/>
          <w:szCs w:val="18"/>
        </w:rPr>
        <w:t>.</w:t>
      </w:r>
    </w:p>
  </w:footnote>
  <w:footnote w:id="67">
    <w:p w:rsidR="00F16784" w:rsidRPr="00C237A2" w:rsidRDefault="00F16784" w:rsidP="00F23C3C">
      <w:pPr>
        <w:spacing w:before="120"/>
        <w:rPr>
          <w:sz w:val="16"/>
          <w:szCs w:val="16"/>
        </w:rPr>
      </w:pPr>
      <w:r>
        <w:rPr>
          <w:rStyle w:val="FootnoteReference"/>
        </w:rPr>
        <w:footnoteRef/>
      </w:r>
      <w:r>
        <w:t xml:space="preserve"> </w:t>
      </w:r>
      <w:r w:rsidRPr="007A4445">
        <w:rPr>
          <w:sz w:val="20"/>
          <w:szCs w:val="20"/>
        </w:rPr>
        <w:t>Plānotajā atlikuma kopsummā uz n gada sākumu, netiek ņemts vērā budžetā iestrādātais negatīvais pašu ieņēmumu atlikums</w:t>
      </w:r>
      <w:r>
        <w:t>.</w:t>
      </w:r>
    </w:p>
  </w:footnote>
  <w:footnote w:id="68">
    <w:p w:rsidR="00F16784" w:rsidRDefault="00F16784" w:rsidP="00F23C3C">
      <w:pPr>
        <w:pStyle w:val="FootnoteText"/>
      </w:pPr>
      <w:r>
        <w:rPr>
          <w:rStyle w:val="FootnoteReference"/>
        </w:rPr>
        <w:footnoteRef/>
      </w:r>
      <w:r>
        <w:t xml:space="preserve"> </w:t>
      </w:r>
      <w:r w:rsidRPr="007A4445">
        <w:t>Plānotajā atlikuma kopsummā uz n gada sākumu, netiek ņemts vērā budžetā iestrādātais negatīvais pašu ieņēmumu atlikums</w:t>
      </w:r>
      <w:r>
        <w:t>.</w:t>
      </w:r>
    </w:p>
  </w:footnote>
  <w:footnote w:id="69">
    <w:p w:rsidR="00F16784" w:rsidRDefault="00F16784" w:rsidP="00F23C3C">
      <w:pPr>
        <w:pStyle w:val="FootnoteText"/>
      </w:pPr>
      <w:r>
        <w:rPr>
          <w:rStyle w:val="FootnoteReference"/>
        </w:rPr>
        <w:footnoteRef/>
      </w:r>
      <w:r>
        <w:t xml:space="preserve"> </w:t>
      </w:r>
      <w:r w:rsidRPr="007A4445">
        <w:t>Plānotajā atlikuma kopsummā uz n gada sākumu, netiek ņemts vērā budžetā iestrādātais negatīvais pašu ieņēmumu atlikums</w:t>
      </w:r>
      <w:r>
        <w:t>.</w:t>
      </w:r>
    </w:p>
  </w:footnote>
  <w:footnote w:id="70">
    <w:p w:rsidR="00F16784" w:rsidRDefault="00F16784" w:rsidP="00F23C3C">
      <w:pPr>
        <w:pStyle w:val="FootnoteText"/>
      </w:pPr>
      <w:r>
        <w:rPr>
          <w:rStyle w:val="FootnoteReference"/>
        </w:rPr>
        <w:footnoteRef/>
      </w:r>
      <w:r>
        <w:t xml:space="preserve"> </w:t>
      </w:r>
      <w:r w:rsidRPr="007A4445">
        <w:t>Plānotajā atlikuma kopsummā uz n gada sākumu, netiek ņemts vērā budžetā iestrādātais negatīvais pašu ieņēmumu atlikums</w:t>
      </w:r>
      <w:r>
        <w:t>.</w:t>
      </w:r>
    </w:p>
  </w:footnote>
  <w:footnote w:id="71">
    <w:p w:rsidR="00F16784" w:rsidRDefault="00F16784" w:rsidP="003800F3">
      <w:pPr>
        <w:pStyle w:val="FootnoteText"/>
        <w:jc w:val="both"/>
      </w:pPr>
      <w:r>
        <w:rPr>
          <w:rStyle w:val="FootnoteReference"/>
        </w:rPr>
        <w:footnoteRef/>
      </w:r>
      <w:r>
        <w:t xml:space="preserve"> Atskaitot grozījumus MPK cenrāžos, kad netika pārskatīti noteiktie izcenojumi par maksas pakalpojumiem, kā arī gadījumi, kad MPK cenrāži tika pārizdoti dēļ latu konvertācijas uz eiro, līdz ar to tika skatīts pēdējais MPK cenrāžu aktualizācijas laiks, kad tika aktualizētas izmaksas  </w:t>
      </w:r>
    </w:p>
  </w:footnote>
  <w:footnote w:id="72">
    <w:p w:rsidR="00F16784" w:rsidRPr="003A1F97" w:rsidRDefault="00F16784" w:rsidP="003800F3">
      <w:pPr>
        <w:pStyle w:val="FootnoteText"/>
      </w:pPr>
      <w:r>
        <w:rPr>
          <w:rStyle w:val="FootnoteReference"/>
        </w:rPr>
        <w:footnoteRef/>
      </w:r>
      <w:r>
        <w:t xml:space="preserve"> Avots: CSP</w:t>
      </w:r>
      <w:r w:rsidRPr="003A1F97">
        <w:t xml:space="preserve"> mājaslapa </w:t>
      </w:r>
      <w:hyperlink r:id="rId12" w:history="1">
        <w:r w:rsidRPr="003A1F97">
          <w:rPr>
            <w:rStyle w:val="Hyperlink"/>
            <w:color w:val="auto"/>
          </w:rPr>
          <w:t>http://www.csb.gov.lv/</w:t>
        </w:r>
      </w:hyperlink>
    </w:p>
  </w:footnote>
  <w:footnote w:id="73">
    <w:p w:rsidR="00F16784" w:rsidRPr="001D4485" w:rsidRDefault="00F16784" w:rsidP="00810F4D">
      <w:pPr>
        <w:pStyle w:val="FootnoteText"/>
        <w:jc w:val="both"/>
        <w:rPr>
          <w:sz w:val="18"/>
          <w:szCs w:val="18"/>
        </w:rPr>
      </w:pPr>
      <w:r w:rsidRPr="001D4485">
        <w:rPr>
          <w:rStyle w:val="FootnoteReference"/>
          <w:sz w:val="18"/>
          <w:szCs w:val="18"/>
        </w:rPr>
        <w:footnoteRef/>
      </w:r>
      <w:r w:rsidRPr="001D4485">
        <w:rPr>
          <w:sz w:val="18"/>
          <w:szCs w:val="18"/>
        </w:rPr>
        <w:t xml:space="preserve"> Izņēmums </w:t>
      </w:r>
      <w:r>
        <w:rPr>
          <w:sz w:val="18"/>
          <w:szCs w:val="18"/>
        </w:rPr>
        <w:t>KM</w:t>
      </w:r>
      <w:r w:rsidRPr="001D4485">
        <w:rPr>
          <w:sz w:val="18"/>
          <w:szCs w:val="18"/>
        </w:rPr>
        <w:t xml:space="preserve"> MPK cenrādī “Kultūras ministrijas publisko maksas pakalpojumu cenrādis” noteiktie ieņēmumi no maksas pakalpojumiem, kas netiek plānoti valsts budžetā, jo tālākizglītības kursus muzeju darbiniekiem turpmāk organizēs Latvijas Kultūras akadēmija</w:t>
      </w:r>
    </w:p>
  </w:footnote>
  <w:footnote w:id="74">
    <w:p w:rsidR="00F16784" w:rsidRPr="000C344F" w:rsidRDefault="00F16784" w:rsidP="00810F4D">
      <w:pPr>
        <w:pStyle w:val="FootnoteText"/>
        <w:jc w:val="both"/>
        <w:rPr>
          <w:sz w:val="18"/>
          <w:szCs w:val="18"/>
        </w:rPr>
      </w:pPr>
      <w:r w:rsidRPr="001D4485">
        <w:rPr>
          <w:rStyle w:val="FootnoteReference"/>
          <w:sz w:val="18"/>
          <w:szCs w:val="18"/>
        </w:rPr>
        <w:footnoteRef/>
      </w:r>
      <w:r w:rsidRPr="001D4485">
        <w:rPr>
          <w:sz w:val="18"/>
          <w:szCs w:val="18"/>
        </w:rPr>
        <w:t xml:space="preserve"> Balstoties uz pieņēmumu, ka valsts aizdevumi pašvaldībām vidēji viena gada laikā no jauna tiek izsniegti 154 milj. </w:t>
      </w:r>
      <w:r w:rsidRPr="001D4485">
        <w:rPr>
          <w:i/>
          <w:sz w:val="18"/>
          <w:szCs w:val="18"/>
        </w:rPr>
        <w:t xml:space="preserve">euro </w:t>
      </w:r>
      <w:r w:rsidRPr="001D4485">
        <w:rPr>
          <w:sz w:val="18"/>
          <w:szCs w:val="18"/>
        </w:rPr>
        <w:t xml:space="preserve">apmērā ar vidējo atmaksas </w:t>
      </w:r>
      <w:r w:rsidRPr="000C344F">
        <w:rPr>
          <w:sz w:val="18"/>
          <w:szCs w:val="18"/>
        </w:rPr>
        <w:t>termiņu  - 15 gadi, pieņemot, ka gada beigās tiek atmaksāti 30% no jauna izsniegto valsts aizdevumu no ES līdzfinansējuma un pamatsummas atmaksas tiek uzsāktas ar otro gadu, maksājot reizi ceturksnī vienādos maksājumos</w:t>
      </w:r>
    </w:p>
  </w:footnote>
  <w:footnote w:id="75">
    <w:p w:rsidR="00F16784" w:rsidRPr="001B2A8F" w:rsidRDefault="00F16784" w:rsidP="002E2E1B">
      <w:pPr>
        <w:pStyle w:val="FootnoteText"/>
        <w:jc w:val="both"/>
        <w:rPr>
          <w:color w:val="FF0000"/>
          <w:sz w:val="18"/>
          <w:szCs w:val="18"/>
        </w:rPr>
      </w:pPr>
      <w:r w:rsidRPr="000C344F">
        <w:rPr>
          <w:rStyle w:val="FootnoteReference"/>
          <w:sz w:val="18"/>
          <w:szCs w:val="18"/>
        </w:rPr>
        <w:footnoteRef/>
      </w:r>
      <w:r w:rsidRPr="000C344F">
        <w:rPr>
          <w:sz w:val="18"/>
          <w:szCs w:val="18"/>
        </w:rPr>
        <w:t xml:space="preserve"> Pamatojoties uz KM sniegto informāciju, 2017.gadā muzeji un bibliotēkas pašu ieņēmumus ir kāpinājušas par 1 195 506 </w:t>
      </w:r>
      <w:r w:rsidRPr="000C344F">
        <w:rPr>
          <w:i/>
          <w:sz w:val="18"/>
          <w:szCs w:val="18"/>
        </w:rPr>
        <w:t>euro</w:t>
      </w:r>
      <w:r w:rsidRPr="000C344F">
        <w:rPr>
          <w:sz w:val="18"/>
          <w:szCs w:val="18"/>
        </w:rPr>
        <w:t xml:space="preserve"> attiecībā pret 2016.gadu, kā arī 2017.gadā papildus valsts budžetā tika iestrādi ieņēmumi par sniegtajiem maksas pakalpojumiem un citiem pašu ieņēmumiem 275 474 </w:t>
      </w:r>
      <w:r w:rsidRPr="000C344F">
        <w:rPr>
          <w:i/>
          <w:sz w:val="18"/>
          <w:szCs w:val="18"/>
        </w:rPr>
        <w:t>euro</w:t>
      </w:r>
      <w:r w:rsidRPr="000C344F">
        <w:rPr>
          <w:sz w:val="18"/>
          <w:szCs w:val="18"/>
        </w:rPr>
        <w:t xml:space="preserve"> apmērā.</w:t>
      </w:r>
    </w:p>
  </w:footnote>
  <w:footnote w:id="76">
    <w:p w:rsidR="00F16784" w:rsidRDefault="00F16784">
      <w:pPr>
        <w:pStyle w:val="FootnoteText"/>
      </w:pPr>
      <w:r>
        <w:rPr>
          <w:rStyle w:val="FootnoteReference"/>
        </w:rPr>
        <w:footnoteRef/>
      </w:r>
      <w:r>
        <w:t xml:space="preserve"> </w:t>
      </w:r>
      <w:r w:rsidRPr="00DC10F3">
        <w:t>Pamatojoties uz IeM sniegto informāciju par 2017.gadā veikto cenrāžu pārskatīšanu un aktualizēšanu.</w:t>
      </w:r>
    </w:p>
  </w:footnote>
  <w:footnote w:id="77">
    <w:p w:rsidR="00F16784" w:rsidRPr="001D4485" w:rsidRDefault="00F16784" w:rsidP="00810F4D">
      <w:pPr>
        <w:pStyle w:val="FootnoteText"/>
        <w:jc w:val="both"/>
        <w:rPr>
          <w:sz w:val="18"/>
          <w:szCs w:val="18"/>
        </w:rPr>
      </w:pPr>
      <w:r w:rsidRPr="001D4485">
        <w:rPr>
          <w:rStyle w:val="FootnoteReference"/>
          <w:sz w:val="18"/>
          <w:szCs w:val="18"/>
        </w:rPr>
        <w:footnoteRef/>
      </w:r>
      <w:r w:rsidRPr="001D4485">
        <w:rPr>
          <w:sz w:val="18"/>
          <w:szCs w:val="18"/>
        </w:rPr>
        <w:t xml:space="preserve"> Pamatojoties uz VARAM sniegto informāciju, tajā skaitā 29 241 </w:t>
      </w:r>
      <w:r w:rsidRPr="001D4485">
        <w:rPr>
          <w:i/>
          <w:sz w:val="18"/>
          <w:szCs w:val="18"/>
        </w:rPr>
        <w:t xml:space="preserve">euro </w:t>
      </w:r>
      <w:r w:rsidRPr="001D4485">
        <w:rPr>
          <w:sz w:val="18"/>
          <w:szCs w:val="18"/>
        </w:rPr>
        <w:t xml:space="preserve">apmērā ieņēmumu no MPK palielinājums saistībā ar jaunā cenrāža “Latvijas Dabas muzeja maksas pakalpojumu cenrādis” spēkā stāšanos, kopējais cenrādī norādītais ieņēmumu no MPK  palielinājums paredzēts 70 807 </w:t>
      </w:r>
      <w:r w:rsidRPr="001D4485">
        <w:rPr>
          <w:i/>
          <w:sz w:val="18"/>
          <w:szCs w:val="18"/>
        </w:rPr>
        <w:t xml:space="preserve">euro </w:t>
      </w:r>
      <w:r w:rsidRPr="001D4485">
        <w:rPr>
          <w:sz w:val="18"/>
          <w:szCs w:val="18"/>
        </w:rPr>
        <w:t xml:space="preserve">apmērā, no tā 41 566 </w:t>
      </w:r>
      <w:r w:rsidRPr="001D4485">
        <w:rPr>
          <w:i/>
          <w:sz w:val="18"/>
          <w:szCs w:val="18"/>
        </w:rPr>
        <w:t xml:space="preserve">euro </w:t>
      </w:r>
      <w:r w:rsidRPr="001D4485">
        <w:rPr>
          <w:sz w:val="18"/>
          <w:szCs w:val="18"/>
        </w:rPr>
        <w:t xml:space="preserve">novirzāmi JPI “Neatliekamie pasākumi valsts funkciju veikšanas nodrošināšanai” ietvaros LDM pasākumu finansēšanai un 29 241 </w:t>
      </w:r>
      <w:r w:rsidRPr="00810F4D">
        <w:rPr>
          <w:i/>
          <w:sz w:val="18"/>
          <w:szCs w:val="18"/>
        </w:rPr>
        <w:t>euro</w:t>
      </w:r>
      <w:r>
        <w:rPr>
          <w:sz w:val="18"/>
          <w:szCs w:val="18"/>
        </w:rPr>
        <w:t xml:space="preserve"> </w:t>
      </w:r>
      <w:r w:rsidRPr="001D4485">
        <w:rPr>
          <w:sz w:val="18"/>
          <w:szCs w:val="18"/>
        </w:rPr>
        <w:t>ieņēmumu no MPK palielinājumam.</w:t>
      </w:r>
    </w:p>
  </w:footnote>
  <w:footnote w:id="78">
    <w:p w:rsidR="00F16784" w:rsidRDefault="00F16784" w:rsidP="005D01B2">
      <w:pPr>
        <w:pStyle w:val="FootnoteText"/>
      </w:pPr>
      <w:r>
        <w:rPr>
          <w:rStyle w:val="FootnoteReference"/>
        </w:rPr>
        <w:footnoteRef/>
      </w:r>
      <w:r>
        <w:t xml:space="preserve"> </w:t>
      </w:r>
      <w:r w:rsidRPr="00ED6DEA">
        <w:rPr>
          <w:sz w:val="16"/>
          <w:szCs w:val="16"/>
        </w:rPr>
        <w:t xml:space="preserve">Atbilstoši </w:t>
      </w:r>
      <w:r>
        <w:rPr>
          <w:sz w:val="16"/>
          <w:szCs w:val="16"/>
        </w:rPr>
        <w:t>MK 2005.gada 27.decembra noteikumiem</w:t>
      </w:r>
      <w:r w:rsidRPr="00ED6DEA">
        <w:rPr>
          <w:sz w:val="16"/>
          <w:szCs w:val="16"/>
        </w:rPr>
        <w:t xml:space="preserve"> Nr.1031 “Noteikumi par budžetu izdevumu klasifikāciju atbilstoši ekonomiskajām kategorijām”</w:t>
      </w:r>
    </w:p>
  </w:footnote>
  <w:footnote w:id="79">
    <w:p w:rsidR="00F16784" w:rsidRDefault="00F16784" w:rsidP="005E4D4A">
      <w:pPr>
        <w:pStyle w:val="FootnoteText"/>
        <w:spacing w:after="120"/>
        <w:jc w:val="both"/>
      </w:pPr>
      <w:r>
        <w:rPr>
          <w:rStyle w:val="FootnoteReference"/>
        </w:rPr>
        <w:footnoteRef/>
      </w:r>
      <w:r>
        <w:t xml:space="preserve"> Apzīmējums “prioritārie pasākumi” ietver JPI (ietvars 2014-2016 un 2015-2017) un neatliekamos pasākumus (ietvars 2016</w:t>
      </w:r>
      <w:r>
        <w:noBreakHyphen/>
        <w:t>2018)</w:t>
      </w:r>
    </w:p>
  </w:footnote>
  <w:footnote w:id="80">
    <w:p w:rsidR="00F16784" w:rsidRDefault="00F16784" w:rsidP="0087444F">
      <w:pPr>
        <w:pStyle w:val="FootnoteText"/>
        <w:jc w:val="both"/>
      </w:pPr>
      <w:r>
        <w:rPr>
          <w:rStyle w:val="FootnoteReference"/>
        </w:rPr>
        <w:footnoteRef/>
      </w:r>
      <w:r>
        <w:t xml:space="preserve"> ZM elektroniski sniegtā informācija par JPI izpildi 27.04.2017., papildu sniegtā informācija 08.06.2017. sanāksmē, kā arī 13.06.2017. elektroniski sniegtā informācija, ņemot vērā 08.06.2017. sanāksmē izrunāto </w:t>
      </w:r>
    </w:p>
  </w:footnote>
  <w:footnote w:id="81">
    <w:p w:rsidR="00F16784" w:rsidRDefault="00F16784" w:rsidP="00907555">
      <w:pPr>
        <w:pStyle w:val="FootnoteText"/>
      </w:pPr>
      <w:r>
        <w:rPr>
          <w:rStyle w:val="FootnoteReference"/>
        </w:rPr>
        <w:footnoteRef/>
      </w:r>
      <w:r>
        <w:t xml:space="preserve"> </w:t>
      </w:r>
      <w:r w:rsidRPr="00952FB3">
        <w:t>Ņemot vērā, ka pakalpojuma izpildei ir tend</w:t>
      </w:r>
      <w:r>
        <w:t>ence pieaugt, kā arī pakalpojuma</w:t>
      </w:r>
      <w:r w:rsidRPr="00952FB3">
        <w:t xml:space="preserve"> sniegšanā iesaistīto pašvaldību skaits 2017.gadā pieaug, tad 2017.gada izpilde tiek prognozēta, pamatojoties uz 2017.gada 1.ceturkšņa izpildes datiem, kā arī pieņemot, ka 2.ceturksnī izpilde palielināsies par 10%, savukārt 3. un 4.ceturksnī par 15 procentiem.</w:t>
      </w:r>
    </w:p>
  </w:footnote>
  <w:footnote w:id="82">
    <w:p w:rsidR="00F16784" w:rsidRDefault="00F16784" w:rsidP="00A06C87">
      <w:pPr>
        <w:pStyle w:val="FootnoteText"/>
      </w:pPr>
      <w:r>
        <w:rPr>
          <w:rStyle w:val="FootnoteReference"/>
        </w:rPr>
        <w:footnoteRef/>
      </w:r>
      <w:r>
        <w:t xml:space="preserve"> </w:t>
      </w:r>
      <w:r>
        <w:rPr>
          <w:rFonts w:cs="Times New Roman"/>
        </w:rPr>
        <w:t>MK</w:t>
      </w:r>
      <w:r w:rsidRPr="00A37689">
        <w:rPr>
          <w:rFonts w:cs="Times New Roman"/>
        </w:rPr>
        <w:t xml:space="preserve"> 2015.gada 25.augusta sēdes</w:t>
      </w:r>
      <w:r>
        <w:rPr>
          <w:rFonts w:cs="Times New Roman"/>
        </w:rPr>
        <w:t xml:space="preserve"> protokola Nr. 41 44.§ 2.punkts</w:t>
      </w:r>
    </w:p>
  </w:footnote>
  <w:footnote w:id="83">
    <w:p w:rsidR="00F16784" w:rsidRDefault="00F16784" w:rsidP="00BE1F69">
      <w:pPr>
        <w:pStyle w:val="FootnoteText"/>
      </w:pPr>
      <w:r w:rsidRPr="00BE1F69">
        <w:rPr>
          <w:rStyle w:val="FootnoteReference"/>
        </w:rPr>
        <w:footnoteRef/>
      </w:r>
      <w:r w:rsidRPr="00BE1F69">
        <w:t xml:space="preserve"> VARAM 14.06.2017. vēstule Nr.7-47/4812 “Par izdevumu pārskatīšanas rezultātiem”.</w:t>
      </w:r>
    </w:p>
  </w:footnote>
  <w:footnote w:id="84">
    <w:p w:rsidR="00F16784" w:rsidRDefault="00F16784" w:rsidP="00A06C87">
      <w:pPr>
        <w:pStyle w:val="FootnoteText"/>
      </w:pPr>
      <w:r>
        <w:rPr>
          <w:rStyle w:val="FootnoteReference"/>
        </w:rPr>
        <w:footnoteRef/>
      </w:r>
      <w:r>
        <w:t xml:space="preserve"> Saskaņā ar VARAM 25.05.2017. sniegto informāciju.</w:t>
      </w:r>
    </w:p>
  </w:footnote>
  <w:footnote w:id="85">
    <w:p w:rsidR="00F16784" w:rsidRDefault="00F16784" w:rsidP="00A06C87">
      <w:pPr>
        <w:pStyle w:val="FootnoteText"/>
      </w:pPr>
      <w:r>
        <w:rPr>
          <w:rStyle w:val="FootnoteReference"/>
        </w:rPr>
        <w:footnoteRef/>
      </w:r>
      <w:r>
        <w:t xml:space="preserve"> Saskaņā ar VARAM 25.05.2017. sniegto informāciju.</w:t>
      </w:r>
    </w:p>
  </w:footnote>
  <w:footnote w:id="86">
    <w:p w:rsidR="00F16784" w:rsidRDefault="00F16784" w:rsidP="00CB344A">
      <w:pPr>
        <w:pStyle w:val="FootnoteText"/>
      </w:pPr>
      <w:r w:rsidRPr="00CB344A">
        <w:rPr>
          <w:rStyle w:val="FootnoteReference"/>
        </w:rPr>
        <w:footnoteRef/>
      </w:r>
      <w:r w:rsidRPr="00CB344A">
        <w:t xml:space="preserve"> VARAM 14.06.2017. vēstule Nr. 7-47/4812 “Par izdevumu pārskatīšanas rezultātiem”.</w:t>
      </w:r>
    </w:p>
  </w:footnote>
  <w:footnote w:id="87">
    <w:p w:rsidR="00F16784" w:rsidRDefault="00F16784" w:rsidP="00A06C87">
      <w:pPr>
        <w:pStyle w:val="FootnoteText"/>
      </w:pPr>
      <w:r>
        <w:rPr>
          <w:rStyle w:val="FootnoteReference"/>
        </w:rPr>
        <w:footnoteRef/>
      </w:r>
      <w:r>
        <w:t xml:space="preserve"> Saskaņā ar VARAM 25.05.2017. sniegto informāciju.</w:t>
      </w:r>
    </w:p>
  </w:footnote>
  <w:footnote w:id="88">
    <w:p w:rsidR="00F16784" w:rsidRDefault="00F16784" w:rsidP="009B0BA4">
      <w:pPr>
        <w:pStyle w:val="FootnoteText"/>
      </w:pPr>
      <w:r w:rsidRPr="009B0BA4">
        <w:rPr>
          <w:rStyle w:val="FootnoteReference"/>
        </w:rPr>
        <w:footnoteRef/>
      </w:r>
      <w:r w:rsidRPr="009B0BA4">
        <w:t xml:space="preserve"> VARAM 14.06.2017. vēstule Nr. 7-47/4812 “Par izdevumu pārskatīšanas rezultātiem”.</w:t>
      </w:r>
    </w:p>
  </w:footnote>
  <w:footnote w:id="89">
    <w:p w:rsidR="00F16784" w:rsidRDefault="00F16784" w:rsidP="00A06C87">
      <w:pPr>
        <w:pStyle w:val="FootnoteText"/>
      </w:pPr>
      <w:r w:rsidRPr="000A3593">
        <w:rPr>
          <w:rStyle w:val="FootnoteReference"/>
        </w:rPr>
        <w:footnoteRef/>
      </w:r>
      <w:r w:rsidRPr="000A3593">
        <w:t xml:space="preserve"> MK 2017.gada 6.jūnija sēdes protokola </w:t>
      </w:r>
      <w:r w:rsidRPr="001D19CD">
        <w:t>Nr.29, 52.</w:t>
      </w:r>
      <w:r w:rsidRPr="001D19CD">
        <w:rPr>
          <w:rFonts w:cs="Times New Roman"/>
        </w:rPr>
        <w:t>§</w:t>
      </w:r>
    </w:p>
  </w:footnote>
  <w:footnote w:id="90">
    <w:p w:rsidR="00F16784" w:rsidRDefault="00F16784" w:rsidP="00EA3376">
      <w:pPr>
        <w:pStyle w:val="FootnoteText"/>
      </w:pPr>
      <w:r w:rsidRPr="00EA3376">
        <w:rPr>
          <w:rStyle w:val="FootnoteReference"/>
        </w:rPr>
        <w:footnoteRef/>
      </w:r>
      <w:r w:rsidRPr="00EA3376">
        <w:t xml:space="preserve"> VARAM 14.06.2017. vēstule Nr. 7-47/4812 “Par izdevumu pārskatīšanas rezultātiem”</w:t>
      </w:r>
    </w:p>
  </w:footnote>
  <w:footnote w:id="91">
    <w:p w:rsidR="00F16784" w:rsidRPr="003C7580" w:rsidRDefault="00F16784" w:rsidP="00A06C87">
      <w:pPr>
        <w:pStyle w:val="FootnoteText"/>
        <w:rPr>
          <w:rFonts w:cs="Times New Roman"/>
        </w:rPr>
      </w:pPr>
      <w:r w:rsidRPr="003C7580">
        <w:rPr>
          <w:rStyle w:val="FootnoteReference"/>
          <w:rFonts w:cs="Times New Roman"/>
        </w:rPr>
        <w:footnoteRef/>
      </w:r>
      <w:r w:rsidRPr="003C7580">
        <w:rPr>
          <w:rFonts w:cs="Times New Roman"/>
        </w:rPr>
        <w:t xml:space="preserve"> </w:t>
      </w:r>
      <w:r>
        <w:rPr>
          <w:rFonts w:cs="Times New Roman"/>
        </w:rPr>
        <w:t>MK</w:t>
      </w:r>
      <w:r w:rsidRPr="003C7580">
        <w:rPr>
          <w:rFonts w:cs="Times New Roman"/>
        </w:rPr>
        <w:t xml:space="preserve"> 2015.gada 25.augusta sēdes protokola Nr. 41 44.§  2.punkts</w:t>
      </w:r>
    </w:p>
  </w:footnote>
  <w:footnote w:id="92">
    <w:p w:rsidR="00F16784" w:rsidRDefault="00F16784" w:rsidP="00307D99">
      <w:pPr>
        <w:pStyle w:val="FootnoteText"/>
      </w:pPr>
      <w:r w:rsidRPr="000405EB">
        <w:rPr>
          <w:rStyle w:val="FootnoteReference"/>
        </w:rPr>
        <w:footnoteRef/>
      </w:r>
      <w:r w:rsidRPr="000405EB">
        <w:t xml:space="preserve"> VARAM 14.06.2017. vēstule Nr. 7-47/4812 “Par izdevumu pārskatīšanas rezultātiem”</w:t>
      </w:r>
    </w:p>
  </w:footnote>
  <w:footnote w:id="93">
    <w:p w:rsidR="00F16784" w:rsidRDefault="00F16784" w:rsidP="000405EB">
      <w:pPr>
        <w:pStyle w:val="FootnoteText"/>
      </w:pPr>
      <w:r w:rsidRPr="000405EB">
        <w:rPr>
          <w:rStyle w:val="FootnoteReference"/>
        </w:rPr>
        <w:footnoteRef/>
      </w:r>
      <w:r w:rsidRPr="000405EB">
        <w:t xml:space="preserve"> VARAM 14.06.2017. vēstule Nr.7-47/4812 “Par izdevumu pārskatīšanas rezultātiem”</w:t>
      </w:r>
    </w:p>
  </w:footnote>
  <w:footnote w:id="94">
    <w:p w:rsidR="00F16784" w:rsidRDefault="00F16784" w:rsidP="00A06C87">
      <w:pPr>
        <w:pStyle w:val="FootnoteText"/>
      </w:pPr>
      <w:r>
        <w:rPr>
          <w:rStyle w:val="FootnoteReference"/>
        </w:rPr>
        <w:footnoteRef/>
      </w:r>
      <w:r>
        <w:t xml:space="preserve"> Saskaņā ar VARAM 25.05.2017. sniegto informāciju</w:t>
      </w:r>
    </w:p>
  </w:footnote>
  <w:footnote w:id="95">
    <w:p w:rsidR="00F16784" w:rsidRDefault="00F16784" w:rsidP="000405EB">
      <w:pPr>
        <w:pStyle w:val="FootnoteText"/>
      </w:pPr>
      <w:r w:rsidRPr="000405EB">
        <w:rPr>
          <w:rStyle w:val="FootnoteReference"/>
        </w:rPr>
        <w:footnoteRef/>
      </w:r>
      <w:r w:rsidRPr="000405EB">
        <w:t xml:space="preserve"> VARAM 14.06.2017. vēstule Nr.7-47/4812 “Par izdevumu pārskatīšanas rezultātiem”</w:t>
      </w:r>
    </w:p>
  </w:footnote>
  <w:footnote w:id="96">
    <w:p w:rsidR="00F16784" w:rsidRDefault="00F16784" w:rsidP="00A06C87">
      <w:pPr>
        <w:pStyle w:val="FootnoteText"/>
      </w:pPr>
      <w:r>
        <w:rPr>
          <w:rStyle w:val="FootnoteReference"/>
        </w:rPr>
        <w:footnoteRef/>
      </w:r>
      <w:r>
        <w:t xml:space="preserve"> Saskaņā ar VARAM 27.04.2017. sniegto informāciju</w:t>
      </w:r>
    </w:p>
  </w:footnote>
  <w:footnote w:id="97">
    <w:p w:rsidR="00F16784" w:rsidRDefault="00F16784" w:rsidP="00A06C87">
      <w:pPr>
        <w:pStyle w:val="FootnoteText"/>
        <w:jc w:val="both"/>
      </w:pPr>
      <w:r>
        <w:rPr>
          <w:rStyle w:val="FootnoteReference"/>
        </w:rPr>
        <w:footnoteRef/>
      </w:r>
      <w:r>
        <w:t xml:space="preserve"> M</w:t>
      </w:r>
      <w:r w:rsidRPr="005D47EC">
        <w:t>obilie telefoni, UPS, 2 serveri ar licencēm, darba staciju sistēmbloku no</w:t>
      </w:r>
      <w:r>
        <w:t>maiņa, multifunkcionālā iekārta,</w:t>
      </w:r>
      <w:r w:rsidRPr="005D47EC">
        <w:t xml:space="preserve"> darba staciju ar programmatūru nomaiņa,  licences, videokonferenču aprīkojuma iegāde</w:t>
      </w:r>
    </w:p>
  </w:footnote>
  <w:footnote w:id="98">
    <w:p w:rsidR="00F16784" w:rsidRDefault="00F16784" w:rsidP="00A06C87">
      <w:pPr>
        <w:pStyle w:val="FootnoteText"/>
        <w:jc w:val="both"/>
      </w:pPr>
      <w:r>
        <w:rPr>
          <w:rStyle w:val="FootnoteReference"/>
        </w:rPr>
        <w:footnoteRef/>
      </w:r>
      <w:r>
        <w:t xml:space="preserve"> </w:t>
      </w:r>
      <w:r w:rsidRPr="00AA2CB2">
        <w:t xml:space="preserve">Latvijas </w:t>
      </w:r>
      <w:r w:rsidRPr="00E544F3">
        <w:t xml:space="preserve">tautsaimniecības nozaru politikas sasaistes un ietekmes uz klimata politiku vispusīgs izvērtējums </w:t>
      </w:r>
      <w:hyperlink r:id="rId13" w:history="1">
        <w:r w:rsidRPr="00E544F3">
          <w:rPr>
            <w:rStyle w:val="Hyperlink"/>
            <w:color w:val="auto"/>
          </w:rPr>
          <w:t>http://www.varam.gov.lv/lat/publiskais_iepirkums/publiskais_iepirkums_rss/?doc=22869</w:t>
        </w:r>
      </w:hyperlink>
      <w:r w:rsidRPr="00E544F3">
        <w:t xml:space="preserve"> </w:t>
      </w:r>
    </w:p>
  </w:footnote>
  <w:footnote w:id="99">
    <w:p w:rsidR="00F16784" w:rsidRDefault="00F16784" w:rsidP="00851576">
      <w:pPr>
        <w:pStyle w:val="FootnoteText"/>
      </w:pPr>
      <w:r w:rsidRPr="00851576">
        <w:rPr>
          <w:rStyle w:val="FootnoteReference"/>
        </w:rPr>
        <w:footnoteRef/>
      </w:r>
      <w:r w:rsidRPr="00851576">
        <w:t xml:space="preserve"> VARAM 14.06.2017. vēstule Nr.7-47/4812 “Par izdevumu pārskatīšanas rezultātiem”</w:t>
      </w:r>
    </w:p>
  </w:footnote>
  <w:footnote w:id="100">
    <w:p w:rsidR="00F16784" w:rsidRDefault="00F16784">
      <w:pPr>
        <w:pStyle w:val="FootnoteText"/>
      </w:pPr>
      <w:r>
        <w:rPr>
          <w:rStyle w:val="FootnoteReference"/>
        </w:rPr>
        <w:footnoteRef/>
      </w:r>
      <w:r>
        <w:t xml:space="preserve"> </w:t>
      </w:r>
      <w:r w:rsidRPr="00213133">
        <w:rPr>
          <w:rFonts w:cs="Times New Roman"/>
        </w:rPr>
        <w:t>Veselības inspekcijas darba plānā par 2014.gadu plānotais rezultatīvais rādītājs nav norādīts</w:t>
      </w:r>
    </w:p>
  </w:footnote>
  <w:footnote w:id="101">
    <w:p w:rsidR="00F16784" w:rsidRPr="00E622B6" w:rsidRDefault="00F16784" w:rsidP="00253393">
      <w:pPr>
        <w:pStyle w:val="BodyText6"/>
        <w:shd w:val="clear" w:color="auto" w:fill="auto"/>
        <w:spacing w:before="0" w:line="240" w:lineRule="auto"/>
        <w:ind w:firstLine="0"/>
        <w:jc w:val="both"/>
        <w:rPr>
          <w:sz w:val="20"/>
          <w:szCs w:val="20"/>
        </w:rPr>
      </w:pPr>
      <w:r w:rsidRPr="00EA09AA">
        <w:rPr>
          <w:rStyle w:val="FootnoteReference"/>
          <w:sz w:val="16"/>
          <w:szCs w:val="16"/>
        </w:rPr>
        <w:footnoteRef/>
      </w:r>
      <w:r w:rsidRPr="00EA09AA">
        <w:rPr>
          <w:sz w:val="16"/>
          <w:szCs w:val="16"/>
        </w:rPr>
        <w:t xml:space="preserve"> </w:t>
      </w:r>
      <w:r w:rsidRPr="00E622B6">
        <w:rPr>
          <w:sz w:val="20"/>
          <w:szCs w:val="20"/>
        </w:rPr>
        <w:t>V</w:t>
      </w:r>
      <w:r>
        <w:rPr>
          <w:sz w:val="20"/>
          <w:szCs w:val="20"/>
        </w:rPr>
        <w:t>Ko</w:t>
      </w:r>
      <w:r w:rsidRPr="00E622B6">
        <w:rPr>
          <w:sz w:val="20"/>
          <w:szCs w:val="20"/>
        </w:rPr>
        <w:t xml:space="preserve"> revīzijas ziņojums “Par Veselības ministrijas 2016.gada pārskatu”. Pieejams: http://www.lrvk.gov.lv/revizija/par-veselibas</w:t>
      </w:r>
      <w:r>
        <w:rPr>
          <w:sz w:val="20"/>
          <w:szCs w:val="20"/>
        </w:rPr>
        <w:t>-ministrijas-2016-gada-parskatu/</w:t>
      </w:r>
      <w:r w:rsidRPr="00E622B6">
        <w:rPr>
          <w:sz w:val="20"/>
          <w:szCs w:val="20"/>
        </w:rPr>
        <w:t>.</w:t>
      </w:r>
    </w:p>
    <w:p w:rsidR="00F16784" w:rsidRDefault="00F16784" w:rsidP="00BE6F9C">
      <w:pPr>
        <w:pStyle w:val="FootnoteText"/>
      </w:pPr>
    </w:p>
  </w:footnote>
  <w:footnote w:id="102">
    <w:p w:rsidR="00F16784" w:rsidRDefault="00F16784" w:rsidP="00BE6F9C">
      <w:pPr>
        <w:pStyle w:val="FootnoteText"/>
      </w:pPr>
      <w:r>
        <w:rPr>
          <w:rStyle w:val="FootnoteReference"/>
        </w:rPr>
        <w:footnoteRef/>
      </w:r>
      <w:r>
        <w:t xml:space="preserve"> Valsts kontroles revīzijas ziņojums “Par Veselības ministrijas 2016.gada pārskatu”. Pieejams: </w:t>
      </w:r>
      <w:r w:rsidRPr="006A3D41">
        <w:t>http://www.lrvk.gov.lv/revizija/par-veselibas-ministrijas-2016-gada-parskatu/</w:t>
      </w:r>
      <w:r>
        <w:t>.</w:t>
      </w:r>
    </w:p>
  </w:footnote>
  <w:footnote w:id="103">
    <w:p w:rsidR="00F16784" w:rsidRDefault="00F16784" w:rsidP="003F26CD">
      <w:pPr>
        <w:pStyle w:val="FootnoteText"/>
        <w:jc w:val="both"/>
      </w:pPr>
      <w:r>
        <w:rPr>
          <w:rStyle w:val="FootnoteReference"/>
        </w:rPr>
        <w:footnoteRef/>
      </w:r>
      <w:r>
        <w:t xml:space="preserve"> </w:t>
      </w:r>
      <w:r w:rsidRPr="003F26CD">
        <w:t>Dati atbilstoši VM iesniegtajam budžeta paskaidrojumam</w:t>
      </w:r>
    </w:p>
  </w:footnote>
  <w:footnote w:id="104">
    <w:p w:rsidR="00F16784" w:rsidRDefault="00F16784" w:rsidP="003F26CD">
      <w:pPr>
        <w:pStyle w:val="FootnoteText"/>
        <w:jc w:val="both"/>
      </w:pPr>
      <w:r>
        <w:rPr>
          <w:rStyle w:val="FootnoteReference"/>
        </w:rPr>
        <w:footnoteRef/>
      </w:r>
      <w:r>
        <w:t xml:space="preserve"> </w:t>
      </w:r>
      <w:r w:rsidRPr="003F26CD">
        <w:t>Tai skaitā 1 rezidents, kas turpina studijas papildspecialitātē, un 5 rezidenti, kuru apmācībā daļēji tika finansēta no ESF līdzekļiem</w:t>
      </w:r>
    </w:p>
  </w:footnote>
  <w:footnote w:id="105">
    <w:p w:rsidR="00F16784" w:rsidRDefault="00F16784" w:rsidP="003F26CD">
      <w:pPr>
        <w:pStyle w:val="FootnoteText"/>
        <w:jc w:val="both"/>
      </w:pPr>
      <w:r>
        <w:rPr>
          <w:rStyle w:val="FootnoteReference"/>
        </w:rPr>
        <w:footnoteRef/>
      </w:r>
      <w:r>
        <w:t xml:space="preserve"> </w:t>
      </w:r>
      <w:r w:rsidRPr="003F26CD">
        <w:t>Ņemot vērā 2016.gadā 20 papildus uzņemtos rezidentus ģimenes (vispārējās prakses) ārsta specialitātē</w:t>
      </w:r>
    </w:p>
  </w:footnote>
  <w:footnote w:id="106">
    <w:p w:rsidR="00F16784" w:rsidRDefault="00F16784" w:rsidP="006B1365">
      <w:pPr>
        <w:pStyle w:val="FootnoteText"/>
        <w:jc w:val="both"/>
      </w:pPr>
      <w:r>
        <w:rPr>
          <w:rStyle w:val="FootnoteReference"/>
        </w:rPr>
        <w:footnoteRef/>
      </w:r>
      <w:r>
        <w:t xml:space="preserve"> Kompensējoši-virsplāna ieņēmumi no stacionāro fotoradaru darbības:plāns:4 796 549; izpilde 5 mēn.-3 520 458; prognoze gadam:7 767 933</w:t>
      </w:r>
    </w:p>
  </w:footnote>
  <w:footnote w:id="107">
    <w:p w:rsidR="00F16784" w:rsidRPr="00C11DAD" w:rsidRDefault="00F16784" w:rsidP="00C11DAD">
      <w:pPr>
        <w:rPr>
          <w:sz w:val="18"/>
          <w:szCs w:val="18"/>
        </w:rPr>
      </w:pPr>
      <w:r w:rsidRPr="00C11DAD">
        <w:rPr>
          <w:rStyle w:val="FootnoteReference"/>
          <w:sz w:val="18"/>
          <w:szCs w:val="18"/>
        </w:rPr>
        <w:footnoteRef/>
      </w:r>
      <w:r w:rsidRPr="00C11DAD">
        <w:rPr>
          <w:sz w:val="18"/>
          <w:szCs w:val="18"/>
        </w:rPr>
        <w:t xml:space="preserve"> </w:t>
      </w:r>
      <w:r>
        <w:rPr>
          <w:sz w:val="18"/>
          <w:szCs w:val="18"/>
        </w:rPr>
        <w:t xml:space="preserve">* </w:t>
      </w:r>
      <w:r w:rsidRPr="00C11DAD">
        <w:rPr>
          <w:rFonts w:eastAsia="Times New Roman" w:cs="Times New Roman"/>
          <w:color w:val="000000"/>
          <w:sz w:val="18"/>
          <w:szCs w:val="18"/>
          <w:lang w:eastAsia="lv-LV"/>
        </w:rPr>
        <w:t>Atbilstoši TM sagatavotajam informatīvajam ziņojumam “Par Maksātnespējas administrācijas attīstību”</w:t>
      </w:r>
    </w:p>
  </w:footnote>
  <w:footnote w:id="108">
    <w:p w:rsidR="00F16784" w:rsidRDefault="00F16784" w:rsidP="00B908F1">
      <w:pPr>
        <w:pStyle w:val="FootnoteText"/>
      </w:pPr>
      <w:r>
        <w:rPr>
          <w:rStyle w:val="FootnoteReference"/>
        </w:rPr>
        <w:footnoteRef/>
      </w:r>
      <w:r>
        <w:t xml:space="preserve"> MK 01.03.2016. lēmums (prot. Nr.10, 51.§, 14.p.)</w:t>
      </w:r>
    </w:p>
  </w:footnote>
  <w:footnote w:id="109">
    <w:p w:rsidR="00F16784" w:rsidRPr="00782B08" w:rsidRDefault="00F16784" w:rsidP="00B908F1">
      <w:pPr>
        <w:pStyle w:val="FootnoteText"/>
      </w:pPr>
      <w:r>
        <w:rPr>
          <w:rStyle w:val="FootnoteReference"/>
        </w:rPr>
        <w:footnoteRef/>
      </w:r>
      <w:r>
        <w:t xml:space="preserve"> MK 16.08.2016.</w:t>
      </w:r>
      <w:r w:rsidRPr="00782B08">
        <w:t xml:space="preserve"> lēmum</w:t>
      </w:r>
      <w:r>
        <w:t>s</w:t>
      </w:r>
      <w:r w:rsidRPr="00782B08">
        <w:t xml:space="preserve"> (prot. Nr.40, 59.§, 2.p. un 38.p.)</w:t>
      </w:r>
    </w:p>
  </w:footnote>
  <w:footnote w:id="110">
    <w:p w:rsidR="00F16784" w:rsidRDefault="00F16784" w:rsidP="00B908F1">
      <w:pPr>
        <w:pStyle w:val="FootnoteText"/>
      </w:pPr>
      <w:r>
        <w:rPr>
          <w:rStyle w:val="FootnoteReference"/>
        </w:rPr>
        <w:footnoteRef/>
      </w:r>
      <w:r>
        <w:t xml:space="preserve"> MK 28.03.2017. rīkojuma Nr.141 3. un 4.punkts</w:t>
      </w:r>
    </w:p>
  </w:footnote>
  <w:footnote w:id="111">
    <w:p w:rsidR="00F16784" w:rsidRDefault="00F16784" w:rsidP="00B908F1">
      <w:pPr>
        <w:pStyle w:val="FootnoteText"/>
      </w:pPr>
      <w:r>
        <w:rPr>
          <w:rStyle w:val="FootnoteReference"/>
        </w:rPr>
        <w:footnoteRef/>
      </w:r>
      <w:r>
        <w:t xml:space="preserve"> Aprēķināti, ņemot vērā EKK 2251, EKK 2252, EKK 2259, EKK 5121 un EKK 5238 uzskaitītos izdevumus.</w:t>
      </w:r>
    </w:p>
  </w:footnote>
  <w:footnote w:id="112">
    <w:p w:rsidR="00F16784" w:rsidRDefault="00F16784" w:rsidP="00B908F1">
      <w:pPr>
        <w:pStyle w:val="FootnoteText"/>
      </w:pPr>
      <w:r>
        <w:rPr>
          <w:rStyle w:val="FootnoteReference"/>
        </w:rPr>
        <w:footnoteRef/>
      </w:r>
      <w:r>
        <w:t xml:space="preserve"> Saskaņā ar AiM sniegto informāciju (30.05.2017. sanāksmes prezentācija)</w:t>
      </w:r>
    </w:p>
  </w:footnote>
  <w:footnote w:id="113">
    <w:p w:rsidR="00F16784" w:rsidRDefault="00F16784" w:rsidP="00B908F1">
      <w:pPr>
        <w:pStyle w:val="FootnoteText"/>
      </w:pPr>
      <w:r>
        <w:rPr>
          <w:rStyle w:val="FootnoteReference"/>
        </w:rPr>
        <w:footnoteRef/>
      </w:r>
      <w:r>
        <w:t xml:space="preserve"> Aprēķināti, ņemot vērā EKK 2251, 2252, 2259, 5121 un 5238 uzskaitītos izdevumus.</w:t>
      </w:r>
    </w:p>
  </w:footnote>
  <w:footnote w:id="114">
    <w:p w:rsidR="00F16784" w:rsidRDefault="00F16784" w:rsidP="00B908F1">
      <w:pPr>
        <w:pStyle w:val="FootnoteText"/>
      </w:pPr>
      <w:r>
        <w:rPr>
          <w:rStyle w:val="FootnoteReference"/>
        </w:rPr>
        <w:footnoteRef/>
      </w:r>
      <w:r>
        <w:t xml:space="preserve"> Dati uz 31.03.2017., </w:t>
      </w:r>
      <w:hyperlink r:id="rId14" w:history="1">
        <w:r w:rsidRPr="00004E51">
          <w:rPr>
            <w:rStyle w:val="Hyperlink"/>
          </w:rPr>
          <w:t>https://www.visr.eps.gov.lv/visr/</w:t>
        </w:r>
      </w:hyperlink>
      <w:r>
        <w:t xml:space="preserve"> </w:t>
      </w:r>
    </w:p>
  </w:footnote>
  <w:footnote w:id="115">
    <w:p w:rsidR="00F16784" w:rsidRDefault="00F16784" w:rsidP="00B908F1">
      <w:pPr>
        <w:pStyle w:val="FootnoteText"/>
      </w:pPr>
      <w:r>
        <w:rPr>
          <w:rStyle w:val="FootnoteReference"/>
        </w:rPr>
        <w:footnoteRef/>
      </w:r>
      <w:r>
        <w:t xml:space="preserve"> VIS piederība norādīta, ja VIS reģistrā ministrija norādīta kā VIS augstākā iestāde</w:t>
      </w:r>
    </w:p>
  </w:footnote>
  <w:footnote w:id="116">
    <w:p w:rsidR="00F16784" w:rsidRDefault="00F16784" w:rsidP="00B908F1">
      <w:pPr>
        <w:pStyle w:val="FootnoteText"/>
      </w:pPr>
      <w:r>
        <w:rPr>
          <w:rStyle w:val="FootnoteReference"/>
        </w:rPr>
        <w:footnoteRef/>
      </w:r>
      <w:r>
        <w:t xml:space="preserve"> Norādīts 19.saimes faktisko darbinieku skaits saskaņā </w:t>
      </w:r>
      <w:r w:rsidRPr="002B62A3">
        <w:t xml:space="preserve">ar FM atlīdzības sistēmas uzskaites datiem uz </w:t>
      </w:r>
      <w:r>
        <w:t>31.03.2017., neņemot vērā vakances</w:t>
      </w:r>
    </w:p>
  </w:footnote>
  <w:footnote w:id="117">
    <w:p w:rsidR="00F16784" w:rsidRDefault="00F16784" w:rsidP="00B908F1">
      <w:pPr>
        <w:pStyle w:val="FootnoteText"/>
      </w:pPr>
      <w:r>
        <w:rPr>
          <w:rStyle w:val="FootnoteReference"/>
        </w:rPr>
        <w:footnoteRef/>
      </w:r>
      <w:r>
        <w:t xml:space="preserve"> Saskaņā ar LM sniegto informāciju (09.06.2017. sanāksmes prezentācija)</w:t>
      </w:r>
    </w:p>
  </w:footnote>
  <w:footnote w:id="118">
    <w:p w:rsidR="00F16784" w:rsidRDefault="00F16784" w:rsidP="00B908F1">
      <w:pPr>
        <w:pStyle w:val="FootnoteText"/>
      </w:pPr>
      <w:r>
        <w:rPr>
          <w:rStyle w:val="FootnoteReference"/>
        </w:rPr>
        <w:footnoteRef/>
      </w:r>
      <w:r>
        <w:t xml:space="preserve"> Saskaņā ar FM sniegto informāciju (14.06.2017. sanāksmes prezentācija)</w:t>
      </w:r>
    </w:p>
  </w:footnote>
  <w:footnote w:id="119">
    <w:p w:rsidR="00F16784" w:rsidRDefault="00F16784" w:rsidP="00B908F1">
      <w:pPr>
        <w:pStyle w:val="FootnoteText"/>
      </w:pPr>
      <w:r>
        <w:rPr>
          <w:rStyle w:val="FootnoteReference"/>
        </w:rPr>
        <w:footnoteRef/>
      </w:r>
      <w:r>
        <w:t xml:space="preserve"> MK 30.11.2010. noteikumi Nr.1075 “</w:t>
      </w:r>
      <w:r w:rsidRPr="00483C99">
        <w:t>Valsts un pašvaldību institūciju amatu katalogs</w:t>
      </w:r>
      <w:r>
        <w:t>”</w:t>
      </w:r>
    </w:p>
  </w:footnote>
  <w:footnote w:id="120">
    <w:p w:rsidR="00F16784" w:rsidRDefault="00F16784" w:rsidP="00B908F1">
      <w:pPr>
        <w:pStyle w:val="FootnoteText"/>
        <w:jc w:val="both"/>
      </w:pPr>
      <w:r>
        <w:rPr>
          <w:rStyle w:val="FootnoteReference"/>
        </w:rPr>
        <w:footnoteRef/>
      </w:r>
      <w:r>
        <w:t xml:space="preserve"> Finansējums aprēķināts, ņemot vērā noteiktās amatu algas un tām saistošās darba devēja VSAOI, bet nav ņemts vērā finansējums piemaksām, pabalstiem un tamlīdzīgi. Vidējā darba alga aprēķināta, nosakot vidējo darba algu starp konkrētās ministrijas/iestādes darbiniekiem, neņemot vērā VSAOI.</w:t>
      </w:r>
    </w:p>
  </w:footnote>
  <w:footnote w:id="121">
    <w:p w:rsidR="00F16784" w:rsidRDefault="00F16784" w:rsidP="00B908F1">
      <w:pPr>
        <w:pStyle w:val="FootnoteText"/>
      </w:pPr>
      <w:r>
        <w:rPr>
          <w:rStyle w:val="FootnoteReference"/>
        </w:rPr>
        <w:footnoteRef/>
      </w:r>
      <w:r>
        <w:t xml:space="preserve"> Saskaņā </w:t>
      </w:r>
      <w:r w:rsidRPr="002B62A3">
        <w:t xml:space="preserve">ar FM atlīdzības sistēmas uzskaites datiem uz </w:t>
      </w:r>
      <w:r>
        <w:t>31.03.</w:t>
      </w:r>
      <w:r w:rsidRPr="002B62A3">
        <w:t>2017.</w:t>
      </w:r>
    </w:p>
  </w:footnote>
  <w:footnote w:id="122">
    <w:p w:rsidR="00F16784" w:rsidRDefault="00F16784" w:rsidP="00B908F1">
      <w:pPr>
        <w:pStyle w:val="FootnoteText"/>
      </w:pPr>
      <w:r>
        <w:rPr>
          <w:rStyle w:val="FootnoteReference"/>
        </w:rPr>
        <w:footnoteRef/>
      </w:r>
      <w:r>
        <w:t xml:space="preserve"> Saskaņā </w:t>
      </w:r>
      <w:r w:rsidRPr="002B62A3">
        <w:t xml:space="preserve">ar FM atlīdzības sistēmas uzskaites datiem uz </w:t>
      </w:r>
      <w:r>
        <w:t>31.03.</w:t>
      </w:r>
      <w:r w:rsidRPr="002B62A3">
        <w:t>2017.</w:t>
      </w:r>
    </w:p>
  </w:footnote>
  <w:footnote w:id="123">
    <w:p w:rsidR="00F16784" w:rsidRDefault="00F16784" w:rsidP="00B908F1">
      <w:pPr>
        <w:pStyle w:val="FootnoteText"/>
      </w:pPr>
      <w:r>
        <w:rPr>
          <w:rStyle w:val="FootnoteReference"/>
        </w:rPr>
        <w:footnoteRef/>
      </w:r>
      <w:r>
        <w:t xml:space="preserve"> Saskaņā </w:t>
      </w:r>
      <w:r w:rsidRPr="002B62A3">
        <w:t xml:space="preserve">ar FM atlīdzības sistēmas uzskaites datiem uz </w:t>
      </w:r>
      <w:r>
        <w:t>31.03.</w:t>
      </w:r>
      <w:r w:rsidRPr="002B62A3">
        <w:t>2017.</w:t>
      </w:r>
    </w:p>
  </w:footnote>
  <w:footnote w:id="124">
    <w:p w:rsidR="00F16784" w:rsidRDefault="00F16784" w:rsidP="00B908F1">
      <w:pPr>
        <w:pStyle w:val="FootnoteText"/>
      </w:pPr>
      <w:r>
        <w:rPr>
          <w:rStyle w:val="FootnoteReference"/>
        </w:rPr>
        <w:footnoteRef/>
      </w:r>
      <w:r>
        <w:t xml:space="preserve"> Sanāksmes ar 13 ministrijām notika no 30.05.2017. līdz 14.06.2017.</w:t>
      </w:r>
    </w:p>
  </w:footnote>
  <w:footnote w:id="125">
    <w:p w:rsidR="00F16784" w:rsidRDefault="00F16784" w:rsidP="00B908F1">
      <w:pPr>
        <w:pStyle w:val="FootnoteText"/>
        <w:jc w:val="both"/>
      </w:pPr>
      <w:r>
        <w:rPr>
          <w:rStyle w:val="FootnoteReference"/>
        </w:rPr>
        <w:footnoteRef/>
      </w:r>
      <w:r>
        <w:t xml:space="preserve"> Skatīt ziņojuma </w:t>
      </w:r>
      <w:r w:rsidRPr="00A66F55">
        <w:t>1</w:t>
      </w:r>
      <w:r>
        <w:t>3</w:t>
      </w:r>
      <w:r w:rsidRPr="00A66F55">
        <w:t>.pielikumu</w:t>
      </w:r>
      <w:r>
        <w:t xml:space="preserve"> “</w:t>
      </w:r>
      <w:r w:rsidRPr="002F0201">
        <w:t>Ministriju sniegtā informācija par priekšlikumiem publisko pakalpojumu un IKT jomas efektivizēšanai</w:t>
      </w:r>
      <w:r>
        <w:t>”</w:t>
      </w:r>
    </w:p>
  </w:footnote>
  <w:footnote w:id="126">
    <w:p w:rsidR="00F16784" w:rsidRDefault="00F16784" w:rsidP="00B908F1">
      <w:pPr>
        <w:pStyle w:val="FootnoteText"/>
      </w:pPr>
      <w:r w:rsidRPr="005F228F">
        <w:rPr>
          <w:rStyle w:val="FootnoteReference"/>
        </w:rPr>
        <w:footnoteRef/>
      </w:r>
      <w:r w:rsidRPr="005F228F">
        <w:t xml:space="preserve"> VM 14.06.2017. elektroniski atsūtītā informācija</w:t>
      </w:r>
    </w:p>
  </w:footnote>
  <w:footnote w:id="127">
    <w:p w:rsidR="00F16784" w:rsidRDefault="00F16784" w:rsidP="00B908F1">
      <w:pPr>
        <w:pStyle w:val="FootnoteText"/>
      </w:pPr>
      <w:r>
        <w:rPr>
          <w:rStyle w:val="FootnoteReference"/>
        </w:rPr>
        <w:footnoteRef/>
      </w:r>
      <w:r>
        <w:t xml:space="preserve"> 14.pielikums “</w:t>
      </w:r>
      <w:r w:rsidRPr="00E54312">
        <w:t>Turpmākās darbības plāns valsts budžeta iestāžu publisko pakalpojumu piegādes un informācijas un komunikācijas tehnoloģiju jomas optimizācijai</w:t>
      </w:r>
      <w:r>
        <w:t>”</w:t>
      </w:r>
    </w:p>
  </w:footnote>
  <w:footnote w:id="128">
    <w:p w:rsidR="00F16784" w:rsidRDefault="00F16784" w:rsidP="00B908F1">
      <w:pPr>
        <w:pStyle w:val="FootnoteText"/>
      </w:pPr>
      <w:r>
        <w:rPr>
          <w:rStyle w:val="FootnoteReference"/>
        </w:rPr>
        <w:footnoteRef/>
      </w:r>
      <w:r>
        <w:t xml:space="preserve"> MK 28.03.2017. rīkojuma Nr.141 4.punkts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9777984"/>
      <w:docPartObj>
        <w:docPartGallery w:val="Page Numbers (Top of Page)"/>
        <w:docPartUnique/>
      </w:docPartObj>
    </w:sdtPr>
    <w:sdtEndPr>
      <w:rPr>
        <w:noProof/>
      </w:rPr>
    </w:sdtEndPr>
    <w:sdtContent>
      <w:p w:rsidR="00F16784" w:rsidRDefault="00F16784" w:rsidP="007671AE">
        <w:pPr>
          <w:pStyle w:val="Header"/>
          <w:jc w:val="center"/>
        </w:pPr>
        <w:r>
          <w:fldChar w:fldCharType="begin"/>
        </w:r>
        <w:r>
          <w:instrText xml:space="preserve"> PAGE   \* MERGEFORMAT </w:instrText>
        </w:r>
        <w:r>
          <w:fldChar w:fldCharType="separate"/>
        </w:r>
        <w:r w:rsidR="001B3901">
          <w:rPr>
            <w:noProof/>
          </w:rPr>
          <w:t>225</w:t>
        </w:r>
        <w:r>
          <w:rPr>
            <w:noProof/>
          </w:rPr>
          <w:fldChar w:fldCharType="end"/>
        </w:r>
      </w:p>
    </w:sdtContent>
  </w:sdt>
  <w:p w:rsidR="00F16784" w:rsidRDefault="00F167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2B18"/>
    <w:multiLevelType w:val="hybridMultilevel"/>
    <w:tmpl w:val="D1787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214F28"/>
    <w:multiLevelType w:val="hybridMultilevel"/>
    <w:tmpl w:val="720E1BC0"/>
    <w:lvl w:ilvl="0" w:tplc="04260005">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AB70A1"/>
    <w:multiLevelType w:val="hybridMultilevel"/>
    <w:tmpl w:val="4E56A68A"/>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4628A6"/>
    <w:multiLevelType w:val="hybridMultilevel"/>
    <w:tmpl w:val="268AEB5A"/>
    <w:lvl w:ilvl="0" w:tplc="718A1452">
      <w:start w:val="1"/>
      <w:numFmt w:val="bullet"/>
      <w:lvlText w:val="-"/>
      <w:lvlJc w:val="left"/>
      <w:pPr>
        <w:tabs>
          <w:tab w:val="num" w:pos="720"/>
        </w:tabs>
        <w:ind w:left="720" w:hanging="360"/>
      </w:pPr>
      <w:rPr>
        <w:rFonts w:ascii="Times New Roman" w:hAnsi="Times New Roman" w:hint="default"/>
      </w:rPr>
    </w:lvl>
    <w:lvl w:ilvl="1" w:tplc="CD8C193E" w:tentative="1">
      <w:start w:val="1"/>
      <w:numFmt w:val="bullet"/>
      <w:lvlText w:val="-"/>
      <w:lvlJc w:val="left"/>
      <w:pPr>
        <w:tabs>
          <w:tab w:val="num" w:pos="1440"/>
        </w:tabs>
        <w:ind w:left="1440" w:hanging="360"/>
      </w:pPr>
      <w:rPr>
        <w:rFonts w:ascii="Times New Roman" w:hAnsi="Times New Roman" w:hint="default"/>
      </w:rPr>
    </w:lvl>
    <w:lvl w:ilvl="2" w:tplc="DAFED65A" w:tentative="1">
      <w:start w:val="1"/>
      <w:numFmt w:val="bullet"/>
      <w:lvlText w:val="-"/>
      <w:lvlJc w:val="left"/>
      <w:pPr>
        <w:tabs>
          <w:tab w:val="num" w:pos="2160"/>
        </w:tabs>
        <w:ind w:left="2160" w:hanging="360"/>
      </w:pPr>
      <w:rPr>
        <w:rFonts w:ascii="Times New Roman" w:hAnsi="Times New Roman" w:hint="default"/>
      </w:rPr>
    </w:lvl>
    <w:lvl w:ilvl="3" w:tplc="D18ED910" w:tentative="1">
      <w:start w:val="1"/>
      <w:numFmt w:val="bullet"/>
      <w:lvlText w:val="-"/>
      <w:lvlJc w:val="left"/>
      <w:pPr>
        <w:tabs>
          <w:tab w:val="num" w:pos="2880"/>
        </w:tabs>
        <w:ind w:left="2880" w:hanging="360"/>
      </w:pPr>
      <w:rPr>
        <w:rFonts w:ascii="Times New Roman" w:hAnsi="Times New Roman" w:hint="default"/>
      </w:rPr>
    </w:lvl>
    <w:lvl w:ilvl="4" w:tplc="CB4A8FC6" w:tentative="1">
      <w:start w:val="1"/>
      <w:numFmt w:val="bullet"/>
      <w:lvlText w:val="-"/>
      <w:lvlJc w:val="left"/>
      <w:pPr>
        <w:tabs>
          <w:tab w:val="num" w:pos="3600"/>
        </w:tabs>
        <w:ind w:left="3600" w:hanging="360"/>
      </w:pPr>
      <w:rPr>
        <w:rFonts w:ascii="Times New Roman" w:hAnsi="Times New Roman" w:hint="default"/>
      </w:rPr>
    </w:lvl>
    <w:lvl w:ilvl="5" w:tplc="1EAC13C8" w:tentative="1">
      <w:start w:val="1"/>
      <w:numFmt w:val="bullet"/>
      <w:lvlText w:val="-"/>
      <w:lvlJc w:val="left"/>
      <w:pPr>
        <w:tabs>
          <w:tab w:val="num" w:pos="4320"/>
        </w:tabs>
        <w:ind w:left="4320" w:hanging="360"/>
      </w:pPr>
      <w:rPr>
        <w:rFonts w:ascii="Times New Roman" w:hAnsi="Times New Roman" w:hint="default"/>
      </w:rPr>
    </w:lvl>
    <w:lvl w:ilvl="6" w:tplc="34644304" w:tentative="1">
      <w:start w:val="1"/>
      <w:numFmt w:val="bullet"/>
      <w:lvlText w:val="-"/>
      <w:lvlJc w:val="left"/>
      <w:pPr>
        <w:tabs>
          <w:tab w:val="num" w:pos="5040"/>
        </w:tabs>
        <w:ind w:left="5040" w:hanging="360"/>
      </w:pPr>
      <w:rPr>
        <w:rFonts w:ascii="Times New Roman" w:hAnsi="Times New Roman" w:hint="default"/>
      </w:rPr>
    </w:lvl>
    <w:lvl w:ilvl="7" w:tplc="68503E8A" w:tentative="1">
      <w:start w:val="1"/>
      <w:numFmt w:val="bullet"/>
      <w:lvlText w:val="-"/>
      <w:lvlJc w:val="left"/>
      <w:pPr>
        <w:tabs>
          <w:tab w:val="num" w:pos="5760"/>
        </w:tabs>
        <w:ind w:left="5760" w:hanging="360"/>
      </w:pPr>
      <w:rPr>
        <w:rFonts w:ascii="Times New Roman" w:hAnsi="Times New Roman" w:hint="default"/>
      </w:rPr>
    </w:lvl>
    <w:lvl w:ilvl="8" w:tplc="B8729FC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5205CA5"/>
    <w:multiLevelType w:val="hybridMultilevel"/>
    <w:tmpl w:val="92B487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FB44EA"/>
    <w:multiLevelType w:val="hybridMultilevel"/>
    <w:tmpl w:val="09B60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9984ECA"/>
    <w:multiLevelType w:val="hybridMultilevel"/>
    <w:tmpl w:val="A2201B0C"/>
    <w:lvl w:ilvl="0" w:tplc="18F4C6A8">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A29094D"/>
    <w:multiLevelType w:val="hybridMultilevel"/>
    <w:tmpl w:val="93CA57C2"/>
    <w:lvl w:ilvl="0" w:tplc="5E62284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AA75F3F"/>
    <w:multiLevelType w:val="hybridMultilevel"/>
    <w:tmpl w:val="7BAACB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C315522"/>
    <w:multiLevelType w:val="multilevel"/>
    <w:tmpl w:val="E676D3B0"/>
    <w:lvl w:ilvl="0">
      <w:start w:val="1"/>
      <w:numFmt w:val="decimal"/>
      <w:suff w:val="space"/>
      <w:lvlText w:val="%1."/>
      <w:lvlJc w:val="left"/>
      <w:pPr>
        <w:ind w:left="0" w:firstLine="357"/>
      </w:pPr>
      <w:rPr>
        <w:rFonts w:hint="default"/>
      </w:rPr>
    </w:lvl>
    <w:lvl w:ilvl="1">
      <w:start w:val="1"/>
      <w:numFmt w:val="decimal"/>
      <w:suff w:val="space"/>
      <w:lvlText w:val="%1.%2."/>
      <w:lvlJc w:val="left"/>
      <w:pPr>
        <w:ind w:left="0" w:firstLine="357"/>
      </w:pPr>
      <w:rPr>
        <w:rFonts w:hint="default"/>
      </w:rPr>
    </w:lvl>
    <w:lvl w:ilvl="2">
      <w:start w:val="1"/>
      <w:numFmt w:val="decimal"/>
      <w:lvlText w:val="%1.%2.%3."/>
      <w:lvlJc w:val="left"/>
      <w:pPr>
        <w:tabs>
          <w:tab w:val="num" w:pos="397"/>
        </w:tabs>
        <w:ind w:left="0" w:firstLine="357"/>
      </w:pPr>
      <w:rPr>
        <w:rFonts w:hint="default"/>
      </w:rPr>
    </w:lvl>
    <w:lvl w:ilvl="3">
      <w:start w:val="1"/>
      <w:numFmt w:val="decimal"/>
      <w:lvlText w:val="%1.%2.%3.%4."/>
      <w:lvlJc w:val="left"/>
      <w:pPr>
        <w:tabs>
          <w:tab w:val="num" w:pos="397"/>
        </w:tabs>
        <w:ind w:left="0" w:firstLine="357"/>
      </w:pPr>
      <w:rPr>
        <w:rFonts w:hint="default"/>
      </w:rPr>
    </w:lvl>
    <w:lvl w:ilvl="4">
      <w:start w:val="1"/>
      <w:numFmt w:val="decimal"/>
      <w:lvlText w:val="%1.%2.%3.%4.%5."/>
      <w:lvlJc w:val="left"/>
      <w:pPr>
        <w:tabs>
          <w:tab w:val="num" w:pos="397"/>
        </w:tabs>
        <w:ind w:left="0" w:firstLine="357"/>
      </w:pPr>
      <w:rPr>
        <w:rFonts w:hint="default"/>
      </w:rPr>
    </w:lvl>
    <w:lvl w:ilvl="5">
      <w:start w:val="1"/>
      <w:numFmt w:val="decimal"/>
      <w:lvlText w:val="%1.%2.%3.%4.%5.%6."/>
      <w:lvlJc w:val="left"/>
      <w:pPr>
        <w:tabs>
          <w:tab w:val="num" w:pos="397"/>
        </w:tabs>
        <w:ind w:left="0" w:firstLine="357"/>
      </w:pPr>
      <w:rPr>
        <w:rFonts w:hint="default"/>
      </w:rPr>
    </w:lvl>
    <w:lvl w:ilvl="6">
      <w:start w:val="1"/>
      <w:numFmt w:val="decimal"/>
      <w:lvlText w:val="%1.%2.%3.%4.%5.%6.%7."/>
      <w:lvlJc w:val="left"/>
      <w:pPr>
        <w:tabs>
          <w:tab w:val="num" w:pos="397"/>
        </w:tabs>
        <w:ind w:left="0" w:firstLine="357"/>
      </w:pPr>
      <w:rPr>
        <w:rFonts w:hint="default"/>
      </w:rPr>
    </w:lvl>
    <w:lvl w:ilvl="7">
      <w:start w:val="1"/>
      <w:numFmt w:val="decimal"/>
      <w:lvlText w:val="%1.%2.%3.%4.%5.%6.%7.%8."/>
      <w:lvlJc w:val="left"/>
      <w:pPr>
        <w:tabs>
          <w:tab w:val="num" w:pos="397"/>
        </w:tabs>
        <w:ind w:left="0" w:firstLine="357"/>
      </w:pPr>
      <w:rPr>
        <w:rFonts w:hint="default"/>
      </w:rPr>
    </w:lvl>
    <w:lvl w:ilvl="8">
      <w:start w:val="1"/>
      <w:numFmt w:val="decimal"/>
      <w:lvlText w:val="%1.%2.%3.%4.%5.%6.%7.%8.%9."/>
      <w:lvlJc w:val="left"/>
      <w:pPr>
        <w:tabs>
          <w:tab w:val="num" w:pos="397"/>
        </w:tabs>
        <w:ind w:left="0" w:firstLine="357"/>
      </w:pPr>
      <w:rPr>
        <w:rFonts w:hint="default"/>
      </w:rPr>
    </w:lvl>
  </w:abstractNum>
  <w:abstractNum w:abstractNumId="10" w15:restartNumberingAfterBreak="0">
    <w:nsid w:val="0D2325D6"/>
    <w:multiLevelType w:val="hybridMultilevel"/>
    <w:tmpl w:val="9A6244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0DF40CEA"/>
    <w:multiLevelType w:val="hybridMultilevel"/>
    <w:tmpl w:val="40B4C1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E417904"/>
    <w:multiLevelType w:val="hybridMultilevel"/>
    <w:tmpl w:val="BD3093D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0F7B0E80"/>
    <w:multiLevelType w:val="hybridMultilevel"/>
    <w:tmpl w:val="72DCC3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0F8E7DDE"/>
    <w:multiLevelType w:val="hybridMultilevel"/>
    <w:tmpl w:val="001A3626"/>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0FD516FC"/>
    <w:multiLevelType w:val="hybridMultilevel"/>
    <w:tmpl w:val="CEAAE5B2"/>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16" w15:restartNumberingAfterBreak="0">
    <w:nsid w:val="10C45E5A"/>
    <w:multiLevelType w:val="hybridMultilevel"/>
    <w:tmpl w:val="DB98F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12E5316"/>
    <w:multiLevelType w:val="hybridMultilevel"/>
    <w:tmpl w:val="6CA686FE"/>
    <w:lvl w:ilvl="0" w:tplc="04260001">
      <w:start w:val="1"/>
      <w:numFmt w:val="bullet"/>
      <w:lvlText w:val=""/>
      <w:lvlJc w:val="left"/>
      <w:pPr>
        <w:ind w:left="913" w:hanging="360"/>
      </w:pPr>
      <w:rPr>
        <w:rFonts w:ascii="Symbol" w:hAnsi="Symbol" w:hint="default"/>
        <w:b w:val="0"/>
      </w:rPr>
    </w:lvl>
    <w:lvl w:ilvl="1" w:tplc="04260003" w:tentative="1">
      <w:start w:val="1"/>
      <w:numFmt w:val="bullet"/>
      <w:lvlText w:val="o"/>
      <w:lvlJc w:val="left"/>
      <w:pPr>
        <w:ind w:left="1633" w:hanging="360"/>
      </w:pPr>
      <w:rPr>
        <w:rFonts w:ascii="Courier New" w:hAnsi="Courier New" w:cs="Courier New" w:hint="default"/>
      </w:rPr>
    </w:lvl>
    <w:lvl w:ilvl="2" w:tplc="04260005" w:tentative="1">
      <w:start w:val="1"/>
      <w:numFmt w:val="bullet"/>
      <w:lvlText w:val=""/>
      <w:lvlJc w:val="left"/>
      <w:pPr>
        <w:ind w:left="2353" w:hanging="360"/>
      </w:pPr>
      <w:rPr>
        <w:rFonts w:ascii="Wingdings" w:hAnsi="Wingdings" w:hint="default"/>
      </w:rPr>
    </w:lvl>
    <w:lvl w:ilvl="3" w:tplc="04260001" w:tentative="1">
      <w:start w:val="1"/>
      <w:numFmt w:val="bullet"/>
      <w:lvlText w:val=""/>
      <w:lvlJc w:val="left"/>
      <w:pPr>
        <w:ind w:left="3073" w:hanging="360"/>
      </w:pPr>
      <w:rPr>
        <w:rFonts w:ascii="Symbol" w:hAnsi="Symbol" w:hint="default"/>
      </w:rPr>
    </w:lvl>
    <w:lvl w:ilvl="4" w:tplc="04260003" w:tentative="1">
      <w:start w:val="1"/>
      <w:numFmt w:val="bullet"/>
      <w:lvlText w:val="o"/>
      <w:lvlJc w:val="left"/>
      <w:pPr>
        <w:ind w:left="3793" w:hanging="360"/>
      </w:pPr>
      <w:rPr>
        <w:rFonts w:ascii="Courier New" w:hAnsi="Courier New" w:cs="Courier New" w:hint="default"/>
      </w:rPr>
    </w:lvl>
    <w:lvl w:ilvl="5" w:tplc="04260005" w:tentative="1">
      <w:start w:val="1"/>
      <w:numFmt w:val="bullet"/>
      <w:lvlText w:val=""/>
      <w:lvlJc w:val="left"/>
      <w:pPr>
        <w:ind w:left="4513" w:hanging="360"/>
      </w:pPr>
      <w:rPr>
        <w:rFonts w:ascii="Wingdings" w:hAnsi="Wingdings" w:hint="default"/>
      </w:rPr>
    </w:lvl>
    <w:lvl w:ilvl="6" w:tplc="04260001" w:tentative="1">
      <w:start w:val="1"/>
      <w:numFmt w:val="bullet"/>
      <w:lvlText w:val=""/>
      <w:lvlJc w:val="left"/>
      <w:pPr>
        <w:ind w:left="5233" w:hanging="360"/>
      </w:pPr>
      <w:rPr>
        <w:rFonts w:ascii="Symbol" w:hAnsi="Symbol" w:hint="default"/>
      </w:rPr>
    </w:lvl>
    <w:lvl w:ilvl="7" w:tplc="04260003" w:tentative="1">
      <w:start w:val="1"/>
      <w:numFmt w:val="bullet"/>
      <w:lvlText w:val="o"/>
      <w:lvlJc w:val="left"/>
      <w:pPr>
        <w:ind w:left="5953" w:hanging="360"/>
      </w:pPr>
      <w:rPr>
        <w:rFonts w:ascii="Courier New" w:hAnsi="Courier New" w:cs="Courier New" w:hint="default"/>
      </w:rPr>
    </w:lvl>
    <w:lvl w:ilvl="8" w:tplc="04260005" w:tentative="1">
      <w:start w:val="1"/>
      <w:numFmt w:val="bullet"/>
      <w:lvlText w:val=""/>
      <w:lvlJc w:val="left"/>
      <w:pPr>
        <w:ind w:left="6673" w:hanging="360"/>
      </w:pPr>
      <w:rPr>
        <w:rFonts w:ascii="Wingdings" w:hAnsi="Wingdings" w:hint="default"/>
      </w:rPr>
    </w:lvl>
  </w:abstractNum>
  <w:abstractNum w:abstractNumId="18" w15:restartNumberingAfterBreak="0">
    <w:nsid w:val="116166D0"/>
    <w:multiLevelType w:val="hybridMultilevel"/>
    <w:tmpl w:val="F9782900"/>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19418A3"/>
    <w:multiLevelType w:val="hybridMultilevel"/>
    <w:tmpl w:val="C750C128"/>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20" w15:restartNumberingAfterBreak="0">
    <w:nsid w:val="11F479D1"/>
    <w:multiLevelType w:val="hybridMultilevel"/>
    <w:tmpl w:val="2248A142"/>
    <w:lvl w:ilvl="0" w:tplc="04260001">
      <w:start w:val="1"/>
      <w:numFmt w:val="bullet"/>
      <w:lvlText w:val=""/>
      <w:lvlJc w:val="left"/>
      <w:pPr>
        <w:tabs>
          <w:tab w:val="num" w:pos="720"/>
        </w:tabs>
        <w:ind w:left="720" w:hanging="360"/>
      </w:pPr>
      <w:rPr>
        <w:rFonts w:ascii="Symbol" w:hAnsi="Symbol" w:hint="default"/>
      </w:rPr>
    </w:lvl>
    <w:lvl w:ilvl="1" w:tplc="84285F5E" w:tentative="1">
      <w:start w:val="1"/>
      <w:numFmt w:val="bullet"/>
      <w:lvlText w:val=""/>
      <w:lvlJc w:val="left"/>
      <w:pPr>
        <w:tabs>
          <w:tab w:val="num" w:pos="1440"/>
        </w:tabs>
        <w:ind w:left="1440" w:hanging="360"/>
      </w:pPr>
      <w:rPr>
        <w:rFonts w:ascii="Wingdings" w:hAnsi="Wingdings" w:hint="default"/>
      </w:rPr>
    </w:lvl>
    <w:lvl w:ilvl="2" w:tplc="3822DAA2" w:tentative="1">
      <w:start w:val="1"/>
      <w:numFmt w:val="bullet"/>
      <w:lvlText w:val=""/>
      <w:lvlJc w:val="left"/>
      <w:pPr>
        <w:tabs>
          <w:tab w:val="num" w:pos="2160"/>
        </w:tabs>
        <w:ind w:left="2160" w:hanging="360"/>
      </w:pPr>
      <w:rPr>
        <w:rFonts w:ascii="Wingdings" w:hAnsi="Wingdings" w:hint="default"/>
      </w:rPr>
    </w:lvl>
    <w:lvl w:ilvl="3" w:tplc="14BE3830" w:tentative="1">
      <w:start w:val="1"/>
      <w:numFmt w:val="bullet"/>
      <w:lvlText w:val=""/>
      <w:lvlJc w:val="left"/>
      <w:pPr>
        <w:tabs>
          <w:tab w:val="num" w:pos="2880"/>
        </w:tabs>
        <w:ind w:left="2880" w:hanging="360"/>
      </w:pPr>
      <w:rPr>
        <w:rFonts w:ascii="Wingdings" w:hAnsi="Wingdings" w:hint="default"/>
      </w:rPr>
    </w:lvl>
    <w:lvl w:ilvl="4" w:tplc="1AF80C4E" w:tentative="1">
      <w:start w:val="1"/>
      <w:numFmt w:val="bullet"/>
      <w:lvlText w:val=""/>
      <w:lvlJc w:val="left"/>
      <w:pPr>
        <w:tabs>
          <w:tab w:val="num" w:pos="3600"/>
        </w:tabs>
        <w:ind w:left="3600" w:hanging="360"/>
      </w:pPr>
      <w:rPr>
        <w:rFonts w:ascii="Wingdings" w:hAnsi="Wingdings" w:hint="default"/>
      </w:rPr>
    </w:lvl>
    <w:lvl w:ilvl="5" w:tplc="7108DE72" w:tentative="1">
      <w:start w:val="1"/>
      <w:numFmt w:val="bullet"/>
      <w:lvlText w:val=""/>
      <w:lvlJc w:val="left"/>
      <w:pPr>
        <w:tabs>
          <w:tab w:val="num" w:pos="4320"/>
        </w:tabs>
        <w:ind w:left="4320" w:hanging="360"/>
      </w:pPr>
      <w:rPr>
        <w:rFonts w:ascii="Wingdings" w:hAnsi="Wingdings" w:hint="default"/>
      </w:rPr>
    </w:lvl>
    <w:lvl w:ilvl="6" w:tplc="7BC82294" w:tentative="1">
      <w:start w:val="1"/>
      <w:numFmt w:val="bullet"/>
      <w:lvlText w:val=""/>
      <w:lvlJc w:val="left"/>
      <w:pPr>
        <w:tabs>
          <w:tab w:val="num" w:pos="5040"/>
        </w:tabs>
        <w:ind w:left="5040" w:hanging="360"/>
      </w:pPr>
      <w:rPr>
        <w:rFonts w:ascii="Wingdings" w:hAnsi="Wingdings" w:hint="default"/>
      </w:rPr>
    </w:lvl>
    <w:lvl w:ilvl="7" w:tplc="E626E25E" w:tentative="1">
      <w:start w:val="1"/>
      <w:numFmt w:val="bullet"/>
      <w:lvlText w:val=""/>
      <w:lvlJc w:val="left"/>
      <w:pPr>
        <w:tabs>
          <w:tab w:val="num" w:pos="5760"/>
        </w:tabs>
        <w:ind w:left="5760" w:hanging="360"/>
      </w:pPr>
      <w:rPr>
        <w:rFonts w:ascii="Wingdings" w:hAnsi="Wingdings" w:hint="default"/>
      </w:rPr>
    </w:lvl>
    <w:lvl w:ilvl="8" w:tplc="DE620BA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38A4AC4"/>
    <w:multiLevelType w:val="hybridMultilevel"/>
    <w:tmpl w:val="31E4531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15017E00"/>
    <w:multiLevelType w:val="hybridMultilevel"/>
    <w:tmpl w:val="31FAB2DC"/>
    <w:lvl w:ilvl="0" w:tplc="D6762EA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3" w15:restartNumberingAfterBreak="0">
    <w:nsid w:val="156A327C"/>
    <w:multiLevelType w:val="hybridMultilevel"/>
    <w:tmpl w:val="8A4E66D4"/>
    <w:lvl w:ilvl="0" w:tplc="FB105F90">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15A63254"/>
    <w:multiLevelType w:val="hybridMultilevel"/>
    <w:tmpl w:val="F93ADA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168345BF"/>
    <w:multiLevelType w:val="hybridMultilevel"/>
    <w:tmpl w:val="CA2EBC68"/>
    <w:lvl w:ilvl="0" w:tplc="718A1452">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180D6066"/>
    <w:multiLevelType w:val="hybridMultilevel"/>
    <w:tmpl w:val="0EA66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19091B37"/>
    <w:multiLevelType w:val="hybridMultilevel"/>
    <w:tmpl w:val="6E566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9A747D4"/>
    <w:multiLevelType w:val="hybridMultilevel"/>
    <w:tmpl w:val="A230A4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9" w15:restartNumberingAfterBreak="0">
    <w:nsid w:val="1A5D2095"/>
    <w:multiLevelType w:val="hybridMultilevel"/>
    <w:tmpl w:val="EF42661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1ABD78F8"/>
    <w:multiLevelType w:val="hybridMultilevel"/>
    <w:tmpl w:val="0D9ED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1AE57458"/>
    <w:multiLevelType w:val="hybridMultilevel"/>
    <w:tmpl w:val="103E9B0A"/>
    <w:lvl w:ilvl="0" w:tplc="8A7654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1D284E58"/>
    <w:multiLevelType w:val="hybridMultilevel"/>
    <w:tmpl w:val="227694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D556DF1"/>
    <w:multiLevelType w:val="hybridMultilevel"/>
    <w:tmpl w:val="0054DE1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4" w15:restartNumberingAfterBreak="0">
    <w:nsid w:val="205E63AA"/>
    <w:multiLevelType w:val="hybridMultilevel"/>
    <w:tmpl w:val="81784E1E"/>
    <w:lvl w:ilvl="0" w:tplc="04260001">
      <w:start w:val="1"/>
      <w:numFmt w:val="bullet"/>
      <w:lvlText w:val=""/>
      <w:lvlJc w:val="left"/>
      <w:pPr>
        <w:ind w:left="1277" w:hanging="360"/>
      </w:pPr>
      <w:rPr>
        <w:rFonts w:ascii="Symbol" w:hAnsi="Symbol" w:hint="default"/>
      </w:rPr>
    </w:lvl>
    <w:lvl w:ilvl="1" w:tplc="04260003" w:tentative="1">
      <w:start w:val="1"/>
      <w:numFmt w:val="bullet"/>
      <w:lvlText w:val="o"/>
      <w:lvlJc w:val="left"/>
      <w:pPr>
        <w:ind w:left="1997" w:hanging="360"/>
      </w:pPr>
      <w:rPr>
        <w:rFonts w:ascii="Courier New" w:hAnsi="Courier New" w:cs="Courier New" w:hint="default"/>
      </w:rPr>
    </w:lvl>
    <w:lvl w:ilvl="2" w:tplc="04260005" w:tentative="1">
      <w:start w:val="1"/>
      <w:numFmt w:val="bullet"/>
      <w:lvlText w:val=""/>
      <w:lvlJc w:val="left"/>
      <w:pPr>
        <w:ind w:left="2717" w:hanging="360"/>
      </w:pPr>
      <w:rPr>
        <w:rFonts w:ascii="Wingdings" w:hAnsi="Wingdings" w:hint="default"/>
      </w:rPr>
    </w:lvl>
    <w:lvl w:ilvl="3" w:tplc="04260001" w:tentative="1">
      <w:start w:val="1"/>
      <w:numFmt w:val="bullet"/>
      <w:lvlText w:val=""/>
      <w:lvlJc w:val="left"/>
      <w:pPr>
        <w:ind w:left="3437" w:hanging="360"/>
      </w:pPr>
      <w:rPr>
        <w:rFonts w:ascii="Symbol" w:hAnsi="Symbol" w:hint="default"/>
      </w:rPr>
    </w:lvl>
    <w:lvl w:ilvl="4" w:tplc="04260003" w:tentative="1">
      <w:start w:val="1"/>
      <w:numFmt w:val="bullet"/>
      <w:lvlText w:val="o"/>
      <w:lvlJc w:val="left"/>
      <w:pPr>
        <w:ind w:left="4157" w:hanging="360"/>
      </w:pPr>
      <w:rPr>
        <w:rFonts w:ascii="Courier New" w:hAnsi="Courier New" w:cs="Courier New" w:hint="default"/>
      </w:rPr>
    </w:lvl>
    <w:lvl w:ilvl="5" w:tplc="04260005" w:tentative="1">
      <w:start w:val="1"/>
      <w:numFmt w:val="bullet"/>
      <w:lvlText w:val=""/>
      <w:lvlJc w:val="left"/>
      <w:pPr>
        <w:ind w:left="4877" w:hanging="360"/>
      </w:pPr>
      <w:rPr>
        <w:rFonts w:ascii="Wingdings" w:hAnsi="Wingdings" w:hint="default"/>
      </w:rPr>
    </w:lvl>
    <w:lvl w:ilvl="6" w:tplc="04260001" w:tentative="1">
      <w:start w:val="1"/>
      <w:numFmt w:val="bullet"/>
      <w:lvlText w:val=""/>
      <w:lvlJc w:val="left"/>
      <w:pPr>
        <w:ind w:left="5597" w:hanging="360"/>
      </w:pPr>
      <w:rPr>
        <w:rFonts w:ascii="Symbol" w:hAnsi="Symbol" w:hint="default"/>
      </w:rPr>
    </w:lvl>
    <w:lvl w:ilvl="7" w:tplc="04260003" w:tentative="1">
      <w:start w:val="1"/>
      <w:numFmt w:val="bullet"/>
      <w:lvlText w:val="o"/>
      <w:lvlJc w:val="left"/>
      <w:pPr>
        <w:ind w:left="6317" w:hanging="360"/>
      </w:pPr>
      <w:rPr>
        <w:rFonts w:ascii="Courier New" w:hAnsi="Courier New" w:cs="Courier New" w:hint="default"/>
      </w:rPr>
    </w:lvl>
    <w:lvl w:ilvl="8" w:tplc="04260005" w:tentative="1">
      <w:start w:val="1"/>
      <w:numFmt w:val="bullet"/>
      <w:lvlText w:val=""/>
      <w:lvlJc w:val="left"/>
      <w:pPr>
        <w:ind w:left="7037" w:hanging="360"/>
      </w:pPr>
      <w:rPr>
        <w:rFonts w:ascii="Wingdings" w:hAnsi="Wingdings" w:hint="default"/>
      </w:rPr>
    </w:lvl>
  </w:abstractNum>
  <w:abstractNum w:abstractNumId="35" w15:restartNumberingAfterBreak="0">
    <w:nsid w:val="224859FE"/>
    <w:multiLevelType w:val="hybridMultilevel"/>
    <w:tmpl w:val="732CEC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236352CD"/>
    <w:multiLevelType w:val="hybridMultilevel"/>
    <w:tmpl w:val="955C8A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40043EF"/>
    <w:multiLevelType w:val="hybridMultilevel"/>
    <w:tmpl w:val="C620757E"/>
    <w:lvl w:ilvl="0" w:tplc="04260001">
      <w:start w:val="1"/>
      <w:numFmt w:val="bullet"/>
      <w:lvlText w:val=""/>
      <w:lvlJc w:val="left"/>
      <w:pPr>
        <w:ind w:left="1273" w:hanging="360"/>
      </w:pPr>
      <w:rPr>
        <w:rFonts w:ascii="Symbol" w:hAnsi="Symbol" w:hint="default"/>
      </w:rPr>
    </w:lvl>
    <w:lvl w:ilvl="1" w:tplc="04260003" w:tentative="1">
      <w:start w:val="1"/>
      <w:numFmt w:val="bullet"/>
      <w:lvlText w:val="o"/>
      <w:lvlJc w:val="left"/>
      <w:pPr>
        <w:ind w:left="1993" w:hanging="360"/>
      </w:pPr>
      <w:rPr>
        <w:rFonts w:ascii="Courier New" w:hAnsi="Courier New" w:cs="Courier New" w:hint="default"/>
      </w:rPr>
    </w:lvl>
    <w:lvl w:ilvl="2" w:tplc="04260005" w:tentative="1">
      <w:start w:val="1"/>
      <w:numFmt w:val="bullet"/>
      <w:lvlText w:val=""/>
      <w:lvlJc w:val="left"/>
      <w:pPr>
        <w:ind w:left="2713" w:hanging="360"/>
      </w:pPr>
      <w:rPr>
        <w:rFonts w:ascii="Wingdings" w:hAnsi="Wingdings" w:hint="default"/>
      </w:rPr>
    </w:lvl>
    <w:lvl w:ilvl="3" w:tplc="04260001" w:tentative="1">
      <w:start w:val="1"/>
      <w:numFmt w:val="bullet"/>
      <w:lvlText w:val=""/>
      <w:lvlJc w:val="left"/>
      <w:pPr>
        <w:ind w:left="3433" w:hanging="360"/>
      </w:pPr>
      <w:rPr>
        <w:rFonts w:ascii="Symbol" w:hAnsi="Symbol" w:hint="default"/>
      </w:rPr>
    </w:lvl>
    <w:lvl w:ilvl="4" w:tplc="04260003" w:tentative="1">
      <w:start w:val="1"/>
      <w:numFmt w:val="bullet"/>
      <w:lvlText w:val="o"/>
      <w:lvlJc w:val="left"/>
      <w:pPr>
        <w:ind w:left="4153" w:hanging="360"/>
      </w:pPr>
      <w:rPr>
        <w:rFonts w:ascii="Courier New" w:hAnsi="Courier New" w:cs="Courier New" w:hint="default"/>
      </w:rPr>
    </w:lvl>
    <w:lvl w:ilvl="5" w:tplc="04260005" w:tentative="1">
      <w:start w:val="1"/>
      <w:numFmt w:val="bullet"/>
      <w:lvlText w:val=""/>
      <w:lvlJc w:val="left"/>
      <w:pPr>
        <w:ind w:left="4873" w:hanging="360"/>
      </w:pPr>
      <w:rPr>
        <w:rFonts w:ascii="Wingdings" w:hAnsi="Wingdings" w:hint="default"/>
      </w:rPr>
    </w:lvl>
    <w:lvl w:ilvl="6" w:tplc="04260001" w:tentative="1">
      <w:start w:val="1"/>
      <w:numFmt w:val="bullet"/>
      <w:lvlText w:val=""/>
      <w:lvlJc w:val="left"/>
      <w:pPr>
        <w:ind w:left="5593" w:hanging="360"/>
      </w:pPr>
      <w:rPr>
        <w:rFonts w:ascii="Symbol" w:hAnsi="Symbol" w:hint="default"/>
      </w:rPr>
    </w:lvl>
    <w:lvl w:ilvl="7" w:tplc="04260003" w:tentative="1">
      <w:start w:val="1"/>
      <w:numFmt w:val="bullet"/>
      <w:lvlText w:val="o"/>
      <w:lvlJc w:val="left"/>
      <w:pPr>
        <w:ind w:left="6313" w:hanging="360"/>
      </w:pPr>
      <w:rPr>
        <w:rFonts w:ascii="Courier New" w:hAnsi="Courier New" w:cs="Courier New" w:hint="default"/>
      </w:rPr>
    </w:lvl>
    <w:lvl w:ilvl="8" w:tplc="04260005" w:tentative="1">
      <w:start w:val="1"/>
      <w:numFmt w:val="bullet"/>
      <w:lvlText w:val=""/>
      <w:lvlJc w:val="left"/>
      <w:pPr>
        <w:ind w:left="7033" w:hanging="360"/>
      </w:pPr>
      <w:rPr>
        <w:rFonts w:ascii="Wingdings" w:hAnsi="Wingdings" w:hint="default"/>
      </w:rPr>
    </w:lvl>
  </w:abstractNum>
  <w:abstractNum w:abstractNumId="38" w15:restartNumberingAfterBreak="0">
    <w:nsid w:val="2405126E"/>
    <w:multiLevelType w:val="hybridMultilevel"/>
    <w:tmpl w:val="DB1694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25237A39"/>
    <w:multiLevelType w:val="hybridMultilevel"/>
    <w:tmpl w:val="3F7ABD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57E7921"/>
    <w:multiLevelType w:val="hybridMultilevel"/>
    <w:tmpl w:val="2A0434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5FD167F"/>
    <w:multiLevelType w:val="hybridMultilevel"/>
    <w:tmpl w:val="7E7AA122"/>
    <w:lvl w:ilvl="0" w:tplc="18EEE402">
      <w:start w:val="1"/>
      <w:numFmt w:val="bullet"/>
      <w:lvlText w:val=""/>
      <w:lvlJc w:val="left"/>
      <w:pPr>
        <w:ind w:left="720" w:hanging="360"/>
      </w:pPr>
      <w:rPr>
        <w:rFonts w:ascii="Wingdings" w:hAnsi="Wingdings"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264144FA"/>
    <w:multiLevelType w:val="hybridMultilevel"/>
    <w:tmpl w:val="DCD8FF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3" w15:restartNumberingAfterBreak="0">
    <w:nsid w:val="2730158E"/>
    <w:multiLevelType w:val="hybridMultilevel"/>
    <w:tmpl w:val="56509F1A"/>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275A6ED8"/>
    <w:multiLevelType w:val="hybridMultilevel"/>
    <w:tmpl w:val="538C999C"/>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27BD2F27"/>
    <w:multiLevelType w:val="hybridMultilevel"/>
    <w:tmpl w:val="53404EA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6" w15:restartNumberingAfterBreak="0">
    <w:nsid w:val="27E942B0"/>
    <w:multiLevelType w:val="hybridMultilevel"/>
    <w:tmpl w:val="5CFC9300"/>
    <w:lvl w:ilvl="0" w:tplc="04260001">
      <w:start w:val="1"/>
      <w:numFmt w:val="bullet"/>
      <w:lvlText w:val=""/>
      <w:lvlJc w:val="left"/>
      <w:pPr>
        <w:ind w:left="806" w:hanging="360"/>
      </w:pPr>
      <w:rPr>
        <w:rFonts w:ascii="Symbol" w:hAnsi="Symbol" w:hint="default"/>
      </w:rPr>
    </w:lvl>
    <w:lvl w:ilvl="1" w:tplc="04260003" w:tentative="1">
      <w:start w:val="1"/>
      <w:numFmt w:val="bullet"/>
      <w:lvlText w:val="o"/>
      <w:lvlJc w:val="left"/>
      <w:pPr>
        <w:ind w:left="1526" w:hanging="360"/>
      </w:pPr>
      <w:rPr>
        <w:rFonts w:ascii="Courier New" w:hAnsi="Courier New" w:cs="Courier New" w:hint="default"/>
      </w:rPr>
    </w:lvl>
    <w:lvl w:ilvl="2" w:tplc="04260005" w:tentative="1">
      <w:start w:val="1"/>
      <w:numFmt w:val="bullet"/>
      <w:lvlText w:val=""/>
      <w:lvlJc w:val="left"/>
      <w:pPr>
        <w:ind w:left="2246" w:hanging="360"/>
      </w:pPr>
      <w:rPr>
        <w:rFonts w:ascii="Wingdings" w:hAnsi="Wingdings" w:hint="default"/>
      </w:rPr>
    </w:lvl>
    <w:lvl w:ilvl="3" w:tplc="04260001" w:tentative="1">
      <w:start w:val="1"/>
      <w:numFmt w:val="bullet"/>
      <w:lvlText w:val=""/>
      <w:lvlJc w:val="left"/>
      <w:pPr>
        <w:ind w:left="2966" w:hanging="360"/>
      </w:pPr>
      <w:rPr>
        <w:rFonts w:ascii="Symbol" w:hAnsi="Symbol" w:hint="default"/>
      </w:rPr>
    </w:lvl>
    <w:lvl w:ilvl="4" w:tplc="04260003" w:tentative="1">
      <w:start w:val="1"/>
      <w:numFmt w:val="bullet"/>
      <w:lvlText w:val="o"/>
      <w:lvlJc w:val="left"/>
      <w:pPr>
        <w:ind w:left="3686" w:hanging="360"/>
      </w:pPr>
      <w:rPr>
        <w:rFonts w:ascii="Courier New" w:hAnsi="Courier New" w:cs="Courier New" w:hint="default"/>
      </w:rPr>
    </w:lvl>
    <w:lvl w:ilvl="5" w:tplc="04260005" w:tentative="1">
      <w:start w:val="1"/>
      <w:numFmt w:val="bullet"/>
      <w:lvlText w:val=""/>
      <w:lvlJc w:val="left"/>
      <w:pPr>
        <w:ind w:left="4406" w:hanging="360"/>
      </w:pPr>
      <w:rPr>
        <w:rFonts w:ascii="Wingdings" w:hAnsi="Wingdings" w:hint="default"/>
      </w:rPr>
    </w:lvl>
    <w:lvl w:ilvl="6" w:tplc="04260001" w:tentative="1">
      <w:start w:val="1"/>
      <w:numFmt w:val="bullet"/>
      <w:lvlText w:val=""/>
      <w:lvlJc w:val="left"/>
      <w:pPr>
        <w:ind w:left="5126" w:hanging="360"/>
      </w:pPr>
      <w:rPr>
        <w:rFonts w:ascii="Symbol" w:hAnsi="Symbol" w:hint="default"/>
      </w:rPr>
    </w:lvl>
    <w:lvl w:ilvl="7" w:tplc="04260003" w:tentative="1">
      <w:start w:val="1"/>
      <w:numFmt w:val="bullet"/>
      <w:lvlText w:val="o"/>
      <w:lvlJc w:val="left"/>
      <w:pPr>
        <w:ind w:left="5846" w:hanging="360"/>
      </w:pPr>
      <w:rPr>
        <w:rFonts w:ascii="Courier New" w:hAnsi="Courier New" w:cs="Courier New" w:hint="default"/>
      </w:rPr>
    </w:lvl>
    <w:lvl w:ilvl="8" w:tplc="04260005" w:tentative="1">
      <w:start w:val="1"/>
      <w:numFmt w:val="bullet"/>
      <w:lvlText w:val=""/>
      <w:lvlJc w:val="left"/>
      <w:pPr>
        <w:ind w:left="6566" w:hanging="360"/>
      </w:pPr>
      <w:rPr>
        <w:rFonts w:ascii="Wingdings" w:hAnsi="Wingdings" w:hint="default"/>
      </w:rPr>
    </w:lvl>
  </w:abstractNum>
  <w:abstractNum w:abstractNumId="47" w15:restartNumberingAfterBreak="0">
    <w:nsid w:val="27EC440C"/>
    <w:multiLevelType w:val="hybridMultilevel"/>
    <w:tmpl w:val="77DA85D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28667B07"/>
    <w:multiLevelType w:val="hybridMultilevel"/>
    <w:tmpl w:val="A3F8D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28947388"/>
    <w:multiLevelType w:val="hybridMultilevel"/>
    <w:tmpl w:val="E03AC46E"/>
    <w:lvl w:ilvl="0" w:tplc="223A7140">
      <w:start w:val="1"/>
      <w:numFmt w:val="decimal"/>
      <w:lvlText w:val="%1)"/>
      <w:lvlJc w:val="left"/>
      <w:pPr>
        <w:ind w:left="1080" w:hanging="360"/>
      </w:pPr>
      <w:rPr>
        <w:rFonts w:ascii="Times New Roman" w:eastAsiaTheme="minorHAnsi" w:hAnsi="Times New Roman" w:cstheme="minorBidi"/>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28F6188F"/>
    <w:multiLevelType w:val="hybridMultilevel"/>
    <w:tmpl w:val="B8E47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297B11E1"/>
    <w:multiLevelType w:val="hybridMultilevel"/>
    <w:tmpl w:val="2F8C87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2B80787A"/>
    <w:multiLevelType w:val="hybridMultilevel"/>
    <w:tmpl w:val="51D26C68"/>
    <w:lvl w:ilvl="0" w:tplc="04260001">
      <w:start w:val="1"/>
      <w:numFmt w:val="bullet"/>
      <w:lvlText w:val=""/>
      <w:lvlJc w:val="left"/>
      <w:pPr>
        <w:ind w:left="2007" w:hanging="360"/>
      </w:pPr>
      <w:rPr>
        <w:rFonts w:ascii="Symbol" w:hAnsi="Symbol" w:hint="default"/>
      </w:rPr>
    </w:lvl>
    <w:lvl w:ilvl="1" w:tplc="04260003" w:tentative="1">
      <w:start w:val="1"/>
      <w:numFmt w:val="bullet"/>
      <w:lvlText w:val="o"/>
      <w:lvlJc w:val="left"/>
      <w:pPr>
        <w:ind w:left="2727" w:hanging="360"/>
      </w:pPr>
      <w:rPr>
        <w:rFonts w:ascii="Courier New" w:hAnsi="Courier New" w:cs="Courier New" w:hint="default"/>
      </w:rPr>
    </w:lvl>
    <w:lvl w:ilvl="2" w:tplc="04260005" w:tentative="1">
      <w:start w:val="1"/>
      <w:numFmt w:val="bullet"/>
      <w:lvlText w:val=""/>
      <w:lvlJc w:val="left"/>
      <w:pPr>
        <w:ind w:left="3447" w:hanging="360"/>
      </w:pPr>
      <w:rPr>
        <w:rFonts w:ascii="Wingdings" w:hAnsi="Wingdings" w:hint="default"/>
      </w:rPr>
    </w:lvl>
    <w:lvl w:ilvl="3" w:tplc="04260001" w:tentative="1">
      <w:start w:val="1"/>
      <w:numFmt w:val="bullet"/>
      <w:lvlText w:val=""/>
      <w:lvlJc w:val="left"/>
      <w:pPr>
        <w:ind w:left="4167" w:hanging="360"/>
      </w:pPr>
      <w:rPr>
        <w:rFonts w:ascii="Symbol" w:hAnsi="Symbol" w:hint="default"/>
      </w:rPr>
    </w:lvl>
    <w:lvl w:ilvl="4" w:tplc="04260003" w:tentative="1">
      <w:start w:val="1"/>
      <w:numFmt w:val="bullet"/>
      <w:lvlText w:val="o"/>
      <w:lvlJc w:val="left"/>
      <w:pPr>
        <w:ind w:left="4887" w:hanging="360"/>
      </w:pPr>
      <w:rPr>
        <w:rFonts w:ascii="Courier New" w:hAnsi="Courier New" w:cs="Courier New" w:hint="default"/>
      </w:rPr>
    </w:lvl>
    <w:lvl w:ilvl="5" w:tplc="04260005" w:tentative="1">
      <w:start w:val="1"/>
      <w:numFmt w:val="bullet"/>
      <w:lvlText w:val=""/>
      <w:lvlJc w:val="left"/>
      <w:pPr>
        <w:ind w:left="5607" w:hanging="360"/>
      </w:pPr>
      <w:rPr>
        <w:rFonts w:ascii="Wingdings" w:hAnsi="Wingdings" w:hint="default"/>
      </w:rPr>
    </w:lvl>
    <w:lvl w:ilvl="6" w:tplc="04260001" w:tentative="1">
      <w:start w:val="1"/>
      <w:numFmt w:val="bullet"/>
      <w:lvlText w:val=""/>
      <w:lvlJc w:val="left"/>
      <w:pPr>
        <w:ind w:left="6327" w:hanging="360"/>
      </w:pPr>
      <w:rPr>
        <w:rFonts w:ascii="Symbol" w:hAnsi="Symbol" w:hint="default"/>
      </w:rPr>
    </w:lvl>
    <w:lvl w:ilvl="7" w:tplc="04260003" w:tentative="1">
      <w:start w:val="1"/>
      <w:numFmt w:val="bullet"/>
      <w:lvlText w:val="o"/>
      <w:lvlJc w:val="left"/>
      <w:pPr>
        <w:ind w:left="7047" w:hanging="360"/>
      </w:pPr>
      <w:rPr>
        <w:rFonts w:ascii="Courier New" w:hAnsi="Courier New" w:cs="Courier New" w:hint="default"/>
      </w:rPr>
    </w:lvl>
    <w:lvl w:ilvl="8" w:tplc="04260005" w:tentative="1">
      <w:start w:val="1"/>
      <w:numFmt w:val="bullet"/>
      <w:lvlText w:val=""/>
      <w:lvlJc w:val="left"/>
      <w:pPr>
        <w:ind w:left="7767" w:hanging="360"/>
      </w:pPr>
      <w:rPr>
        <w:rFonts w:ascii="Wingdings" w:hAnsi="Wingdings" w:hint="default"/>
      </w:rPr>
    </w:lvl>
  </w:abstractNum>
  <w:abstractNum w:abstractNumId="53" w15:restartNumberingAfterBreak="0">
    <w:nsid w:val="2D5017DB"/>
    <w:multiLevelType w:val="hybridMultilevel"/>
    <w:tmpl w:val="AB068584"/>
    <w:lvl w:ilvl="0" w:tplc="78BE760E">
      <w:numFmt w:val="bullet"/>
      <w:lvlText w:val="-"/>
      <w:lvlJc w:val="left"/>
      <w:pPr>
        <w:ind w:left="720" w:hanging="360"/>
      </w:pPr>
      <w:rPr>
        <w:rFonts w:ascii="Times New Roman" w:eastAsia="Calibri" w:hAnsi="Times New Roman" w:cs="Times New Roman" w:hint="default"/>
      </w:rPr>
    </w:lvl>
    <w:lvl w:ilvl="1" w:tplc="78BE760E">
      <w:numFmt w:val="bullet"/>
      <w:lvlText w:val="-"/>
      <w:lvlJc w:val="left"/>
      <w:pPr>
        <w:ind w:left="1440" w:hanging="360"/>
      </w:pPr>
      <w:rPr>
        <w:rFonts w:ascii="Times New Roman" w:eastAsia="Calibri" w:hAnsi="Times New Roman"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4" w15:restartNumberingAfterBreak="0">
    <w:nsid w:val="2DD6388A"/>
    <w:multiLevelType w:val="hybridMultilevel"/>
    <w:tmpl w:val="A36E4138"/>
    <w:lvl w:ilvl="0" w:tplc="04260001">
      <w:start w:val="1"/>
      <w:numFmt w:val="bullet"/>
      <w:lvlText w:val=""/>
      <w:lvlJc w:val="left"/>
      <w:pPr>
        <w:ind w:left="420" w:hanging="360"/>
      </w:pPr>
      <w:rPr>
        <w:rFonts w:ascii="Symbol" w:hAnsi="Symbol"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5" w15:restartNumberingAfterBreak="0">
    <w:nsid w:val="2E47184F"/>
    <w:multiLevelType w:val="hybridMultilevel"/>
    <w:tmpl w:val="F39E7AD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6" w15:restartNumberingAfterBreak="0">
    <w:nsid w:val="2EE71168"/>
    <w:multiLevelType w:val="hybridMultilevel"/>
    <w:tmpl w:val="E47ADE0A"/>
    <w:lvl w:ilvl="0" w:tplc="D6762EA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7" w15:restartNumberingAfterBreak="0">
    <w:nsid w:val="2F40566E"/>
    <w:multiLevelType w:val="hybridMultilevel"/>
    <w:tmpl w:val="F9CEF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30764C1F"/>
    <w:multiLevelType w:val="hybridMultilevel"/>
    <w:tmpl w:val="7AA46F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1762BE1"/>
    <w:multiLevelType w:val="hybridMultilevel"/>
    <w:tmpl w:val="B9CEB2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1EF6E17"/>
    <w:multiLevelType w:val="hybridMultilevel"/>
    <w:tmpl w:val="7A823E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327437B4"/>
    <w:multiLevelType w:val="hybridMultilevel"/>
    <w:tmpl w:val="677C6F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327A2592"/>
    <w:multiLevelType w:val="hybridMultilevel"/>
    <w:tmpl w:val="194A9D9A"/>
    <w:lvl w:ilvl="0" w:tplc="D6762EA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32D3766E"/>
    <w:multiLevelType w:val="hybridMultilevel"/>
    <w:tmpl w:val="7576D3A2"/>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32EF319C"/>
    <w:multiLevelType w:val="hybridMultilevel"/>
    <w:tmpl w:val="F702CE8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5" w15:restartNumberingAfterBreak="0">
    <w:nsid w:val="33E22EAF"/>
    <w:multiLevelType w:val="hybridMultilevel"/>
    <w:tmpl w:val="358C96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366872D1"/>
    <w:multiLevelType w:val="hybridMultilevel"/>
    <w:tmpl w:val="260E46C8"/>
    <w:lvl w:ilvl="0" w:tplc="7CA06FC8">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36F354EF"/>
    <w:multiLevelType w:val="hybridMultilevel"/>
    <w:tmpl w:val="359E55BA"/>
    <w:lvl w:ilvl="0" w:tplc="718A1452">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8" w15:restartNumberingAfterBreak="0">
    <w:nsid w:val="3A9100C3"/>
    <w:multiLevelType w:val="hybridMultilevel"/>
    <w:tmpl w:val="E50A5C60"/>
    <w:lvl w:ilvl="0" w:tplc="30185E88">
      <w:start w:val="201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3B4A5877"/>
    <w:multiLevelType w:val="multilevel"/>
    <w:tmpl w:val="0E88DF54"/>
    <w:lvl w:ilvl="0">
      <w:start w:val="1"/>
      <w:numFmt w:val="decimal"/>
      <w:lvlText w:val="%1."/>
      <w:lvlJc w:val="left"/>
      <w:pPr>
        <w:ind w:left="1080" w:hanging="360"/>
      </w:pPr>
      <w:rPr>
        <w:i/>
      </w:r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70" w15:restartNumberingAfterBreak="0">
    <w:nsid w:val="3D3A27BC"/>
    <w:multiLevelType w:val="hybridMultilevel"/>
    <w:tmpl w:val="0638CA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3EE34057"/>
    <w:multiLevelType w:val="hybridMultilevel"/>
    <w:tmpl w:val="05AC0E6C"/>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2" w15:restartNumberingAfterBreak="0">
    <w:nsid w:val="3F222CE8"/>
    <w:multiLevelType w:val="hybridMultilevel"/>
    <w:tmpl w:val="0FA235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3F8F1F62"/>
    <w:multiLevelType w:val="hybridMultilevel"/>
    <w:tmpl w:val="5D62E8E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3FCC373A"/>
    <w:multiLevelType w:val="hybridMultilevel"/>
    <w:tmpl w:val="E6F879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5" w15:restartNumberingAfterBreak="0">
    <w:nsid w:val="4041492D"/>
    <w:multiLevelType w:val="hybridMultilevel"/>
    <w:tmpl w:val="18D86B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407B752E"/>
    <w:multiLevelType w:val="hybridMultilevel"/>
    <w:tmpl w:val="89E457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419F2A15"/>
    <w:multiLevelType w:val="hybridMultilevel"/>
    <w:tmpl w:val="5E80B090"/>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42BB4DAC"/>
    <w:multiLevelType w:val="hybridMultilevel"/>
    <w:tmpl w:val="6EA64F2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9" w15:restartNumberingAfterBreak="0">
    <w:nsid w:val="43460B3B"/>
    <w:multiLevelType w:val="hybridMultilevel"/>
    <w:tmpl w:val="295C2C26"/>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462D75FB"/>
    <w:multiLevelType w:val="hybridMultilevel"/>
    <w:tmpl w:val="2404334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1" w15:restartNumberingAfterBreak="0">
    <w:nsid w:val="483D162B"/>
    <w:multiLevelType w:val="hybridMultilevel"/>
    <w:tmpl w:val="44561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48CB4552"/>
    <w:multiLevelType w:val="hybridMultilevel"/>
    <w:tmpl w:val="9CE465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4A136E97"/>
    <w:multiLevelType w:val="hybridMultilevel"/>
    <w:tmpl w:val="BB6A60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4A962668"/>
    <w:multiLevelType w:val="hybridMultilevel"/>
    <w:tmpl w:val="AEB00B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4B276793"/>
    <w:multiLevelType w:val="hybridMultilevel"/>
    <w:tmpl w:val="775EC3B0"/>
    <w:lvl w:ilvl="0" w:tplc="90D6F622">
      <w:start w:val="1"/>
      <w:numFmt w:val="bullet"/>
      <w:lvlText w:val=""/>
      <w:lvlJc w:val="left"/>
      <w:pPr>
        <w:ind w:left="720" w:hanging="360"/>
      </w:pPr>
      <w:rPr>
        <w:rFonts w:ascii="Symbol" w:hAnsi="Symbol"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4CFF051D"/>
    <w:multiLevelType w:val="hybridMultilevel"/>
    <w:tmpl w:val="D4A685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4D2C498A"/>
    <w:multiLevelType w:val="hybridMultilevel"/>
    <w:tmpl w:val="DD8850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4EAE2178"/>
    <w:multiLevelType w:val="hybridMultilevel"/>
    <w:tmpl w:val="6456D4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4F721638"/>
    <w:multiLevelType w:val="hybridMultilevel"/>
    <w:tmpl w:val="0F3A973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503E1F10"/>
    <w:multiLevelType w:val="hybridMultilevel"/>
    <w:tmpl w:val="B038C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506E4B10"/>
    <w:multiLevelType w:val="hybridMultilevel"/>
    <w:tmpl w:val="98F20B44"/>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92" w15:restartNumberingAfterBreak="0">
    <w:nsid w:val="51602892"/>
    <w:multiLevelType w:val="hybridMultilevel"/>
    <w:tmpl w:val="286ACD26"/>
    <w:lvl w:ilvl="0" w:tplc="718A1452">
      <w:start w:val="1"/>
      <w:numFmt w:val="bullet"/>
      <w:lvlText w:val="-"/>
      <w:lvlJc w:val="left"/>
      <w:pPr>
        <w:ind w:left="1080" w:hanging="360"/>
      </w:pPr>
      <w:rPr>
        <w:rFonts w:ascii="Times New Roman" w:hAnsi="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3" w15:restartNumberingAfterBreak="0">
    <w:nsid w:val="516C6330"/>
    <w:multiLevelType w:val="hybridMultilevel"/>
    <w:tmpl w:val="984034E2"/>
    <w:lvl w:ilvl="0" w:tplc="D7FEB008">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51B303B0"/>
    <w:multiLevelType w:val="hybridMultilevel"/>
    <w:tmpl w:val="5DD062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5" w15:restartNumberingAfterBreak="0">
    <w:nsid w:val="51C42386"/>
    <w:multiLevelType w:val="hybridMultilevel"/>
    <w:tmpl w:val="1D34B7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52943AB0"/>
    <w:multiLevelType w:val="hybridMultilevel"/>
    <w:tmpl w:val="61D48F5C"/>
    <w:lvl w:ilvl="0" w:tplc="7CA06FC8">
      <w:start w:val="1"/>
      <w:numFmt w:val="bullet"/>
      <w:lvlText w:val="-"/>
      <w:lvlJc w:val="left"/>
      <w:pPr>
        <w:ind w:left="720" w:hanging="360"/>
      </w:pPr>
      <w:rPr>
        <w:rFonts w:ascii="Calibri" w:eastAsiaTheme="minorHAnsi" w:hAnsi="Calibr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52DB5DE9"/>
    <w:multiLevelType w:val="hybridMultilevel"/>
    <w:tmpl w:val="1B969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53407D81"/>
    <w:multiLevelType w:val="hybridMultilevel"/>
    <w:tmpl w:val="25601FBE"/>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53E71296"/>
    <w:multiLevelType w:val="hybridMultilevel"/>
    <w:tmpl w:val="74508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55893119"/>
    <w:multiLevelType w:val="hybridMultilevel"/>
    <w:tmpl w:val="4D263D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55920366"/>
    <w:multiLevelType w:val="hybridMultilevel"/>
    <w:tmpl w:val="09C41A82"/>
    <w:lvl w:ilvl="0" w:tplc="04260001">
      <w:start w:val="1"/>
      <w:numFmt w:val="bullet"/>
      <w:lvlText w:val=""/>
      <w:lvlJc w:val="left"/>
      <w:pPr>
        <w:ind w:left="1711" w:hanging="360"/>
      </w:pPr>
      <w:rPr>
        <w:rFonts w:ascii="Symbol" w:hAnsi="Symbol" w:hint="default"/>
      </w:rPr>
    </w:lvl>
    <w:lvl w:ilvl="1" w:tplc="04260003" w:tentative="1">
      <w:start w:val="1"/>
      <w:numFmt w:val="bullet"/>
      <w:lvlText w:val="o"/>
      <w:lvlJc w:val="left"/>
      <w:pPr>
        <w:ind w:left="2431" w:hanging="360"/>
      </w:pPr>
      <w:rPr>
        <w:rFonts w:ascii="Courier New" w:hAnsi="Courier New" w:cs="Courier New" w:hint="default"/>
      </w:rPr>
    </w:lvl>
    <w:lvl w:ilvl="2" w:tplc="04260005" w:tentative="1">
      <w:start w:val="1"/>
      <w:numFmt w:val="bullet"/>
      <w:lvlText w:val=""/>
      <w:lvlJc w:val="left"/>
      <w:pPr>
        <w:ind w:left="3151" w:hanging="360"/>
      </w:pPr>
      <w:rPr>
        <w:rFonts w:ascii="Wingdings" w:hAnsi="Wingdings" w:hint="default"/>
      </w:rPr>
    </w:lvl>
    <w:lvl w:ilvl="3" w:tplc="04260001" w:tentative="1">
      <w:start w:val="1"/>
      <w:numFmt w:val="bullet"/>
      <w:lvlText w:val=""/>
      <w:lvlJc w:val="left"/>
      <w:pPr>
        <w:ind w:left="3871" w:hanging="360"/>
      </w:pPr>
      <w:rPr>
        <w:rFonts w:ascii="Symbol" w:hAnsi="Symbol" w:hint="default"/>
      </w:rPr>
    </w:lvl>
    <w:lvl w:ilvl="4" w:tplc="04260003" w:tentative="1">
      <w:start w:val="1"/>
      <w:numFmt w:val="bullet"/>
      <w:lvlText w:val="o"/>
      <w:lvlJc w:val="left"/>
      <w:pPr>
        <w:ind w:left="4591" w:hanging="360"/>
      </w:pPr>
      <w:rPr>
        <w:rFonts w:ascii="Courier New" w:hAnsi="Courier New" w:cs="Courier New" w:hint="default"/>
      </w:rPr>
    </w:lvl>
    <w:lvl w:ilvl="5" w:tplc="04260005" w:tentative="1">
      <w:start w:val="1"/>
      <w:numFmt w:val="bullet"/>
      <w:lvlText w:val=""/>
      <w:lvlJc w:val="left"/>
      <w:pPr>
        <w:ind w:left="5311" w:hanging="360"/>
      </w:pPr>
      <w:rPr>
        <w:rFonts w:ascii="Wingdings" w:hAnsi="Wingdings" w:hint="default"/>
      </w:rPr>
    </w:lvl>
    <w:lvl w:ilvl="6" w:tplc="04260001" w:tentative="1">
      <w:start w:val="1"/>
      <w:numFmt w:val="bullet"/>
      <w:lvlText w:val=""/>
      <w:lvlJc w:val="left"/>
      <w:pPr>
        <w:ind w:left="6031" w:hanging="360"/>
      </w:pPr>
      <w:rPr>
        <w:rFonts w:ascii="Symbol" w:hAnsi="Symbol" w:hint="default"/>
      </w:rPr>
    </w:lvl>
    <w:lvl w:ilvl="7" w:tplc="04260003" w:tentative="1">
      <w:start w:val="1"/>
      <w:numFmt w:val="bullet"/>
      <w:lvlText w:val="o"/>
      <w:lvlJc w:val="left"/>
      <w:pPr>
        <w:ind w:left="6751" w:hanging="360"/>
      </w:pPr>
      <w:rPr>
        <w:rFonts w:ascii="Courier New" w:hAnsi="Courier New" w:cs="Courier New" w:hint="default"/>
      </w:rPr>
    </w:lvl>
    <w:lvl w:ilvl="8" w:tplc="04260005" w:tentative="1">
      <w:start w:val="1"/>
      <w:numFmt w:val="bullet"/>
      <w:lvlText w:val=""/>
      <w:lvlJc w:val="left"/>
      <w:pPr>
        <w:ind w:left="7471" w:hanging="360"/>
      </w:pPr>
      <w:rPr>
        <w:rFonts w:ascii="Wingdings" w:hAnsi="Wingdings" w:hint="default"/>
      </w:rPr>
    </w:lvl>
  </w:abstractNum>
  <w:abstractNum w:abstractNumId="102" w15:restartNumberingAfterBreak="0">
    <w:nsid w:val="5A3038B8"/>
    <w:multiLevelType w:val="hybridMultilevel"/>
    <w:tmpl w:val="50B24930"/>
    <w:lvl w:ilvl="0" w:tplc="98323422">
      <w:start w:val="1"/>
      <w:numFmt w:val="bullet"/>
      <w:lvlText w:val=""/>
      <w:lvlJc w:val="left"/>
      <w:pPr>
        <w:ind w:left="720" w:hanging="363"/>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3" w15:restartNumberingAfterBreak="0">
    <w:nsid w:val="5C463076"/>
    <w:multiLevelType w:val="hybridMultilevel"/>
    <w:tmpl w:val="DC2046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5D317051"/>
    <w:multiLevelType w:val="hybridMultilevel"/>
    <w:tmpl w:val="2B0845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5" w15:restartNumberingAfterBreak="0">
    <w:nsid w:val="5D403670"/>
    <w:multiLevelType w:val="hybridMultilevel"/>
    <w:tmpl w:val="23BE97DA"/>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6" w15:restartNumberingAfterBreak="0">
    <w:nsid w:val="5D4B5724"/>
    <w:multiLevelType w:val="hybridMultilevel"/>
    <w:tmpl w:val="6D9E9E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5DCB7A35"/>
    <w:multiLevelType w:val="hybridMultilevel"/>
    <w:tmpl w:val="3282F3DC"/>
    <w:lvl w:ilvl="0" w:tplc="2F6E0D3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8" w15:restartNumberingAfterBreak="0">
    <w:nsid w:val="5E04792B"/>
    <w:multiLevelType w:val="hybridMultilevel"/>
    <w:tmpl w:val="552019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5F300EC7"/>
    <w:multiLevelType w:val="hybridMultilevel"/>
    <w:tmpl w:val="2B0845B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0" w15:restartNumberingAfterBreak="0">
    <w:nsid w:val="5F51647A"/>
    <w:multiLevelType w:val="hybridMultilevel"/>
    <w:tmpl w:val="9EACCC1C"/>
    <w:lvl w:ilvl="0" w:tplc="D5E418DA">
      <w:start w:val="1"/>
      <w:numFmt w:val="decimal"/>
      <w:lvlText w:val="%1."/>
      <w:lvlJc w:val="left"/>
      <w:pPr>
        <w:ind w:left="1440" w:hanging="360"/>
      </w:pPr>
      <w:rPr>
        <w:b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1" w15:restartNumberingAfterBreak="0">
    <w:nsid w:val="600C7378"/>
    <w:multiLevelType w:val="hybridMultilevel"/>
    <w:tmpl w:val="4922EA24"/>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2" w15:restartNumberingAfterBreak="0">
    <w:nsid w:val="60530F2C"/>
    <w:multiLevelType w:val="hybridMultilevel"/>
    <w:tmpl w:val="84F0771C"/>
    <w:lvl w:ilvl="0" w:tplc="04260001">
      <w:start w:val="1"/>
      <w:numFmt w:val="bullet"/>
      <w:lvlText w:val=""/>
      <w:lvlJc w:val="left"/>
      <w:pPr>
        <w:tabs>
          <w:tab w:val="num" w:pos="720"/>
        </w:tabs>
        <w:ind w:left="720" w:hanging="360"/>
      </w:pPr>
      <w:rPr>
        <w:rFonts w:ascii="Symbol" w:hAnsi="Symbol" w:hint="default"/>
      </w:rPr>
    </w:lvl>
    <w:lvl w:ilvl="1" w:tplc="CD469A48" w:tentative="1">
      <w:start w:val="1"/>
      <w:numFmt w:val="bullet"/>
      <w:lvlText w:val="•"/>
      <w:lvlJc w:val="left"/>
      <w:pPr>
        <w:tabs>
          <w:tab w:val="num" w:pos="1440"/>
        </w:tabs>
        <w:ind w:left="1440" w:hanging="360"/>
      </w:pPr>
      <w:rPr>
        <w:rFonts w:ascii="Times New Roman" w:hAnsi="Times New Roman" w:hint="default"/>
      </w:rPr>
    </w:lvl>
    <w:lvl w:ilvl="2" w:tplc="336C2516" w:tentative="1">
      <w:start w:val="1"/>
      <w:numFmt w:val="bullet"/>
      <w:lvlText w:val="•"/>
      <w:lvlJc w:val="left"/>
      <w:pPr>
        <w:tabs>
          <w:tab w:val="num" w:pos="2160"/>
        </w:tabs>
        <w:ind w:left="2160" w:hanging="360"/>
      </w:pPr>
      <w:rPr>
        <w:rFonts w:ascii="Times New Roman" w:hAnsi="Times New Roman" w:hint="default"/>
      </w:rPr>
    </w:lvl>
    <w:lvl w:ilvl="3" w:tplc="0AD27C6E" w:tentative="1">
      <w:start w:val="1"/>
      <w:numFmt w:val="bullet"/>
      <w:lvlText w:val="•"/>
      <w:lvlJc w:val="left"/>
      <w:pPr>
        <w:tabs>
          <w:tab w:val="num" w:pos="2880"/>
        </w:tabs>
        <w:ind w:left="2880" w:hanging="360"/>
      </w:pPr>
      <w:rPr>
        <w:rFonts w:ascii="Times New Roman" w:hAnsi="Times New Roman" w:hint="default"/>
      </w:rPr>
    </w:lvl>
    <w:lvl w:ilvl="4" w:tplc="0CA68838" w:tentative="1">
      <w:start w:val="1"/>
      <w:numFmt w:val="bullet"/>
      <w:lvlText w:val="•"/>
      <w:lvlJc w:val="left"/>
      <w:pPr>
        <w:tabs>
          <w:tab w:val="num" w:pos="3600"/>
        </w:tabs>
        <w:ind w:left="3600" w:hanging="360"/>
      </w:pPr>
      <w:rPr>
        <w:rFonts w:ascii="Times New Roman" w:hAnsi="Times New Roman" w:hint="default"/>
      </w:rPr>
    </w:lvl>
    <w:lvl w:ilvl="5" w:tplc="68E0D8B6" w:tentative="1">
      <w:start w:val="1"/>
      <w:numFmt w:val="bullet"/>
      <w:lvlText w:val="•"/>
      <w:lvlJc w:val="left"/>
      <w:pPr>
        <w:tabs>
          <w:tab w:val="num" w:pos="4320"/>
        </w:tabs>
        <w:ind w:left="4320" w:hanging="360"/>
      </w:pPr>
      <w:rPr>
        <w:rFonts w:ascii="Times New Roman" w:hAnsi="Times New Roman" w:hint="default"/>
      </w:rPr>
    </w:lvl>
    <w:lvl w:ilvl="6" w:tplc="4F92ECDE" w:tentative="1">
      <w:start w:val="1"/>
      <w:numFmt w:val="bullet"/>
      <w:lvlText w:val="•"/>
      <w:lvlJc w:val="left"/>
      <w:pPr>
        <w:tabs>
          <w:tab w:val="num" w:pos="5040"/>
        </w:tabs>
        <w:ind w:left="5040" w:hanging="360"/>
      </w:pPr>
      <w:rPr>
        <w:rFonts w:ascii="Times New Roman" w:hAnsi="Times New Roman" w:hint="default"/>
      </w:rPr>
    </w:lvl>
    <w:lvl w:ilvl="7" w:tplc="98128A12" w:tentative="1">
      <w:start w:val="1"/>
      <w:numFmt w:val="bullet"/>
      <w:lvlText w:val="•"/>
      <w:lvlJc w:val="left"/>
      <w:pPr>
        <w:tabs>
          <w:tab w:val="num" w:pos="5760"/>
        </w:tabs>
        <w:ind w:left="5760" w:hanging="360"/>
      </w:pPr>
      <w:rPr>
        <w:rFonts w:ascii="Times New Roman" w:hAnsi="Times New Roman" w:hint="default"/>
      </w:rPr>
    </w:lvl>
    <w:lvl w:ilvl="8" w:tplc="6254A68E" w:tentative="1">
      <w:start w:val="1"/>
      <w:numFmt w:val="bullet"/>
      <w:lvlText w:val="•"/>
      <w:lvlJc w:val="left"/>
      <w:pPr>
        <w:tabs>
          <w:tab w:val="num" w:pos="6480"/>
        </w:tabs>
        <w:ind w:left="6480" w:hanging="360"/>
      </w:pPr>
      <w:rPr>
        <w:rFonts w:ascii="Times New Roman" w:hAnsi="Times New Roman" w:hint="default"/>
      </w:rPr>
    </w:lvl>
  </w:abstractNum>
  <w:abstractNum w:abstractNumId="113" w15:restartNumberingAfterBreak="0">
    <w:nsid w:val="606373E3"/>
    <w:multiLevelType w:val="hybridMultilevel"/>
    <w:tmpl w:val="F550C78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60DA6269"/>
    <w:multiLevelType w:val="hybridMultilevel"/>
    <w:tmpl w:val="ABAA0D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5" w15:restartNumberingAfterBreak="0">
    <w:nsid w:val="6336606B"/>
    <w:multiLevelType w:val="multilevel"/>
    <w:tmpl w:val="F160B9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6" w15:restartNumberingAfterBreak="0">
    <w:nsid w:val="642A6890"/>
    <w:multiLevelType w:val="hybridMultilevel"/>
    <w:tmpl w:val="4836AC82"/>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7" w15:restartNumberingAfterBreak="0">
    <w:nsid w:val="650662DB"/>
    <w:multiLevelType w:val="hybridMultilevel"/>
    <w:tmpl w:val="5172196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8" w15:restartNumberingAfterBreak="0">
    <w:nsid w:val="65610E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65BE7417"/>
    <w:multiLevelType w:val="hybridMultilevel"/>
    <w:tmpl w:val="F05EED50"/>
    <w:lvl w:ilvl="0" w:tplc="D6762EA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0" w15:restartNumberingAfterBreak="0">
    <w:nsid w:val="66313DCB"/>
    <w:multiLevelType w:val="hybridMultilevel"/>
    <w:tmpl w:val="84E6131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1" w15:restartNumberingAfterBreak="0">
    <w:nsid w:val="66CD09D0"/>
    <w:multiLevelType w:val="hybridMultilevel"/>
    <w:tmpl w:val="2324731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2" w15:restartNumberingAfterBreak="0">
    <w:nsid w:val="66D71F9C"/>
    <w:multiLevelType w:val="hybridMultilevel"/>
    <w:tmpl w:val="94388F58"/>
    <w:lvl w:ilvl="0" w:tplc="04260001">
      <w:start w:val="1"/>
      <w:numFmt w:val="bullet"/>
      <w:lvlText w:val=""/>
      <w:lvlJc w:val="left"/>
      <w:pPr>
        <w:tabs>
          <w:tab w:val="num" w:pos="720"/>
        </w:tabs>
        <w:ind w:left="720" w:hanging="360"/>
      </w:pPr>
      <w:rPr>
        <w:rFonts w:ascii="Symbol" w:hAnsi="Symbol" w:hint="default"/>
      </w:rPr>
    </w:lvl>
    <w:lvl w:ilvl="1" w:tplc="AE44DB36" w:tentative="1">
      <w:start w:val="1"/>
      <w:numFmt w:val="bullet"/>
      <w:lvlText w:val=""/>
      <w:lvlJc w:val="left"/>
      <w:pPr>
        <w:tabs>
          <w:tab w:val="num" w:pos="1440"/>
        </w:tabs>
        <w:ind w:left="1440" w:hanging="360"/>
      </w:pPr>
      <w:rPr>
        <w:rFonts w:ascii="Wingdings" w:hAnsi="Wingdings" w:hint="default"/>
      </w:rPr>
    </w:lvl>
    <w:lvl w:ilvl="2" w:tplc="37F049AE" w:tentative="1">
      <w:start w:val="1"/>
      <w:numFmt w:val="bullet"/>
      <w:lvlText w:val=""/>
      <w:lvlJc w:val="left"/>
      <w:pPr>
        <w:tabs>
          <w:tab w:val="num" w:pos="2160"/>
        </w:tabs>
        <w:ind w:left="2160" w:hanging="360"/>
      </w:pPr>
      <w:rPr>
        <w:rFonts w:ascii="Wingdings" w:hAnsi="Wingdings" w:hint="default"/>
      </w:rPr>
    </w:lvl>
    <w:lvl w:ilvl="3" w:tplc="EC46F872" w:tentative="1">
      <w:start w:val="1"/>
      <w:numFmt w:val="bullet"/>
      <w:lvlText w:val=""/>
      <w:lvlJc w:val="left"/>
      <w:pPr>
        <w:tabs>
          <w:tab w:val="num" w:pos="2880"/>
        </w:tabs>
        <w:ind w:left="2880" w:hanging="360"/>
      </w:pPr>
      <w:rPr>
        <w:rFonts w:ascii="Wingdings" w:hAnsi="Wingdings" w:hint="default"/>
      </w:rPr>
    </w:lvl>
    <w:lvl w:ilvl="4" w:tplc="E724D95A" w:tentative="1">
      <w:start w:val="1"/>
      <w:numFmt w:val="bullet"/>
      <w:lvlText w:val=""/>
      <w:lvlJc w:val="left"/>
      <w:pPr>
        <w:tabs>
          <w:tab w:val="num" w:pos="3600"/>
        </w:tabs>
        <w:ind w:left="3600" w:hanging="360"/>
      </w:pPr>
      <w:rPr>
        <w:rFonts w:ascii="Wingdings" w:hAnsi="Wingdings" w:hint="default"/>
      </w:rPr>
    </w:lvl>
    <w:lvl w:ilvl="5" w:tplc="E1C8436C" w:tentative="1">
      <w:start w:val="1"/>
      <w:numFmt w:val="bullet"/>
      <w:lvlText w:val=""/>
      <w:lvlJc w:val="left"/>
      <w:pPr>
        <w:tabs>
          <w:tab w:val="num" w:pos="4320"/>
        </w:tabs>
        <w:ind w:left="4320" w:hanging="360"/>
      </w:pPr>
      <w:rPr>
        <w:rFonts w:ascii="Wingdings" w:hAnsi="Wingdings" w:hint="default"/>
      </w:rPr>
    </w:lvl>
    <w:lvl w:ilvl="6" w:tplc="EC6EEBB2" w:tentative="1">
      <w:start w:val="1"/>
      <w:numFmt w:val="bullet"/>
      <w:lvlText w:val=""/>
      <w:lvlJc w:val="left"/>
      <w:pPr>
        <w:tabs>
          <w:tab w:val="num" w:pos="5040"/>
        </w:tabs>
        <w:ind w:left="5040" w:hanging="360"/>
      </w:pPr>
      <w:rPr>
        <w:rFonts w:ascii="Wingdings" w:hAnsi="Wingdings" w:hint="default"/>
      </w:rPr>
    </w:lvl>
    <w:lvl w:ilvl="7" w:tplc="B966F2CA" w:tentative="1">
      <w:start w:val="1"/>
      <w:numFmt w:val="bullet"/>
      <w:lvlText w:val=""/>
      <w:lvlJc w:val="left"/>
      <w:pPr>
        <w:tabs>
          <w:tab w:val="num" w:pos="5760"/>
        </w:tabs>
        <w:ind w:left="5760" w:hanging="360"/>
      </w:pPr>
      <w:rPr>
        <w:rFonts w:ascii="Wingdings" w:hAnsi="Wingdings" w:hint="default"/>
      </w:rPr>
    </w:lvl>
    <w:lvl w:ilvl="8" w:tplc="DB74A62C"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7A570FF"/>
    <w:multiLevelType w:val="hybridMultilevel"/>
    <w:tmpl w:val="698EE234"/>
    <w:lvl w:ilvl="0" w:tplc="72908508">
      <w:start w:val="1"/>
      <w:numFmt w:val="bullet"/>
      <w:lvlText w:val="-"/>
      <w:lvlJc w:val="left"/>
      <w:pPr>
        <w:tabs>
          <w:tab w:val="num" w:pos="720"/>
        </w:tabs>
        <w:ind w:left="720" w:hanging="360"/>
      </w:pPr>
      <w:rPr>
        <w:rFonts w:ascii="Times New Roman" w:hAnsi="Times New Roman" w:hint="default"/>
      </w:rPr>
    </w:lvl>
    <w:lvl w:ilvl="1" w:tplc="2C8692CE">
      <w:start w:val="1"/>
      <w:numFmt w:val="bullet"/>
      <w:lvlText w:val="-"/>
      <w:lvlJc w:val="left"/>
      <w:pPr>
        <w:tabs>
          <w:tab w:val="num" w:pos="1440"/>
        </w:tabs>
        <w:ind w:left="1440" w:hanging="360"/>
      </w:pPr>
      <w:rPr>
        <w:rFonts w:ascii="Times New Roman" w:hAnsi="Times New Roman" w:hint="default"/>
      </w:rPr>
    </w:lvl>
    <w:lvl w:ilvl="2" w:tplc="897001AC" w:tentative="1">
      <w:start w:val="1"/>
      <w:numFmt w:val="bullet"/>
      <w:lvlText w:val="-"/>
      <w:lvlJc w:val="left"/>
      <w:pPr>
        <w:tabs>
          <w:tab w:val="num" w:pos="2160"/>
        </w:tabs>
        <w:ind w:left="2160" w:hanging="360"/>
      </w:pPr>
      <w:rPr>
        <w:rFonts w:ascii="Times New Roman" w:hAnsi="Times New Roman" w:hint="default"/>
      </w:rPr>
    </w:lvl>
    <w:lvl w:ilvl="3" w:tplc="72B65496" w:tentative="1">
      <w:start w:val="1"/>
      <w:numFmt w:val="bullet"/>
      <w:lvlText w:val="-"/>
      <w:lvlJc w:val="left"/>
      <w:pPr>
        <w:tabs>
          <w:tab w:val="num" w:pos="2880"/>
        </w:tabs>
        <w:ind w:left="2880" w:hanging="360"/>
      </w:pPr>
      <w:rPr>
        <w:rFonts w:ascii="Times New Roman" w:hAnsi="Times New Roman" w:hint="default"/>
      </w:rPr>
    </w:lvl>
    <w:lvl w:ilvl="4" w:tplc="7DCA1472" w:tentative="1">
      <w:start w:val="1"/>
      <w:numFmt w:val="bullet"/>
      <w:lvlText w:val="-"/>
      <w:lvlJc w:val="left"/>
      <w:pPr>
        <w:tabs>
          <w:tab w:val="num" w:pos="3600"/>
        </w:tabs>
        <w:ind w:left="3600" w:hanging="360"/>
      </w:pPr>
      <w:rPr>
        <w:rFonts w:ascii="Times New Roman" w:hAnsi="Times New Roman" w:hint="default"/>
      </w:rPr>
    </w:lvl>
    <w:lvl w:ilvl="5" w:tplc="D7264EF0" w:tentative="1">
      <w:start w:val="1"/>
      <w:numFmt w:val="bullet"/>
      <w:lvlText w:val="-"/>
      <w:lvlJc w:val="left"/>
      <w:pPr>
        <w:tabs>
          <w:tab w:val="num" w:pos="4320"/>
        </w:tabs>
        <w:ind w:left="4320" w:hanging="360"/>
      </w:pPr>
      <w:rPr>
        <w:rFonts w:ascii="Times New Roman" w:hAnsi="Times New Roman" w:hint="default"/>
      </w:rPr>
    </w:lvl>
    <w:lvl w:ilvl="6" w:tplc="E348F918" w:tentative="1">
      <w:start w:val="1"/>
      <w:numFmt w:val="bullet"/>
      <w:lvlText w:val="-"/>
      <w:lvlJc w:val="left"/>
      <w:pPr>
        <w:tabs>
          <w:tab w:val="num" w:pos="5040"/>
        </w:tabs>
        <w:ind w:left="5040" w:hanging="360"/>
      </w:pPr>
      <w:rPr>
        <w:rFonts w:ascii="Times New Roman" w:hAnsi="Times New Roman" w:hint="default"/>
      </w:rPr>
    </w:lvl>
    <w:lvl w:ilvl="7" w:tplc="D4A08D94" w:tentative="1">
      <w:start w:val="1"/>
      <w:numFmt w:val="bullet"/>
      <w:lvlText w:val="-"/>
      <w:lvlJc w:val="left"/>
      <w:pPr>
        <w:tabs>
          <w:tab w:val="num" w:pos="5760"/>
        </w:tabs>
        <w:ind w:left="5760" w:hanging="360"/>
      </w:pPr>
      <w:rPr>
        <w:rFonts w:ascii="Times New Roman" w:hAnsi="Times New Roman" w:hint="default"/>
      </w:rPr>
    </w:lvl>
    <w:lvl w:ilvl="8" w:tplc="FF0C278E" w:tentative="1">
      <w:start w:val="1"/>
      <w:numFmt w:val="bullet"/>
      <w:lvlText w:val="-"/>
      <w:lvlJc w:val="left"/>
      <w:pPr>
        <w:tabs>
          <w:tab w:val="num" w:pos="6480"/>
        </w:tabs>
        <w:ind w:left="6480" w:hanging="360"/>
      </w:pPr>
      <w:rPr>
        <w:rFonts w:ascii="Times New Roman" w:hAnsi="Times New Roman" w:hint="default"/>
      </w:rPr>
    </w:lvl>
  </w:abstractNum>
  <w:abstractNum w:abstractNumId="124" w15:restartNumberingAfterBreak="0">
    <w:nsid w:val="68B0088B"/>
    <w:multiLevelType w:val="hybridMultilevel"/>
    <w:tmpl w:val="BECE59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5" w15:restartNumberingAfterBreak="0">
    <w:nsid w:val="697C0D88"/>
    <w:multiLevelType w:val="hybridMultilevel"/>
    <w:tmpl w:val="2918E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6" w15:restartNumberingAfterBreak="0">
    <w:nsid w:val="6ADA7C2C"/>
    <w:multiLevelType w:val="hybridMultilevel"/>
    <w:tmpl w:val="F8186A2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7" w15:restartNumberingAfterBreak="0">
    <w:nsid w:val="6C4D0B26"/>
    <w:multiLevelType w:val="hybridMultilevel"/>
    <w:tmpl w:val="234216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8" w15:restartNumberingAfterBreak="0">
    <w:nsid w:val="6CC04FCE"/>
    <w:multiLevelType w:val="hybridMultilevel"/>
    <w:tmpl w:val="628C22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9" w15:restartNumberingAfterBreak="0">
    <w:nsid w:val="6DBE5925"/>
    <w:multiLevelType w:val="hybridMultilevel"/>
    <w:tmpl w:val="5CB2A6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0" w15:restartNumberingAfterBreak="0">
    <w:nsid w:val="6E8779AB"/>
    <w:multiLevelType w:val="hybridMultilevel"/>
    <w:tmpl w:val="E1340CC8"/>
    <w:lvl w:ilvl="0" w:tplc="9FC6F006">
      <w:start w:val="1"/>
      <w:numFmt w:val="bullet"/>
      <w:lvlText w:val="•"/>
      <w:lvlJc w:val="left"/>
      <w:pPr>
        <w:tabs>
          <w:tab w:val="num" w:pos="720"/>
        </w:tabs>
        <w:ind w:left="720" w:hanging="360"/>
      </w:pPr>
      <w:rPr>
        <w:rFonts w:ascii="Arial" w:hAnsi="Arial" w:hint="default"/>
      </w:rPr>
    </w:lvl>
    <w:lvl w:ilvl="1" w:tplc="98E03416" w:tentative="1">
      <w:start w:val="1"/>
      <w:numFmt w:val="bullet"/>
      <w:lvlText w:val="•"/>
      <w:lvlJc w:val="left"/>
      <w:pPr>
        <w:tabs>
          <w:tab w:val="num" w:pos="1440"/>
        </w:tabs>
        <w:ind w:left="1440" w:hanging="360"/>
      </w:pPr>
      <w:rPr>
        <w:rFonts w:ascii="Arial" w:hAnsi="Arial" w:hint="default"/>
      </w:rPr>
    </w:lvl>
    <w:lvl w:ilvl="2" w:tplc="8E1A06BA" w:tentative="1">
      <w:start w:val="1"/>
      <w:numFmt w:val="bullet"/>
      <w:lvlText w:val="•"/>
      <w:lvlJc w:val="left"/>
      <w:pPr>
        <w:tabs>
          <w:tab w:val="num" w:pos="2160"/>
        </w:tabs>
        <w:ind w:left="2160" w:hanging="360"/>
      </w:pPr>
      <w:rPr>
        <w:rFonts w:ascii="Arial" w:hAnsi="Arial" w:hint="default"/>
      </w:rPr>
    </w:lvl>
    <w:lvl w:ilvl="3" w:tplc="7D2EC096" w:tentative="1">
      <w:start w:val="1"/>
      <w:numFmt w:val="bullet"/>
      <w:lvlText w:val="•"/>
      <w:lvlJc w:val="left"/>
      <w:pPr>
        <w:tabs>
          <w:tab w:val="num" w:pos="2880"/>
        </w:tabs>
        <w:ind w:left="2880" w:hanging="360"/>
      </w:pPr>
      <w:rPr>
        <w:rFonts w:ascii="Arial" w:hAnsi="Arial" w:hint="default"/>
      </w:rPr>
    </w:lvl>
    <w:lvl w:ilvl="4" w:tplc="AF6EB2E4" w:tentative="1">
      <w:start w:val="1"/>
      <w:numFmt w:val="bullet"/>
      <w:lvlText w:val="•"/>
      <w:lvlJc w:val="left"/>
      <w:pPr>
        <w:tabs>
          <w:tab w:val="num" w:pos="3600"/>
        </w:tabs>
        <w:ind w:left="3600" w:hanging="360"/>
      </w:pPr>
      <w:rPr>
        <w:rFonts w:ascii="Arial" w:hAnsi="Arial" w:hint="default"/>
      </w:rPr>
    </w:lvl>
    <w:lvl w:ilvl="5" w:tplc="717C12BC" w:tentative="1">
      <w:start w:val="1"/>
      <w:numFmt w:val="bullet"/>
      <w:lvlText w:val="•"/>
      <w:lvlJc w:val="left"/>
      <w:pPr>
        <w:tabs>
          <w:tab w:val="num" w:pos="4320"/>
        </w:tabs>
        <w:ind w:left="4320" w:hanging="360"/>
      </w:pPr>
      <w:rPr>
        <w:rFonts w:ascii="Arial" w:hAnsi="Arial" w:hint="default"/>
      </w:rPr>
    </w:lvl>
    <w:lvl w:ilvl="6" w:tplc="01D6AFB6" w:tentative="1">
      <w:start w:val="1"/>
      <w:numFmt w:val="bullet"/>
      <w:lvlText w:val="•"/>
      <w:lvlJc w:val="left"/>
      <w:pPr>
        <w:tabs>
          <w:tab w:val="num" w:pos="5040"/>
        </w:tabs>
        <w:ind w:left="5040" w:hanging="360"/>
      </w:pPr>
      <w:rPr>
        <w:rFonts w:ascii="Arial" w:hAnsi="Arial" w:hint="default"/>
      </w:rPr>
    </w:lvl>
    <w:lvl w:ilvl="7" w:tplc="648A7836" w:tentative="1">
      <w:start w:val="1"/>
      <w:numFmt w:val="bullet"/>
      <w:lvlText w:val="•"/>
      <w:lvlJc w:val="left"/>
      <w:pPr>
        <w:tabs>
          <w:tab w:val="num" w:pos="5760"/>
        </w:tabs>
        <w:ind w:left="5760" w:hanging="360"/>
      </w:pPr>
      <w:rPr>
        <w:rFonts w:ascii="Arial" w:hAnsi="Arial" w:hint="default"/>
      </w:rPr>
    </w:lvl>
    <w:lvl w:ilvl="8" w:tplc="4580BB38" w:tentative="1">
      <w:start w:val="1"/>
      <w:numFmt w:val="bullet"/>
      <w:lvlText w:val="•"/>
      <w:lvlJc w:val="left"/>
      <w:pPr>
        <w:tabs>
          <w:tab w:val="num" w:pos="6480"/>
        </w:tabs>
        <w:ind w:left="6480" w:hanging="360"/>
      </w:pPr>
      <w:rPr>
        <w:rFonts w:ascii="Arial" w:hAnsi="Arial" w:hint="default"/>
      </w:rPr>
    </w:lvl>
  </w:abstractNum>
  <w:abstractNum w:abstractNumId="131" w15:restartNumberingAfterBreak="0">
    <w:nsid w:val="6EAF0C56"/>
    <w:multiLevelType w:val="hybridMultilevel"/>
    <w:tmpl w:val="D052807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2" w15:restartNumberingAfterBreak="0">
    <w:nsid w:val="6FCF2D71"/>
    <w:multiLevelType w:val="hybridMultilevel"/>
    <w:tmpl w:val="EB0CD90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3" w15:restartNumberingAfterBreak="0">
    <w:nsid w:val="6FCF330E"/>
    <w:multiLevelType w:val="hybridMultilevel"/>
    <w:tmpl w:val="D6F4F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4" w15:restartNumberingAfterBreak="0">
    <w:nsid w:val="706404A3"/>
    <w:multiLevelType w:val="hybridMultilevel"/>
    <w:tmpl w:val="AE02E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5" w15:restartNumberingAfterBreak="0">
    <w:nsid w:val="751D3654"/>
    <w:multiLevelType w:val="hybridMultilevel"/>
    <w:tmpl w:val="05C0141A"/>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36" w15:restartNumberingAfterBreak="0">
    <w:nsid w:val="76957662"/>
    <w:multiLevelType w:val="hybridMultilevel"/>
    <w:tmpl w:val="E4F88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7" w15:restartNumberingAfterBreak="0">
    <w:nsid w:val="774431FE"/>
    <w:multiLevelType w:val="hybridMultilevel"/>
    <w:tmpl w:val="3398D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8" w15:restartNumberingAfterBreak="0">
    <w:nsid w:val="7A740AF7"/>
    <w:multiLevelType w:val="hybridMultilevel"/>
    <w:tmpl w:val="D35E50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9" w15:restartNumberingAfterBreak="0">
    <w:nsid w:val="7AA607C0"/>
    <w:multiLevelType w:val="hybridMultilevel"/>
    <w:tmpl w:val="D66C7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0" w15:restartNumberingAfterBreak="0">
    <w:nsid w:val="7AA73D07"/>
    <w:multiLevelType w:val="hybridMultilevel"/>
    <w:tmpl w:val="EEDADC90"/>
    <w:lvl w:ilvl="0" w:tplc="D6762EA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1" w15:restartNumberingAfterBreak="0">
    <w:nsid w:val="7B163D93"/>
    <w:multiLevelType w:val="hybridMultilevel"/>
    <w:tmpl w:val="6E226E40"/>
    <w:lvl w:ilvl="0" w:tplc="9A4AA85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2" w15:restartNumberingAfterBreak="0">
    <w:nsid w:val="7B9F62EA"/>
    <w:multiLevelType w:val="hybridMultilevel"/>
    <w:tmpl w:val="D2C45F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3" w15:restartNumberingAfterBreak="0">
    <w:nsid w:val="7BD1519E"/>
    <w:multiLevelType w:val="hybridMultilevel"/>
    <w:tmpl w:val="A2BC884C"/>
    <w:lvl w:ilvl="0" w:tplc="D6762EA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4" w15:restartNumberingAfterBreak="0">
    <w:nsid w:val="7BD7409C"/>
    <w:multiLevelType w:val="hybridMultilevel"/>
    <w:tmpl w:val="86FAC03E"/>
    <w:lvl w:ilvl="0" w:tplc="8F0C698C">
      <w:start w:val="1"/>
      <w:numFmt w:val="bullet"/>
      <w:lvlText w:val=""/>
      <w:lvlJc w:val="left"/>
      <w:pPr>
        <w:ind w:left="1077" w:hanging="357"/>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5" w15:restartNumberingAfterBreak="0">
    <w:nsid w:val="7CD54D87"/>
    <w:multiLevelType w:val="hybridMultilevel"/>
    <w:tmpl w:val="1756BBAE"/>
    <w:lvl w:ilvl="0" w:tplc="7CA06FC8">
      <w:start w:val="1"/>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6" w15:restartNumberingAfterBreak="0">
    <w:nsid w:val="7EA37B32"/>
    <w:multiLevelType w:val="hybridMultilevel"/>
    <w:tmpl w:val="F2182D4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7" w15:restartNumberingAfterBreak="0">
    <w:nsid w:val="7EB77DBD"/>
    <w:multiLevelType w:val="hybridMultilevel"/>
    <w:tmpl w:val="0ADCD9DC"/>
    <w:lvl w:ilvl="0" w:tplc="90D6F622">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5"/>
  </w:num>
  <w:num w:numId="2">
    <w:abstractNumId w:val="76"/>
  </w:num>
  <w:num w:numId="3">
    <w:abstractNumId w:val="49"/>
  </w:num>
  <w:num w:numId="4">
    <w:abstractNumId w:val="44"/>
  </w:num>
  <w:num w:numId="5">
    <w:abstractNumId w:val="146"/>
  </w:num>
  <w:num w:numId="6">
    <w:abstractNumId w:val="127"/>
  </w:num>
  <w:num w:numId="7">
    <w:abstractNumId w:val="93"/>
  </w:num>
  <w:num w:numId="8">
    <w:abstractNumId w:val="33"/>
  </w:num>
  <w:num w:numId="9">
    <w:abstractNumId w:val="138"/>
  </w:num>
  <w:num w:numId="10">
    <w:abstractNumId w:val="91"/>
  </w:num>
  <w:num w:numId="11">
    <w:abstractNumId w:val="8"/>
  </w:num>
  <w:num w:numId="12">
    <w:abstractNumId w:val="30"/>
  </w:num>
  <w:num w:numId="13">
    <w:abstractNumId w:val="136"/>
  </w:num>
  <w:num w:numId="14">
    <w:abstractNumId w:val="114"/>
  </w:num>
  <w:num w:numId="15">
    <w:abstractNumId w:val="135"/>
  </w:num>
  <w:num w:numId="16">
    <w:abstractNumId w:val="6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2"/>
  </w:num>
  <w:num w:numId="18">
    <w:abstractNumId w:val="74"/>
  </w:num>
  <w:num w:numId="19">
    <w:abstractNumId w:val="13"/>
  </w:num>
  <w:num w:numId="2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22"/>
  </w:num>
  <w:num w:numId="27">
    <w:abstractNumId w:val="120"/>
  </w:num>
  <w:num w:numId="28">
    <w:abstractNumId w:val="102"/>
  </w:num>
  <w:num w:numId="29">
    <w:abstractNumId w:val="36"/>
  </w:num>
  <w:num w:numId="30">
    <w:abstractNumId w:val="19"/>
  </w:num>
  <w:num w:numId="31">
    <w:abstractNumId w:val="65"/>
  </w:num>
  <w:num w:numId="32">
    <w:abstractNumId w:val="11"/>
  </w:num>
  <w:num w:numId="33">
    <w:abstractNumId w:val="112"/>
  </w:num>
  <w:num w:numId="34">
    <w:abstractNumId w:val="63"/>
  </w:num>
  <w:num w:numId="35">
    <w:abstractNumId w:val="43"/>
  </w:num>
  <w:num w:numId="36">
    <w:abstractNumId w:val="85"/>
  </w:num>
  <w:num w:numId="37">
    <w:abstractNumId w:val="73"/>
  </w:num>
  <w:num w:numId="38">
    <w:abstractNumId w:val="147"/>
  </w:num>
  <w:num w:numId="39">
    <w:abstractNumId w:val="42"/>
  </w:num>
  <w:num w:numId="40">
    <w:abstractNumId w:val="50"/>
  </w:num>
  <w:num w:numId="41">
    <w:abstractNumId w:val="110"/>
  </w:num>
  <w:num w:numId="42">
    <w:abstractNumId w:val="54"/>
  </w:num>
  <w:num w:numId="43">
    <w:abstractNumId w:val="41"/>
  </w:num>
  <w:num w:numId="44">
    <w:abstractNumId w:val="130"/>
  </w:num>
  <w:num w:numId="45">
    <w:abstractNumId w:val="106"/>
  </w:num>
  <w:num w:numId="46">
    <w:abstractNumId w:val="108"/>
  </w:num>
  <w:num w:numId="47">
    <w:abstractNumId w:val="89"/>
  </w:num>
  <w:num w:numId="48">
    <w:abstractNumId w:val="142"/>
  </w:num>
  <w:num w:numId="49">
    <w:abstractNumId w:val="16"/>
  </w:num>
  <w:num w:numId="50">
    <w:abstractNumId w:val="75"/>
  </w:num>
  <w:num w:numId="51">
    <w:abstractNumId w:val="88"/>
  </w:num>
  <w:num w:numId="52">
    <w:abstractNumId w:val="83"/>
  </w:num>
  <w:num w:numId="53">
    <w:abstractNumId w:val="137"/>
  </w:num>
  <w:num w:numId="54">
    <w:abstractNumId w:val="57"/>
  </w:num>
  <w:num w:numId="55">
    <w:abstractNumId w:val="129"/>
  </w:num>
  <w:num w:numId="56">
    <w:abstractNumId w:val="70"/>
  </w:num>
  <w:num w:numId="57">
    <w:abstractNumId w:val="38"/>
  </w:num>
  <w:num w:numId="58">
    <w:abstractNumId w:val="134"/>
  </w:num>
  <w:num w:numId="59">
    <w:abstractNumId w:val="48"/>
  </w:num>
  <w:num w:numId="60">
    <w:abstractNumId w:val="4"/>
  </w:num>
  <w:num w:numId="61">
    <w:abstractNumId w:val="15"/>
  </w:num>
  <w:num w:numId="62">
    <w:abstractNumId w:val="40"/>
  </w:num>
  <w:num w:numId="63">
    <w:abstractNumId w:val="59"/>
  </w:num>
  <w:num w:numId="64">
    <w:abstractNumId w:val="128"/>
  </w:num>
  <w:num w:numId="65">
    <w:abstractNumId w:val="95"/>
  </w:num>
  <w:num w:numId="66">
    <w:abstractNumId w:val="47"/>
  </w:num>
  <w:num w:numId="67">
    <w:abstractNumId w:val="82"/>
  </w:num>
  <w:num w:numId="68">
    <w:abstractNumId w:val="5"/>
  </w:num>
  <w:num w:numId="69">
    <w:abstractNumId w:val="81"/>
  </w:num>
  <w:num w:numId="70">
    <w:abstractNumId w:val="46"/>
  </w:num>
  <w:num w:numId="71">
    <w:abstractNumId w:val="39"/>
  </w:num>
  <w:num w:numId="72">
    <w:abstractNumId w:val="139"/>
  </w:num>
  <w:num w:numId="73">
    <w:abstractNumId w:val="10"/>
  </w:num>
  <w:num w:numId="74">
    <w:abstractNumId w:val="45"/>
  </w:num>
  <w:num w:numId="75">
    <w:abstractNumId w:val="113"/>
  </w:num>
  <w:num w:numId="76">
    <w:abstractNumId w:val="100"/>
  </w:num>
  <w:num w:numId="77">
    <w:abstractNumId w:val="133"/>
  </w:num>
  <w:num w:numId="78">
    <w:abstractNumId w:val="17"/>
  </w:num>
  <w:num w:numId="79">
    <w:abstractNumId w:val="37"/>
  </w:num>
  <w:num w:numId="80">
    <w:abstractNumId w:val="34"/>
  </w:num>
  <w:num w:numId="81">
    <w:abstractNumId w:val="126"/>
  </w:num>
  <w:num w:numId="82">
    <w:abstractNumId w:val="52"/>
  </w:num>
  <w:num w:numId="83">
    <w:abstractNumId w:val="86"/>
  </w:num>
  <w:num w:numId="84">
    <w:abstractNumId w:val="99"/>
  </w:num>
  <w:num w:numId="85">
    <w:abstractNumId w:val="121"/>
  </w:num>
  <w:num w:numId="86">
    <w:abstractNumId w:val="79"/>
  </w:num>
  <w:num w:numId="87">
    <w:abstractNumId w:val="0"/>
  </w:num>
  <w:num w:numId="88">
    <w:abstractNumId w:val="31"/>
  </w:num>
  <w:num w:numId="89">
    <w:abstractNumId w:val="6"/>
  </w:num>
  <w:num w:numId="90">
    <w:abstractNumId w:val="32"/>
  </w:num>
  <w:num w:numId="91">
    <w:abstractNumId w:val="58"/>
  </w:num>
  <w:num w:numId="92">
    <w:abstractNumId w:val="35"/>
  </w:num>
  <w:num w:numId="93">
    <w:abstractNumId w:val="26"/>
  </w:num>
  <w:num w:numId="94">
    <w:abstractNumId w:val="97"/>
  </w:num>
  <w:num w:numId="95">
    <w:abstractNumId w:val="51"/>
  </w:num>
  <w:num w:numId="96">
    <w:abstractNumId w:val="87"/>
  </w:num>
  <w:num w:numId="97">
    <w:abstractNumId w:val="7"/>
  </w:num>
  <w:num w:numId="98">
    <w:abstractNumId w:val="60"/>
  </w:num>
  <w:num w:numId="99">
    <w:abstractNumId w:val="71"/>
  </w:num>
  <w:num w:numId="100">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05"/>
  </w:num>
  <w:num w:numId="102">
    <w:abstractNumId w:val="84"/>
  </w:num>
  <w:num w:numId="103">
    <w:abstractNumId w:val="3"/>
  </w:num>
  <w:num w:numId="104">
    <w:abstractNumId w:val="123"/>
  </w:num>
  <w:num w:numId="105">
    <w:abstractNumId w:val="94"/>
  </w:num>
  <w:num w:numId="106">
    <w:abstractNumId w:val="98"/>
  </w:num>
  <w:num w:numId="107">
    <w:abstractNumId w:val="56"/>
  </w:num>
  <w:num w:numId="108">
    <w:abstractNumId w:val="62"/>
  </w:num>
  <w:num w:numId="109">
    <w:abstractNumId w:val="140"/>
  </w:num>
  <w:num w:numId="110">
    <w:abstractNumId w:val="22"/>
  </w:num>
  <w:num w:numId="111">
    <w:abstractNumId w:val="119"/>
  </w:num>
  <w:num w:numId="112">
    <w:abstractNumId w:val="143"/>
  </w:num>
  <w:num w:numId="113">
    <w:abstractNumId w:val="111"/>
  </w:num>
  <w:num w:numId="114">
    <w:abstractNumId w:val="116"/>
  </w:num>
  <w:num w:numId="115">
    <w:abstractNumId w:val="77"/>
  </w:num>
  <w:num w:numId="116">
    <w:abstractNumId w:val="90"/>
  </w:num>
  <w:num w:numId="117">
    <w:abstractNumId w:val="14"/>
  </w:num>
  <w:num w:numId="118">
    <w:abstractNumId w:val="53"/>
  </w:num>
  <w:num w:numId="119">
    <w:abstractNumId w:val="67"/>
  </w:num>
  <w:num w:numId="120">
    <w:abstractNumId w:val="92"/>
  </w:num>
  <w:num w:numId="121">
    <w:abstractNumId w:val="25"/>
  </w:num>
  <w:num w:numId="122">
    <w:abstractNumId w:val="125"/>
  </w:num>
  <w:num w:numId="123">
    <w:abstractNumId w:val="61"/>
  </w:num>
  <w:num w:numId="124">
    <w:abstractNumId w:val="144"/>
  </w:num>
  <w:num w:numId="125">
    <w:abstractNumId w:val="1"/>
  </w:num>
  <w:num w:numId="126">
    <w:abstractNumId w:val="118"/>
  </w:num>
  <w:num w:numId="127">
    <w:abstractNumId w:val="28"/>
  </w:num>
  <w:num w:numId="128">
    <w:abstractNumId w:val="27"/>
  </w:num>
  <w:num w:numId="129">
    <w:abstractNumId w:val="68"/>
  </w:num>
  <w:num w:numId="130">
    <w:abstractNumId w:val="96"/>
  </w:num>
  <w:num w:numId="131">
    <w:abstractNumId w:val="23"/>
  </w:num>
  <w:num w:numId="132">
    <w:abstractNumId w:val="2"/>
  </w:num>
  <w:num w:numId="133">
    <w:abstractNumId w:val="24"/>
  </w:num>
  <w:num w:numId="134">
    <w:abstractNumId w:val="109"/>
  </w:num>
  <w:num w:numId="135">
    <w:abstractNumId w:val="145"/>
  </w:num>
  <w:num w:numId="136">
    <w:abstractNumId w:val="66"/>
  </w:num>
  <w:num w:numId="137">
    <w:abstractNumId w:val="104"/>
  </w:num>
  <w:num w:numId="138">
    <w:abstractNumId w:val="124"/>
  </w:num>
  <w:num w:numId="139">
    <w:abstractNumId w:val="103"/>
  </w:num>
  <w:num w:numId="140">
    <w:abstractNumId w:val="72"/>
  </w:num>
  <w:num w:numId="141">
    <w:abstractNumId w:val="18"/>
  </w:num>
  <w:num w:numId="142">
    <w:abstractNumId w:val="21"/>
  </w:num>
  <w:num w:numId="143">
    <w:abstractNumId w:val="12"/>
  </w:num>
  <w:num w:numId="144">
    <w:abstractNumId w:val="64"/>
  </w:num>
  <w:num w:numId="145">
    <w:abstractNumId w:val="141"/>
  </w:num>
  <w:num w:numId="146">
    <w:abstractNumId w:val="117"/>
  </w:num>
  <w:num w:numId="147">
    <w:abstractNumId w:val="9"/>
  </w:num>
  <w:num w:numId="148">
    <w:abstractNumId w:val="101"/>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GrammaticalErrors/>
  <w:defaultTabStop w:val="720"/>
  <w:characterSpacingControl w:val="doNotCompress"/>
  <w:hdrShapeDefaults>
    <o:shapedefaults v:ext="edit" spidmax="4116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2EA"/>
    <w:rsid w:val="0000009D"/>
    <w:rsid w:val="000006B4"/>
    <w:rsid w:val="00000DD1"/>
    <w:rsid w:val="00001A80"/>
    <w:rsid w:val="00001ADD"/>
    <w:rsid w:val="00001CC9"/>
    <w:rsid w:val="0000208D"/>
    <w:rsid w:val="00002315"/>
    <w:rsid w:val="000023E2"/>
    <w:rsid w:val="000028C0"/>
    <w:rsid w:val="0000423F"/>
    <w:rsid w:val="000044AC"/>
    <w:rsid w:val="0000504B"/>
    <w:rsid w:val="000053FB"/>
    <w:rsid w:val="00005C35"/>
    <w:rsid w:val="00006A6A"/>
    <w:rsid w:val="00006C43"/>
    <w:rsid w:val="000103F1"/>
    <w:rsid w:val="000122DB"/>
    <w:rsid w:val="00013782"/>
    <w:rsid w:val="0001391F"/>
    <w:rsid w:val="00013F2F"/>
    <w:rsid w:val="0001420E"/>
    <w:rsid w:val="00014747"/>
    <w:rsid w:val="00014AFD"/>
    <w:rsid w:val="00014F3B"/>
    <w:rsid w:val="00015D81"/>
    <w:rsid w:val="00016CD9"/>
    <w:rsid w:val="00017D19"/>
    <w:rsid w:val="0002293E"/>
    <w:rsid w:val="00023CE0"/>
    <w:rsid w:val="00025614"/>
    <w:rsid w:val="000257F7"/>
    <w:rsid w:val="00026B16"/>
    <w:rsid w:val="000308C6"/>
    <w:rsid w:val="0003092D"/>
    <w:rsid w:val="000317C5"/>
    <w:rsid w:val="00031E93"/>
    <w:rsid w:val="00032AA2"/>
    <w:rsid w:val="00032D13"/>
    <w:rsid w:val="00033670"/>
    <w:rsid w:val="000342E3"/>
    <w:rsid w:val="00036C0B"/>
    <w:rsid w:val="00037165"/>
    <w:rsid w:val="00037928"/>
    <w:rsid w:val="00037A4B"/>
    <w:rsid w:val="00037D49"/>
    <w:rsid w:val="00037F94"/>
    <w:rsid w:val="000405EB"/>
    <w:rsid w:val="0004086B"/>
    <w:rsid w:val="00040F89"/>
    <w:rsid w:val="00040FF0"/>
    <w:rsid w:val="000414FB"/>
    <w:rsid w:val="000419F6"/>
    <w:rsid w:val="00041A55"/>
    <w:rsid w:val="00042238"/>
    <w:rsid w:val="000427BC"/>
    <w:rsid w:val="00043860"/>
    <w:rsid w:val="000453CC"/>
    <w:rsid w:val="00046236"/>
    <w:rsid w:val="0004659A"/>
    <w:rsid w:val="00046E47"/>
    <w:rsid w:val="000471AB"/>
    <w:rsid w:val="000471FD"/>
    <w:rsid w:val="00047548"/>
    <w:rsid w:val="00047D79"/>
    <w:rsid w:val="0005022A"/>
    <w:rsid w:val="0005065A"/>
    <w:rsid w:val="00051C30"/>
    <w:rsid w:val="00053021"/>
    <w:rsid w:val="000532B4"/>
    <w:rsid w:val="00054844"/>
    <w:rsid w:val="0005486F"/>
    <w:rsid w:val="0005574D"/>
    <w:rsid w:val="00061CA2"/>
    <w:rsid w:val="00061D1B"/>
    <w:rsid w:val="00062589"/>
    <w:rsid w:val="0006337E"/>
    <w:rsid w:val="000649BD"/>
    <w:rsid w:val="00064B8E"/>
    <w:rsid w:val="0006544C"/>
    <w:rsid w:val="00065E3E"/>
    <w:rsid w:val="00066087"/>
    <w:rsid w:val="000667B6"/>
    <w:rsid w:val="00066816"/>
    <w:rsid w:val="000670AE"/>
    <w:rsid w:val="00067D69"/>
    <w:rsid w:val="0007090E"/>
    <w:rsid w:val="00070922"/>
    <w:rsid w:val="000717D4"/>
    <w:rsid w:val="00072020"/>
    <w:rsid w:val="00075304"/>
    <w:rsid w:val="000764FE"/>
    <w:rsid w:val="00076D57"/>
    <w:rsid w:val="000773D6"/>
    <w:rsid w:val="00077A99"/>
    <w:rsid w:val="00082AAF"/>
    <w:rsid w:val="000839ED"/>
    <w:rsid w:val="0008469B"/>
    <w:rsid w:val="00084C12"/>
    <w:rsid w:val="00084C9D"/>
    <w:rsid w:val="00086092"/>
    <w:rsid w:val="00086E70"/>
    <w:rsid w:val="0009078F"/>
    <w:rsid w:val="0009121C"/>
    <w:rsid w:val="00091756"/>
    <w:rsid w:val="0009222E"/>
    <w:rsid w:val="00093097"/>
    <w:rsid w:val="00094084"/>
    <w:rsid w:val="00094541"/>
    <w:rsid w:val="00094931"/>
    <w:rsid w:val="000952DC"/>
    <w:rsid w:val="00096A16"/>
    <w:rsid w:val="000975C6"/>
    <w:rsid w:val="000A00E4"/>
    <w:rsid w:val="000A0142"/>
    <w:rsid w:val="000A13D1"/>
    <w:rsid w:val="000A1666"/>
    <w:rsid w:val="000A18EC"/>
    <w:rsid w:val="000A1980"/>
    <w:rsid w:val="000A2238"/>
    <w:rsid w:val="000A3215"/>
    <w:rsid w:val="000A36A6"/>
    <w:rsid w:val="000A371D"/>
    <w:rsid w:val="000A5AB0"/>
    <w:rsid w:val="000A7CB0"/>
    <w:rsid w:val="000A7FFE"/>
    <w:rsid w:val="000B0558"/>
    <w:rsid w:val="000B1D3C"/>
    <w:rsid w:val="000B28C0"/>
    <w:rsid w:val="000B292B"/>
    <w:rsid w:val="000B3440"/>
    <w:rsid w:val="000B3856"/>
    <w:rsid w:val="000B3E37"/>
    <w:rsid w:val="000B4819"/>
    <w:rsid w:val="000B5315"/>
    <w:rsid w:val="000B5993"/>
    <w:rsid w:val="000B6078"/>
    <w:rsid w:val="000B637E"/>
    <w:rsid w:val="000C0108"/>
    <w:rsid w:val="000C0165"/>
    <w:rsid w:val="000C0589"/>
    <w:rsid w:val="000C10F2"/>
    <w:rsid w:val="000C13E5"/>
    <w:rsid w:val="000C3195"/>
    <w:rsid w:val="000C344F"/>
    <w:rsid w:val="000C4AE8"/>
    <w:rsid w:val="000C62BB"/>
    <w:rsid w:val="000C63CE"/>
    <w:rsid w:val="000C6FE8"/>
    <w:rsid w:val="000C7B83"/>
    <w:rsid w:val="000D03BF"/>
    <w:rsid w:val="000D0FC2"/>
    <w:rsid w:val="000D3283"/>
    <w:rsid w:val="000D339B"/>
    <w:rsid w:val="000D388B"/>
    <w:rsid w:val="000D3B4E"/>
    <w:rsid w:val="000D46FE"/>
    <w:rsid w:val="000D6056"/>
    <w:rsid w:val="000D6301"/>
    <w:rsid w:val="000D7F55"/>
    <w:rsid w:val="000E088C"/>
    <w:rsid w:val="000E0B01"/>
    <w:rsid w:val="000E0CDB"/>
    <w:rsid w:val="000E1736"/>
    <w:rsid w:val="000E1974"/>
    <w:rsid w:val="000E1DA7"/>
    <w:rsid w:val="000E1E6C"/>
    <w:rsid w:val="000E4AB9"/>
    <w:rsid w:val="000E592B"/>
    <w:rsid w:val="000E6275"/>
    <w:rsid w:val="000E6367"/>
    <w:rsid w:val="000E653D"/>
    <w:rsid w:val="000E6FCC"/>
    <w:rsid w:val="000E7E1C"/>
    <w:rsid w:val="000F049A"/>
    <w:rsid w:val="000F07A6"/>
    <w:rsid w:val="000F0E23"/>
    <w:rsid w:val="000F1A62"/>
    <w:rsid w:val="000F28B9"/>
    <w:rsid w:val="000F5333"/>
    <w:rsid w:val="000F54AB"/>
    <w:rsid w:val="000F59C3"/>
    <w:rsid w:val="000F690B"/>
    <w:rsid w:val="000F6CDE"/>
    <w:rsid w:val="000F7723"/>
    <w:rsid w:val="001002C3"/>
    <w:rsid w:val="0010167B"/>
    <w:rsid w:val="00101B27"/>
    <w:rsid w:val="00101CB3"/>
    <w:rsid w:val="00102FC0"/>
    <w:rsid w:val="00104136"/>
    <w:rsid w:val="00104E59"/>
    <w:rsid w:val="001052F3"/>
    <w:rsid w:val="00105873"/>
    <w:rsid w:val="001066B8"/>
    <w:rsid w:val="00106D6D"/>
    <w:rsid w:val="00111BAC"/>
    <w:rsid w:val="0011239F"/>
    <w:rsid w:val="00114137"/>
    <w:rsid w:val="00114162"/>
    <w:rsid w:val="00114A1B"/>
    <w:rsid w:val="00114FCF"/>
    <w:rsid w:val="001170B3"/>
    <w:rsid w:val="00117302"/>
    <w:rsid w:val="00117C55"/>
    <w:rsid w:val="00120B15"/>
    <w:rsid w:val="00120D27"/>
    <w:rsid w:val="00121FBE"/>
    <w:rsid w:val="00122BBE"/>
    <w:rsid w:val="0012384F"/>
    <w:rsid w:val="00125204"/>
    <w:rsid w:val="00125653"/>
    <w:rsid w:val="00125662"/>
    <w:rsid w:val="001258C9"/>
    <w:rsid w:val="001260AB"/>
    <w:rsid w:val="0012678E"/>
    <w:rsid w:val="00126EB8"/>
    <w:rsid w:val="001272C0"/>
    <w:rsid w:val="0013063A"/>
    <w:rsid w:val="001309A6"/>
    <w:rsid w:val="00131727"/>
    <w:rsid w:val="00131BD1"/>
    <w:rsid w:val="0013256F"/>
    <w:rsid w:val="00132AA3"/>
    <w:rsid w:val="00132D1E"/>
    <w:rsid w:val="001357CA"/>
    <w:rsid w:val="0013583D"/>
    <w:rsid w:val="001363C7"/>
    <w:rsid w:val="0013773C"/>
    <w:rsid w:val="001377DF"/>
    <w:rsid w:val="00137A40"/>
    <w:rsid w:val="00137C9D"/>
    <w:rsid w:val="001405C1"/>
    <w:rsid w:val="001416F1"/>
    <w:rsid w:val="0014263C"/>
    <w:rsid w:val="00143FF1"/>
    <w:rsid w:val="001443D1"/>
    <w:rsid w:val="0014529C"/>
    <w:rsid w:val="001461BD"/>
    <w:rsid w:val="0015077B"/>
    <w:rsid w:val="0015127E"/>
    <w:rsid w:val="0015150F"/>
    <w:rsid w:val="00151AE1"/>
    <w:rsid w:val="00153406"/>
    <w:rsid w:val="00153B8E"/>
    <w:rsid w:val="0015417A"/>
    <w:rsid w:val="00154727"/>
    <w:rsid w:val="00155B7D"/>
    <w:rsid w:val="00160719"/>
    <w:rsid w:val="00160929"/>
    <w:rsid w:val="00160C47"/>
    <w:rsid w:val="00161B1E"/>
    <w:rsid w:val="001638D9"/>
    <w:rsid w:val="00163BDD"/>
    <w:rsid w:val="001642FD"/>
    <w:rsid w:val="00164962"/>
    <w:rsid w:val="001652E2"/>
    <w:rsid w:val="00166903"/>
    <w:rsid w:val="00166F95"/>
    <w:rsid w:val="00167B7E"/>
    <w:rsid w:val="00170FC0"/>
    <w:rsid w:val="00171464"/>
    <w:rsid w:val="00172B50"/>
    <w:rsid w:val="001732D1"/>
    <w:rsid w:val="0017482B"/>
    <w:rsid w:val="00174AB2"/>
    <w:rsid w:val="00175DE0"/>
    <w:rsid w:val="0017750A"/>
    <w:rsid w:val="0017753C"/>
    <w:rsid w:val="001777E6"/>
    <w:rsid w:val="00177F1C"/>
    <w:rsid w:val="001809D2"/>
    <w:rsid w:val="00181959"/>
    <w:rsid w:val="00181EC1"/>
    <w:rsid w:val="0018288B"/>
    <w:rsid w:val="001833DD"/>
    <w:rsid w:val="00184D4E"/>
    <w:rsid w:val="00184D68"/>
    <w:rsid w:val="00185B83"/>
    <w:rsid w:val="00185B9E"/>
    <w:rsid w:val="00185D26"/>
    <w:rsid w:val="00185ED4"/>
    <w:rsid w:val="00186B53"/>
    <w:rsid w:val="00187464"/>
    <w:rsid w:val="0018769D"/>
    <w:rsid w:val="001910A1"/>
    <w:rsid w:val="001918C5"/>
    <w:rsid w:val="00191E4C"/>
    <w:rsid w:val="00192A88"/>
    <w:rsid w:val="00192DF7"/>
    <w:rsid w:val="00193242"/>
    <w:rsid w:val="0019350A"/>
    <w:rsid w:val="00193984"/>
    <w:rsid w:val="00193AEC"/>
    <w:rsid w:val="00194577"/>
    <w:rsid w:val="001946F0"/>
    <w:rsid w:val="00194EE7"/>
    <w:rsid w:val="00195837"/>
    <w:rsid w:val="001958DA"/>
    <w:rsid w:val="00196005"/>
    <w:rsid w:val="001965D5"/>
    <w:rsid w:val="001967BA"/>
    <w:rsid w:val="00196A5E"/>
    <w:rsid w:val="001975C7"/>
    <w:rsid w:val="00197C7D"/>
    <w:rsid w:val="00197E67"/>
    <w:rsid w:val="001A0615"/>
    <w:rsid w:val="001A0D2C"/>
    <w:rsid w:val="001A131D"/>
    <w:rsid w:val="001A18AB"/>
    <w:rsid w:val="001A3394"/>
    <w:rsid w:val="001A35B8"/>
    <w:rsid w:val="001A3F6B"/>
    <w:rsid w:val="001A4FA7"/>
    <w:rsid w:val="001A52AE"/>
    <w:rsid w:val="001A6FC6"/>
    <w:rsid w:val="001A7191"/>
    <w:rsid w:val="001B067B"/>
    <w:rsid w:val="001B105C"/>
    <w:rsid w:val="001B112E"/>
    <w:rsid w:val="001B1467"/>
    <w:rsid w:val="001B1487"/>
    <w:rsid w:val="001B2791"/>
    <w:rsid w:val="001B2951"/>
    <w:rsid w:val="001B2A8F"/>
    <w:rsid w:val="001B321F"/>
    <w:rsid w:val="001B3901"/>
    <w:rsid w:val="001B3FD6"/>
    <w:rsid w:val="001B489A"/>
    <w:rsid w:val="001B4AA5"/>
    <w:rsid w:val="001B5C13"/>
    <w:rsid w:val="001B65A7"/>
    <w:rsid w:val="001B662C"/>
    <w:rsid w:val="001B68FF"/>
    <w:rsid w:val="001B73BC"/>
    <w:rsid w:val="001C0150"/>
    <w:rsid w:val="001C0A5B"/>
    <w:rsid w:val="001C0D9A"/>
    <w:rsid w:val="001C19A3"/>
    <w:rsid w:val="001C1FCD"/>
    <w:rsid w:val="001C2126"/>
    <w:rsid w:val="001C2429"/>
    <w:rsid w:val="001C2E3D"/>
    <w:rsid w:val="001C31D5"/>
    <w:rsid w:val="001C32A1"/>
    <w:rsid w:val="001C412C"/>
    <w:rsid w:val="001C49B4"/>
    <w:rsid w:val="001C56F9"/>
    <w:rsid w:val="001C61E0"/>
    <w:rsid w:val="001C6740"/>
    <w:rsid w:val="001C6799"/>
    <w:rsid w:val="001C7AB0"/>
    <w:rsid w:val="001D08A0"/>
    <w:rsid w:val="001D093A"/>
    <w:rsid w:val="001D0B46"/>
    <w:rsid w:val="001D19CD"/>
    <w:rsid w:val="001D2687"/>
    <w:rsid w:val="001D2923"/>
    <w:rsid w:val="001D2C21"/>
    <w:rsid w:val="001D2D6E"/>
    <w:rsid w:val="001D4351"/>
    <w:rsid w:val="001D4485"/>
    <w:rsid w:val="001D50B2"/>
    <w:rsid w:val="001D5D47"/>
    <w:rsid w:val="001D6356"/>
    <w:rsid w:val="001D789A"/>
    <w:rsid w:val="001E120F"/>
    <w:rsid w:val="001E20A9"/>
    <w:rsid w:val="001E2329"/>
    <w:rsid w:val="001E2520"/>
    <w:rsid w:val="001E3716"/>
    <w:rsid w:val="001E4CEA"/>
    <w:rsid w:val="001E4E16"/>
    <w:rsid w:val="001E4FAF"/>
    <w:rsid w:val="001E5238"/>
    <w:rsid w:val="001E68DE"/>
    <w:rsid w:val="001E7BA3"/>
    <w:rsid w:val="001F0210"/>
    <w:rsid w:val="001F0BCF"/>
    <w:rsid w:val="001F1286"/>
    <w:rsid w:val="001F1354"/>
    <w:rsid w:val="001F182A"/>
    <w:rsid w:val="001F1ECF"/>
    <w:rsid w:val="001F280A"/>
    <w:rsid w:val="001F29C4"/>
    <w:rsid w:val="001F33C1"/>
    <w:rsid w:val="001F3651"/>
    <w:rsid w:val="001F3694"/>
    <w:rsid w:val="001F4EA0"/>
    <w:rsid w:val="001F5F37"/>
    <w:rsid w:val="001F602D"/>
    <w:rsid w:val="001F6A3F"/>
    <w:rsid w:val="00200007"/>
    <w:rsid w:val="00200752"/>
    <w:rsid w:val="00201420"/>
    <w:rsid w:val="00202390"/>
    <w:rsid w:val="00202B4A"/>
    <w:rsid w:val="00202E90"/>
    <w:rsid w:val="002032BA"/>
    <w:rsid w:val="00203B48"/>
    <w:rsid w:val="00203E8C"/>
    <w:rsid w:val="002044A9"/>
    <w:rsid w:val="00204846"/>
    <w:rsid w:val="00205F79"/>
    <w:rsid w:val="0020663A"/>
    <w:rsid w:val="00207A72"/>
    <w:rsid w:val="0021151F"/>
    <w:rsid w:val="00211CD9"/>
    <w:rsid w:val="00213133"/>
    <w:rsid w:val="0021336C"/>
    <w:rsid w:val="00213736"/>
    <w:rsid w:val="00213EF4"/>
    <w:rsid w:val="00213F7E"/>
    <w:rsid w:val="00213FA7"/>
    <w:rsid w:val="00214D74"/>
    <w:rsid w:val="00215B5D"/>
    <w:rsid w:val="00215EDF"/>
    <w:rsid w:val="00216D18"/>
    <w:rsid w:val="00217075"/>
    <w:rsid w:val="00217946"/>
    <w:rsid w:val="00217A33"/>
    <w:rsid w:val="0022130D"/>
    <w:rsid w:val="00222344"/>
    <w:rsid w:val="002225CC"/>
    <w:rsid w:val="002229A9"/>
    <w:rsid w:val="0022372B"/>
    <w:rsid w:val="00223ABF"/>
    <w:rsid w:val="00224043"/>
    <w:rsid w:val="00224DD6"/>
    <w:rsid w:val="002254F2"/>
    <w:rsid w:val="00225754"/>
    <w:rsid w:val="00225A89"/>
    <w:rsid w:val="0022642C"/>
    <w:rsid w:val="002306B2"/>
    <w:rsid w:val="00230FF4"/>
    <w:rsid w:val="00231C3F"/>
    <w:rsid w:val="00232334"/>
    <w:rsid w:val="00232C97"/>
    <w:rsid w:val="00232CA8"/>
    <w:rsid w:val="00233AFA"/>
    <w:rsid w:val="00233FD8"/>
    <w:rsid w:val="0023482F"/>
    <w:rsid w:val="00234905"/>
    <w:rsid w:val="00234993"/>
    <w:rsid w:val="00234D0E"/>
    <w:rsid w:val="00237A1C"/>
    <w:rsid w:val="00237F1F"/>
    <w:rsid w:val="00241278"/>
    <w:rsid w:val="00242511"/>
    <w:rsid w:val="0024268B"/>
    <w:rsid w:val="00242973"/>
    <w:rsid w:val="002435F9"/>
    <w:rsid w:val="00244A32"/>
    <w:rsid w:val="00244AFB"/>
    <w:rsid w:val="002451AB"/>
    <w:rsid w:val="00245818"/>
    <w:rsid w:val="00246231"/>
    <w:rsid w:val="00252E09"/>
    <w:rsid w:val="00253393"/>
    <w:rsid w:val="0025482A"/>
    <w:rsid w:val="00254C78"/>
    <w:rsid w:val="002553C9"/>
    <w:rsid w:val="00256456"/>
    <w:rsid w:val="00256F9E"/>
    <w:rsid w:val="0026081F"/>
    <w:rsid w:val="0026093C"/>
    <w:rsid w:val="00260DA5"/>
    <w:rsid w:val="00262593"/>
    <w:rsid w:val="00262BC1"/>
    <w:rsid w:val="0026315B"/>
    <w:rsid w:val="002651AA"/>
    <w:rsid w:val="0026644D"/>
    <w:rsid w:val="002666EF"/>
    <w:rsid w:val="00266FD1"/>
    <w:rsid w:val="0026739A"/>
    <w:rsid w:val="002677B0"/>
    <w:rsid w:val="00267CB4"/>
    <w:rsid w:val="002709ED"/>
    <w:rsid w:val="00273D8E"/>
    <w:rsid w:val="00274461"/>
    <w:rsid w:val="00274719"/>
    <w:rsid w:val="00274730"/>
    <w:rsid w:val="002753C9"/>
    <w:rsid w:val="0027559A"/>
    <w:rsid w:val="00280106"/>
    <w:rsid w:val="00280119"/>
    <w:rsid w:val="002809B6"/>
    <w:rsid w:val="00280CAE"/>
    <w:rsid w:val="00281104"/>
    <w:rsid w:val="00282015"/>
    <w:rsid w:val="00282931"/>
    <w:rsid w:val="00282F79"/>
    <w:rsid w:val="00283973"/>
    <w:rsid w:val="00283BEE"/>
    <w:rsid w:val="002845CA"/>
    <w:rsid w:val="0028564E"/>
    <w:rsid w:val="002862FA"/>
    <w:rsid w:val="002914C7"/>
    <w:rsid w:val="00291A25"/>
    <w:rsid w:val="0029277F"/>
    <w:rsid w:val="00292C49"/>
    <w:rsid w:val="00293355"/>
    <w:rsid w:val="00294DFB"/>
    <w:rsid w:val="0029548D"/>
    <w:rsid w:val="002964F3"/>
    <w:rsid w:val="00297815"/>
    <w:rsid w:val="00297CD5"/>
    <w:rsid w:val="002A1AA0"/>
    <w:rsid w:val="002A28E8"/>
    <w:rsid w:val="002A304B"/>
    <w:rsid w:val="002A3AC7"/>
    <w:rsid w:val="002A434A"/>
    <w:rsid w:val="002A43C3"/>
    <w:rsid w:val="002A62E9"/>
    <w:rsid w:val="002A64D7"/>
    <w:rsid w:val="002A7D69"/>
    <w:rsid w:val="002A7EE2"/>
    <w:rsid w:val="002B0B96"/>
    <w:rsid w:val="002B0D3B"/>
    <w:rsid w:val="002B10B0"/>
    <w:rsid w:val="002B205F"/>
    <w:rsid w:val="002B21B1"/>
    <w:rsid w:val="002B28B5"/>
    <w:rsid w:val="002B2CE8"/>
    <w:rsid w:val="002B369A"/>
    <w:rsid w:val="002B4F83"/>
    <w:rsid w:val="002B55B5"/>
    <w:rsid w:val="002B74B0"/>
    <w:rsid w:val="002B7E93"/>
    <w:rsid w:val="002C0898"/>
    <w:rsid w:val="002C0902"/>
    <w:rsid w:val="002C199C"/>
    <w:rsid w:val="002C1A04"/>
    <w:rsid w:val="002C2223"/>
    <w:rsid w:val="002C269C"/>
    <w:rsid w:val="002C2842"/>
    <w:rsid w:val="002C2FDD"/>
    <w:rsid w:val="002C30CD"/>
    <w:rsid w:val="002C30F8"/>
    <w:rsid w:val="002C380C"/>
    <w:rsid w:val="002C5806"/>
    <w:rsid w:val="002C68CD"/>
    <w:rsid w:val="002C6BE2"/>
    <w:rsid w:val="002C6F16"/>
    <w:rsid w:val="002C7894"/>
    <w:rsid w:val="002D0AA0"/>
    <w:rsid w:val="002D0D68"/>
    <w:rsid w:val="002D1206"/>
    <w:rsid w:val="002D1E76"/>
    <w:rsid w:val="002D3ADE"/>
    <w:rsid w:val="002D4FF7"/>
    <w:rsid w:val="002D56C4"/>
    <w:rsid w:val="002D5BA9"/>
    <w:rsid w:val="002D6155"/>
    <w:rsid w:val="002D6E83"/>
    <w:rsid w:val="002D74EC"/>
    <w:rsid w:val="002E0D09"/>
    <w:rsid w:val="002E1674"/>
    <w:rsid w:val="002E21D3"/>
    <w:rsid w:val="002E2E1B"/>
    <w:rsid w:val="002E7CA4"/>
    <w:rsid w:val="002F0673"/>
    <w:rsid w:val="002F0B1A"/>
    <w:rsid w:val="002F1A56"/>
    <w:rsid w:val="002F637B"/>
    <w:rsid w:val="002F68AD"/>
    <w:rsid w:val="002F6B66"/>
    <w:rsid w:val="002F7289"/>
    <w:rsid w:val="002F73B5"/>
    <w:rsid w:val="00300E0C"/>
    <w:rsid w:val="003015F0"/>
    <w:rsid w:val="003020B1"/>
    <w:rsid w:val="00302B58"/>
    <w:rsid w:val="00302CF5"/>
    <w:rsid w:val="00302ED1"/>
    <w:rsid w:val="00303193"/>
    <w:rsid w:val="00306932"/>
    <w:rsid w:val="00306FD5"/>
    <w:rsid w:val="00307D99"/>
    <w:rsid w:val="00307E00"/>
    <w:rsid w:val="00310DA8"/>
    <w:rsid w:val="0031109C"/>
    <w:rsid w:val="00311265"/>
    <w:rsid w:val="0031148A"/>
    <w:rsid w:val="00311F03"/>
    <w:rsid w:val="00313451"/>
    <w:rsid w:val="00314173"/>
    <w:rsid w:val="00314933"/>
    <w:rsid w:val="00314F0A"/>
    <w:rsid w:val="00315D88"/>
    <w:rsid w:val="0031602F"/>
    <w:rsid w:val="003167A1"/>
    <w:rsid w:val="003170B4"/>
    <w:rsid w:val="0031766F"/>
    <w:rsid w:val="00317774"/>
    <w:rsid w:val="003178A8"/>
    <w:rsid w:val="00317950"/>
    <w:rsid w:val="0032066D"/>
    <w:rsid w:val="00320D1F"/>
    <w:rsid w:val="00322111"/>
    <w:rsid w:val="003227C1"/>
    <w:rsid w:val="00322F1B"/>
    <w:rsid w:val="00323239"/>
    <w:rsid w:val="00325ABD"/>
    <w:rsid w:val="00326441"/>
    <w:rsid w:val="00326AA0"/>
    <w:rsid w:val="0032701F"/>
    <w:rsid w:val="003271D2"/>
    <w:rsid w:val="00330CBB"/>
    <w:rsid w:val="003312B1"/>
    <w:rsid w:val="00331D32"/>
    <w:rsid w:val="0033246D"/>
    <w:rsid w:val="00332537"/>
    <w:rsid w:val="00332A60"/>
    <w:rsid w:val="003332B9"/>
    <w:rsid w:val="003339F2"/>
    <w:rsid w:val="00335A68"/>
    <w:rsid w:val="003362CE"/>
    <w:rsid w:val="00336F26"/>
    <w:rsid w:val="0033756A"/>
    <w:rsid w:val="00337D19"/>
    <w:rsid w:val="00337E87"/>
    <w:rsid w:val="003417B0"/>
    <w:rsid w:val="00343A77"/>
    <w:rsid w:val="00343E79"/>
    <w:rsid w:val="00345224"/>
    <w:rsid w:val="0034614E"/>
    <w:rsid w:val="00346FF9"/>
    <w:rsid w:val="0034713C"/>
    <w:rsid w:val="00347F17"/>
    <w:rsid w:val="00350B58"/>
    <w:rsid w:val="00351298"/>
    <w:rsid w:val="0035133B"/>
    <w:rsid w:val="00351F09"/>
    <w:rsid w:val="00352094"/>
    <w:rsid w:val="00353670"/>
    <w:rsid w:val="00354614"/>
    <w:rsid w:val="00354933"/>
    <w:rsid w:val="00356E18"/>
    <w:rsid w:val="0036001C"/>
    <w:rsid w:val="0036022C"/>
    <w:rsid w:val="0036240F"/>
    <w:rsid w:val="00362C1C"/>
    <w:rsid w:val="003630B2"/>
    <w:rsid w:val="003632A4"/>
    <w:rsid w:val="003647FB"/>
    <w:rsid w:val="00364814"/>
    <w:rsid w:val="00365788"/>
    <w:rsid w:val="00365F3F"/>
    <w:rsid w:val="003666B7"/>
    <w:rsid w:val="00366B9C"/>
    <w:rsid w:val="00367893"/>
    <w:rsid w:val="00367BCC"/>
    <w:rsid w:val="00370345"/>
    <w:rsid w:val="00373C2B"/>
    <w:rsid w:val="00375472"/>
    <w:rsid w:val="00375601"/>
    <w:rsid w:val="00375ED0"/>
    <w:rsid w:val="00376A12"/>
    <w:rsid w:val="003800F3"/>
    <w:rsid w:val="003810DA"/>
    <w:rsid w:val="003812AD"/>
    <w:rsid w:val="003822E0"/>
    <w:rsid w:val="0038341A"/>
    <w:rsid w:val="00383DC7"/>
    <w:rsid w:val="00384CE0"/>
    <w:rsid w:val="003858B1"/>
    <w:rsid w:val="00386BC1"/>
    <w:rsid w:val="00386FBB"/>
    <w:rsid w:val="00387260"/>
    <w:rsid w:val="003874D9"/>
    <w:rsid w:val="003875D3"/>
    <w:rsid w:val="00387C88"/>
    <w:rsid w:val="00392686"/>
    <w:rsid w:val="00392EA5"/>
    <w:rsid w:val="003937FE"/>
    <w:rsid w:val="003949DC"/>
    <w:rsid w:val="00394BE4"/>
    <w:rsid w:val="00394FC2"/>
    <w:rsid w:val="00394FF7"/>
    <w:rsid w:val="003956C0"/>
    <w:rsid w:val="003957B4"/>
    <w:rsid w:val="00395DC0"/>
    <w:rsid w:val="00395F1F"/>
    <w:rsid w:val="00396775"/>
    <w:rsid w:val="003979FF"/>
    <w:rsid w:val="003A0740"/>
    <w:rsid w:val="003A0E17"/>
    <w:rsid w:val="003A0EA2"/>
    <w:rsid w:val="003A1F97"/>
    <w:rsid w:val="003A2558"/>
    <w:rsid w:val="003A2928"/>
    <w:rsid w:val="003A2A80"/>
    <w:rsid w:val="003A31DC"/>
    <w:rsid w:val="003A3977"/>
    <w:rsid w:val="003A3A13"/>
    <w:rsid w:val="003A4159"/>
    <w:rsid w:val="003A45BE"/>
    <w:rsid w:val="003A52FE"/>
    <w:rsid w:val="003A68AA"/>
    <w:rsid w:val="003A6AF7"/>
    <w:rsid w:val="003A7699"/>
    <w:rsid w:val="003B124A"/>
    <w:rsid w:val="003B166B"/>
    <w:rsid w:val="003B1B51"/>
    <w:rsid w:val="003B3715"/>
    <w:rsid w:val="003B3A1F"/>
    <w:rsid w:val="003B5190"/>
    <w:rsid w:val="003B56CC"/>
    <w:rsid w:val="003B57C2"/>
    <w:rsid w:val="003C002A"/>
    <w:rsid w:val="003C0D85"/>
    <w:rsid w:val="003C24AA"/>
    <w:rsid w:val="003C3EF7"/>
    <w:rsid w:val="003C4937"/>
    <w:rsid w:val="003C4EF5"/>
    <w:rsid w:val="003C5160"/>
    <w:rsid w:val="003C5C5E"/>
    <w:rsid w:val="003C69C2"/>
    <w:rsid w:val="003C6BF4"/>
    <w:rsid w:val="003C7B43"/>
    <w:rsid w:val="003D1F4F"/>
    <w:rsid w:val="003D2149"/>
    <w:rsid w:val="003D28CA"/>
    <w:rsid w:val="003D3B5D"/>
    <w:rsid w:val="003D4318"/>
    <w:rsid w:val="003D4901"/>
    <w:rsid w:val="003E0BD7"/>
    <w:rsid w:val="003E12A4"/>
    <w:rsid w:val="003E138A"/>
    <w:rsid w:val="003E1C31"/>
    <w:rsid w:val="003E26E0"/>
    <w:rsid w:val="003E2F25"/>
    <w:rsid w:val="003E2F96"/>
    <w:rsid w:val="003E5360"/>
    <w:rsid w:val="003E5700"/>
    <w:rsid w:val="003E5CA5"/>
    <w:rsid w:val="003E6189"/>
    <w:rsid w:val="003E6320"/>
    <w:rsid w:val="003E677B"/>
    <w:rsid w:val="003E7B53"/>
    <w:rsid w:val="003E7FCD"/>
    <w:rsid w:val="003F0658"/>
    <w:rsid w:val="003F193E"/>
    <w:rsid w:val="003F26CD"/>
    <w:rsid w:val="003F3A95"/>
    <w:rsid w:val="003F51B6"/>
    <w:rsid w:val="003F5910"/>
    <w:rsid w:val="003F7196"/>
    <w:rsid w:val="003F78A4"/>
    <w:rsid w:val="00401E7C"/>
    <w:rsid w:val="00402547"/>
    <w:rsid w:val="00402B47"/>
    <w:rsid w:val="0040301F"/>
    <w:rsid w:val="004032E9"/>
    <w:rsid w:val="0040427A"/>
    <w:rsid w:val="0040489A"/>
    <w:rsid w:val="00404C18"/>
    <w:rsid w:val="00405579"/>
    <w:rsid w:val="0040616E"/>
    <w:rsid w:val="0040639E"/>
    <w:rsid w:val="00410DE1"/>
    <w:rsid w:val="00411D24"/>
    <w:rsid w:val="00411EFE"/>
    <w:rsid w:val="00412683"/>
    <w:rsid w:val="00412768"/>
    <w:rsid w:val="00412C17"/>
    <w:rsid w:val="004139F1"/>
    <w:rsid w:val="00414430"/>
    <w:rsid w:val="00415B67"/>
    <w:rsid w:val="00416A3E"/>
    <w:rsid w:val="00417850"/>
    <w:rsid w:val="0042025B"/>
    <w:rsid w:val="004209E7"/>
    <w:rsid w:val="00420B8D"/>
    <w:rsid w:val="00420D45"/>
    <w:rsid w:val="00421431"/>
    <w:rsid w:val="00421913"/>
    <w:rsid w:val="0042205E"/>
    <w:rsid w:val="00422BA1"/>
    <w:rsid w:val="0042342C"/>
    <w:rsid w:val="004238D8"/>
    <w:rsid w:val="004240F3"/>
    <w:rsid w:val="00425F45"/>
    <w:rsid w:val="00426082"/>
    <w:rsid w:val="00426334"/>
    <w:rsid w:val="004266D4"/>
    <w:rsid w:val="004275DE"/>
    <w:rsid w:val="00427A03"/>
    <w:rsid w:val="0043040A"/>
    <w:rsid w:val="00430F77"/>
    <w:rsid w:val="00431792"/>
    <w:rsid w:val="0043186E"/>
    <w:rsid w:val="00431FFA"/>
    <w:rsid w:val="0043288F"/>
    <w:rsid w:val="00432B70"/>
    <w:rsid w:val="00433CDB"/>
    <w:rsid w:val="00434061"/>
    <w:rsid w:val="00435274"/>
    <w:rsid w:val="00436123"/>
    <w:rsid w:val="0043671D"/>
    <w:rsid w:val="00436867"/>
    <w:rsid w:val="004374F0"/>
    <w:rsid w:val="00437F30"/>
    <w:rsid w:val="004400DA"/>
    <w:rsid w:val="0044064D"/>
    <w:rsid w:val="00440F44"/>
    <w:rsid w:val="00441307"/>
    <w:rsid w:val="00441AED"/>
    <w:rsid w:val="00442135"/>
    <w:rsid w:val="00443714"/>
    <w:rsid w:val="00444DAD"/>
    <w:rsid w:val="00444F67"/>
    <w:rsid w:val="004458DE"/>
    <w:rsid w:val="0044621F"/>
    <w:rsid w:val="004463B6"/>
    <w:rsid w:val="00446F81"/>
    <w:rsid w:val="00447EC6"/>
    <w:rsid w:val="00450201"/>
    <w:rsid w:val="0045052A"/>
    <w:rsid w:val="00450BEE"/>
    <w:rsid w:val="004517AD"/>
    <w:rsid w:val="00451D2D"/>
    <w:rsid w:val="00451F0C"/>
    <w:rsid w:val="00452E8C"/>
    <w:rsid w:val="00453853"/>
    <w:rsid w:val="00453A92"/>
    <w:rsid w:val="00453C9C"/>
    <w:rsid w:val="004542BA"/>
    <w:rsid w:val="004544DF"/>
    <w:rsid w:val="00454F95"/>
    <w:rsid w:val="00455007"/>
    <w:rsid w:val="00455126"/>
    <w:rsid w:val="00455EE1"/>
    <w:rsid w:val="0045649C"/>
    <w:rsid w:val="004566AC"/>
    <w:rsid w:val="00457041"/>
    <w:rsid w:val="004573B3"/>
    <w:rsid w:val="00457875"/>
    <w:rsid w:val="00457B39"/>
    <w:rsid w:val="00460EBA"/>
    <w:rsid w:val="00460F43"/>
    <w:rsid w:val="00461A0B"/>
    <w:rsid w:val="00461D37"/>
    <w:rsid w:val="00462E09"/>
    <w:rsid w:val="004630BA"/>
    <w:rsid w:val="004637BE"/>
    <w:rsid w:val="00463906"/>
    <w:rsid w:val="00463A3E"/>
    <w:rsid w:val="0046669D"/>
    <w:rsid w:val="00466811"/>
    <w:rsid w:val="00466A08"/>
    <w:rsid w:val="00466E14"/>
    <w:rsid w:val="00466FD6"/>
    <w:rsid w:val="004720D3"/>
    <w:rsid w:val="00472162"/>
    <w:rsid w:val="00472340"/>
    <w:rsid w:val="00472F10"/>
    <w:rsid w:val="00473805"/>
    <w:rsid w:val="0047388E"/>
    <w:rsid w:val="004740F3"/>
    <w:rsid w:val="004742B7"/>
    <w:rsid w:val="00475713"/>
    <w:rsid w:val="00475E91"/>
    <w:rsid w:val="00475EB1"/>
    <w:rsid w:val="004766E8"/>
    <w:rsid w:val="004767D8"/>
    <w:rsid w:val="004774D6"/>
    <w:rsid w:val="00480AE5"/>
    <w:rsid w:val="0048199C"/>
    <w:rsid w:val="00481B26"/>
    <w:rsid w:val="00481FD9"/>
    <w:rsid w:val="00482035"/>
    <w:rsid w:val="00482CFD"/>
    <w:rsid w:val="00482EF2"/>
    <w:rsid w:val="0048388C"/>
    <w:rsid w:val="00486146"/>
    <w:rsid w:val="004862B6"/>
    <w:rsid w:val="00486373"/>
    <w:rsid w:val="00486803"/>
    <w:rsid w:val="0049042F"/>
    <w:rsid w:val="00490E17"/>
    <w:rsid w:val="004912DA"/>
    <w:rsid w:val="004913FD"/>
    <w:rsid w:val="00491900"/>
    <w:rsid w:val="00491C08"/>
    <w:rsid w:val="00492936"/>
    <w:rsid w:val="00492FD8"/>
    <w:rsid w:val="0049340C"/>
    <w:rsid w:val="00495852"/>
    <w:rsid w:val="00496B34"/>
    <w:rsid w:val="00496EB9"/>
    <w:rsid w:val="0049719E"/>
    <w:rsid w:val="004975AA"/>
    <w:rsid w:val="004A0C8E"/>
    <w:rsid w:val="004A0E86"/>
    <w:rsid w:val="004A0EF0"/>
    <w:rsid w:val="004A1710"/>
    <w:rsid w:val="004A2026"/>
    <w:rsid w:val="004A260B"/>
    <w:rsid w:val="004A3128"/>
    <w:rsid w:val="004A3556"/>
    <w:rsid w:val="004A371D"/>
    <w:rsid w:val="004A3953"/>
    <w:rsid w:val="004A4503"/>
    <w:rsid w:val="004A5258"/>
    <w:rsid w:val="004A5342"/>
    <w:rsid w:val="004A588F"/>
    <w:rsid w:val="004A687C"/>
    <w:rsid w:val="004A7C2D"/>
    <w:rsid w:val="004B1E77"/>
    <w:rsid w:val="004B312C"/>
    <w:rsid w:val="004B3374"/>
    <w:rsid w:val="004B3F3B"/>
    <w:rsid w:val="004B465A"/>
    <w:rsid w:val="004B531F"/>
    <w:rsid w:val="004B594F"/>
    <w:rsid w:val="004B5AE0"/>
    <w:rsid w:val="004B5BE6"/>
    <w:rsid w:val="004B689B"/>
    <w:rsid w:val="004B6C22"/>
    <w:rsid w:val="004B7CF7"/>
    <w:rsid w:val="004C14E7"/>
    <w:rsid w:val="004C26E8"/>
    <w:rsid w:val="004C3ACD"/>
    <w:rsid w:val="004C3B9C"/>
    <w:rsid w:val="004C479D"/>
    <w:rsid w:val="004C4AAB"/>
    <w:rsid w:val="004C5B8C"/>
    <w:rsid w:val="004C69DE"/>
    <w:rsid w:val="004C75EF"/>
    <w:rsid w:val="004D06CD"/>
    <w:rsid w:val="004D08BC"/>
    <w:rsid w:val="004D0F6A"/>
    <w:rsid w:val="004D15A3"/>
    <w:rsid w:val="004D189C"/>
    <w:rsid w:val="004D2C89"/>
    <w:rsid w:val="004D3C3E"/>
    <w:rsid w:val="004D3DBB"/>
    <w:rsid w:val="004D3E7F"/>
    <w:rsid w:val="004D4007"/>
    <w:rsid w:val="004D4C74"/>
    <w:rsid w:val="004D5A94"/>
    <w:rsid w:val="004D6B83"/>
    <w:rsid w:val="004D7517"/>
    <w:rsid w:val="004D7DC0"/>
    <w:rsid w:val="004E02AE"/>
    <w:rsid w:val="004E2193"/>
    <w:rsid w:val="004E29C8"/>
    <w:rsid w:val="004E391B"/>
    <w:rsid w:val="004E3A96"/>
    <w:rsid w:val="004E4027"/>
    <w:rsid w:val="004E4C70"/>
    <w:rsid w:val="004E4FA4"/>
    <w:rsid w:val="004E5D14"/>
    <w:rsid w:val="004E5E2A"/>
    <w:rsid w:val="004E5EC4"/>
    <w:rsid w:val="004E5FCD"/>
    <w:rsid w:val="004E7543"/>
    <w:rsid w:val="004F02B9"/>
    <w:rsid w:val="004F0DF2"/>
    <w:rsid w:val="004F16CE"/>
    <w:rsid w:val="004F1B53"/>
    <w:rsid w:val="004F23A3"/>
    <w:rsid w:val="004F34C2"/>
    <w:rsid w:val="004F4C0C"/>
    <w:rsid w:val="004F512A"/>
    <w:rsid w:val="004F5216"/>
    <w:rsid w:val="004F57CD"/>
    <w:rsid w:val="004F632D"/>
    <w:rsid w:val="004F6FB4"/>
    <w:rsid w:val="0050025A"/>
    <w:rsid w:val="00501087"/>
    <w:rsid w:val="00501247"/>
    <w:rsid w:val="0050165C"/>
    <w:rsid w:val="00501744"/>
    <w:rsid w:val="00501B04"/>
    <w:rsid w:val="00501C67"/>
    <w:rsid w:val="005021EE"/>
    <w:rsid w:val="00502D96"/>
    <w:rsid w:val="005039BD"/>
    <w:rsid w:val="00503BFF"/>
    <w:rsid w:val="005046B7"/>
    <w:rsid w:val="00505897"/>
    <w:rsid w:val="00506E33"/>
    <w:rsid w:val="00507537"/>
    <w:rsid w:val="005112A0"/>
    <w:rsid w:val="005112BE"/>
    <w:rsid w:val="005123C7"/>
    <w:rsid w:val="00512416"/>
    <w:rsid w:val="00512CF4"/>
    <w:rsid w:val="00516281"/>
    <w:rsid w:val="00516CA4"/>
    <w:rsid w:val="00516D74"/>
    <w:rsid w:val="00517218"/>
    <w:rsid w:val="00517B32"/>
    <w:rsid w:val="0052092D"/>
    <w:rsid w:val="00520B1F"/>
    <w:rsid w:val="00520FCF"/>
    <w:rsid w:val="005210D4"/>
    <w:rsid w:val="005210F4"/>
    <w:rsid w:val="005218CF"/>
    <w:rsid w:val="00521D6D"/>
    <w:rsid w:val="00521F0A"/>
    <w:rsid w:val="00522076"/>
    <w:rsid w:val="00522347"/>
    <w:rsid w:val="00522EAE"/>
    <w:rsid w:val="005255DD"/>
    <w:rsid w:val="005260CE"/>
    <w:rsid w:val="0052750E"/>
    <w:rsid w:val="005278FE"/>
    <w:rsid w:val="00527CBB"/>
    <w:rsid w:val="00530257"/>
    <w:rsid w:val="0053047A"/>
    <w:rsid w:val="005315EB"/>
    <w:rsid w:val="0053206D"/>
    <w:rsid w:val="00532F9E"/>
    <w:rsid w:val="0053313E"/>
    <w:rsid w:val="0053351D"/>
    <w:rsid w:val="00534F96"/>
    <w:rsid w:val="0053549C"/>
    <w:rsid w:val="005359D7"/>
    <w:rsid w:val="00536317"/>
    <w:rsid w:val="005372D0"/>
    <w:rsid w:val="00537633"/>
    <w:rsid w:val="00537EF7"/>
    <w:rsid w:val="0054061E"/>
    <w:rsid w:val="00540830"/>
    <w:rsid w:val="00540A8D"/>
    <w:rsid w:val="005411D6"/>
    <w:rsid w:val="00541CEA"/>
    <w:rsid w:val="005421A9"/>
    <w:rsid w:val="00542F4C"/>
    <w:rsid w:val="005438C7"/>
    <w:rsid w:val="005438E7"/>
    <w:rsid w:val="00543AA1"/>
    <w:rsid w:val="00543F57"/>
    <w:rsid w:val="00544081"/>
    <w:rsid w:val="00545825"/>
    <w:rsid w:val="005459D6"/>
    <w:rsid w:val="005463ED"/>
    <w:rsid w:val="00546500"/>
    <w:rsid w:val="00546F72"/>
    <w:rsid w:val="00550E64"/>
    <w:rsid w:val="00551DB2"/>
    <w:rsid w:val="00552D75"/>
    <w:rsid w:val="0055302B"/>
    <w:rsid w:val="00553E87"/>
    <w:rsid w:val="00554261"/>
    <w:rsid w:val="0055468D"/>
    <w:rsid w:val="00555119"/>
    <w:rsid w:val="00555155"/>
    <w:rsid w:val="005562A7"/>
    <w:rsid w:val="0055760A"/>
    <w:rsid w:val="0055785B"/>
    <w:rsid w:val="00560060"/>
    <w:rsid w:val="00560ABC"/>
    <w:rsid w:val="00560C86"/>
    <w:rsid w:val="0056190B"/>
    <w:rsid w:val="0056217F"/>
    <w:rsid w:val="005624C4"/>
    <w:rsid w:val="00562574"/>
    <w:rsid w:val="00562652"/>
    <w:rsid w:val="00563607"/>
    <w:rsid w:val="00564058"/>
    <w:rsid w:val="0056507D"/>
    <w:rsid w:val="005658EC"/>
    <w:rsid w:val="0056662D"/>
    <w:rsid w:val="00566BF2"/>
    <w:rsid w:val="00566D48"/>
    <w:rsid w:val="005705B9"/>
    <w:rsid w:val="00570819"/>
    <w:rsid w:val="00570E10"/>
    <w:rsid w:val="00571E1B"/>
    <w:rsid w:val="00572CDA"/>
    <w:rsid w:val="00573B47"/>
    <w:rsid w:val="00575001"/>
    <w:rsid w:val="00575C47"/>
    <w:rsid w:val="00575F2E"/>
    <w:rsid w:val="00576478"/>
    <w:rsid w:val="00576B4D"/>
    <w:rsid w:val="00576F6B"/>
    <w:rsid w:val="00580631"/>
    <w:rsid w:val="00580721"/>
    <w:rsid w:val="005809ED"/>
    <w:rsid w:val="005810FA"/>
    <w:rsid w:val="00581DA2"/>
    <w:rsid w:val="005826A5"/>
    <w:rsid w:val="005831D7"/>
    <w:rsid w:val="00583742"/>
    <w:rsid w:val="005839E2"/>
    <w:rsid w:val="00584435"/>
    <w:rsid w:val="00585B4B"/>
    <w:rsid w:val="00585D24"/>
    <w:rsid w:val="00586E68"/>
    <w:rsid w:val="00587315"/>
    <w:rsid w:val="00587B1B"/>
    <w:rsid w:val="00587B9B"/>
    <w:rsid w:val="00587CB0"/>
    <w:rsid w:val="00590544"/>
    <w:rsid w:val="00591C53"/>
    <w:rsid w:val="00591F31"/>
    <w:rsid w:val="00592B0A"/>
    <w:rsid w:val="005934A8"/>
    <w:rsid w:val="00594353"/>
    <w:rsid w:val="00595364"/>
    <w:rsid w:val="00597798"/>
    <w:rsid w:val="0059782C"/>
    <w:rsid w:val="005978D0"/>
    <w:rsid w:val="00597E36"/>
    <w:rsid w:val="005A2146"/>
    <w:rsid w:val="005A285A"/>
    <w:rsid w:val="005A3050"/>
    <w:rsid w:val="005A36E6"/>
    <w:rsid w:val="005A36F5"/>
    <w:rsid w:val="005A4DC5"/>
    <w:rsid w:val="005A5DD3"/>
    <w:rsid w:val="005A72A2"/>
    <w:rsid w:val="005B0990"/>
    <w:rsid w:val="005B131C"/>
    <w:rsid w:val="005B1583"/>
    <w:rsid w:val="005B217D"/>
    <w:rsid w:val="005B22B7"/>
    <w:rsid w:val="005B2A93"/>
    <w:rsid w:val="005B3062"/>
    <w:rsid w:val="005B34E2"/>
    <w:rsid w:val="005B42E6"/>
    <w:rsid w:val="005B4A46"/>
    <w:rsid w:val="005B4C9C"/>
    <w:rsid w:val="005B5FF4"/>
    <w:rsid w:val="005B772B"/>
    <w:rsid w:val="005B7A59"/>
    <w:rsid w:val="005C1FFA"/>
    <w:rsid w:val="005C2A42"/>
    <w:rsid w:val="005C3B56"/>
    <w:rsid w:val="005C41E8"/>
    <w:rsid w:val="005C65B5"/>
    <w:rsid w:val="005C6960"/>
    <w:rsid w:val="005C6B3A"/>
    <w:rsid w:val="005C733A"/>
    <w:rsid w:val="005C7616"/>
    <w:rsid w:val="005C79CC"/>
    <w:rsid w:val="005C7F8B"/>
    <w:rsid w:val="005D01B2"/>
    <w:rsid w:val="005D1037"/>
    <w:rsid w:val="005D1E91"/>
    <w:rsid w:val="005D20B0"/>
    <w:rsid w:val="005D2965"/>
    <w:rsid w:val="005D2B53"/>
    <w:rsid w:val="005D3720"/>
    <w:rsid w:val="005D4284"/>
    <w:rsid w:val="005D4A8A"/>
    <w:rsid w:val="005D733F"/>
    <w:rsid w:val="005D75BC"/>
    <w:rsid w:val="005E06FA"/>
    <w:rsid w:val="005E0AAB"/>
    <w:rsid w:val="005E0C1C"/>
    <w:rsid w:val="005E0CB2"/>
    <w:rsid w:val="005E17C4"/>
    <w:rsid w:val="005E1B9F"/>
    <w:rsid w:val="005E4146"/>
    <w:rsid w:val="005E4726"/>
    <w:rsid w:val="005E48BE"/>
    <w:rsid w:val="005E4D4A"/>
    <w:rsid w:val="005E58E2"/>
    <w:rsid w:val="005E6713"/>
    <w:rsid w:val="005E6BFD"/>
    <w:rsid w:val="005E6D17"/>
    <w:rsid w:val="005E7A67"/>
    <w:rsid w:val="005F07D5"/>
    <w:rsid w:val="005F08D5"/>
    <w:rsid w:val="005F0C4E"/>
    <w:rsid w:val="005F1180"/>
    <w:rsid w:val="005F1BFB"/>
    <w:rsid w:val="005F1C28"/>
    <w:rsid w:val="005F228F"/>
    <w:rsid w:val="005F2A82"/>
    <w:rsid w:val="005F396E"/>
    <w:rsid w:val="005F3D60"/>
    <w:rsid w:val="005F421A"/>
    <w:rsid w:val="005F4508"/>
    <w:rsid w:val="005F49B3"/>
    <w:rsid w:val="005F5729"/>
    <w:rsid w:val="005F58BF"/>
    <w:rsid w:val="005F619F"/>
    <w:rsid w:val="005F7148"/>
    <w:rsid w:val="005F7FDE"/>
    <w:rsid w:val="0060137F"/>
    <w:rsid w:val="00602167"/>
    <w:rsid w:val="0060228A"/>
    <w:rsid w:val="00602668"/>
    <w:rsid w:val="00602865"/>
    <w:rsid w:val="00605465"/>
    <w:rsid w:val="0060556C"/>
    <w:rsid w:val="00605910"/>
    <w:rsid w:val="00605D5E"/>
    <w:rsid w:val="006070DB"/>
    <w:rsid w:val="00607794"/>
    <w:rsid w:val="00610E84"/>
    <w:rsid w:val="00610F36"/>
    <w:rsid w:val="00611076"/>
    <w:rsid w:val="00611632"/>
    <w:rsid w:val="006117FE"/>
    <w:rsid w:val="00611CA9"/>
    <w:rsid w:val="00612307"/>
    <w:rsid w:val="00613DDA"/>
    <w:rsid w:val="006159EC"/>
    <w:rsid w:val="00616BDB"/>
    <w:rsid w:val="00617143"/>
    <w:rsid w:val="0062150C"/>
    <w:rsid w:val="00622897"/>
    <w:rsid w:val="006234F5"/>
    <w:rsid w:val="00623668"/>
    <w:rsid w:val="00623E7E"/>
    <w:rsid w:val="0062409A"/>
    <w:rsid w:val="006242D6"/>
    <w:rsid w:val="00626F73"/>
    <w:rsid w:val="00627383"/>
    <w:rsid w:val="00627C8E"/>
    <w:rsid w:val="006329F7"/>
    <w:rsid w:val="00633913"/>
    <w:rsid w:val="00633C8A"/>
    <w:rsid w:val="0063515A"/>
    <w:rsid w:val="00635F08"/>
    <w:rsid w:val="0063709B"/>
    <w:rsid w:val="00637DCE"/>
    <w:rsid w:val="00637DD6"/>
    <w:rsid w:val="006406B5"/>
    <w:rsid w:val="00640A16"/>
    <w:rsid w:val="00641384"/>
    <w:rsid w:val="00641697"/>
    <w:rsid w:val="0064169A"/>
    <w:rsid w:val="00641BE2"/>
    <w:rsid w:val="00641F87"/>
    <w:rsid w:val="006420D0"/>
    <w:rsid w:val="00642170"/>
    <w:rsid w:val="00642E4C"/>
    <w:rsid w:val="00643088"/>
    <w:rsid w:val="006446B9"/>
    <w:rsid w:val="00645296"/>
    <w:rsid w:val="00645CD1"/>
    <w:rsid w:val="006460E4"/>
    <w:rsid w:val="00647001"/>
    <w:rsid w:val="00647367"/>
    <w:rsid w:val="00650057"/>
    <w:rsid w:val="00650CA1"/>
    <w:rsid w:val="0065117E"/>
    <w:rsid w:val="006519C3"/>
    <w:rsid w:val="00651F40"/>
    <w:rsid w:val="00651FB5"/>
    <w:rsid w:val="00652092"/>
    <w:rsid w:val="00652172"/>
    <w:rsid w:val="00652890"/>
    <w:rsid w:val="006536C5"/>
    <w:rsid w:val="00653F38"/>
    <w:rsid w:val="006549CB"/>
    <w:rsid w:val="00654C24"/>
    <w:rsid w:val="006553E9"/>
    <w:rsid w:val="00655896"/>
    <w:rsid w:val="00655A89"/>
    <w:rsid w:val="00655D00"/>
    <w:rsid w:val="00656373"/>
    <w:rsid w:val="00656C3B"/>
    <w:rsid w:val="00657132"/>
    <w:rsid w:val="006575C4"/>
    <w:rsid w:val="0065771B"/>
    <w:rsid w:val="00657BE3"/>
    <w:rsid w:val="0066175E"/>
    <w:rsid w:val="00661910"/>
    <w:rsid w:val="00661AB0"/>
    <w:rsid w:val="00661D52"/>
    <w:rsid w:val="00661F5D"/>
    <w:rsid w:val="00662549"/>
    <w:rsid w:val="00662C34"/>
    <w:rsid w:val="00662DD3"/>
    <w:rsid w:val="0066399D"/>
    <w:rsid w:val="0066589B"/>
    <w:rsid w:val="00665C5F"/>
    <w:rsid w:val="00665FFB"/>
    <w:rsid w:val="0066617C"/>
    <w:rsid w:val="0066623A"/>
    <w:rsid w:val="00671031"/>
    <w:rsid w:val="00671279"/>
    <w:rsid w:val="00671BB2"/>
    <w:rsid w:val="00672410"/>
    <w:rsid w:val="00672F6B"/>
    <w:rsid w:val="00673939"/>
    <w:rsid w:val="00674043"/>
    <w:rsid w:val="0067445C"/>
    <w:rsid w:val="00675703"/>
    <w:rsid w:val="00675A58"/>
    <w:rsid w:val="00676008"/>
    <w:rsid w:val="006764B2"/>
    <w:rsid w:val="00676D73"/>
    <w:rsid w:val="00676DF0"/>
    <w:rsid w:val="00676FEE"/>
    <w:rsid w:val="006779C1"/>
    <w:rsid w:val="006804BA"/>
    <w:rsid w:val="00680AE7"/>
    <w:rsid w:val="00680BB2"/>
    <w:rsid w:val="00680E0B"/>
    <w:rsid w:val="00680FB0"/>
    <w:rsid w:val="00681871"/>
    <w:rsid w:val="00681CB8"/>
    <w:rsid w:val="00682009"/>
    <w:rsid w:val="00682619"/>
    <w:rsid w:val="00686508"/>
    <w:rsid w:val="006870E3"/>
    <w:rsid w:val="00687D7E"/>
    <w:rsid w:val="00687D99"/>
    <w:rsid w:val="00690F63"/>
    <w:rsid w:val="00691D8B"/>
    <w:rsid w:val="00693231"/>
    <w:rsid w:val="00693543"/>
    <w:rsid w:val="00693C9C"/>
    <w:rsid w:val="00695036"/>
    <w:rsid w:val="0069505A"/>
    <w:rsid w:val="00695609"/>
    <w:rsid w:val="00695784"/>
    <w:rsid w:val="00695A98"/>
    <w:rsid w:val="00696DB4"/>
    <w:rsid w:val="006971CE"/>
    <w:rsid w:val="00697EA2"/>
    <w:rsid w:val="006A0388"/>
    <w:rsid w:val="006A1D5C"/>
    <w:rsid w:val="006A28A4"/>
    <w:rsid w:val="006A3C4C"/>
    <w:rsid w:val="006A3EA1"/>
    <w:rsid w:val="006A4518"/>
    <w:rsid w:val="006A4A0B"/>
    <w:rsid w:val="006A4CCE"/>
    <w:rsid w:val="006A564C"/>
    <w:rsid w:val="006A71C3"/>
    <w:rsid w:val="006A71EF"/>
    <w:rsid w:val="006B0652"/>
    <w:rsid w:val="006B0707"/>
    <w:rsid w:val="006B1365"/>
    <w:rsid w:val="006B1810"/>
    <w:rsid w:val="006B2307"/>
    <w:rsid w:val="006B3186"/>
    <w:rsid w:val="006B3B3D"/>
    <w:rsid w:val="006B3BA4"/>
    <w:rsid w:val="006B4026"/>
    <w:rsid w:val="006B4A8A"/>
    <w:rsid w:val="006B4F42"/>
    <w:rsid w:val="006B5898"/>
    <w:rsid w:val="006B5BE2"/>
    <w:rsid w:val="006B5C43"/>
    <w:rsid w:val="006B6796"/>
    <w:rsid w:val="006B67ED"/>
    <w:rsid w:val="006B7491"/>
    <w:rsid w:val="006B7505"/>
    <w:rsid w:val="006B76ED"/>
    <w:rsid w:val="006B7F7F"/>
    <w:rsid w:val="006C051C"/>
    <w:rsid w:val="006C1475"/>
    <w:rsid w:val="006C18B3"/>
    <w:rsid w:val="006C28AE"/>
    <w:rsid w:val="006C40E7"/>
    <w:rsid w:val="006C4D96"/>
    <w:rsid w:val="006C5216"/>
    <w:rsid w:val="006C52B6"/>
    <w:rsid w:val="006D05B1"/>
    <w:rsid w:val="006D1F06"/>
    <w:rsid w:val="006D27D1"/>
    <w:rsid w:val="006D4AD0"/>
    <w:rsid w:val="006D5348"/>
    <w:rsid w:val="006D5358"/>
    <w:rsid w:val="006D541B"/>
    <w:rsid w:val="006D54A4"/>
    <w:rsid w:val="006D55D4"/>
    <w:rsid w:val="006D56B4"/>
    <w:rsid w:val="006D5C1F"/>
    <w:rsid w:val="006D5D9F"/>
    <w:rsid w:val="006D75CD"/>
    <w:rsid w:val="006D7A79"/>
    <w:rsid w:val="006E03E6"/>
    <w:rsid w:val="006E2D76"/>
    <w:rsid w:val="006E3513"/>
    <w:rsid w:val="006E3540"/>
    <w:rsid w:val="006E5748"/>
    <w:rsid w:val="006E5888"/>
    <w:rsid w:val="006E59D2"/>
    <w:rsid w:val="006E5FA9"/>
    <w:rsid w:val="006E7059"/>
    <w:rsid w:val="006F097E"/>
    <w:rsid w:val="006F0B1A"/>
    <w:rsid w:val="006F0C4A"/>
    <w:rsid w:val="006F16BD"/>
    <w:rsid w:val="006F1A6F"/>
    <w:rsid w:val="006F2F1A"/>
    <w:rsid w:val="006F35D7"/>
    <w:rsid w:val="006F3B2C"/>
    <w:rsid w:val="006F49B7"/>
    <w:rsid w:val="006F51D5"/>
    <w:rsid w:val="006F6A6A"/>
    <w:rsid w:val="006F79DE"/>
    <w:rsid w:val="00700E74"/>
    <w:rsid w:val="00701AA3"/>
    <w:rsid w:val="00701FEB"/>
    <w:rsid w:val="00702423"/>
    <w:rsid w:val="007034D6"/>
    <w:rsid w:val="007038B2"/>
    <w:rsid w:val="00704201"/>
    <w:rsid w:val="00704989"/>
    <w:rsid w:val="00705752"/>
    <w:rsid w:val="00707071"/>
    <w:rsid w:val="00707CDE"/>
    <w:rsid w:val="00711245"/>
    <w:rsid w:val="00711F89"/>
    <w:rsid w:val="007125EF"/>
    <w:rsid w:val="00712786"/>
    <w:rsid w:val="00712F9C"/>
    <w:rsid w:val="00713877"/>
    <w:rsid w:val="007139CE"/>
    <w:rsid w:val="00714042"/>
    <w:rsid w:val="00714B01"/>
    <w:rsid w:val="00714B9C"/>
    <w:rsid w:val="00714F04"/>
    <w:rsid w:val="007153A4"/>
    <w:rsid w:val="00715909"/>
    <w:rsid w:val="00715BD8"/>
    <w:rsid w:val="00716E5F"/>
    <w:rsid w:val="00717F8C"/>
    <w:rsid w:val="00720088"/>
    <w:rsid w:val="00720FF9"/>
    <w:rsid w:val="007210A3"/>
    <w:rsid w:val="0072233C"/>
    <w:rsid w:val="007225F5"/>
    <w:rsid w:val="0072378A"/>
    <w:rsid w:val="00725DED"/>
    <w:rsid w:val="00726A85"/>
    <w:rsid w:val="00726DEC"/>
    <w:rsid w:val="00727BC4"/>
    <w:rsid w:val="00730134"/>
    <w:rsid w:val="00730283"/>
    <w:rsid w:val="00730A80"/>
    <w:rsid w:val="00731B79"/>
    <w:rsid w:val="00731EBC"/>
    <w:rsid w:val="007321DC"/>
    <w:rsid w:val="00732758"/>
    <w:rsid w:val="00732FC2"/>
    <w:rsid w:val="007330A7"/>
    <w:rsid w:val="007336A8"/>
    <w:rsid w:val="00740C84"/>
    <w:rsid w:val="00741DAB"/>
    <w:rsid w:val="007423DE"/>
    <w:rsid w:val="00742439"/>
    <w:rsid w:val="007428F9"/>
    <w:rsid w:val="00744777"/>
    <w:rsid w:val="00744D55"/>
    <w:rsid w:val="00746596"/>
    <w:rsid w:val="00747B64"/>
    <w:rsid w:val="00751753"/>
    <w:rsid w:val="007519C2"/>
    <w:rsid w:val="00751A05"/>
    <w:rsid w:val="0075228A"/>
    <w:rsid w:val="00752D54"/>
    <w:rsid w:val="0075367B"/>
    <w:rsid w:val="00753913"/>
    <w:rsid w:val="00753E08"/>
    <w:rsid w:val="00754A14"/>
    <w:rsid w:val="0075513D"/>
    <w:rsid w:val="00755E5E"/>
    <w:rsid w:val="00756041"/>
    <w:rsid w:val="00756405"/>
    <w:rsid w:val="007570E7"/>
    <w:rsid w:val="007574A6"/>
    <w:rsid w:val="00757C83"/>
    <w:rsid w:val="00757CB3"/>
    <w:rsid w:val="0076002A"/>
    <w:rsid w:val="00760CE0"/>
    <w:rsid w:val="007643A9"/>
    <w:rsid w:val="0076488F"/>
    <w:rsid w:val="007659D9"/>
    <w:rsid w:val="00765D53"/>
    <w:rsid w:val="00766162"/>
    <w:rsid w:val="0076635F"/>
    <w:rsid w:val="00766AE6"/>
    <w:rsid w:val="007671AE"/>
    <w:rsid w:val="0076750C"/>
    <w:rsid w:val="00767892"/>
    <w:rsid w:val="00767C65"/>
    <w:rsid w:val="00771236"/>
    <w:rsid w:val="00771B36"/>
    <w:rsid w:val="00771F7F"/>
    <w:rsid w:val="00772590"/>
    <w:rsid w:val="00773080"/>
    <w:rsid w:val="0077324D"/>
    <w:rsid w:val="0077326E"/>
    <w:rsid w:val="00773668"/>
    <w:rsid w:val="007746EE"/>
    <w:rsid w:val="007753D0"/>
    <w:rsid w:val="0077713A"/>
    <w:rsid w:val="00777648"/>
    <w:rsid w:val="007819AF"/>
    <w:rsid w:val="00781A2B"/>
    <w:rsid w:val="00782F22"/>
    <w:rsid w:val="0078344F"/>
    <w:rsid w:val="0078482A"/>
    <w:rsid w:val="00784A0A"/>
    <w:rsid w:val="00785D62"/>
    <w:rsid w:val="00786591"/>
    <w:rsid w:val="00786851"/>
    <w:rsid w:val="00786A89"/>
    <w:rsid w:val="00786AB2"/>
    <w:rsid w:val="00787478"/>
    <w:rsid w:val="007878AE"/>
    <w:rsid w:val="00787E45"/>
    <w:rsid w:val="00790E6D"/>
    <w:rsid w:val="0079176E"/>
    <w:rsid w:val="00791C25"/>
    <w:rsid w:val="00791EFE"/>
    <w:rsid w:val="00793116"/>
    <w:rsid w:val="00793547"/>
    <w:rsid w:val="007937B8"/>
    <w:rsid w:val="007939F3"/>
    <w:rsid w:val="007944E0"/>
    <w:rsid w:val="00794A49"/>
    <w:rsid w:val="00794BDF"/>
    <w:rsid w:val="00796FC6"/>
    <w:rsid w:val="0079705C"/>
    <w:rsid w:val="007A1A37"/>
    <w:rsid w:val="007A1C1C"/>
    <w:rsid w:val="007A1F7C"/>
    <w:rsid w:val="007A2F83"/>
    <w:rsid w:val="007A30CA"/>
    <w:rsid w:val="007A37A5"/>
    <w:rsid w:val="007A3FD8"/>
    <w:rsid w:val="007A51B4"/>
    <w:rsid w:val="007A5A37"/>
    <w:rsid w:val="007A6240"/>
    <w:rsid w:val="007B041A"/>
    <w:rsid w:val="007B0C36"/>
    <w:rsid w:val="007B49FF"/>
    <w:rsid w:val="007B5387"/>
    <w:rsid w:val="007B6BD6"/>
    <w:rsid w:val="007B735E"/>
    <w:rsid w:val="007B777F"/>
    <w:rsid w:val="007B7C0C"/>
    <w:rsid w:val="007C1DA7"/>
    <w:rsid w:val="007C1F10"/>
    <w:rsid w:val="007C29C1"/>
    <w:rsid w:val="007C2E7D"/>
    <w:rsid w:val="007C3227"/>
    <w:rsid w:val="007C332D"/>
    <w:rsid w:val="007C372B"/>
    <w:rsid w:val="007C421B"/>
    <w:rsid w:val="007C49D3"/>
    <w:rsid w:val="007C5099"/>
    <w:rsid w:val="007C5286"/>
    <w:rsid w:val="007C52F0"/>
    <w:rsid w:val="007C5808"/>
    <w:rsid w:val="007C60D9"/>
    <w:rsid w:val="007C6183"/>
    <w:rsid w:val="007C7867"/>
    <w:rsid w:val="007C7F32"/>
    <w:rsid w:val="007D0040"/>
    <w:rsid w:val="007D0CB8"/>
    <w:rsid w:val="007D1DF5"/>
    <w:rsid w:val="007D1FC5"/>
    <w:rsid w:val="007D24F7"/>
    <w:rsid w:val="007D3498"/>
    <w:rsid w:val="007D36F9"/>
    <w:rsid w:val="007D38CF"/>
    <w:rsid w:val="007D3943"/>
    <w:rsid w:val="007D4B9F"/>
    <w:rsid w:val="007D4D4C"/>
    <w:rsid w:val="007D4F0B"/>
    <w:rsid w:val="007D5706"/>
    <w:rsid w:val="007D5820"/>
    <w:rsid w:val="007D5BD5"/>
    <w:rsid w:val="007D6568"/>
    <w:rsid w:val="007D67A9"/>
    <w:rsid w:val="007D6F20"/>
    <w:rsid w:val="007D7177"/>
    <w:rsid w:val="007D7B55"/>
    <w:rsid w:val="007E140B"/>
    <w:rsid w:val="007E1850"/>
    <w:rsid w:val="007E1878"/>
    <w:rsid w:val="007E1A7E"/>
    <w:rsid w:val="007E2698"/>
    <w:rsid w:val="007E280C"/>
    <w:rsid w:val="007E31BD"/>
    <w:rsid w:val="007E3740"/>
    <w:rsid w:val="007E3F5A"/>
    <w:rsid w:val="007E469D"/>
    <w:rsid w:val="007E48A6"/>
    <w:rsid w:val="007E498E"/>
    <w:rsid w:val="007E4E0F"/>
    <w:rsid w:val="007E4F14"/>
    <w:rsid w:val="007E50F5"/>
    <w:rsid w:val="007E541D"/>
    <w:rsid w:val="007E626E"/>
    <w:rsid w:val="007E6BF0"/>
    <w:rsid w:val="007E7E84"/>
    <w:rsid w:val="007F0251"/>
    <w:rsid w:val="007F05FF"/>
    <w:rsid w:val="007F07E1"/>
    <w:rsid w:val="007F2E85"/>
    <w:rsid w:val="007F3FB9"/>
    <w:rsid w:val="007F4D97"/>
    <w:rsid w:val="007F4F25"/>
    <w:rsid w:val="007F5FFB"/>
    <w:rsid w:val="007F607E"/>
    <w:rsid w:val="007F6448"/>
    <w:rsid w:val="007F6AAA"/>
    <w:rsid w:val="00800807"/>
    <w:rsid w:val="00800AA5"/>
    <w:rsid w:val="00801F8C"/>
    <w:rsid w:val="0080209C"/>
    <w:rsid w:val="008030CD"/>
    <w:rsid w:val="0080485C"/>
    <w:rsid w:val="008059E3"/>
    <w:rsid w:val="00805BFE"/>
    <w:rsid w:val="00806853"/>
    <w:rsid w:val="008072B4"/>
    <w:rsid w:val="00810816"/>
    <w:rsid w:val="00810F4D"/>
    <w:rsid w:val="00811276"/>
    <w:rsid w:val="008115C6"/>
    <w:rsid w:val="00811872"/>
    <w:rsid w:val="00811AD8"/>
    <w:rsid w:val="00812599"/>
    <w:rsid w:val="008126D7"/>
    <w:rsid w:val="00813C7C"/>
    <w:rsid w:val="00813D6F"/>
    <w:rsid w:val="00813DDA"/>
    <w:rsid w:val="00813E7E"/>
    <w:rsid w:val="00814826"/>
    <w:rsid w:val="0081499D"/>
    <w:rsid w:val="00814BA3"/>
    <w:rsid w:val="00814CA7"/>
    <w:rsid w:val="00815795"/>
    <w:rsid w:val="00815EFB"/>
    <w:rsid w:val="00816530"/>
    <w:rsid w:val="00817EBE"/>
    <w:rsid w:val="00820682"/>
    <w:rsid w:val="00821161"/>
    <w:rsid w:val="00821163"/>
    <w:rsid w:val="00821367"/>
    <w:rsid w:val="00821837"/>
    <w:rsid w:val="0082203E"/>
    <w:rsid w:val="0082362C"/>
    <w:rsid w:val="0082364E"/>
    <w:rsid w:val="008238E9"/>
    <w:rsid w:val="00823D17"/>
    <w:rsid w:val="00824CAC"/>
    <w:rsid w:val="0082607C"/>
    <w:rsid w:val="0082669E"/>
    <w:rsid w:val="00826B55"/>
    <w:rsid w:val="008303C7"/>
    <w:rsid w:val="008303E3"/>
    <w:rsid w:val="00830AE4"/>
    <w:rsid w:val="00830D57"/>
    <w:rsid w:val="00830E1C"/>
    <w:rsid w:val="00831D55"/>
    <w:rsid w:val="00832401"/>
    <w:rsid w:val="00832807"/>
    <w:rsid w:val="00832E23"/>
    <w:rsid w:val="00833D3D"/>
    <w:rsid w:val="00835387"/>
    <w:rsid w:val="0083590E"/>
    <w:rsid w:val="00837A93"/>
    <w:rsid w:val="00837C8B"/>
    <w:rsid w:val="00840BA2"/>
    <w:rsid w:val="00840D9F"/>
    <w:rsid w:val="00842657"/>
    <w:rsid w:val="00842FEC"/>
    <w:rsid w:val="008433CA"/>
    <w:rsid w:val="00844086"/>
    <w:rsid w:val="00844C7C"/>
    <w:rsid w:val="00845549"/>
    <w:rsid w:val="00845823"/>
    <w:rsid w:val="00845E2A"/>
    <w:rsid w:val="00846DAA"/>
    <w:rsid w:val="00846F29"/>
    <w:rsid w:val="0084722F"/>
    <w:rsid w:val="00850109"/>
    <w:rsid w:val="0085020E"/>
    <w:rsid w:val="008505A5"/>
    <w:rsid w:val="0085082E"/>
    <w:rsid w:val="00851576"/>
    <w:rsid w:val="008548B1"/>
    <w:rsid w:val="00854B11"/>
    <w:rsid w:val="00854D98"/>
    <w:rsid w:val="0085598F"/>
    <w:rsid w:val="00855A51"/>
    <w:rsid w:val="0085626D"/>
    <w:rsid w:val="00856774"/>
    <w:rsid w:val="00860963"/>
    <w:rsid w:val="00861731"/>
    <w:rsid w:val="008626E0"/>
    <w:rsid w:val="00862C89"/>
    <w:rsid w:val="00862D9E"/>
    <w:rsid w:val="00863D3A"/>
    <w:rsid w:val="0086678E"/>
    <w:rsid w:val="00866851"/>
    <w:rsid w:val="0086694C"/>
    <w:rsid w:val="00870801"/>
    <w:rsid w:val="00870DB6"/>
    <w:rsid w:val="00870DD0"/>
    <w:rsid w:val="0087245A"/>
    <w:rsid w:val="008724DE"/>
    <w:rsid w:val="008738A6"/>
    <w:rsid w:val="0087444F"/>
    <w:rsid w:val="00874BC7"/>
    <w:rsid w:val="0087576A"/>
    <w:rsid w:val="00875865"/>
    <w:rsid w:val="00875B3E"/>
    <w:rsid w:val="0088042E"/>
    <w:rsid w:val="00880BDC"/>
    <w:rsid w:val="008819D2"/>
    <w:rsid w:val="00881B77"/>
    <w:rsid w:val="0088312F"/>
    <w:rsid w:val="008838F5"/>
    <w:rsid w:val="008856B3"/>
    <w:rsid w:val="00885869"/>
    <w:rsid w:val="00885D02"/>
    <w:rsid w:val="0088619F"/>
    <w:rsid w:val="008866F8"/>
    <w:rsid w:val="0088679A"/>
    <w:rsid w:val="00886984"/>
    <w:rsid w:val="00886F6B"/>
    <w:rsid w:val="00891279"/>
    <w:rsid w:val="00891E48"/>
    <w:rsid w:val="00892C0C"/>
    <w:rsid w:val="00892E53"/>
    <w:rsid w:val="0089517E"/>
    <w:rsid w:val="00895B29"/>
    <w:rsid w:val="00895D54"/>
    <w:rsid w:val="00896002"/>
    <w:rsid w:val="00896267"/>
    <w:rsid w:val="0089629D"/>
    <w:rsid w:val="00896338"/>
    <w:rsid w:val="008964A0"/>
    <w:rsid w:val="00896B03"/>
    <w:rsid w:val="00896CF7"/>
    <w:rsid w:val="00896F18"/>
    <w:rsid w:val="008A009C"/>
    <w:rsid w:val="008A0701"/>
    <w:rsid w:val="008A403B"/>
    <w:rsid w:val="008A57B4"/>
    <w:rsid w:val="008B26EF"/>
    <w:rsid w:val="008B2CDF"/>
    <w:rsid w:val="008B2E77"/>
    <w:rsid w:val="008B3E63"/>
    <w:rsid w:val="008B4069"/>
    <w:rsid w:val="008B41C5"/>
    <w:rsid w:val="008B457B"/>
    <w:rsid w:val="008B4BDD"/>
    <w:rsid w:val="008B7346"/>
    <w:rsid w:val="008B771F"/>
    <w:rsid w:val="008B7DF1"/>
    <w:rsid w:val="008C18FD"/>
    <w:rsid w:val="008C23DE"/>
    <w:rsid w:val="008C2578"/>
    <w:rsid w:val="008C25BB"/>
    <w:rsid w:val="008C28C9"/>
    <w:rsid w:val="008C4AA4"/>
    <w:rsid w:val="008C6D8D"/>
    <w:rsid w:val="008D003D"/>
    <w:rsid w:val="008D10A2"/>
    <w:rsid w:val="008D117A"/>
    <w:rsid w:val="008D28E9"/>
    <w:rsid w:val="008D2CEA"/>
    <w:rsid w:val="008D350B"/>
    <w:rsid w:val="008D365C"/>
    <w:rsid w:val="008D3AEA"/>
    <w:rsid w:val="008D51E2"/>
    <w:rsid w:val="008D5C3B"/>
    <w:rsid w:val="008D6490"/>
    <w:rsid w:val="008D6DCA"/>
    <w:rsid w:val="008D72EC"/>
    <w:rsid w:val="008D752C"/>
    <w:rsid w:val="008D760A"/>
    <w:rsid w:val="008D7C56"/>
    <w:rsid w:val="008D7EAD"/>
    <w:rsid w:val="008E02CB"/>
    <w:rsid w:val="008E19C7"/>
    <w:rsid w:val="008E242D"/>
    <w:rsid w:val="008E3E23"/>
    <w:rsid w:val="008E46BD"/>
    <w:rsid w:val="008E4AF7"/>
    <w:rsid w:val="008E4F82"/>
    <w:rsid w:val="008E509D"/>
    <w:rsid w:val="008E5345"/>
    <w:rsid w:val="008E5B3C"/>
    <w:rsid w:val="008E62D8"/>
    <w:rsid w:val="008E7BA6"/>
    <w:rsid w:val="008F0E56"/>
    <w:rsid w:val="008F1200"/>
    <w:rsid w:val="008F2532"/>
    <w:rsid w:val="008F26C8"/>
    <w:rsid w:val="008F2E18"/>
    <w:rsid w:val="008F3677"/>
    <w:rsid w:val="008F379F"/>
    <w:rsid w:val="008F3BA3"/>
    <w:rsid w:val="008F3FDB"/>
    <w:rsid w:val="008F4189"/>
    <w:rsid w:val="008F4B6E"/>
    <w:rsid w:val="008F53EB"/>
    <w:rsid w:val="008F699C"/>
    <w:rsid w:val="009001A8"/>
    <w:rsid w:val="0090065E"/>
    <w:rsid w:val="00900692"/>
    <w:rsid w:val="00900B6B"/>
    <w:rsid w:val="00900C12"/>
    <w:rsid w:val="009038F5"/>
    <w:rsid w:val="00904E80"/>
    <w:rsid w:val="0090503A"/>
    <w:rsid w:val="00906153"/>
    <w:rsid w:val="00906774"/>
    <w:rsid w:val="009069C6"/>
    <w:rsid w:val="00906B34"/>
    <w:rsid w:val="00907555"/>
    <w:rsid w:val="00910273"/>
    <w:rsid w:val="00911355"/>
    <w:rsid w:val="00912AE8"/>
    <w:rsid w:val="0091381B"/>
    <w:rsid w:val="00914269"/>
    <w:rsid w:val="00915A35"/>
    <w:rsid w:val="00915A8A"/>
    <w:rsid w:val="00916387"/>
    <w:rsid w:val="00916506"/>
    <w:rsid w:val="009204CC"/>
    <w:rsid w:val="009206A6"/>
    <w:rsid w:val="00920E99"/>
    <w:rsid w:val="00920F86"/>
    <w:rsid w:val="009211D2"/>
    <w:rsid w:val="00921FF2"/>
    <w:rsid w:val="00922FC8"/>
    <w:rsid w:val="009232BE"/>
    <w:rsid w:val="00925B3A"/>
    <w:rsid w:val="0092624F"/>
    <w:rsid w:val="00926E24"/>
    <w:rsid w:val="009275C8"/>
    <w:rsid w:val="00927A41"/>
    <w:rsid w:val="0093040F"/>
    <w:rsid w:val="00930F29"/>
    <w:rsid w:val="00931B9B"/>
    <w:rsid w:val="009332EA"/>
    <w:rsid w:val="00934D15"/>
    <w:rsid w:val="0093534A"/>
    <w:rsid w:val="0093550D"/>
    <w:rsid w:val="00935B08"/>
    <w:rsid w:val="00935D29"/>
    <w:rsid w:val="009366CF"/>
    <w:rsid w:val="00937120"/>
    <w:rsid w:val="009375C8"/>
    <w:rsid w:val="00937763"/>
    <w:rsid w:val="00937A1F"/>
    <w:rsid w:val="0094023A"/>
    <w:rsid w:val="00940713"/>
    <w:rsid w:val="0094202F"/>
    <w:rsid w:val="009421BF"/>
    <w:rsid w:val="00942C07"/>
    <w:rsid w:val="00942CBD"/>
    <w:rsid w:val="009431D8"/>
    <w:rsid w:val="0094321C"/>
    <w:rsid w:val="00943F34"/>
    <w:rsid w:val="009447D6"/>
    <w:rsid w:val="00944FE4"/>
    <w:rsid w:val="009451D3"/>
    <w:rsid w:val="00945C85"/>
    <w:rsid w:val="009463FD"/>
    <w:rsid w:val="00947384"/>
    <w:rsid w:val="0094739F"/>
    <w:rsid w:val="00950023"/>
    <w:rsid w:val="009500F7"/>
    <w:rsid w:val="009502FD"/>
    <w:rsid w:val="00950722"/>
    <w:rsid w:val="00950F5A"/>
    <w:rsid w:val="00953107"/>
    <w:rsid w:val="009554F2"/>
    <w:rsid w:val="0095554F"/>
    <w:rsid w:val="0095655B"/>
    <w:rsid w:val="00956F38"/>
    <w:rsid w:val="009571A2"/>
    <w:rsid w:val="00957604"/>
    <w:rsid w:val="009579BE"/>
    <w:rsid w:val="009610D3"/>
    <w:rsid w:val="00961570"/>
    <w:rsid w:val="009616C1"/>
    <w:rsid w:val="00961A60"/>
    <w:rsid w:val="00961C57"/>
    <w:rsid w:val="00961D15"/>
    <w:rsid w:val="00961DED"/>
    <w:rsid w:val="0096216C"/>
    <w:rsid w:val="00962175"/>
    <w:rsid w:val="00962498"/>
    <w:rsid w:val="00962C96"/>
    <w:rsid w:val="00963A50"/>
    <w:rsid w:val="009654D9"/>
    <w:rsid w:val="009657CF"/>
    <w:rsid w:val="00965C2E"/>
    <w:rsid w:val="009665AA"/>
    <w:rsid w:val="0096665C"/>
    <w:rsid w:val="009670C5"/>
    <w:rsid w:val="0097049E"/>
    <w:rsid w:val="00970717"/>
    <w:rsid w:val="00971297"/>
    <w:rsid w:val="009737E2"/>
    <w:rsid w:val="0097708E"/>
    <w:rsid w:val="00977FAD"/>
    <w:rsid w:val="00980519"/>
    <w:rsid w:val="00980A98"/>
    <w:rsid w:val="00980C95"/>
    <w:rsid w:val="009819BD"/>
    <w:rsid w:val="00981D1F"/>
    <w:rsid w:val="009820DA"/>
    <w:rsid w:val="00982594"/>
    <w:rsid w:val="00983BCE"/>
    <w:rsid w:val="00983DF2"/>
    <w:rsid w:val="0098436B"/>
    <w:rsid w:val="00984DC7"/>
    <w:rsid w:val="00984FC5"/>
    <w:rsid w:val="009859E0"/>
    <w:rsid w:val="00985F09"/>
    <w:rsid w:val="00986025"/>
    <w:rsid w:val="009866B6"/>
    <w:rsid w:val="0099030E"/>
    <w:rsid w:val="009919F8"/>
    <w:rsid w:val="009942FA"/>
    <w:rsid w:val="0099475B"/>
    <w:rsid w:val="00995BDE"/>
    <w:rsid w:val="00996044"/>
    <w:rsid w:val="00996DBD"/>
    <w:rsid w:val="00997E07"/>
    <w:rsid w:val="00997E8A"/>
    <w:rsid w:val="009A1549"/>
    <w:rsid w:val="009A24F5"/>
    <w:rsid w:val="009A27BA"/>
    <w:rsid w:val="009A3064"/>
    <w:rsid w:val="009A3085"/>
    <w:rsid w:val="009A350A"/>
    <w:rsid w:val="009A575F"/>
    <w:rsid w:val="009A5DC2"/>
    <w:rsid w:val="009A6746"/>
    <w:rsid w:val="009A7749"/>
    <w:rsid w:val="009B06E0"/>
    <w:rsid w:val="009B0BA4"/>
    <w:rsid w:val="009B0DC8"/>
    <w:rsid w:val="009B23F1"/>
    <w:rsid w:val="009B302D"/>
    <w:rsid w:val="009B34AB"/>
    <w:rsid w:val="009B4212"/>
    <w:rsid w:val="009B4E24"/>
    <w:rsid w:val="009B529E"/>
    <w:rsid w:val="009B66A6"/>
    <w:rsid w:val="009B6F06"/>
    <w:rsid w:val="009B7403"/>
    <w:rsid w:val="009C0C08"/>
    <w:rsid w:val="009C11BC"/>
    <w:rsid w:val="009C1521"/>
    <w:rsid w:val="009C1674"/>
    <w:rsid w:val="009C2E49"/>
    <w:rsid w:val="009C362E"/>
    <w:rsid w:val="009C4403"/>
    <w:rsid w:val="009C4F57"/>
    <w:rsid w:val="009C5D90"/>
    <w:rsid w:val="009C6382"/>
    <w:rsid w:val="009C6805"/>
    <w:rsid w:val="009C71B0"/>
    <w:rsid w:val="009C71F9"/>
    <w:rsid w:val="009C7A75"/>
    <w:rsid w:val="009D011C"/>
    <w:rsid w:val="009D02D4"/>
    <w:rsid w:val="009D0B1C"/>
    <w:rsid w:val="009D2789"/>
    <w:rsid w:val="009D5030"/>
    <w:rsid w:val="009D5127"/>
    <w:rsid w:val="009D5D17"/>
    <w:rsid w:val="009E073A"/>
    <w:rsid w:val="009E174E"/>
    <w:rsid w:val="009E2619"/>
    <w:rsid w:val="009E269D"/>
    <w:rsid w:val="009E2866"/>
    <w:rsid w:val="009E30C1"/>
    <w:rsid w:val="009E348E"/>
    <w:rsid w:val="009E36E9"/>
    <w:rsid w:val="009E4321"/>
    <w:rsid w:val="009E48D6"/>
    <w:rsid w:val="009E4EAA"/>
    <w:rsid w:val="009E5830"/>
    <w:rsid w:val="009E6321"/>
    <w:rsid w:val="009E65D3"/>
    <w:rsid w:val="009E6AA7"/>
    <w:rsid w:val="009E6B12"/>
    <w:rsid w:val="009E6F64"/>
    <w:rsid w:val="009E7330"/>
    <w:rsid w:val="009E760C"/>
    <w:rsid w:val="009E775B"/>
    <w:rsid w:val="009F06D8"/>
    <w:rsid w:val="009F0E5E"/>
    <w:rsid w:val="009F12EC"/>
    <w:rsid w:val="009F1537"/>
    <w:rsid w:val="009F2496"/>
    <w:rsid w:val="009F323E"/>
    <w:rsid w:val="009F376D"/>
    <w:rsid w:val="009F420E"/>
    <w:rsid w:val="009F46A8"/>
    <w:rsid w:val="009F470E"/>
    <w:rsid w:val="009F4792"/>
    <w:rsid w:val="009F6012"/>
    <w:rsid w:val="009F68CC"/>
    <w:rsid w:val="009F6A34"/>
    <w:rsid w:val="009F71CD"/>
    <w:rsid w:val="009F775A"/>
    <w:rsid w:val="009F77EE"/>
    <w:rsid w:val="00A000B1"/>
    <w:rsid w:val="00A0011D"/>
    <w:rsid w:val="00A01351"/>
    <w:rsid w:val="00A0136C"/>
    <w:rsid w:val="00A02513"/>
    <w:rsid w:val="00A039C3"/>
    <w:rsid w:val="00A03BF1"/>
    <w:rsid w:val="00A03E7F"/>
    <w:rsid w:val="00A04C20"/>
    <w:rsid w:val="00A05024"/>
    <w:rsid w:val="00A05148"/>
    <w:rsid w:val="00A054F9"/>
    <w:rsid w:val="00A05B56"/>
    <w:rsid w:val="00A06438"/>
    <w:rsid w:val="00A069DA"/>
    <w:rsid w:val="00A06C87"/>
    <w:rsid w:val="00A07777"/>
    <w:rsid w:val="00A1148F"/>
    <w:rsid w:val="00A115F2"/>
    <w:rsid w:val="00A11CD6"/>
    <w:rsid w:val="00A129C7"/>
    <w:rsid w:val="00A12C30"/>
    <w:rsid w:val="00A12F9A"/>
    <w:rsid w:val="00A13468"/>
    <w:rsid w:val="00A14B9C"/>
    <w:rsid w:val="00A15B44"/>
    <w:rsid w:val="00A161F7"/>
    <w:rsid w:val="00A16581"/>
    <w:rsid w:val="00A169F4"/>
    <w:rsid w:val="00A17001"/>
    <w:rsid w:val="00A17725"/>
    <w:rsid w:val="00A177EC"/>
    <w:rsid w:val="00A214E5"/>
    <w:rsid w:val="00A2176D"/>
    <w:rsid w:val="00A222FB"/>
    <w:rsid w:val="00A22E4C"/>
    <w:rsid w:val="00A23661"/>
    <w:rsid w:val="00A23761"/>
    <w:rsid w:val="00A240A2"/>
    <w:rsid w:val="00A24358"/>
    <w:rsid w:val="00A24721"/>
    <w:rsid w:val="00A24D7A"/>
    <w:rsid w:val="00A24E0C"/>
    <w:rsid w:val="00A253A2"/>
    <w:rsid w:val="00A25490"/>
    <w:rsid w:val="00A2659E"/>
    <w:rsid w:val="00A2661E"/>
    <w:rsid w:val="00A26639"/>
    <w:rsid w:val="00A26944"/>
    <w:rsid w:val="00A26E5A"/>
    <w:rsid w:val="00A27348"/>
    <w:rsid w:val="00A279C1"/>
    <w:rsid w:val="00A303AD"/>
    <w:rsid w:val="00A30653"/>
    <w:rsid w:val="00A3070F"/>
    <w:rsid w:val="00A30893"/>
    <w:rsid w:val="00A30F26"/>
    <w:rsid w:val="00A31478"/>
    <w:rsid w:val="00A32C82"/>
    <w:rsid w:val="00A333EB"/>
    <w:rsid w:val="00A335D4"/>
    <w:rsid w:val="00A345E1"/>
    <w:rsid w:val="00A363A2"/>
    <w:rsid w:val="00A369EB"/>
    <w:rsid w:val="00A376E8"/>
    <w:rsid w:val="00A37EB6"/>
    <w:rsid w:val="00A410AA"/>
    <w:rsid w:val="00A41216"/>
    <w:rsid w:val="00A41367"/>
    <w:rsid w:val="00A421A6"/>
    <w:rsid w:val="00A42558"/>
    <w:rsid w:val="00A425C8"/>
    <w:rsid w:val="00A4285C"/>
    <w:rsid w:val="00A43CC2"/>
    <w:rsid w:val="00A451C6"/>
    <w:rsid w:val="00A46F19"/>
    <w:rsid w:val="00A520FB"/>
    <w:rsid w:val="00A52582"/>
    <w:rsid w:val="00A53A92"/>
    <w:rsid w:val="00A54466"/>
    <w:rsid w:val="00A54A13"/>
    <w:rsid w:val="00A551BC"/>
    <w:rsid w:val="00A57727"/>
    <w:rsid w:val="00A608DB"/>
    <w:rsid w:val="00A6092F"/>
    <w:rsid w:val="00A62185"/>
    <w:rsid w:val="00A62811"/>
    <w:rsid w:val="00A637B5"/>
    <w:rsid w:val="00A63E26"/>
    <w:rsid w:val="00A64D9E"/>
    <w:rsid w:val="00A65310"/>
    <w:rsid w:val="00A66F55"/>
    <w:rsid w:val="00A67176"/>
    <w:rsid w:val="00A673E8"/>
    <w:rsid w:val="00A70402"/>
    <w:rsid w:val="00A708AB"/>
    <w:rsid w:val="00A72322"/>
    <w:rsid w:val="00A72FEF"/>
    <w:rsid w:val="00A735CA"/>
    <w:rsid w:val="00A73CAE"/>
    <w:rsid w:val="00A73E19"/>
    <w:rsid w:val="00A746BE"/>
    <w:rsid w:val="00A74F21"/>
    <w:rsid w:val="00A75289"/>
    <w:rsid w:val="00A75993"/>
    <w:rsid w:val="00A75EC9"/>
    <w:rsid w:val="00A760B9"/>
    <w:rsid w:val="00A77B70"/>
    <w:rsid w:val="00A77C0E"/>
    <w:rsid w:val="00A77CAB"/>
    <w:rsid w:val="00A77EE1"/>
    <w:rsid w:val="00A80045"/>
    <w:rsid w:val="00A81104"/>
    <w:rsid w:val="00A821CA"/>
    <w:rsid w:val="00A82DD2"/>
    <w:rsid w:val="00A83495"/>
    <w:rsid w:val="00A85240"/>
    <w:rsid w:val="00A861BB"/>
    <w:rsid w:val="00A865C9"/>
    <w:rsid w:val="00A87649"/>
    <w:rsid w:val="00A87C23"/>
    <w:rsid w:val="00A9058D"/>
    <w:rsid w:val="00A90BCF"/>
    <w:rsid w:val="00A91B97"/>
    <w:rsid w:val="00A91EE9"/>
    <w:rsid w:val="00A92522"/>
    <w:rsid w:val="00A926D7"/>
    <w:rsid w:val="00A92A87"/>
    <w:rsid w:val="00A92CD0"/>
    <w:rsid w:val="00A931A3"/>
    <w:rsid w:val="00A93475"/>
    <w:rsid w:val="00A94C0F"/>
    <w:rsid w:val="00A9613D"/>
    <w:rsid w:val="00A96196"/>
    <w:rsid w:val="00A96465"/>
    <w:rsid w:val="00A972F5"/>
    <w:rsid w:val="00A972F8"/>
    <w:rsid w:val="00AA161B"/>
    <w:rsid w:val="00AA1AB2"/>
    <w:rsid w:val="00AA2491"/>
    <w:rsid w:val="00AA304D"/>
    <w:rsid w:val="00AA486D"/>
    <w:rsid w:val="00AA4D5A"/>
    <w:rsid w:val="00AA5564"/>
    <w:rsid w:val="00AA5AD0"/>
    <w:rsid w:val="00AA71F8"/>
    <w:rsid w:val="00AB06F9"/>
    <w:rsid w:val="00AB12AC"/>
    <w:rsid w:val="00AB1B0E"/>
    <w:rsid w:val="00AB31AE"/>
    <w:rsid w:val="00AB4588"/>
    <w:rsid w:val="00AB56A6"/>
    <w:rsid w:val="00AC0964"/>
    <w:rsid w:val="00AC0EAF"/>
    <w:rsid w:val="00AC0FA0"/>
    <w:rsid w:val="00AC1528"/>
    <w:rsid w:val="00AC1650"/>
    <w:rsid w:val="00AC18FF"/>
    <w:rsid w:val="00AC1B99"/>
    <w:rsid w:val="00AC1F74"/>
    <w:rsid w:val="00AC2137"/>
    <w:rsid w:val="00AC3896"/>
    <w:rsid w:val="00AC3954"/>
    <w:rsid w:val="00AC4283"/>
    <w:rsid w:val="00AC42E9"/>
    <w:rsid w:val="00AC4623"/>
    <w:rsid w:val="00AC4939"/>
    <w:rsid w:val="00AC49D5"/>
    <w:rsid w:val="00AC4AE2"/>
    <w:rsid w:val="00AC4BA2"/>
    <w:rsid w:val="00AC53CF"/>
    <w:rsid w:val="00AC6352"/>
    <w:rsid w:val="00AC6A58"/>
    <w:rsid w:val="00AC6BF5"/>
    <w:rsid w:val="00AD08E3"/>
    <w:rsid w:val="00AD186B"/>
    <w:rsid w:val="00AD452D"/>
    <w:rsid w:val="00AD48AF"/>
    <w:rsid w:val="00AD48DB"/>
    <w:rsid w:val="00AD52DD"/>
    <w:rsid w:val="00AD538E"/>
    <w:rsid w:val="00AD6A07"/>
    <w:rsid w:val="00AD6ABF"/>
    <w:rsid w:val="00AD6C13"/>
    <w:rsid w:val="00AD7446"/>
    <w:rsid w:val="00AD7CE9"/>
    <w:rsid w:val="00AE0EA5"/>
    <w:rsid w:val="00AE1099"/>
    <w:rsid w:val="00AE15A4"/>
    <w:rsid w:val="00AE2055"/>
    <w:rsid w:val="00AE300B"/>
    <w:rsid w:val="00AE30C6"/>
    <w:rsid w:val="00AE351B"/>
    <w:rsid w:val="00AE35FB"/>
    <w:rsid w:val="00AE411E"/>
    <w:rsid w:val="00AE48E9"/>
    <w:rsid w:val="00AE5AC3"/>
    <w:rsid w:val="00AE5BED"/>
    <w:rsid w:val="00AE6E4F"/>
    <w:rsid w:val="00AE74A3"/>
    <w:rsid w:val="00AE7CA5"/>
    <w:rsid w:val="00AF02C1"/>
    <w:rsid w:val="00AF0D26"/>
    <w:rsid w:val="00AF12A9"/>
    <w:rsid w:val="00AF148E"/>
    <w:rsid w:val="00AF2914"/>
    <w:rsid w:val="00AF3C1E"/>
    <w:rsid w:val="00AF41A2"/>
    <w:rsid w:val="00AF42A9"/>
    <w:rsid w:val="00AF6622"/>
    <w:rsid w:val="00AF7663"/>
    <w:rsid w:val="00AF7F30"/>
    <w:rsid w:val="00B003AC"/>
    <w:rsid w:val="00B00551"/>
    <w:rsid w:val="00B011D7"/>
    <w:rsid w:val="00B01323"/>
    <w:rsid w:val="00B01655"/>
    <w:rsid w:val="00B017A4"/>
    <w:rsid w:val="00B020CC"/>
    <w:rsid w:val="00B02626"/>
    <w:rsid w:val="00B0284D"/>
    <w:rsid w:val="00B02E8C"/>
    <w:rsid w:val="00B0576B"/>
    <w:rsid w:val="00B065DC"/>
    <w:rsid w:val="00B06ABF"/>
    <w:rsid w:val="00B06D26"/>
    <w:rsid w:val="00B074F0"/>
    <w:rsid w:val="00B07AAD"/>
    <w:rsid w:val="00B07D34"/>
    <w:rsid w:val="00B07D3A"/>
    <w:rsid w:val="00B10A25"/>
    <w:rsid w:val="00B10E77"/>
    <w:rsid w:val="00B113B3"/>
    <w:rsid w:val="00B11884"/>
    <w:rsid w:val="00B118DC"/>
    <w:rsid w:val="00B1207B"/>
    <w:rsid w:val="00B1215A"/>
    <w:rsid w:val="00B127E1"/>
    <w:rsid w:val="00B12E68"/>
    <w:rsid w:val="00B13082"/>
    <w:rsid w:val="00B1421B"/>
    <w:rsid w:val="00B147A6"/>
    <w:rsid w:val="00B14841"/>
    <w:rsid w:val="00B14B88"/>
    <w:rsid w:val="00B16657"/>
    <w:rsid w:val="00B17A41"/>
    <w:rsid w:val="00B17DAC"/>
    <w:rsid w:val="00B21D41"/>
    <w:rsid w:val="00B2231F"/>
    <w:rsid w:val="00B22F97"/>
    <w:rsid w:val="00B239DD"/>
    <w:rsid w:val="00B23B04"/>
    <w:rsid w:val="00B24028"/>
    <w:rsid w:val="00B24325"/>
    <w:rsid w:val="00B24474"/>
    <w:rsid w:val="00B25B19"/>
    <w:rsid w:val="00B25DC3"/>
    <w:rsid w:val="00B26394"/>
    <w:rsid w:val="00B263C2"/>
    <w:rsid w:val="00B27494"/>
    <w:rsid w:val="00B2776D"/>
    <w:rsid w:val="00B302A5"/>
    <w:rsid w:val="00B311B1"/>
    <w:rsid w:val="00B3203A"/>
    <w:rsid w:val="00B32969"/>
    <w:rsid w:val="00B334D2"/>
    <w:rsid w:val="00B3382E"/>
    <w:rsid w:val="00B34337"/>
    <w:rsid w:val="00B371D6"/>
    <w:rsid w:val="00B3758D"/>
    <w:rsid w:val="00B375F5"/>
    <w:rsid w:val="00B4009A"/>
    <w:rsid w:val="00B4153B"/>
    <w:rsid w:val="00B416FA"/>
    <w:rsid w:val="00B41710"/>
    <w:rsid w:val="00B41AD6"/>
    <w:rsid w:val="00B42005"/>
    <w:rsid w:val="00B4290F"/>
    <w:rsid w:val="00B43766"/>
    <w:rsid w:val="00B45CE0"/>
    <w:rsid w:val="00B47989"/>
    <w:rsid w:val="00B47A59"/>
    <w:rsid w:val="00B47DD1"/>
    <w:rsid w:val="00B47ECF"/>
    <w:rsid w:val="00B50F54"/>
    <w:rsid w:val="00B51073"/>
    <w:rsid w:val="00B521E9"/>
    <w:rsid w:val="00B52CB6"/>
    <w:rsid w:val="00B52CCC"/>
    <w:rsid w:val="00B52ED8"/>
    <w:rsid w:val="00B54634"/>
    <w:rsid w:val="00B55FA4"/>
    <w:rsid w:val="00B567D1"/>
    <w:rsid w:val="00B56F88"/>
    <w:rsid w:val="00B57B00"/>
    <w:rsid w:val="00B61398"/>
    <w:rsid w:val="00B6142F"/>
    <w:rsid w:val="00B61A79"/>
    <w:rsid w:val="00B61ED7"/>
    <w:rsid w:val="00B640DC"/>
    <w:rsid w:val="00B6458A"/>
    <w:rsid w:val="00B648F5"/>
    <w:rsid w:val="00B65972"/>
    <w:rsid w:val="00B6657F"/>
    <w:rsid w:val="00B66A5E"/>
    <w:rsid w:val="00B6716F"/>
    <w:rsid w:val="00B6792D"/>
    <w:rsid w:val="00B70352"/>
    <w:rsid w:val="00B70A00"/>
    <w:rsid w:val="00B70FD5"/>
    <w:rsid w:val="00B71E12"/>
    <w:rsid w:val="00B72C8D"/>
    <w:rsid w:val="00B7327A"/>
    <w:rsid w:val="00B73C2F"/>
    <w:rsid w:val="00B73F92"/>
    <w:rsid w:val="00B74152"/>
    <w:rsid w:val="00B74F26"/>
    <w:rsid w:val="00B756BC"/>
    <w:rsid w:val="00B75A7B"/>
    <w:rsid w:val="00B75B07"/>
    <w:rsid w:val="00B76E19"/>
    <w:rsid w:val="00B76ECE"/>
    <w:rsid w:val="00B77A15"/>
    <w:rsid w:val="00B77E6A"/>
    <w:rsid w:val="00B81396"/>
    <w:rsid w:val="00B81483"/>
    <w:rsid w:val="00B82599"/>
    <w:rsid w:val="00B837BF"/>
    <w:rsid w:val="00B83846"/>
    <w:rsid w:val="00B84A18"/>
    <w:rsid w:val="00B863C5"/>
    <w:rsid w:val="00B86774"/>
    <w:rsid w:val="00B86845"/>
    <w:rsid w:val="00B86BA1"/>
    <w:rsid w:val="00B876E2"/>
    <w:rsid w:val="00B87C77"/>
    <w:rsid w:val="00B87E61"/>
    <w:rsid w:val="00B87FE5"/>
    <w:rsid w:val="00B908F1"/>
    <w:rsid w:val="00B90A00"/>
    <w:rsid w:val="00B9123E"/>
    <w:rsid w:val="00B92375"/>
    <w:rsid w:val="00B92907"/>
    <w:rsid w:val="00B92F6C"/>
    <w:rsid w:val="00B93209"/>
    <w:rsid w:val="00B9393A"/>
    <w:rsid w:val="00B94213"/>
    <w:rsid w:val="00B96BA5"/>
    <w:rsid w:val="00B96E6D"/>
    <w:rsid w:val="00B96ED5"/>
    <w:rsid w:val="00BA1A53"/>
    <w:rsid w:val="00BA1D1A"/>
    <w:rsid w:val="00BA2426"/>
    <w:rsid w:val="00BA304D"/>
    <w:rsid w:val="00BA32E5"/>
    <w:rsid w:val="00BA34E4"/>
    <w:rsid w:val="00BA358A"/>
    <w:rsid w:val="00BA3BB4"/>
    <w:rsid w:val="00BA3D36"/>
    <w:rsid w:val="00BA4235"/>
    <w:rsid w:val="00BA45AD"/>
    <w:rsid w:val="00BA4D8A"/>
    <w:rsid w:val="00BA5BB8"/>
    <w:rsid w:val="00BA616D"/>
    <w:rsid w:val="00BA6D62"/>
    <w:rsid w:val="00BB10B0"/>
    <w:rsid w:val="00BB233A"/>
    <w:rsid w:val="00BB24A8"/>
    <w:rsid w:val="00BB2E41"/>
    <w:rsid w:val="00BB3256"/>
    <w:rsid w:val="00BB329B"/>
    <w:rsid w:val="00BB32B1"/>
    <w:rsid w:val="00BB37A2"/>
    <w:rsid w:val="00BB4CC9"/>
    <w:rsid w:val="00BB694D"/>
    <w:rsid w:val="00BB6C50"/>
    <w:rsid w:val="00BB71A5"/>
    <w:rsid w:val="00BC1AA6"/>
    <w:rsid w:val="00BC497B"/>
    <w:rsid w:val="00BC55F8"/>
    <w:rsid w:val="00BC6B97"/>
    <w:rsid w:val="00BD0445"/>
    <w:rsid w:val="00BD04CE"/>
    <w:rsid w:val="00BD10BB"/>
    <w:rsid w:val="00BD1720"/>
    <w:rsid w:val="00BD1F32"/>
    <w:rsid w:val="00BD2761"/>
    <w:rsid w:val="00BD28BE"/>
    <w:rsid w:val="00BD3220"/>
    <w:rsid w:val="00BD3230"/>
    <w:rsid w:val="00BD36F5"/>
    <w:rsid w:val="00BD39EB"/>
    <w:rsid w:val="00BD4873"/>
    <w:rsid w:val="00BD4DFF"/>
    <w:rsid w:val="00BD4FD7"/>
    <w:rsid w:val="00BD5A42"/>
    <w:rsid w:val="00BD6B07"/>
    <w:rsid w:val="00BE0499"/>
    <w:rsid w:val="00BE0A0F"/>
    <w:rsid w:val="00BE0B5C"/>
    <w:rsid w:val="00BE0B65"/>
    <w:rsid w:val="00BE11D0"/>
    <w:rsid w:val="00BE1D38"/>
    <w:rsid w:val="00BE1F69"/>
    <w:rsid w:val="00BE280D"/>
    <w:rsid w:val="00BE2C62"/>
    <w:rsid w:val="00BE2F27"/>
    <w:rsid w:val="00BE3004"/>
    <w:rsid w:val="00BE3817"/>
    <w:rsid w:val="00BE390D"/>
    <w:rsid w:val="00BE397E"/>
    <w:rsid w:val="00BE39AF"/>
    <w:rsid w:val="00BE3DB3"/>
    <w:rsid w:val="00BE406F"/>
    <w:rsid w:val="00BE4494"/>
    <w:rsid w:val="00BE4C30"/>
    <w:rsid w:val="00BE4D15"/>
    <w:rsid w:val="00BE65BF"/>
    <w:rsid w:val="00BE6A06"/>
    <w:rsid w:val="00BE6F9C"/>
    <w:rsid w:val="00BF106D"/>
    <w:rsid w:val="00BF114E"/>
    <w:rsid w:val="00BF1210"/>
    <w:rsid w:val="00BF3039"/>
    <w:rsid w:val="00BF379C"/>
    <w:rsid w:val="00BF445B"/>
    <w:rsid w:val="00BF44B3"/>
    <w:rsid w:val="00BF49DE"/>
    <w:rsid w:val="00BF570B"/>
    <w:rsid w:val="00BF6A73"/>
    <w:rsid w:val="00BF75BA"/>
    <w:rsid w:val="00BF79B6"/>
    <w:rsid w:val="00C0071D"/>
    <w:rsid w:val="00C0096F"/>
    <w:rsid w:val="00C0177A"/>
    <w:rsid w:val="00C02513"/>
    <w:rsid w:val="00C027E9"/>
    <w:rsid w:val="00C051CF"/>
    <w:rsid w:val="00C05CFF"/>
    <w:rsid w:val="00C06289"/>
    <w:rsid w:val="00C06B7F"/>
    <w:rsid w:val="00C070E4"/>
    <w:rsid w:val="00C10216"/>
    <w:rsid w:val="00C10E15"/>
    <w:rsid w:val="00C111DB"/>
    <w:rsid w:val="00C11CD6"/>
    <w:rsid w:val="00C11DAD"/>
    <w:rsid w:val="00C13823"/>
    <w:rsid w:val="00C14177"/>
    <w:rsid w:val="00C15CD1"/>
    <w:rsid w:val="00C16793"/>
    <w:rsid w:val="00C16FDB"/>
    <w:rsid w:val="00C17369"/>
    <w:rsid w:val="00C177F6"/>
    <w:rsid w:val="00C17C70"/>
    <w:rsid w:val="00C17D32"/>
    <w:rsid w:val="00C20CDA"/>
    <w:rsid w:val="00C213D7"/>
    <w:rsid w:val="00C23082"/>
    <w:rsid w:val="00C23202"/>
    <w:rsid w:val="00C23287"/>
    <w:rsid w:val="00C23B30"/>
    <w:rsid w:val="00C23D62"/>
    <w:rsid w:val="00C24E4B"/>
    <w:rsid w:val="00C25547"/>
    <w:rsid w:val="00C255C8"/>
    <w:rsid w:val="00C257ED"/>
    <w:rsid w:val="00C25A53"/>
    <w:rsid w:val="00C25BE0"/>
    <w:rsid w:val="00C25FCF"/>
    <w:rsid w:val="00C26636"/>
    <w:rsid w:val="00C26D23"/>
    <w:rsid w:val="00C27F3B"/>
    <w:rsid w:val="00C27F64"/>
    <w:rsid w:val="00C30F82"/>
    <w:rsid w:val="00C3105A"/>
    <w:rsid w:val="00C316BD"/>
    <w:rsid w:val="00C323CD"/>
    <w:rsid w:val="00C333A9"/>
    <w:rsid w:val="00C33AD3"/>
    <w:rsid w:val="00C3510E"/>
    <w:rsid w:val="00C363A4"/>
    <w:rsid w:val="00C37759"/>
    <w:rsid w:val="00C37E91"/>
    <w:rsid w:val="00C41FF8"/>
    <w:rsid w:val="00C43C70"/>
    <w:rsid w:val="00C44C8F"/>
    <w:rsid w:val="00C456D9"/>
    <w:rsid w:val="00C458B2"/>
    <w:rsid w:val="00C47293"/>
    <w:rsid w:val="00C476FC"/>
    <w:rsid w:val="00C47CD4"/>
    <w:rsid w:val="00C502EF"/>
    <w:rsid w:val="00C503B6"/>
    <w:rsid w:val="00C503F2"/>
    <w:rsid w:val="00C50A47"/>
    <w:rsid w:val="00C53505"/>
    <w:rsid w:val="00C53E19"/>
    <w:rsid w:val="00C54084"/>
    <w:rsid w:val="00C5567C"/>
    <w:rsid w:val="00C5594B"/>
    <w:rsid w:val="00C56629"/>
    <w:rsid w:val="00C5696C"/>
    <w:rsid w:val="00C5709B"/>
    <w:rsid w:val="00C57D7F"/>
    <w:rsid w:val="00C60214"/>
    <w:rsid w:val="00C60F3B"/>
    <w:rsid w:val="00C61DC7"/>
    <w:rsid w:val="00C624BF"/>
    <w:rsid w:val="00C62BAA"/>
    <w:rsid w:val="00C62BF5"/>
    <w:rsid w:val="00C649F6"/>
    <w:rsid w:val="00C65A9D"/>
    <w:rsid w:val="00C66BE8"/>
    <w:rsid w:val="00C6741C"/>
    <w:rsid w:val="00C679AD"/>
    <w:rsid w:val="00C70A24"/>
    <w:rsid w:val="00C70D7D"/>
    <w:rsid w:val="00C711FF"/>
    <w:rsid w:val="00C71689"/>
    <w:rsid w:val="00C7191E"/>
    <w:rsid w:val="00C71965"/>
    <w:rsid w:val="00C72D94"/>
    <w:rsid w:val="00C73A76"/>
    <w:rsid w:val="00C73D62"/>
    <w:rsid w:val="00C73EF4"/>
    <w:rsid w:val="00C74318"/>
    <w:rsid w:val="00C748C6"/>
    <w:rsid w:val="00C75B8C"/>
    <w:rsid w:val="00C76CB6"/>
    <w:rsid w:val="00C77055"/>
    <w:rsid w:val="00C809CB"/>
    <w:rsid w:val="00C80CCB"/>
    <w:rsid w:val="00C81310"/>
    <w:rsid w:val="00C81830"/>
    <w:rsid w:val="00C82087"/>
    <w:rsid w:val="00C8316A"/>
    <w:rsid w:val="00C835A2"/>
    <w:rsid w:val="00C83DD2"/>
    <w:rsid w:val="00C86359"/>
    <w:rsid w:val="00C87D4C"/>
    <w:rsid w:val="00C90316"/>
    <w:rsid w:val="00C906B2"/>
    <w:rsid w:val="00C9139A"/>
    <w:rsid w:val="00C91B34"/>
    <w:rsid w:val="00C93D71"/>
    <w:rsid w:val="00C97C41"/>
    <w:rsid w:val="00CA1BC2"/>
    <w:rsid w:val="00CA1C2E"/>
    <w:rsid w:val="00CA2327"/>
    <w:rsid w:val="00CA25EB"/>
    <w:rsid w:val="00CA270A"/>
    <w:rsid w:val="00CA2D33"/>
    <w:rsid w:val="00CA3AFD"/>
    <w:rsid w:val="00CA415B"/>
    <w:rsid w:val="00CA6C79"/>
    <w:rsid w:val="00CA6CF1"/>
    <w:rsid w:val="00CB003D"/>
    <w:rsid w:val="00CB0E22"/>
    <w:rsid w:val="00CB1529"/>
    <w:rsid w:val="00CB152B"/>
    <w:rsid w:val="00CB344A"/>
    <w:rsid w:val="00CB4C3F"/>
    <w:rsid w:val="00CB5AAF"/>
    <w:rsid w:val="00CB5B5C"/>
    <w:rsid w:val="00CB5E61"/>
    <w:rsid w:val="00CB660D"/>
    <w:rsid w:val="00CB6A20"/>
    <w:rsid w:val="00CB73CE"/>
    <w:rsid w:val="00CC0B20"/>
    <w:rsid w:val="00CC0E99"/>
    <w:rsid w:val="00CC14DD"/>
    <w:rsid w:val="00CC1C3F"/>
    <w:rsid w:val="00CC2255"/>
    <w:rsid w:val="00CC2EE0"/>
    <w:rsid w:val="00CC30BB"/>
    <w:rsid w:val="00CC6220"/>
    <w:rsid w:val="00CD1020"/>
    <w:rsid w:val="00CD27EA"/>
    <w:rsid w:val="00CD5427"/>
    <w:rsid w:val="00CD5DEA"/>
    <w:rsid w:val="00CD6334"/>
    <w:rsid w:val="00CD664F"/>
    <w:rsid w:val="00CD6F95"/>
    <w:rsid w:val="00CD77C5"/>
    <w:rsid w:val="00CD7864"/>
    <w:rsid w:val="00CE0613"/>
    <w:rsid w:val="00CE0F87"/>
    <w:rsid w:val="00CE0FDA"/>
    <w:rsid w:val="00CE1C09"/>
    <w:rsid w:val="00CE590F"/>
    <w:rsid w:val="00CE6396"/>
    <w:rsid w:val="00CE66A2"/>
    <w:rsid w:val="00CE709A"/>
    <w:rsid w:val="00CE76CD"/>
    <w:rsid w:val="00CE77F0"/>
    <w:rsid w:val="00CF19D9"/>
    <w:rsid w:val="00CF2131"/>
    <w:rsid w:val="00CF2331"/>
    <w:rsid w:val="00CF2785"/>
    <w:rsid w:val="00CF2C5A"/>
    <w:rsid w:val="00CF307D"/>
    <w:rsid w:val="00CF323D"/>
    <w:rsid w:val="00CF3469"/>
    <w:rsid w:val="00CF3922"/>
    <w:rsid w:val="00CF51D8"/>
    <w:rsid w:val="00CF5B4B"/>
    <w:rsid w:val="00CF5C8C"/>
    <w:rsid w:val="00CF6211"/>
    <w:rsid w:val="00D00C03"/>
    <w:rsid w:val="00D01F84"/>
    <w:rsid w:val="00D028A9"/>
    <w:rsid w:val="00D031E3"/>
    <w:rsid w:val="00D035A2"/>
    <w:rsid w:val="00D03C97"/>
    <w:rsid w:val="00D03C9E"/>
    <w:rsid w:val="00D07621"/>
    <w:rsid w:val="00D07EBE"/>
    <w:rsid w:val="00D102DA"/>
    <w:rsid w:val="00D11E2D"/>
    <w:rsid w:val="00D12D3A"/>
    <w:rsid w:val="00D139C1"/>
    <w:rsid w:val="00D146E4"/>
    <w:rsid w:val="00D14834"/>
    <w:rsid w:val="00D14C8D"/>
    <w:rsid w:val="00D153A2"/>
    <w:rsid w:val="00D1542E"/>
    <w:rsid w:val="00D1624C"/>
    <w:rsid w:val="00D20F0F"/>
    <w:rsid w:val="00D2161D"/>
    <w:rsid w:val="00D22210"/>
    <w:rsid w:val="00D227AE"/>
    <w:rsid w:val="00D235D6"/>
    <w:rsid w:val="00D239E8"/>
    <w:rsid w:val="00D2401F"/>
    <w:rsid w:val="00D2411D"/>
    <w:rsid w:val="00D24622"/>
    <w:rsid w:val="00D26338"/>
    <w:rsid w:val="00D30176"/>
    <w:rsid w:val="00D30621"/>
    <w:rsid w:val="00D33021"/>
    <w:rsid w:val="00D33B08"/>
    <w:rsid w:val="00D34B15"/>
    <w:rsid w:val="00D3523B"/>
    <w:rsid w:val="00D356DE"/>
    <w:rsid w:val="00D36320"/>
    <w:rsid w:val="00D36442"/>
    <w:rsid w:val="00D3675E"/>
    <w:rsid w:val="00D3685D"/>
    <w:rsid w:val="00D3693C"/>
    <w:rsid w:val="00D37137"/>
    <w:rsid w:val="00D374B3"/>
    <w:rsid w:val="00D37593"/>
    <w:rsid w:val="00D379CF"/>
    <w:rsid w:val="00D405B7"/>
    <w:rsid w:val="00D40D91"/>
    <w:rsid w:val="00D42597"/>
    <w:rsid w:val="00D42E96"/>
    <w:rsid w:val="00D4358A"/>
    <w:rsid w:val="00D441C7"/>
    <w:rsid w:val="00D453A2"/>
    <w:rsid w:val="00D45411"/>
    <w:rsid w:val="00D46969"/>
    <w:rsid w:val="00D4748D"/>
    <w:rsid w:val="00D475CC"/>
    <w:rsid w:val="00D477E1"/>
    <w:rsid w:val="00D50EA0"/>
    <w:rsid w:val="00D514C2"/>
    <w:rsid w:val="00D52470"/>
    <w:rsid w:val="00D52B96"/>
    <w:rsid w:val="00D52C9B"/>
    <w:rsid w:val="00D52DB1"/>
    <w:rsid w:val="00D541CD"/>
    <w:rsid w:val="00D54A8E"/>
    <w:rsid w:val="00D54D47"/>
    <w:rsid w:val="00D55582"/>
    <w:rsid w:val="00D55709"/>
    <w:rsid w:val="00D55EE5"/>
    <w:rsid w:val="00D6022D"/>
    <w:rsid w:val="00D60572"/>
    <w:rsid w:val="00D60C3C"/>
    <w:rsid w:val="00D61019"/>
    <w:rsid w:val="00D61729"/>
    <w:rsid w:val="00D61C0E"/>
    <w:rsid w:val="00D627E3"/>
    <w:rsid w:val="00D62A4B"/>
    <w:rsid w:val="00D63829"/>
    <w:rsid w:val="00D64085"/>
    <w:rsid w:val="00D652F7"/>
    <w:rsid w:val="00D65861"/>
    <w:rsid w:val="00D65C16"/>
    <w:rsid w:val="00D663D0"/>
    <w:rsid w:val="00D667B5"/>
    <w:rsid w:val="00D675AA"/>
    <w:rsid w:val="00D67640"/>
    <w:rsid w:val="00D70A47"/>
    <w:rsid w:val="00D71489"/>
    <w:rsid w:val="00D71D1D"/>
    <w:rsid w:val="00D72441"/>
    <w:rsid w:val="00D727B9"/>
    <w:rsid w:val="00D72B05"/>
    <w:rsid w:val="00D74B46"/>
    <w:rsid w:val="00D75671"/>
    <w:rsid w:val="00D76317"/>
    <w:rsid w:val="00D76B81"/>
    <w:rsid w:val="00D77C0C"/>
    <w:rsid w:val="00D77F37"/>
    <w:rsid w:val="00D80D85"/>
    <w:rsid w:val="00D80FDE"/>
    <w:rsid w:val="00D8105D"/>
    <w:rsid w:val="00D8176E"/>
    <w:rsid w:val="00D81B30"/>
    <w:rsid w:val="00D82126"/>
    <w:rsid w:val="00D822C3"/>
    <w:rsid w:val="00D82B54"/>
    <w:rsid w:val="00D8467D"/>
    <w:rsid w:val="00D84D2A"/>
    <w:rsid w:val="00D85BF9"/>
    <w:rsid w:val="00D85F0D"/>
    <w:rsid w:val="00D86274"/>
    <w:rsid w:val="00D86A4D"/>
    <w:rsid w:val="00D86D7D"/>
    <w:rsid w:val="00D8715B"/>
    <w:rsid w:val="00D87AC1"/>
    <w:rsid w:val="00D90373"/>
    <w:rsid w:val="00D907D0"/>
    <w:rsid w:val="00D9168E"/>
    <w:rsid w:val="00D92C17"/>
    <w:rsid w:val="00D9317A"/>
    <w:rsid w:val="00D93CA0"/>
    <w:rsid w:val="00D950C1"/>
    <w:rsid w:val="00D952A4"/>
    <w:rsid w:val="00D95785"/>
    <w:rsid w:val="00D95925"/>
    <w:rsid w:val="00DA00E3"/>
    <w:rsid w:val="00DA0167"/>
    <w:rsid w:val="00DA0B2A"/>
    <w:rsid w:val="00DA159D"/>
    <w:rsid w:val="00DA2D08"/>
    <w:rsid w:val="00DA3F4B"/>
    <w:rsid w:val="00DA4746"/>
    <w:rsid w:val="00DA53A3"/>
    <w:rsid w:val="00DA66DF"/>
    <w:rsid w:val="00DA6A8E"/>
    <w:rsid w:val="00DA6EA6"/>
    <w:rsid w:val="00DA7585"/>
    <w:rsid w:val="00DA76ED"/>
    <w:rsid w:val="00DB02C3"/>
    <w:rsid w:val="00DB0330"/>
    <w:rsid w:val="00DB0662"/>
    <w:rsid w:val="00DB0ED4"/>
    <w:rsid w:val="00DB220D"/>
    <w:rsid w:val="00DB329D"/>
    <w:rsid w:val="00DB38F3"/>
    <w:rsid w:val="00DB6418"/>
    <w:rsid w:val="00DB6534"/>
    <w:rsid w:val="00DB6B53"/>
    <w:rsid w:val="00DB7201"/>
    <w:rsid w:val="00DC0589"/>
    <w:rsid w:val="00DC10F3"/>
    <w:rsid w:val="00DC1442"/>
    <w:rsid w:val="00DC1696"/>
    <w:rsid w:val="00DC2365"/>
    <w:rsid w:val="00DC279A"/>
    <w:rsid w:val="00DC27A9"/>
    <w:rsid w:val="00DC2891"/>
    <w:rsid w:val="00DC394F"/>
    <w:rsid w:val="00DC48B4"/>
    <w:rsid w:val="00DC4ADD"/>
    <w:rsid w:val="00DC5BF4"/>
    <w:rsid w:val="00DC69E4"/>
    <w:rsid w:val="00DC7B9F"/>
    <w:rsid w:val="00DD1A82"/>
    <w:rsid w:val="00DD27B4"/>
    <w:rsid w:val="00DD3FD0"/>
    <w:rsid w:val="00DD553F"/>
    <w:rsid w:val="00DD7053"/>
    <w:rsid w:val="00DD7A5C"/>
    <w:rsid w:val="00DD7E45"/>
    <w:rsid w:val="00DE07A0"/>
    <w:rsid w:val="00DE1764"/>
    <w:rsid w:val="00DE204B"/>
    <w:rsid w:val="00DE2413"/>
    <w:rsid w:val="00DE281E"/>
    <w:rsid w:val="00DE37A3"/>
    <w:rsid w:val="00DE4F07"/>
    <w:rsid w:val="00DE6A7F"/>
    <w:rsid w:val="00DE6CD5"/>
    <w:rsid w:val="00DE6E58"/>
    <w:rsid w:val="00DF0502"/>
    <w:rsid w:val="00DF1643"/>
    <w:rsid w:val="00DF2862"/>
    <w:rsid w:val="00DF3151"/>
    <w:rsid w:val="00DF340C"/>
    <w:rsid w:val="00DF3CF9"/>
    <w:rsid w:val="00DF4176"/>
    <w:rsid w:val="00DF4931"/>
    <w:rsid w:val="00DF526F"/>
    <w:rsid w:val="00DF5C72"/>
    <w:rsid w:val="00DF5F48"/>
    <w:rsid w:val="00DF6AB8"/>
    <w:rsid w:val="00DF6B42"/>
    <w:rsid w:val="00DF7C13"/>
    <w:rsid w:val="00DF7D35"/>
    <w:rsid w:val="00E0105C"/>
    <w:rsid w:val="00E02690"/>
    <w:rsid w:val="00E036B3"/>
    <w:rsid w:val="00E03797"/>
    <w:rsid w:val="00E03D23"/>
    <w:rsid w:val="00E03DEC"/>
    <w:rsid w:val="00E053F9"/>
    <w:rsid w:val="00E054B6"/>
    <w:rsid w:val="00E05F00"/>
    <w:rsid w:val="00E0684C"/>
    <w:rsid w:val="00E07557"/>
    <w:rsid w:val="00E078CF"/>
    <w:rsid w:val="00E103AD"/>
    <w:rsid w:val="00E1192C"/>
    <w:rsid w:val="00E121EC"/>
    <w:rsid w:val="00E13F0B"/>
    <w:rsid w:val="00E15780"/>
    <w:rsid w:val="00E16030"/>
    <w:rsid w:val="00E169A9"/>
    <w:rsid w:val="00E16DC6"/>
    <w:rsid w:val="00E2061F"/>
    <w:rsid w:val="00E21310"/>
    <w:rsid w:val="00E2223A"/>
    <w:rsid w:val="00E2258F"/>
    <w:rsid w:val="00E22767"/>
    <w:rsid w:val="00E2441B"/>
    <w:rsid w:val="00E244D2"/>
    <w:rsid w:val="00E24874"/>
    <w:rsid w:val="00E2583A"/>
    <w:rsid w:val="00E26477"/>
    <w:rsid w:val="00E303BF"/>
    <w:rsid w:val="00E30A45"/>
    <w:rsid w:val="00E31189"/>
    <w:rsid w:val="00E31A37"/>
    <w:rsid w:val="00E32037"/>
    <w:rsid w:val="00E322B6"/>
    <w:rsid w:val="00E332C9"/>
    <w:rsid w:val="00E337DE"/>
    <w:rsid w:val="00E34693"/>
    <w:rsid w:val="00E34B83"/>
    <w:rsid w:val="00E371BE"/>
    <w:rsid w:val="00E37C73"/>
    <w:rsid w:val="00E40BDF"/>
    <w:rsid w:val="00E40F3B"/>
    <w:rsid w:val="00E42FD7"/>
    <w:rsid w:val="00E43311"/>
    <w:rsid w:val="00E43446"/>
    <w:rsid w:val="00E439EC"/>
    <w:rsid w:val="00E43C84"/>
    <w:rsid w:val="00E43F3C"/>
    <w:rsid w:val="00E44173"/>
    <w:rsid w:val="00E45D77"/>
    <w:rsid w:val="00E464E6"/>
    <w:rsid w:val="00E478E1"/>
    <w:rsid w:val="00E47EFF"/>
    <w:rsid w:val="00E512B2"/>
    <w:rsid w:val="00E51B6A"/>
    <w:rsid w:val="00E52644"/>
    <w:rsid w:val="00E534ED"/>
    <w:rsid w:val="00E53533"/>
    <w:rsid w:val="00E53B5A"/>
    <w:rsid w:val="00E544F3"/>
    <w:rsid w:val="00E566B6"/>
    <w:rsid w:val="00E567AE"/>
    <w:rsid w:val="00E57528"/>
    <w:rsid w:val="00E576F6"/>
    <w:rsid w:val="00E57B0D"/>
    <w:rsid w:val="00E60590"/>
    <w:rsid w:val="00E605A6"/>
    <w:rsid w:val="00E60672"/>
    <w:rsid w:val="00E60A3B"/>
    <w:rsid w:val="00E60CA7"/>
    <w:rsid w:val="00E6154B"/>
    <w:rsid w:val="00E6211A"/>
    <w:rsid w:val="00E6335A"/>
    <w:rsid w:val="00E6451A"/>
    <w:rsid w:val="00E65903"/>
    <w:rsid w:val="00E65A4E"/>
    <w:rsid w:val="00E66F6C"/>
    <w:rsid w:val="00E6741A"/>
    <w:rsid w:val="00E70A2C"/>
    <w:rsid w:val="00E710A2"/>
    <w:rsid w:val="00E71994"/>
    <w:rsid w:val="00E720DC"/>
    <w:rsid w:val="00E725D6"/>
    <w:rsid w:val="00E72D79"/>
    <w:rsid w:val="00E732CF"/>
    <w:rsid w:val="00E73585"/>
    <w:rsid w:val="00E73FFA"/>
    <w:rsid w:val="00E74B6A"/>
    <w:rsid w:val="00E7532F"/>
    <w:rsid w:val="00E763D1"/>
    <w:rsid w:val="00E76526"/>
    <w:rsid w:val="00E76B85"/>
    <w:rsid w:val="00E76E05"/>
    <w:rsid w:val="00E771E2"/>
    <w:rsid w:val="00E77DC6"/>
    <w:rsid w:val="00E808B0"/>
    <w:rsid w:val="00E8149C"/>
    <w:rsid w:val="00E81631"/>
    <w:rsid w:val="00E821D8"/>
    <w:rsid w:val="00E83C7E"/>
    <w:rsid w:val="00E84089"/>
    <w:rsid w:val="00E85984"/>
    <w:rsid w:val="00E870A7"/>
    <w:rsid w:val="00E90867"/>
    <w:rsid w:val="00E91DBD"/>
    <w:rsid w:val="00E920F7"/>
    <w:rsid w:val="00E920FF"/>
    <w:rsid w:val="00E9262B"/>
    <w:rsid w:val="00E930A9"/>
    <w:rsid w:val="00E942B9"/>
    <w:rsid w:val="00E94E1D"/>
    <w:rsid w:val="00E95C30"/>
    <w:rsid w:val="00E96195"/>
    <w:rsid w:val="00E96E0E"/>
    <w:rsid w:val="00E97555"/>
    <w:rsid w:val="00EA010F"/>
    <w:rsid w:val="00EA0136"/>
    <w:rsid w:val="00EA0B11"/>
    <w:rsid w:val="00EA1A52"/>
    <w:rsid w:val="00EA1DAF"/>
    <w:rsid w:val="00EA1ED9"/>
    <w:rsid w:val="00EA2B02"/>
    <w:rsid w:val="00EA2F33"/>
    <w:rsid w:val="00EA2F84"/>
    <w:rsid w:val="00EA3376"/>
    <w:rsid w:val="00EA3393"/>
    <w:rsid w:val="00EA3512"/>
    <w:rsid w:val="00EA38FC"/>
    <w:rsid w:val="00EA5138"/>
    <w:rsid w:val="00EA53A0"/>
    <w:rsid w:val="00EA6E4A"/>
    <w:rsid w:val="00EA7517"/>
    <w:rsid w:val="00EB0A8B"/>
    <w:rsid w:val="00EB2A2C"/>
    <w:rsid w:val="00EB2E98"/>
    <w:rsid w:val="00EB3105"/>
    <w:rsid w:val="00EB39AC"/>
    <w:rsid w:val="00EB3DB3"/>
    <w:rsid w:val="00EB43E0"/>
    <w:rsid w:val="00EB4D3B"/>
    <w:rsid w:val="00EB5B4E"/>
    <w:rsid w:val="00EB6BE5"/>
    <w:rsid w:val="00EB746F"/>
    <w:rsid w:val="00EC12DA"/>
    <w:rsid w:val="00EC3A5E"/>
    <w:rsid w:val="00EC4F42"/>
    <w:rsid w:val="00EC519A"/>
    <w:rsid w:val="00EC52CB"/>
    <w:rsid w:val="00EC53CE"/>
    <w:rsid w:val="00EC6BFB"/>
    <w:rsid w:val="00EC76F9"/>
    <w:rsid w:val="00EC7AA2"/>
    <w:rsid w:val="00EC7B23"/>
    <w:rsid w:val="00ED05D5"/>
    <w:rsid w:val="00ED067E"/>
    <w:rsid w:val="00ED0988"/>
    <w:rsid w:val="00ED1143"/>
    <w:rsid w:val="00ED1153"/>
    <w:rsid w:val="00ED1159"/>
    <w:rsid w:val="00ED18AF"/>
    <w:rsid w:val="00ED21C2"/>
    <w:rsid w:val="00ED2D96"/>
    <w:rsid w:val="00ED3062"/>
    <w:rsid w:val="00ED3362"/>
    <w:rsid w:val="00ED3C3B"/>
    <w:rsid w:val="00ED4803"/>
    <w:rsid w:val="00ED4B3E"/>
    <w:rsid w:val="00ED4B5F"/>
    <w:rsid w:val="00ED6172"/>
    <w:rsid w:val="00ED6E76"/>
    <w:rsid w:val="00EE094D"/>
    <w:rsid w:val="00EE1D6F"/>
    <w:rsid w:val="00EE220E"/>
    <w:rsid w:val="00EE2BD9"/>
    <w:rsid w:val="00EE2DC3"/>
    <w:rsid w:val="00EE3AB8"/>
    <w:rsid w:val="00EE3F1F"/>
    <w:rsid w:val="00EE40D9"/>
    <w:rsid w:val="00EE4203"/>
    <w:rsid w:val="00EE6926"/>
    <w:rsid w:val="00EE6ACC"/>
    <w:rsid w:val="00EE6AF1"/>
    <w:rsid w:val="00EE6E88"/>
    <w:rsid w:val="00EE7A39"/>
    <w:rsid w:val="00EF0588"/>
    <w:rsid w:val="00EF0E2A"/>
    <w:rsid w:val="00EF150C"/>
    <w:rsid w:val="00EF1B1B"/>
    <w:rsid w:val="00EF1E09"/>
    <w:rsid w:val="00EF1F9F"/>
    <w:rsid w:val="00EF22CD"/>
    <w:rsid w:val="00EF3411"/>
    <w:rsid w:val="00EF46AF"/>
    <w:rsid w:val="00EF4994"/>
    <w:rsid w:val="00EF4BF1"/>
    <w:rsid w:val="00EF4C25"/>
    <w:rsid w:val="00EF4FA3"/>
    <w:rsid w:val="00EF54DD"/>
    <w:rsid w:val="00EF5565"/>
    <w:rsid w:val="00EF635C"/>
    <w:rsid w:val="00EF646D"/>
    <w:rsid w:val="00EF71F5"/>
    <w:rsid w:val="00EF72A0"/>
    <w:rsid w:val="00EF76CD"/>
    <w:rsid w:val="00EF7C96"/>
    <w:rsid w:val="00EF7FEF"/>
    <w:rsid w:val="00F01626"/>
    <w:rsid w:val="00F02834"/>
    <w:rsid w:val="00F0396F"/>
    <w:rsid w:val="00F03E6C"/>
    <w:rsid w:val="00F04D43"/>
    <w:rsid w:val="00F04F3F"/>
    <w:rsid w:val="00F052B3"/>
    <w:rsid w:val="00F06F64"/>
    <w:rsid w:val="00F07501"/>
    <w:rsid w:val="00F07789"/>
    <w:rsid w:val="00F1031C"/>
    <w:rsid w:val="00F10471"/>
    <w:rsid w:val="00F11457"/>
    <w:rsid w:val="00F115C5"/>
    <w:rsid w:val="00F11911"/>
    <w:rsid w:val="00F120B4"/>
    <w:rsid w:val="00F12D44"/>
    <w:rsid w:val="00F13EA9"/>
    <w:rsid w:val="00F159D0"/>
    <w:rsid w:val="00F16784"/>
    <w:rsid w:val="00F167F2"/>
    <w:rsid w:val="00F16ECE"/>
    <w:rsid w:val="00F205F1"/>
    <w:rsid w:val="00F208B8"/>
    <w:rsid w:val="00F20B4A"/>
    <w:rsid w:val="00F2242F"/>
    <w:rsid w:val="00F23358"/>
    <w:rsid w:val="00F23C3C"/>
    <w:rsid w:val="00F242CE"/>
    <w:rsid w:val="00F24C0F"/>
    <w:rsid w:val="00F25738"/>
    <w:rsid w:val="00F266AD"/>
    <w:rsid w:val="00F26872"/>
    <w:rsid w:val="00F26A6B"/>
    <w:rsid w:val="00F2741C"/>
    <w:rsid w:val="00F27902"/>
    <w:rsid w:val="00F279C2"/>
    <w:rsid w:val="00F27C31"/>
    <w:rsid w:val="00F27FE8"/>
    <w:rsid w:val="00F30CB1"/>
    <w:rsid w:val="00F30DD1"/>
    <w:rsid w:val="00F3194B"/>
    <w:rsid w:val="00F3215A"/>
    <w:rsid w:val="00F3254A"/>
    <w:rsid w:val="00F32CA3"/>
    <w:rsid w:val="00F32CB4"/>
    <w:rsid w:val="00F3359C"/>
    <w:rsid w:val="00F33A16"/>
    <w:rsid w:val="00F33C44"/>
    <w:rsid w:val="00F33F75"/>
    <w:rsid w:val="00F34936"/>
    <w:rsid w:val="00F34CDF"/>
    <w:rsid w:val="00F354BF"/>
    <w:rsid w:val="00F3559C"/>
    <w:rsid w:val="00F36959"/>
    <w:rsid w:val="00F37680"/>
    <w:rsid w:val="00F37DC2"/>
    <w:rsid w:val="00F37EAC"/>
    <w:rsid w:val="00F37F78"/>
    <w:rsid w:val="00F405D9"/>
    <w:rsid w:val="00F41BFB"/>
    <w:rsid w:val="00F41EA0"/>
    <w:rsid w:val="00F45846"/>
    <w:rsid w:val="00F45D2F"/>
    <w:rsid w:val="00F463BD"/>
    <w:rsid w:val="00F474BF"/>
    <w:rsid w:val="00F501E1"/>
    <w:rsid w:val="00F50BD9"/>
    <w:rsid w:val="00F50D5D"/>
    <w:rsid w:val="00F518BA"/>
    <w:rsid w:val="00F51B22"/>
    <w:rsid w:val="00F51F4C"/>
    <w:rsid w:val="00F52C58"/>
    <w:rsid w:val="00F5391C"/>
    <w:rsid w:val="00F539DC"/>
    <w:rsid w:val="00F53CA4"/>
    <w:rsid w:val="00F53E33"/>
    <w:rsid w:val="00F549CE"/>
    <w:rsid w:val="00F54B2C"/>
    <w:rsid w:val="00F55542"/>
    <w:rsid w:val="00F57CBF"/>
    <w:rsid w:val="00F607CC"/>
    <w:rsid w:val="00F6097C"/>
    <w:rsid w:val="00F63313"/>
    <w:rsid w:val="00F637B7"/>
    <w:rsid w:val="00F6467D"/>
    <w:rsid w:val="00F649FB"/>
    <w:rsid w:val="00F64BDB"/>
    <w:rsid w:val="00F64CBB"/>
    <w:rsid w:val="00F65077"/>
    <w:rsid w:val="00F6670C"/>
    <w:rsid w:val="00F66808"/>
    <w:rsid w:val="00F705B1"/>
    <w:rsid w:val="00F7078F"/>
    <w:rsid w:val="00F713EF"/>
    <w:rsid w:val="00F71C36"/>
    <w:rsid w:val="00F72914"/>
    <w:rsid w:val="00F7299D"/>
    <w:rsid w:val="00F7340A"/>
    <w:rsid w:val="00F73AD8"/>
    <w:rsid w:val="00F75BCD"/>
    <w:rsid w:val="00F76034"/>
    <w:rsid w:val="00F76170"/>
    <w:rsid w:val="00F768C1"/>
    <w:rsid w:val="00F7724B"/>
    <w:rsid w:val="00F804A7"/>
    <w:rsid w:val="00F82A18"/>
    <w:rsid w:val="00F8306A"/>
    <w:rsid w:val="00F837F4"/>
    <w:rsid w:val="00F8395F"/>
    <w:rsid w:val="00F8398F"/>
    <w:rsid w:val="00F83E97"/>
    <w:rsid w:val="00F83FA4"/>
    <w:rsid w:val="00F842F2"/>
    <w:rsid w:val="00F852E3"/>
    <w:rsid w:val="00F86803"/>
    <w:rsid w:val="00F8690B"/>
    <w:rsid w:val="00F86C7B"/>
    <w:rsid w:val="00F87049"/>
    <w:rsid w:val="00F87919"/>
    <w:rsid w:val="00F907DA"/>
    <w:rsid w:val="00F90876"/>
    <w:rsid w:val="00F908E4"/>
    <w:rsid w:val="00F915B1"/>
    <w:rsid w:val="00F9258C"/>
    <w:rsid w:val="00F92905"/>
    <w:rsid w:val="00F941CA"/>
    <w:rsid w:val="00F945A3"/>
    <w:rsid w:val="00F95DE5"/>
    <w:rsid w:val="00F9691E"/>
    <w:rsid w:val="00F97870"/>
    <w:rsid w:val="00F97C38"/>
    <w:rsid w:val="00FA0305"/>
    <w:rsid w:val="00FA0BEF"/>
    <w:rsid w:val="00FA1090"/>
    <w:rsid w:val="00FA37A2"/>
    <w:rsid w:val="00FA49A2"/>
    <w:rsid w:val="00FA52A7"/>
    <w:rsid w:val="00FA5789"/>
    <w:rsid w:val="00FA5A92"/>
    <w:rsid w:val="00FA5BE7"/>
    <w:rsid w:val="00FA5F84"/>
    <w:rsid w:val="00FA5FD0"/>
    <w:rsid w:val="00FA6194"/>
    <w:rsid w:val="00FA6505"/>
    <w:rsid w:val="00FA7AF2"/>
    <w:rsid w:val="00FA7FE3"/>
    <w:rsid w:val="00FB04EE"/>
    <w:rsid w:val="00FB0C1B"/>
    <w:rsid w:val="00FB15EF"/>
    <w:rsid w:val="00FB1F14"/>
    <w:rsid w:val="00FB23BE"/>
    <w:rsid w:val="00FB23DC"/>
    <w:rsid w:val="00FB2816"/>
    <w:rsid w:val="00FB4B61"/>
    <w:rsid w:val="00FB51EF"/>
    <w:rsid w:val="00FB5AA5"/>
    <w:rsid w:val="00FB5B63"/>
    <w:rsid w:val="00FB6718"/>
    <w:rsid w:val="00FB69F8"/>
    <w:rsid w:val="00FB6AA5"/>
    <w:rsid w:val="00FB721F"/>
    <w:rsid w:val="00FB7C05"/>
    <w:rsid w:val="00FB7FD3"/>
    <w:rsid w:val="00FC1BB9"/>
    <w:rsid w:val="00FC239D"/>
    <w:rsid w:val="00FC2790"/>
    <w:rsid w:val="00FC2C3D"/>
    <w:rsid w:val="00FC3E09"/>
    <w:rsid w:val="00FC40F9"/>
    <w:rsid w:val="00FC418E"/>
    <w:rsid w:val="00FC4DE7"/>
    <w:rsid w:val="00FC5043"/>
    <w:rsid w:val="00FC58EA"/>
    <w:rsid w:val="00FC6637"/>
    <w:rsid w:val="00FC6C0B"/>
    <w:rsid w:val="00FC7A2B"/>
    <w:rsid w:val="00FC7DE2"/>
    <w:rsid w:val="00FD0B23"/>
    <w:rsid w:val="00FD205C"/>
    <w:rsid w:val="00FD320F"/>
    <w:rsid w:val="00FD381D"/>
    <w:rsid w:val="00FD43D1"/>
    <w:rsid w:val="00FD4638"/>
    <w:rsid w:val="00FD4F08"/>
    <w:rsid w:val="00FD5D15"/>
    <w:rsid w:val="00FD65EB"/>
    <w:rsid w:val="00FD7FDB"/>
    <w:rsid w:val="00FE0F9F"/>
    <w:rsid w:val="00FE157F"/>
    <w:rsid w:val="00FE21E3"/>
    <w:rsid w:val="00FE22B5"/>
    <w:rsid w:val="00FE2DE7"/>
    <w:rsid w:val="00FE3AE8"/>
    <w:rsid w:val="00FE3BAC"/>
    <w:rsid w:val="00FE4136"/>
    <w:rsid w:val="00FE4A97"/>
    <w:rsid w:val="00FE625A"/>
    <w:rsid w:val="00FE6B33"/>
    <w:rsid w:val="00FF0325"/>
    <w:rsid w:val="00FF0C7D"/>
    <w:rsid w:val="00FF1A3E"/>
    <w:rsid w:val="00FF1CBD"/>
    <w:rsid w:val="00FF3BC9"/>
    <w:rsid w:val="00FF65BD"/>
    <w:rsid w:val="00FF72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11649"/>
    <o:shapelayout v:ext="edit">
      <o:idmap v:ext="edit" data="1"/>
    </o:shapelayout>
  </w:shapeDefaults>
  <w:decimalSymbol w:val="."/>
  <w:listSeparator w:val=";"/>
  <w14:docId w14:val="0A97EA88"/>
  <w15:chartTrackingRefBased/>
  <w15:docId w15:val="{F2131745-A6C8-4E8F-AC72-D005A555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387"/>
  </w:style>
  <w:style w:type="paragraph" w:styleId="Heading1">
    <w:name w:val="heading 1"/>
    <w:basedOn w:val="Normal"/>
    <w:next w:val="Normal"/>
    <w:link w:val="Heading1Char"/>
    <w:uiPriority w:val="9"/>
    <w:qFormat/>
    <w:rsid w:val="00F7291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291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A6FC6"/>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2EA"/>
    <w:pPr>
      <w:tabs>
        <w:tab w:val="center" w:pos="4153"/>
        <w:tab w:val="right" w:pos="8306"/>
      </w:tabs>
    </w:pPr>
  </w:style>
  <w:style w:type="character" w:customStyle="1" w:styleId="HeaderChar">
    <w:name w:val="Header Char"/>
    <w:basedOn w:val="DefaultParagraphFont"/>
    <w:link w:val="Header"/>
    <w:uiPriority w:val="99"/>
    <w:rsid w:val="009332EA"/>
  </w:style>
  <w:style w:type="paragraph" w:styleId="Footer">
    <w:name w:val="footer"/>
    <w:basedOn w:val="Normal"/>
    <w:link w:val="FooterChar"/>
    <w:uiPriority w:val="99"/>
    <w:unhideWhenUsed/>
    <w:rsid w:val="009332EA"/>
    <w:pPr>
      <w:tabs>
        <w:tab w:val="center" w:pos="4153"/>
        <w:tab w:val="right" w:pos="8306"/>
      </w:tabs>
    </w:pPr>
  </w:style>
  <w:style w:type="character" w:customStyle="1" w:styleId="FooterChar">
    <w:name w:val="Footer Char"/>
    <w:basedOn w:val="DefaultParagraphFont"/>
    <w:link w:val="Footer"/>
    <w:uiPriority w:val="99"/>
    <w:rsid w:val="009332EA"/>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317774"/>
    <w:pPr>
      <w:ind w:left="720"/>
      <w:contextualSpacing/>
    </w:pPr>
  </w:style>
  <w:style w:type="table" w:styleId="TableGrid">
    <w:name w:val="Table Grid"/>
    <w:basedOn w:val="TableNormal"/>
    <w:uiPriority w:val="39"/>
    <w:rsid w:val="00CC1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Footnote Char Char,Fußnote Char Char,Footnote Text Char Rakstz. Rakstz. Char Char,Footnote Text Char Rakstz. Char Char Char Char Char,single space Char Char,footnote text Char Char,Footnote Char"/>
    <w:basedOn w:val="Normal"/>
    <w:link w:val="FootnoteTextChar"/>
    <w:uiPriority w:val="99"/>
    <w:semiHidden/>
    <w:unhideWhenUsed/>
    <w:rsid w:val="00B96ED5"/>
    <w:rPr>
      <w:sz w:val="20"/>
      <w:szCs w:val="20"/>
    </w:rPr>
  </w:style>
  <w:style w:type="character" w:customStyle="1" w:styleId="FootnoteTextChar">
    <w:name w:val="Footnote Text Char"/>
    <w:aliases w:val="Footnote Text Char Char Char,Footnote Char Char Char,Fußnote Char Char Char,Footnote Text Char Rakstz. Rakstz. Char Char Char,Footnote Text Char Rakstz. Char Char Char Char Char Char,single space Char Char Char,Footnote Char Char1"/>
    <w:basedOn w:val="DefaultParagraphFont"/>
    <w:link w:val="FootnoteText"/>
    <w:uiPriority w:val="99"/>
    <w:semiHidden/>
    <w:rsid w:val="00B96ED5"/>
    <w:rPr>
      <w:sz w:val="20"/>
      <w:szCs w:val="20"/>
    </w:rPr>
  </w:style>
  <w:style w:type="character" w:styleId="FootnoteReference">
    <w:name w:val="footnote reference"/>
    <w:aliases w:val="Footnote Reference Number,Footnote symbol,Footnote Reference Superscript,BVI fnr,Footnote reference number,number,note TESI,SUPERS,EN Footnote Reference,Times 10 Point,Exposant 3 Point,Footnote Reference_LVL"/>
    <w:basedOn w:val="DefaultParagraphFont"/>
    <w:uiPriority w:val="99"/>
    <w:semiHidden/>
    <w:unhideWhenUsed/>
    <w:qFormat/>
    <w:rsid w:val="00B96ED5"/>
    <w:rPr>
      <w:vertAlign w:val="superscript"/>
    </w:rPr>
  </w:style>
  <w:style w:type="paragraph" w:styleId="BalloonText">
    <w:name w:val="Balloon Text"/>
    <w:basedOn w:val="Normal"/>
    <w:link w:val="BalloonTextChar"/>
    <w:uiPriority w:val="99"/>
    <w:semiHidden/>
    <w:unhideWhenUsed/>
    <w:rsid w:val="007E1A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A7E"/>
    <w:rPr>
      <w:rFonts w:ascii="Segoe UI" w:hAnsi="Segoe UI" w:cs="Segoe UI"/>
      <w:sz w:val="18"/>
      <w:szCs w:val="18"/>
    </w:rPr>
  </w:style>
  <w:style w:type="paragraph" w:customStyle="1" w:styleId="tv2132">
    <w:name w:val="tv2132"/>
    <w:basedOn w:val="Normal"/>
    <w:rsid w:val="00997E8A"/>
    <w:pPr>
      <w:spacing w:line="360" w:lineRule="auto"/>
      <w:ind w:firstLine="300"/>
    </w:pPr>
    <w:rPr>
      <w:rFonts w:eastAsia="Times New Roman" w:cs="Times New Roman"/>
      <w:color w:val="414142"/>
      <w:sz w:val="20"/>
      <w:szCs w:val="20"/>
      <w:lang w:eastAsia="lv-LV"/>
    </w:rPr>
  </w:style>
  <w:style w:type="paragraph" w:styleId="NoSpacing">
    <w:name w:val="No Spacing"/>
    <w:uiPriority w:val="1"/>
    <w:qFormat/>
    <w:rsid w:val="00433CDB"/>
  </w:style>
  <w:style w:type="paragraph" w:styleId="NormalWeb">
    <w:name w:val="Normal (Web)"/>
    <w:basedOn w:val="Normal"/>
    <w:uiPriority w:val="99"/>
    <w:unhideWhenUsed/>
    <w:rsid w:val="00E43F3C"/>
    <w:pPr>
      <w:spacing w:before="100" w:beforeAutospacing="1" w:after="100" w:afterAutospacing="1"/>
    </w:pPr>
    <w:rPr>
      <w:rFonts w:eastAsia="Times New Roman" w:cs="Times New Roman"/>
      <w:szCs w:val="24"/>
      <w:lang w:eastAsia="lv-LV"/>
    </w:rPr>
  </w:style>
  <w:style w:type="character" w:customStyle="1" w:styleId="Heading1Char">
    <w:name w:val="Heading 1 Char"/>
    <w:basedOn w:val="DefaultParagraphFont"/>
    <w:link w:val="Heading1"/>
    <w:uiPriority w:val="9"/>
    <w:rsid w:val="00F7291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F7291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EA2F33"/>
    <w:pPr>
      <w:spacing w:line="259" w:lineRule="auto"/>
      <w:outlineLvl w:val="9"/>
    </w:pPr>
    <w:rPr>
      <w:lang w:val="en-US"/>
    </w:rPr>
  </w:style>
  <w:style w:type="paragraph" w:styleId="TOC1">
    <w:name w:val="toc 1"/>
    <w:basedOn w:val="Normal"/>
    <w:next w:val="Normal"/>
    <w:autoRedefine/>
    <w:uiPriority w:val="39"/>
    <w:unhideWhenUsed/>
    <w:rsid w:val="00EA2F33"/>
    <w:pPr>
      <w:spacing w:after="100"/>
    </w:pPr>
  </w:style>
  <w:style w:type="paragraph" w:styleId="TOC2">
    <w:name w:val="toc 2"/>
    <w:basedOn w:val="Normal"/>
    <w:next w:val="Normal"/>
    <w:autoRedefine/>
    <w:uiPriority w:val="39"/>
    <w:unhideWhenUsed/>
    <w:rsid w:val="00597E36"/>
    <w:pPr>
      <w:tabs>
        <w:tab w:val="left" w:pos="709"/>
        <w:tab w:val="right" w:leader="dot" w:pos="9344"/>
      </w:tabs>
      <w:spacing w:after="200"/>
      <w:ind w:firstLine="284"/>
      <w:jc w:val="both"/>
    </w:pPr>
  </w:style>
  <w:style w:type="character" w:styleId="Hyperlink">
    <w:name w:val="Hyperlink"/>
    <w:basedOn w:val="DefaultParagraphFont"/>
    <w:uiPriority w:val="99"/>
    <w:unhideWhenUsed/>
    <w:rsid w:val="00EA2F33"/>
    <w:rPr>
      <w:color w:val="0563C1" w:themeColor="hyperlink"/>
      <w:u w:val="single"/>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906774"/>
  </w:style>
  <w:style w:type="character" w:customStyle="1" w:styleId="apple-converted-space">
    <w:name w:val="apple-converted-space"/>
    <w:basedOn w:val="DefaultParagraphFont"/>
    <w:rsid w:val="00F907DA"/>
  </w:style>
  <w:style w:type="paragraph" w:customStyle="1" w:styleId="Default">
    <w:name w:val="Default"/>
    <w:basedOn w:val="Normal"/>
    <w:rsid w:val="00DF1643"/>
    <w:pPr>
      <w:autoSpaceDE w:val="0"/>
      <w:autoSpaceDN w:val="0"/>
    </w:pPr>
    <w:rPr>
      <w:rFonts w:cs="Times New Roman"/>
      <w:color w:val="000000"/>
      <w:szCs w:val="24"/>
      <w:lang w:eastAsia="lv-LV"/>
    </w:rPr>
  </w:style>
  <w:style w:type="paragraph" w:customStyle="1" w:styleId="Standard">
    <w:name w:val="Standard"/>
    <w:rsid w:val="00726DEC"/>
    <w:pPr>
      <w:widowControl w:val="0"/>
      <w:suppressAutoHyphens/>
      <w:autoSpaceDN w:val="0"/>
      <w:textAlignment w:val="baseline"/>
    </w:pPr>
    <w:rPr>
      <w:rFonts w:ascii="Liberation Serif" w:eastAsia="Droid Sans Fallback" w:hAnsi="Liberation Serif" w:cs="FreeSans"/>
      <w:kern w:val="3"/>
      <w:szCs w:val="24"/>
      <w:lang w:eastAsia="zh-CN" w:bidi="hi-IN"/>
    </w:rPr>
  </w:style>
  <w:style w:type="character" w:styleId="Strong">
    <w:name w:val="Strong"/>
    <w:uiPriority w:val="22"/>
    <w:qFormat/>
    <w:rsid w:val="00D71489"/>
    <w:rPr>
      <w:b/>
      <w:bCs/>
    </w:rPr>
  </w:style>
  <w:style w:type="character" w:styleId="Emphasis">
    <w:name w:val="Emphasis"/>
    <w:basedOn w:val="DefaultParagraphFont"/>
    <w:uiPriority w:val="20"/>
    <w:qFormat/>
    <w:rsid w:val="00215B5D"/>
    <w:rPr>
      <w:b/>
      <w:bCs/>
      <w:i w:val="0"/>
      <w:iCs w:val="0"/>
    </w:rPr>
  </w:style>
  <w:style w:type="character" w:customStyle="1" w:styleId="st1">
    <w:name w:val="st1"/>
    <w:basedOn w:val="DefaultParagraphFont"/>
    <w:rsid w:val="00215B5D"/>
  </w:style>
  <w:style w:type="paragraph" w:styleId="EndnoteText">
    <w:name w:val="endnote text"/>
    <w:basedOn w:val="Normal"/>
    <w:link w:val="EndnoteTextChar"/>
    <w:uiPriority w:val="99"/>
    <w:semiHidden/>
    <w:unhideWhenUsed/>
    <w:rsid w:val="00E544F3"/>
    <w:rPr>
      <w:sz w:val="20"/>
      <w:szCs w:val="20"/>
    </w:rPr>
  </w:style>
  <w:style w:type="character" w:customStyle="1" w:styleId="EndnoteTextChar">
    <w:name w:val="Endnote Text Char"/>
    <w:basedOn w:val="DefaultParagraphFont"/>
    <w:link w:val="EndnoteText"/>
    <w:uiPriority w:val="99"/>
    <w:semiHidden/>
    <w:rsid w:val="00E544F3"/>
    <w:rPr>
      <w:sz w:val="20"/>
      <w:szCs w:val="20"/>
    </w:rPr>
  </w:style>
  <w:style w:type="character" w:styleId="EndnoteReference">
    <w:name w:val="endnote reference"/>
    <w:basedOn w:val="DefaultParagraphFont"/>
    <w:uiPriority w:val="99"/>
    <w:semiHidden/>
    <w:unhideWhenUsed/>
    <w:rsid w:val="00E544F3"/>
    <w:rPr>
      <w:vertAlign w:val="superscript"/>
    </w:rPr>
  </w:style>
  <w:style w:type="character" w:styleId="PlaceholderText">
    <w:name w:val="Placeholder Text"/>
    <w:basedOn w:val="DefaultParagraphFont"/>
    <w:uiPriority w:val="99"/>
    <w:semiHidden/>
    <w:rsid w:val="00E544F3"/>
    <w:rPr>
      <w:color w:val="808080"/>
    </w:rPr>
  </w:style>
  <w:style w:type="character" w:customStyle="1" w:styleId="A16">
    <w:name w:val="A16"/>
    <w:uiPriority w:val="99"/>
    <w:rsid w:val="00E40BDF"/>
    <w:rPr>
      <w:rFonts w:cs="Minion Pro"/>
      <w:b/>
      <w:bCs/>
      <w:color w:val="000000"/>
      <w:sz w:val="14"/>
      <w:szCs w:val="14"/>
    </w:rPr>
  </w:style>
  <w:style w:type="character" w:customStyle="1" w:styleId="Heading3Char">
    <w:name w:val="Heading 3 Char"/>
    <w:basedOn w:val="DefaultParagraphFont"/>
    <w:link w:val="Heading3"/>
    <w:uiPriority w:val="9"/>
    <w:rsid w:val="001A6FC6"/>
    <w:rPr>
      <w:rFonts w:asciiTheme="majorHAnsi" w:eastAsiaTheme="majorEastAsia" w:hAnsiTheme="majorHAnsi" w:cstheme="majorBidi"/>
      <w:color w:val="1F4D78" w:themeColor="accent1" w:themeShade="7F"/>
      <w:szCs w:val="24"/>
    </w:rPr>
  </w:style>
  <w:style w:type="numbering" w:customStyle="1" w:styleId="NoList1">
    <w:name w:val="No List1"/>
    <w:next w:val="NoList"/>
    <w:uiPriority w:val="99"/>
    <w:semiHidden/>
    <w:unhideWhenUsed/>
    <w:rsid w:val="00E47EFF"/>
  </w:style>
  <w:style w:type="table" w:customStyle="1" w:styleId="TableGrid1">
    <w:name w:val="Table Grid1"/>
    <w:basedOn w:val="TableNormal"/>
    <w:next w:val="TableGrid"/>
    <w:uiPriority w:val="59"/>
    <w:rsid w:val="00E47EFF"/>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7EFF"/>
    <w:rPr>
      <w:sz w:val="16"/>
      <w:szCs w:val="16"/>
    </w:rPr>
  </w:style>
  <w:style w:type="paragraph" w:styleId="CommentText">
    <w:name w:val="annotation text"/>
    <w:basedOn w:val="Normal"/>
    <w:link w:val="CommentTextChar"/>
    <w:uiPriority w:val="99"/>
    <w:semiHidden/>
    <w:unhideWhenUsed/>
    <w:rsid w:val="00E47EFF"/>
    <w:rPr>
      <w:sz w:val="20"/>
      <w:szCs w:val="20"/>
    </w:rPr>
  </w:style>
  <w:style w:type="character" w:customStyle="1" w:styleId="CommentTextChar">
    <w:name w:val="Comment Text Char"/>
    <w:basedOn w:val="DefaultParagraphFont"/>
    <w:link w:val="CommentText"/>
    <w:uiPriority w:val="99"/>
    <w:semiHidden/>
    <w:rsid w:val="00E47EFF"/>
    <w:rPr>
      <w:sz w:val="20"/>
      <w:szCs w:val="20"/>
    </w:rPr>
  </w:style>
  <w:style w:type="paragraph" w:styleId="CommentSubject">
    <w:name w:val="annotation subject"/>
    <w:basedOn w:val="CommentText"/>
    <w:next w:val="CommentText"/>
    <w:link w:val="CommentSubjectChar"/>
    <w:uiPriority w:val="99"/>
    <w:semiHidden/>
    <w:unhideWhenUsed/>
    <w:rsid w:val="00E47EFF"/>
    <w:rPr>
      <w:b/>
      <w:bCs/>
    </w:rPr>
  </w:style>
  <w:style w:type="character" w:customStyle="1" w:styleId="CommentSubjectChar">
    <w:name w:val="Comment Subject Char"/>
    <w:basedOn w:val="CommentTextChar"/>
    <w:link w:val="CommentSubject"/>
    <w:uiPriority w:val="99"/>
    <w:semiHidden/>
    <w:rsid w:val="00E47EFF"/>
    <w:rPr>
      <w:b/>
      <w:bCs/>
      <w:sz w:val="20"/>
      <w:szCs w:val="20"/>
    </w:rPr>
  </w:style>
  <w:style w:type="character" w:customStyle="1" w:styleId="Bodytext">
    <w:name w:val="Body text_"/>
    <w:basedOn w:val="DefaultParagraphFont"/>
    <w:link w:val="BodyText6"/>
    <w:rsid w:val="00BE6F9C"/>
    <w:rPr>
      <w:rFonts w:eastAsia="Times New Roman" w:cs="Times New Roman"/>
      <w:sz w:val="22"/>
      <w:shd w:val="clear" w:color="auto" w:fill="FFFFFF"/>
    </w:rPr>
  </w:style>
  <w:style w:type="character" w:customStyle="1" w:styleId="BodyText1">
    <w:name w:val="Body Text1"/>
    <w:basedOn w:val="Bodytext"/>
    <w:rsid w:val="00BE6F9C"/>
    <w:rPr>
      <w:rFonts w:eastAsia="Times New Roman" w:cs="Times New Roman"/>
      <w:color w:val="000000"/>
      <w:spacing w:val="0"/>
      <w:w w:val="100"/>
      <w:position w:val="0"/>
      <w:sz w:val="22"/>
      <w:shd w:val="clear" w:color="auto" w:fill="FFFFFF"/>
      <w:lang w:val="lv-LV" w:eastAsia="lv-LV" w:bidi="lv-LV"/>
    </w:rPr>
  </w:style>
  <w:style w:type="paragraph" w:customStyle="1" w:styleId="BodyText6">
    <w:name w:val="Body Text6"/>
    <w:basedOn w:val="Normal"/>
    <w:link w:val="Bodytext"/>
    <w:rsid w:val="00BE6F9C"/>
    <w:pPr>
      <w:widowControl w:val="0"/>
      <w:shd w:val="clear" w:color="auto" w:fill="FFFFFF"/>
      <w:spacing w:before="1140" w:line="461" w:lineRule="exact"/>
      <w:ind w:hanging="440"/>
    </w:pPr>
    <w:rPr>
      <w:rFonts w:eastAsia="Times New Roman" w:cs="Times New Roman"/>
      <w:sz w:val="22"/>
    </w:rPr>
  </w:style>
  <w:style w:type="character" w:customStyle="1" w:styleId="Tablecaption">
    <w:name w:val="Table caption"/>
    <w:basedOn w:val="DefaultParagraphFont"/>
    <w:rsid w:val="00BE6F9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Italic">
    <w:name w:val="Body text + Italic"/>
    <w:basedOn w:val="Bodytext"/>
    <w:rsid w:val="00BE6F9C"/>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lv-LV" w:eastAsia="lv-LV" w:bidi="lv-LV"/>
    </w:rPr>
  </w:style>
  <w:style w:type="character" w:customStyle="1" w:styleId="BodyText3">
    <w:name w:val="Body Text3"/>
    <w:basedOn w:val="Bodytext"/>
    <w:rsid w:val="00BE6F9C"/>
    <w:rPr>
      <w:rFonts w:eastAsia="Times New Roman" w:cs="Times New Roman"/>
      <w:color w:val="000000"/>
      <w:spacing w:val="0"/>
      <w:w w:val="100"/>
      <w:position w:val="0"/>
      <w:sz w:val="22"/>
      <w:shd w:val="clear" w:color="auto" w:fill="FFFFFF"/>
      <w:lang w:val="lv-LV" w:eastAsia="lv-LV" w:bidi="lv-LV"/>
    </w:rPr>
  </w:style>
  <w:style w:type="character" w:customStyle="1" w:styleId="Tablecaption0">
    <w:name w:val="Table caption_"/>
    <w:basedOn w:val="DefaultParagraphFont"/>
    <w:rsid w:val="00BE6F9C"/>
    <w:rPr>
      <w:rFonts w:ascii="Times New Roman" w:eastAsia="Times New Roman" w:hAnsi="Times New Roman" w:cs="Times New Roman"/>
      <w:b w:val="0"/>
      <w:bCs w:val="0"/>
      <w:i w:val="0"/>
      <w:iCs w:val="0"/>
      <w:smallCaps w:val="0"/>
      <w:strike w:val="0"/>
      <w:sz w:val="22"/>
      <w:szCs w:val="22"/>
      <w:u w:val="none"/>
    </w:rPr>
  </w:style>
  <w:style w:type="character" w:customStyle="1" w:styleId="Bodytext85pt">
    <w:name w:val="Body text + 8.5 pt"/>
    <w:basedOn w:val="Bodytext"/>
    <w:rsid w:val="00BE6F9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lv-LV" w:eastAsia="lv-LV" w:bidi="lv-LV"/>
    </w:rPr>
  </w:style>
  <w:style w:type="character" w:customStyle="1" w:styleId="Bodytext85ptBoldItalic">
    <w:name w:val="Body text + 8.5 pt;Bold;Italic"/>
    <w:basedOn w:val="Bodytext"/>
    <w:rsid w:val="00BE6F9C"/>
    <w:rPr>
      <w:rFonts w:ascii="Times New Roman" w:eastAsia="Times New Roman" w:hAnsi="Times New Roman" w:cs="Times New Roman"/>
      <w:b/>
      <w:bCs/>
      <w:i/>
      <w:iCs/>
      <w:smallCaps w:val="0"/>
      <w:strike w:val="0"/>
      <w:color w:val="000000"/>
      <w:spacing w:val="0"/>
      <w:w w:val="100"/>
      <w:position w:val="0"/>
      <w:sz w:val="17"/>
      <w:szCs w:val="17"/>
      <w:u w:val="none"/>
      <w:shd w:val="clear" w:color="auto" w:fill="FFFFFF"/>
      <w:lang w:val="lv-LV" w:eastAsia="lv-LV" w:bidi="lv-LV"/>
    </w:rPr>
  </w:style>
  <w:style w:type="paragraph" w:customStyle="1" w:styleId="xmsolistparagraph">
    <w:name w:val="x_msolistparagraph"/>
    <w:basedOn w:val="Normal"/>
    <w:uiPriority w:val="99"/>
    <w:semiHidden/>
    <w:rsid w:val="00D950C1"/>
    <w:rPr>
      <w:rFonts w:cs="Times New Roman"/>
      <w:szCs w:val="24"/>
      <w:lang w:eastAsia="lv-LV"/>
    </w:rPr>
  </w:style>
  <w:style w:type="paragraph" w:styleId="TOC3">
    <w:name w:val="toc 3"/>
    <w:basedOn w:val="Normal"/>
    <w:next w:val="Normal"/>
    <w:autoRedefine/>
    <w:uiPriority w:val="39"/>
    <w:unhideWhenUsed/>
    <w:rsid w:val="00D453A2"/>
    <w:pPr>
      <w:spacing w:after="100"/>
      <w:ind w:left="480"/>
    </w:pPr>
  </w:style>
  <w:style w:type="paragraph" w:customStyle="1" w:styleId="justifyfull">
    <w:name w:val="justifyfull"/>
    <w:basedOn w:val="Normal"/>
    <w:rsid w:val="00B07D3A"/>
    <w:pPr>
      <w:spacing w:before="100" w:beforeAutospacing="1" w:after="100" w:afterAutospacing="1"/>
    </w:pPr>
    <w:rPr>
      <w:rFonts w:eastAsia="Times New Roman" w:cs="Times New Roman"/>
      <w:szCs w:val="24"/>
      <w:lang w:eastAsia="lv-LV"/>
    </w:rPr>
  </w:style>
  <w:style w:type="paragraph" w:customStyle="1" w:styleId="tv213">
    <w:name w:val="tv213"/>
    <w:basedOn w:val="Normal"/>
    <w:rsid w:val="00B07D3A"/>
    <w:pPr>
      <w:spacing w:before="100" w:beforeAutospacing="1" w:after="100" w:afterAutospacing="1"/>
    </w:pPr>
    <w:rPr>
      <w:rFonts w:eastAsia="Times New Roman" w:cs="Times New Roman"/>
      <w:szCs w:val="24"/>
      <w:lang w:eastAsia="lv-LV"/>
    </w:rPr>
  </w:style>
  <w:style w:type="paragraph" w:customStyle="1" w:styleId="xmsonormal">
    <w:name w:val="x_msonormal"/>
    <w:basedOn w:val="Normal"/>
    <w:rsid w:val="00B07D3A"/>
    <w:pPr>
      <w:spacing w:before="100" w:beforeAutospacing="1" w:after="100" w:afterAutospacing="1"/>
    </w:pPr>
    <w:rPr>
      <w:rFonts w:eastAsia="Times New Roman" w:cs="Times New Roman"/>
      <w:szCs w:val="24"/>
      <w:lang w:eastAsia="lv-LV"/>
    </w:rPr>
  </w:style>
  <w:style w:type="paragraph" w:customStyle="1" w:styleId="labojumupamats">
    <w:name w:val="labojumu_pamats"/>
    <w:basedOn w:val="Normal"/>
    <w:rsid w:val="007B5387"/>
    <w:pPr>
      <w:spacing w:before="100" w:beforeAutospacing="1" w:after="100" w:afterAutospacing="1"/>
    </w:pPr>
    <w:rPr>
      <w:rFonts w:eastAsia="Times New Roman" w:cs="Times New Roman"/>
      <w:szCs w:val="24"/>
      <w:lang w:eastAsia="lv-LV"/>
    </w:rPr>
  </w:style>
  <w:style w:type="paragraph" w:styleId="Revision">
    <w:name w:val="Revision"/>
    <w:hidden/>
    <w:uiPriority w:val="99"/>
    <w:semiHidden/>
    <w:rsid w:val="00DA0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050">
      <w:bodyDiv w:val="1"/>
      <w:marLeft w:val="0"/>
      <w:marRight w:val="0"/>
      <w:marTop w:val="0"/>
      <w:marBottom w:val="0"/>
      <w:divBdr>
        <w:top w:val="none" w:sz="0" w:space="0" w:color="auto"/>
        <w:left w:val="none" w:sz="0" w:space="0" w:color="auto"/>
        <w:bottom w:val="none" w:sz="0" w:space="0" w:color="auto"/>
        <w:right w:val="none" w:sz="0" w:space="0" w:color="auto"/>
      </w:divBdr>
    </w:div>
    <w:div w:id="15205355">
      <w:bodyDiv w:val="1"/>
      <w:marLeft w:val="0"/>
      <w:marRight w:val="0"/>
      <w:marTop w:val="0"/>
      <w:marBottom w:val="0"/>
      <w:divBdr>
        <w:top w:val="none" w:sz="0" w:space="0" w:color="auto"/>
        <w:left w:val="none" w:sz="0" w:space="0" w:color="auto"/>
        <w:bottom w:val="none" w:sz="0" w:space="0" w:color="auto"/>
        <w:right w:val="none" w:sz="0" w:space="0" w:color="auto"/>
      </w:divBdr>
    </w:div>
    <w:div w:id="21127822">
      <w:bodyDiv w:val="1"/>
      <w:marLeft w:val="0"/>
      <w:marRight w:val="0"/>
      <w:marTop w:val="0"/>
      <w:marBottom w:val="0"/>
      <w:divBdr>
        <w:top w:val="none" w:sz="0" w:space="0" w:color="auto"/>
        <w:left w:val="none" w:sz="0" w:space="0" w:color="auto"/>
        <w:bottom w:val="none" w:sz="0" w:space="0" w:color="auto"/>
        <w:right w:val="none" w:sz="0" w:space="0" w:color="auto"/>
      </w:divBdr>
    </w:div>
    <w:div w:id="31196482">
      <w:bodyDiv w:val="1"/>
      <w:marLeft w:val="0"/>
      <w:marRight w:val="0"/>
      <w:marTop w:val="0"/>
      <w:marBottom w:val="0"/>
      <w:divBdr>
        <w:top w:val="none" w:sz="0" w:space="0" w:color="auto"/>
        <w:left w:val="none" w:sz="0" w:space="0" w:color="auto"/>
        <w:bottom w:val="none" w:sz="0" w:space="0" w:color="auto"/>
        <w:right w:val="none" w:sz="0" w:space="0" w:color="auto"/>
      </w:divBdr>
    </w:div>
    <w:div w:id="38868383">
      <w:bodyDiv w:val="1"/>
      <w:marLeft w:val="0"/>
      <w:marRight w:val="0"/>
      <w:marTop w:val="0"/>
      <w:marBottom w:val="0"/>
      <w:divBdr>
        <w:top w:val="none" w:sz="0" w:space="0" w:color="auto"/>
        <w:left w:val="none" w:sz="0" w:space="0" w:color="auto"/>
        <w:bottom w:val="none" w:sz="0" w:space="0" w:color="auto"/>
        <w:right w:val="none" w:sz="0" w:space="0" w:color="auto"/>
      </w:divBdr>
    </w:div>
    <w:div w:id="48892242">
      <w:bodyDiv w:val="1"/>
      <w:marLeft w:val="0"/>
      <w:marRight w:val="0"/>
      <w:marTop w:val="0"/>
      <w:marBottom w:val="0"/>
      <w:divBdr>
        <w:top w:val="none" w:sz="0" w:space="0" w:color="auto"/>
        <w:left w:val="none" w:sz="0" w:space="0" w:color="auto"/>
        <w:bottom w:val="none" w:sz="0" w:space="0" w:color="auto"/>
        <w:right w:val="none" w:sz="0" w:space="0" w:color="auto"/>
      </w:divBdr>
    </w:div>
    <w:div w:id="61105422">
      <w:bodyDiv w:val="1"/>
      <w:marLeft w:val="0"/>
      <w:marRight w:val="0"/>
      <w:marTop w:val="0"/>
      <w:marBottom w:val="0"/>
      <w:divBdr>
        <w:top w:val="none" w:sz="0" w:space="0" w:color="auto"/>
        <w:left w:val="none" w:sz="0" w:space="0" w:color="auto"/>
        <w:bottom w:val="none" w:sz="0" w:space="0" w:color="auto"/>
        <w:right w:val="none" w:sz="0" w:space="0" w:color="auto"/>
      </w:divBdr>
    </w:div>
    <w:div w:id="74128017">
      <w:bodyDiv w:val="1"/>
      <w:marLeft w:val="0"/>
      <w:marRight w:val="0"/>
      <w:marTop w:val="0"/>
      <w:marBottom w:val="0"/>
      <w:divBdr>
        <w:top w:val="none" w:sz="0" w:space="0" w:color="auto"/>
        <w:left w:val="none" w:sz="0" w:space="0" w:color="auto"/>
        <w:bottom w:val="none" w:sz="0" w:space="0" w:color="auto"/>
        <w:right w:val="none" w:sz="0" w:space="0" w:color="auto"/>
      </w:divBdr>
    </w:div>
    <w:div w:id="81922899">
      <w:bodyDiv w:val="1"/>
      <w:marLeft w:val="0"/>
      <w:marRight w:val="0"/>
      <w:marTop w:val="0"/>
      <w:marBottom w:val="0"/>
      <w:divBdr>
        <w:top w:val="none" w:sz="0" w:space="0" w:color="auto"/>
        <w:left w:val="none" w:sz="0" w:space="0" w:color="auto"/>
        <w:bottom w:val="none" w:sz="0" w:space="0" w:color="auto"/>
        <w:right w:val="none" w:sz="0" w:space="0" w:color="auto"/>
      </w:divBdr>
    </w:div>
    <w:div w:id="102846268">
      <w:bodyDiv w:val="1"/>
      <w:marLeft w:val="0"/>
      <w:marRight w:val="0"/>
      <w:marTop w:val="0"/>
      <w:marBottom w:val="0"/>
      <w:divBdr>
        <w:top w:val="none" w:sz="0" w:space="0" w:color="auto"/>
        <w:left w:val="none" w:sz="0" w:space="0" w:color="auto"/>
        <w:bottom w:val="none" w:sz="0" w:space="0" w:color="auto"/>
        <w:right w:val="none" w:sz="0" w:space="0" w:color="auto"/>
      </w:divBdr>
    </w:div>
    <w:div w:id="106586704">
      <w:bodyDiv w:val="1"/>
      <w:marLeft w:val="0"/>
      <w:marRight w:val="0"/>
      <w:marTop w:val="0"/>
      <w:marBottom w:val="0"/>
      <w:divBdr>
        <w:top w:val="none" w:sz="0" w:space="0" w:color="auto"/>
        <w:left w:val="none" w:sz="0" w:space="0" w:color="auto"/>
        <w:bottom w:val="none" w:sz="0" w:space="0" w:color="auto"/>
        <w:right w:val="none" w:sz="0" w:space="0" w:color="auto"/>
      </w:divBdr>
    </w:div>
    <w:div w:id="126779315">
      <w:bodyDiv w:val="1"/>
      <w:marLeft w:val="0"/>
      <w:marRight w:val="0"/>
      <w:marTop w:val="0"/>
      <w:marBottom w:val="0"/>
      <w:divBdr>
        <w:top w:val="none" w:sz="0" w:space="0" w:color="auto"/>
        <w:left w:val="none" w:sz="0" w:space="0" w:color="auto"/>
        <w:bottom w:val="none" w:sz="0" w:space="0" w:color="auto"/>
        <w:right w:val="none" w:sz="0" w:space="0" w:color="auto"/>
      </w:divBdr>
    </w:div>
    <w:div w:id="133984386">
      <w:bodyDiv w:val="1"/>
      <w:marLeft w:val="0"/>
      <w:marRight w:val="0"/>
      <w:marTop w:val="0"/>
      <w:marBottom w:val="0"/>
      <w:divBdr>
        <w:top w:val="none" w:sz="0" w:space="0" w:color="auto"/>
        <w:left w:val="none" w:sz="0" w:space="0" w:color="auto"/>
        <w:bottom w:val="none" w:sz="0" w:space="0" w:color="auto"/>
        <w:right w:val="none" w:sz="0" w:space="0" w:color="auto"/>
      </w:divBdr>
    </w:div>
    <w:div w:id="150295574">
      <w:bodyDiv w:val="1"/>
      <w:marLeft w:val="0"/>
      <w:marRight w:val="0"/>
      <w:marTop w:val="0"/>
      <w:marBottom w:val="0"/>
      <w:divBdr>
        <w:top w:val="none" w:sz="0" w:space="0" w:color="auto"/>
        <w:left w:val="none" w:sz="0" w:space="0" w:color="auto"/>
        <w:bottom w:val="none" w:sz="0" w:space="0" w:color="auto"/>
        <w:right w:val="none" w:sz="0" w:space="0" w:color="auto"/>
      </w:divBdr>
    </w:div>
    <w:div w:id="151800275">
      <w:bodyDiv w:val="1"/>
      <w:marLeft w:val="0"/>
      <w:marRight w:val="0"/>
      <w:marTop w:val="0"/>
      <w:marBottom w:val="0"/>
      <w:divBdr>
        <w:top w:val="none" w:sz="0" w:space="0" w:color="auto"/>
        <w:left w:val="none" w:sz="0" w:space="0" w:color="auto"/>
        <w:bottom w:val="none" w:sz="0" w:space="0" w:color="auto"/>
        <w:right w:val="none" w:sz="0" w:space="0" w:color="auto"/>
      </w:divBdr>
    </w:div>
    <w:div w:id="174072745">
      <w:bodyDiv w:val="1"/>
      <w:marLeft w:val="0"/>
      <w:marRight w:val="0"/>
      <w:marTop w:val="0"/>
      <w:marBottom w:val="0"/>
      <w:divBdr>
        <w:top w:val="none" w:sz="0" w:space="0" w:color="auto"/>
        <w:left w:val="none" w:sz="0" w:space="0" w:color="auto"/>
        <w:bottom w:val="none" w:sz="0" w:space="0" w:color="auto"/>
        <w:right w:val="none" w:sz="0" w:space="0" w:color="auto"/>
      </w:divBdr>
    </w:div>
    <w:div w:id="187531124">
      <w:bodyDiv w:val="1"/>
      <w:marLeft w:val="0"/>
      <w:marRight w:val="0"/>
      <w:marTop w:val="0"/>
      <w:marBottom w:val="0"/>
      <w:divBdr>
        <w:top w:val="none" w:sz="0" w:space="0" w:color="auto"/>
        <w:left w:val="none" w:sz="0" w:space="0" w:color="auto"/>
        <w:bottom w:val="none" w:sz="0" w:space="0" w:color="auto"/>
        <w:right w:val="none" w:sz="0" w:space="0" w:color="auto"/>
      </w:divBdr>
    </w:div>
    <w:div w:id="221599946">
      <w:bodyDiv w:val="1"/>
      <w:marLeft w:val="0"/>
      <w:marRight w:val="0"/>
      <w:marTop w:val="0"/>
      <w:marBottom w:val="0"/>
      <w:divBdr>
        <w:top w:val="none" w:sz="0" w:space="0" w:color="auto"/>
        <w:left w:val="none" w:sz="0" w:space="0" w:color="auto"/>
        <w:bottom w:val="none" w:sz="0" w:space="0" w:color="auto"/>
        <w:right w:val="none" w:sz="0" w:space="0" w:color="auto"/>
      </w:divBdr>
    </w:div>
    <w:div w:id="242834563">
      <w:bodyDiv w:val="1"/>
      <w:marLeft w:val="0"/>
      <w:marRight w:val="0"/>
      <w:marTop w:val="0"/>
      <w:marBottom w:val="0"/>
      <w:divBdr>
        <w:top w:val="none" w:sz="0" w:space="0" w:color="auto"/>
        <w:left w:val="none" w:sz="0" w:space="0" w:color="auto"/>
        <w:bottom w:val="none" w:sz="0" w:space="0" w:color="auto"/>
        <w:right w:val="none" w:sz="0" w:space="0" w:color="auto"/>
      </w:divBdr>
    </w:div>
    <w:div w:id="261837747">
      <w:bodyDiv w:val="1"/>
      <w:marLeft w:val="0"/>
      <w:marRight w:val="0"/>
      <w:marTop w:val="0"/>
      <w:marBottom w:val="0"/>
      <w:divBdr>
        <w:top w:val="none" w:sz="0" w:space="0" w:color="auto"/>
        <w:left w:val="none" w:sz="0" w:space="0" w:color="auto"/>
        <w:bottom w:val="none" w:sz="0" w:space="0" w:color="auto"/>
        <w:right w:val="none" w:sz="0" w:space="0" w:color="auto"/>
      </w:divBdr>
    </w:div>
    <w:div w:id="303170097">
      <w:bodyDiv w:val="1"/>
      <w:marLeft w:val="0"/>
      <w:marRight w:val="0"/>
      <w:marTop w:val="0"/>
      <w:marBottom w:val="0"/>
      <w:divBdr>
        <w:top w:val="none" w:sz="0" w:space="0" w:color="auto"/>
        <w:left w:val="none" w:sz="0" w:space="0" w:color="auto"/>
        <w:bottom w:val="none" w:sz="0" w:space="0" w:color="auto"/>
        <w:right w:val="none" w:sz="0" w:space="0" w:color="auto"/>
      </w:divBdr>
    </w:div>
    <w:div w:id="336662759">
      <w:bodyDiv w:val="1"/>
      <w:marLeft w:val="0"/>
      <w:marRight w:val="0"/>
      <w:marTop w:val="0"/>
      <w:marBottom w:val="0"/>
      <w:divBdr>
        <w:top w:val="none" w:sz="0" w:space="0" w:color="auto"/>
        <w:left w:val="none" w:sz="0" w:space="0" w:color="auto"/>
        <w:bottom w:val="none" w:sz="0" w:space="0" w:color="auto"/>
        <w:right w:val="none" w:sz="0" w:space="0" w:color="auto"/>
      </w:divBdr>
    </w:div>
    <w:div w:id="365132991">
      <w:bodyDiv w:val="1"/>
      <w:marLeft w:val="0"/>
      <w:marRight w:val="0"/>
      <w:marTop w:val="0"/>
      <w:marBottom w:val="0"/>
      <w:divBdr>
        <w:top w:val="none" w:sz="0" w:space="0" w:color="auto"/>
        <w:left w:val="none" w:sz="0" w:space="0" w:color="auto"/>
        <w:bottom w:val="none" w:sz="0" w:space="0" w:color="auto"/>
        <w:right w:val="none" w:sz="0" w:space="0" w:color="auto"/>
      </w:divBdr>
    </w:div>
    <w:div w:id="373699252">
      <w:bodyDiv w:val="1"/>
      <w:marLeft w:val="0"/>
      <w:marRight w:val="0"/>
      <w:marTop w:val="0"/>
      <w:marBottom w:val="0"/>
      <w:divBdr>
        <w:top w:val="none" w:sz="0" w:space="0" w:color="auto"/>
        <w:left w:val="none" w:sz="0" w:space="0" w:color="auto"/>
        <w:bottom w:val="none" w:sz="0" w:space="0" w:color="auto"/>
        <w:right w:val="none" w:sz="0" w:space="0" w:color="auto"/>
      </w:divBdr>
    </w:div>
    <w:div w:id="385760349">
      <w:bodyDiv w:val="1"/>
      <w:marLeft w:val="0"/>
      <w:marRight w:val="0"/>
      <w:marTop w:val="0"/>
      <w:marBottom w:val="0"/>
      <w:divBdr>
        <w:top w:val="none" w:sz="0" w:space="0" w:color="auto"/>
        <w:left w:val="none" w:sz="0" w:space="0" w:color="auto"/>
        <w:bottom w:val="none" w:sz="0" w:space="0" w:color="auto"/>
        <w:right w:val="none" w:sz="0" w:space="0" w:color="auto"/>
      </w:divBdr>
    </w:div>
    <w:div w:id="390351603">
      <w:bodyDiv w:val="1"/>
      <w:marLeft w:val="0"/>
      <w:marRight w:val="0"/>
      <w:marTop w:val="0"/>
      <w:marBottom w:val="0"/>
      <w:divBdr>
        <w:top w:val="none" w:sz="0" w:space="0" w:color="auto"/>
        <w:left w:val="none" w:sz="0" w:space="0" w:color="auto"/>
        <w:bottom w:val="none" w:sz="0" w:space="0" w:color="auto"/>
        <w:right w:val="none" w:sz="0" w:space="0" w:color="auto"/>
      </w:divBdr>
    </w:div>
    <w:div w:id="396049536">
      <w:bodyDiv w:val="1"/>
      <w:marLeft w:val="0"/>
      <w:marRight w:val="0"/>
      <w:marTop w:val="0"/>
      <w:marBottom w:val="0"/>
      <w:divBdr>
        <w:top w:val="none" w:sz="0" w:space="0" w:color="auto"/>
        <w:left w:val="none" w:sz="0" w:space="0" w:color="auto"/>
        <w:bottom w:val="none" w:sz="0" w:space="0" w:color="auto"/>
        <w:right w:val="none" w:sz="0" w:space="0" w:color="auto"/>
      </w:divBdr>
    </w:div>
    <w:div w:id="396822568">
      <w:bodyDiv w:val="1"/>
      <w:marLeft w:val="0"/>
      <w:marRight w:val="0"/>
      <w:marTop w:val="0"/>
      <w:marBottom w:val="0"/>
      <w:divBdr>
        <w:top w:val="none" w:sz="0" w:space="0" w:color="auto"/>
        <w:left w:val="none" w:sz="0" w:space="0" w:color="auto"/>
        <w:bottom w:val="none" w:sz="0" w:space="0" w:color="auto"/>
        <w:right w:val="none" w:sz="0" w:space="0" w:color="auto"/>
      </w:divBdr>
    </w:div>
    <w:div w:id="418527569">
      <w:bodyDiv w:val="1"/>
      <w:marLeft w:val="0"/>
      <w:marRight w:val="0"/>
      <w:marTop w:val="0"/>
      <w:marBottom w:val="0"/>
      <w:divBdr>
        <w:top w:val="none" w:sz="0" w:space="0" w:color="auto"/>
        <w:left w:val="none" w:sz="0" w:space="0" w:color="auto"/>
        <w:bottom w:val="none" w:sz="0" w:space="0" w:color="auto"/>
        <w:right w:val="none" w:sz="0" w:space="0" w:color="auto"/>
      </w:divBdr>
    </w:div>
    <w:div w:id="423654099">
      <w:bodyDiv w:val="1"/>
      <w:marLeft w:val="0"/>
      <w:marRight w:val="0"/>
      <w:marTop w:val="0"/>
      <w:marBottom w:val="0"/>
      <w:divBdr>
        <w:top w:val="none" w:sz="0" w:space="0" w:color="auto"/>
        <w:left w:val="none" w:sz="0" w:space="0" w:color="auto"/>
        <w:bottom w:val="none" w:sz="0" w:space="0" w:color="auto"/>
        <w:right w:val="none" w:sz="0" w:space="0" w:color="auto"/>
      </w:divBdr>
      <w:divsChild>
        <w:div w:id="1835995018">
          <w:marLeft w:val="547"/>
          <w:marRight w:val="0"/>
          <w:marTop w:val="82"/>
          <w:marBottom w:val="0"/>
          <w:divBdr>
            <w:top w:val="none" w:sz="0" w:space="0" w:color="auto"/>
            <w:left w:val="none" w:sz="0" w:space="0" w:color="auto"/>
            <w:bottom w:val="none" w:sz="0" w:space="0" w:color="auto"/>
            <w:right w:val="none" w:sz="0" w:space="0" w:color="auto"/>
          </w:divBdr>
        </w:div>
        <w:div w:id="1067410922">
          <w:marLeft w:val="1166"/>
          <w:marRight w:val="0"/>
          <w:marTop w:val="82"/>
          <w:marBottom w:val="0"/>
          <w:divBdr>
            <w:top w:val="none" w:sz="0" w:space="0" w:color="auto"/>
            <w:left w:val="none" w:sz="0" w:space="0" w:color="auto"/>
            <w:bottom w:val="none" w:sz="0" w:space="0" w:color="auto"/>
            <w:right w:val="none" w:sz="0" w:space="0" w:color="auto"/>
          </w:divBdr>
        </w:div>
        <w:div w:id="2094469133">
          <w:marLeft w:val="547"/>
          <w:marRight w:val="0"/>
          <w:marTop w:val="82"/>
          <w:marBottom w:val="0"/>
          <w:divBdr>
            <w:top w:val="none" w:sz="0" w:space="0" w:color="auto"/>
            <w:left w:val="none" w:sz="0" w:space="0" w:color="auto"/>
            <w:bottom w:val="none" w:sz="0" w:space="0" w:color="auto"/>
            <w:right w:val="none" w:sz="0" w:space="0" w:color="auto"/>
          </w:divBdr>
        </w:div>
        <w:div w:id="1229222417">
          <w:marLeft w:val="1166"/>
          <w:marRight w:val="0"/>
          <w:marTop w:val="82"/>
          <w:marBottom w:val="0"/>
          <w:divBdr>
            <w:top w:val="none" w:sz="0" w:space="0" w:color="auto"/>
            <w:left w:val="none" w:sz="0" w:space="0" w:color="auto"/>
            <w:bottom w:val="none" w:sz="0" w:space="0" w:color="auto"/>
            <w:right w:val="none" w:sz="0" w:space="0" w:color="auto"/>
          </w:divBdr>
        </w:div>
        <w:div w:id="895433060">
          <w:marLeft w:val="547"/>
          <w:marRight w:val="0"/>
          <w:marTop w:val="82"/>
          <w:marBottom w:val="0"/>
          <w:divBdr>
            <w:top w:val="none" w:sz="0" w:space="0" w:color="auto"/>
            <w:left w:val="none" w:sz="0" w:space="0" w:color="auto"/>
            <w:bottom w:val="none" w:sz="0" w:space="0" w:color="auto"/>
            <w:right w:val="none" w:sz="0" w:space="0" w:color="auto"/>
          </w:divBdr>
        </w:div>
        <w:div w:id="251470069">
          <w:marLeft w:val="1166"/>
          <w:marRight w:val="0"/>
          <w:marTop w:val="82"/>
          <w:marBottom w:val="0"/>
          <w:divBdr>
            <w:top w:val="none" w:sz="0" w:space="0" w:color="auto"/>
            <w:left w:val="none" w:sz="0" w:space="0" w:color="auto"/>
            <w:bottom w:val="none" w:sz="0" w:space="0" w:color="auto"/>
            <w:right w:val="none" w:sz="0" w:space="0" w:color="auto"/>
          </w:divBdr>
        </w:div>
        <w:div w:id="482163070">
          <w:marLeft w:val="547"/>
          <w:marRight w:val="0"/>
          <w:marTop w:val="82"/>
          <w:marBottom w:val="0"/>
          <w:divBdr>
            <w:top w:val="none" w:sz="0" w:space="0" w:color="auto"/>
            <w:left w:val="none" w:sz="0" w:space="0" w:color="auto"/>
            <w:bottom w:val="none" w:sz="0" w:space="0" w:color="auto"/>
            <w:right w:val="none" w:sz="0" w:space="0" w:color="auto"/>
          </w:divBdr>
        </w:div>
        <w:div w:id="426386252">
          <w:marLeft w:val="1166"/>
          <w:marRight w:val="0"/>
          <w:marTop w:val="82"/>
          <w:marBottom w:val="0"/>
          <w:divBdr>
            <w:top w:val="none" w:sz="0" w:space="0" w:color="auto"/>
            <w:left w:val="none" w:sz="0" w:space="0" w:color="auto"/>
            <w:bottom w:val="none" w:sz="0" w:space="0" w:color="auto"/>
            <w:right w:val="none" w:sz="0" w:space="0" w:color="auto"/>
          </w:divBdr>
        </w:div>
        <w:div w:id="113719824">
          <w:marLeft w:val="547"/>
          <w:marRight w:val="0"/>
          <w:marTop w:val="82"/>
          <w:marBottom w:val="0"/>
          <w:divBdr>
            <w:top w:val="none" w:sz="0" w:space="0" w:color="auto"/>
            <w:left w:val="none" w:sz="0" w:space="0" w:color="auto"/>
            <w:bottom w:val="none" w:sz="0" w:space="0" w:color="auto"/>
            <w:right w:val="none" w:sz="0" w:space="0" w:color="auto"/>
          </w:divBdr>
        </w:div>
        <w:div w:id="1218666377">
          <w:marLeft w:val="1166"/>
          <w:marRight w:val="0"/>
          <w:marTop w:val="82"/>
          <w:marBottom w:val="0"/>
          <w:divBdr>
            <w:top w:val="none" w:sz="0" w:space="0" w:color="auto"/>
            <w:left w:val="none" w:sz="0" w:space="0" w:color="auto"/>
            <w:bottom w:val="none" w:sz="0" w:space="0" w:color="auto"/>
            <w:right w:val="none" w:sz="0" w:space="0" w:color="auto"/>
          </w:divBdr>
        </w:div>
        <w:div w:id="1851092757">
          <w:marLeft w:val="547"/>
          <w:marRight w:val="0"/>
          <w:marTop w:val="82"/>
          <w:marBottom w:val="0"/>
          <w:divBdr>
            <w:top w:val="none" w:sz="0" w:space="0" w:color="auto"/>
            <w:left w:val="none" w:sz="0" w:space="0" w:color="auto"/>
            <w:bottom w:val="none" w:sz="0" w:space="0" w:color="auto"/>
            <w:right w:val="none" w:sz="0" w:space="0" w:color="auto"/>
          </w:divBdr>
        </w:div>
        <w:div w:id="2091923038">
          <w:marLeft w:val="1166"/>
          <w:marRight w:val="0"/>
          <w:marTop w:val="82"/>
          <w:marBottom w:val="0"/>
          <w:divBdr>
            <w:top w:val="none" w:sz="0" w:space="0" w:color="auto"/>
            <w:left w:val="none" w:sz="0" w:space="0" w:color="auto"/>
            <w:bottom w:val="none" w:sz="0" w:space="0" w:color="auto"/>
            <w:right w:val="none" w:sz="0" w:space="0" w:color="auto"/>
          </w:divBdr>
        </w:div>
        <w:div w:id="610628698">
          <w:marLeft w:val="547"/>
          <w:marRight w:val="0"/>
          <w:marTop w:val="82"/>
          <w:marBottom w:val="0"/>
          <w:divBdr>
            <w:top w:val="none" w:sz="0" w:space="0" w:color="auto"/>
            <w:left w:val="none" w:sz="0" w:space="0" w:color="auto"/>
            <w:bottom w:val="none" w:sz="0" w:space="0" w:color="auto"/>
            <w:right w:val="none" w:sz="0" w:space="0" w:color="auto"/>
          </w:divBdr>
        </w:div>
        <w:div w:id="1501385178">
          <w:marLeft w:val="1166"/>
          <w:marRight w:val="0"/>
          <w:marTop w:val="82"/>
          <w:marBottom w:val="0"/>
          <w:divBdr>
            <w:top w:val="none" w:sz="0" w:space="0" w:color="auto"/>
            <w:left w:val="none" w:sz="0" w:space="0" w:color="auto"/>
            <w:bottom w:val="none" w:sz="0" w:space="0" w:color="auto"/>
            <w:right w:val="none" w:sz="0" w:space="0" w:color="auto"/>
          </w:divBdr>
        </w:div>
        <w:div w:id="1203246926">
          <w:marLeft w:val="547"/>
          <w:marRight w:val="0"/>
          <w:marTop w:val="82"/>
          <w:marBottom w:val="0"/>
          <w:divBdr>
            <w:top w:val="none" w:sz="0" w:space="0" w:color="auto"/>
            <w:left w:val="none" w:sz="0" w:space="0" w:color="auto"/>
            <w:bottom w:val="none" w:sz="0" w:space="0" w:color="auto"/>
            <w:right w:val="none" w:sz="0" w:space="0" w:color="auto"/>
          </w:divBdr>
        </w:div>
        <w:div w:id="1319651971">
          <w:marLeft w:val="1166"/>
          <w:marRight w:val="0"/>
          <w:marTop w:val="82"/>
          <w:marBottom w:val="0"/>
          <w:divBdr>
            <w:top w:val="none" w:sz="0" w:space="0" w:color="auto"/>
            <w:left w:val="none" w:sz="0" w:space="0" w:color="auto"/>
            <w:bottom w:val="none" w:sz="0" w:space="0" w:color="auto"/>
            <w:right w:val="none" w:sz="0" w:space="0" w:color="auto"/>
          </w:divBdr>
        </w:div>
      </w:divsChild>
    </w:div>
    <w:div w:id="442118285">
      <w:bodyDiv w:val="1"/>
      <w:marLeft w:val="0"/>
      <w:marRight w:val="0"/>
      <w:marTop w:val="0"/>
      <w:marBottom w:val="0"/>
      <w:divBdr>
        <w:top w:val="none" w:sz="0" w:space="0" w:color="auto"/>
        <w:left w:val="none" w:sz="0" w:space="0" w:color="auto"/>
        <w:bottom w:val="none" w:sz="0" w:space="0" w:color="auto"/>
        <w:right w:val="none" w:sz="0" w:space="0" w:color="auto"/>
      </w:divBdr>
    </w:div>
    <w:div w:id="451754736">
      <w:bodyDiv w:val="1"/>
      <w:marLeft w:val="0"/>
      <w:marRight w:val="0"/>
      <w:marTop w:val="0"/>
      <w:marBottom w:val="0"/>
      <w:divBdr>
        <w:top w:val="none" w:sz="0" w:space="0" w:color="auto"/>
        <w:left w:val="none" w:sz="0" w:space="0" w:color="auto"/>
        <w:bottom w:val="none" w:sz="0" w:space="0" w:color="auto"/>
        <w:right w:val="none" w:sz="0" w:space="0" w:color="auto"/>
      </w:divBdr>
    </w:div>
    <w:div w:id="509956695">
      <w:bodyDiv w:val="1"/>
      <w:marLeft w:val="0"/>
      <w:marRight w:val="0"/>
      <w:marTop w:val="0"/>
      <w:marBottom w:val="0"/>
      <w:divBdr>
        <w:top w:val="none" w:sz="0" w:space="0" w:color="auto"/>
        <w:left w:val="none" w:sz="0" w:space="0" w:color="auto"/>
        <w:bottom w:val="none" w:sz="0" w:space="0" w:color="auto"/>
        <w:right w:val="none" w:sz="0" w:space="0" w:color="auto"/>
      </w:divBdr>
    </w:div>
    <w:div w:id="513149234">
      <w:bodyDiv w:val="1"/>
      <w:marLeft w:val="0"/>
      <w:marRight w:val="0"/>
      <w:marTop w:val="0"/>
      <w:marBottom w:val="0"/>
      <w:divBdr>
        <w:top w:val="none" w:sz="0" w:space="0" w:color="auto"/>
        <w:left w:val="none" w:sz="0" w:space="0" w:color="auto"/>
        <w:bottom w:val="none" w:sz="0" w:space="0" w:color="auto"/>
        <w:right w:val="none" w:sz="0" w:space="0" w:color="auto"/>
      </w:divBdr>
    </w:div>
    <w:div w:id="521549528">
      <w:bodyDiv w:val="1"/>
      <w:marLeft w:val="0"/>
      <w:marRight w:val="0"/>
      <w:marTop w:val="0"/>
      <w:marBottom w:val="0"/>
      <w:divBdr>
        <w:top w:val="none" w:sz="0" w:space="0" w:color="auto"/>
        <w:left w:val="none" w:sz="0" w:space="0" w:color="auto"/>
        <w:bottom w:val="none" w:sz="0" w:space="0" w:color="auto"/>
        <w:right w:val="none" w:sz="0" w:space="0" w:color="auto"/>
      </w:divBdr>
    </w:div>
    <w:div w:id="526337708">
      <w:bodyDiv w:val="1"/>
      <w:marLeft w:val="0"/>
      <w:marRight w:val="0"/>
      <w:marTop w:val="0"/>
      <w:marBottom w:val="0"/>
      <w:divBdr>
        <w:top w:val="none" w:sz="0" w:space="0" w:color="auto"/>
        <w:left w:val="none" w:sz="0" w:space="0" w:color="auto"/>
        <w:bottom w:val="none" w:sz="0" w:space="0" w:color="auto"/>
        <w:right w:val="none" w:sz="0" w:space="0" w:color="auto"/>
      </w:divBdr>
    </w:div>
    <w:div w:id="531695739">
      <w:bodyDiv w:val="1"/>
      <w:marLeft w:val="0"/>
      <w:marRight w:val="0"/>
      <w:marTop w:val="0"/>
      <w:marBottom w:val="0"/>
      <w:divBdr>
        <w:top w:val="none" w:sz="0" w:space="0" w:color="auto"/>
        <w:left w:val="none" w:sz="0" w:space="0" w:color="auto"/>
        <w:bottom w:val="none" w:sz="0" w:space="0" w:color="auto"/>
        <w:right w:val="none" w:sz="0" w:space="0" w:color="auto"/>
      </w:divBdr>
    </w:div>
    <w:div w:id="534973913">
      <w:bodyDiv w:val="1"/>
      <w:marLeft w:val="0"/>
      <w:marRight w:val="0"/>
      <w:marTop w:val="0"/>
      <w:marBottom w:val="0"/>
      <w:divBdr>
        <w:top w:val="none" w:sz="0" w:space="0" w:color="auto"/>
        <w:left w:val="none" w:sz="0" w:space="0" w:color="auto"/>
        <w:bottom w:val="none" w:sz="0" w:space="0" w:color="auto"/>
        <w:right w:val="none" w:sz="0" w:space="0" w:color="auto"/>
      </w:divBdr>
    </w:div>
    <w:div w:id="535167433">
      <w:bodyDiv w:val="1"/>
      <w:marLeft w:val="0"/>
      <w:marRight w:val="0"/>
      <w:marTop w:val="0"/>
      <w:marBottom w:val="0"/>
      <w:divBdr>
        <w:top w:val="none" w:sz="0" w:space="0" w:color="auto"/>
        <w:left w:val="none" w:sz="0" w:space="0" w:color="auto"/>
        <w:bottom w:val="none" w:sz="0" w:space="0" w:color="auto"/>
        <w:right w:val="none" w:sz="0" w:space="0" w:color="auto"/>
      </w:divBdr>
    </w:div>
    <w:div w:id="551040113">
      <w:bodyDiv w:val="1"/>
      <w:marLeft w:val="0"/>
      <w:marRight w:val="0"/>
      <w:marTop w:val="0"/>
      <w:marBottom w:val="0"/>
      <w:divBdr>
        <w:top w:val="none" w:sz="0" w:space="0" w:color="auto"/>
        <w:left w:val="none" w:sz="0" w:space="0" w:color="auto"/>
        <w:bottom w:val="none" w:sz="0" w:space="0" w:color="auto"/>
        <w:right w:val="none" w:sz="0" w:space="0" w:color="auto"/>
      </w:divBdr>
    </w:div>
    <w:div w:id="576476487">
      <w:bodyDiv w:val="1"/>
      <w:marLeft w:val="0"/>
      <w:marRight w:val="0"/>
      <w:marTop w:val="0"/>
      <w:marBottom w:val="0"/>
      <w:divBdr>
        <w:top w:val="none" w:sz="0" w:space="0" w:color="auto"/>
        <w:left w:val="none" w:sz="0" w:space="0" w:color="auto"/>
        <w:bottom w:val="none" w:sz="0" w:space="0" w:color="auto"/>
        <w:right w:val="none" w:sz="0" w:space="0" w:color="auto"/>
      </w:divBdr>
    </w:div>
    <w:div w:id="585266090">
      <w:bodyDiv w:val="1"/>
      <w:marLeft w:val="0"/>
      <w:marRight w:val="0"/>
      <w:marTop w:val="0"/>
      <w:marBottom w:val="0"/>
      <w:divBdr>
        <w:top w:val="none" w:sz="0" w:space="0" w:color="auto"/>
        <w:left w:val="none" w:sz="0" w:space="0" w:color="auto"/>
        <w:bottom w:val="none" w:sz="0" w:space="0" w:color="auto"/>
        <w:right w:val="none" w:sz="0" w:space="0" w:color="auto"/>
      </w:divBdr>
    </w:div>
    <w:div w:id="590357072">
      <w:bodyDiv w:val="1"/>
      <w:marLeft w:val="0"/>
      <w:marRight w:val="0"/>
      <w:marTop w:val="0"/>
      <w:marBottom w:val="0"/>
      <w:divBdr>
        <w:top w:val="none" w:sz="0" w:space="0" w:color="auto"/>
        <w:left w:val="none" w:sz="0" w:space="0" w:color="auto"/>
        <w:bottom w:val="none" w:sz="0" w:space="0" w:color="auto"/>
        <w:right w:val="none" w:sz="0" w:space="0" w:color="auto"/>
      </w:divBdr>
    </w:div>
    <w:div w:id="595750514">
      <w:bodyDiv w:val="1"/>
      <w:marLeft w:val="0"/>
      <w:marRight w:val="0"/>
      <w:marTop w:val="0"/>
      <w:marBottom w:val="0"/>
      <w:divBdr>
        <w:top w:val="none" w:sz="0" w:space="0" w:color="auto"/>
        <w:left w:val="none" w:sz="0" w:space="0" w:color="auto"/>
        <w:bottom w:val="none" w:sz="0" w:space="0" w:color="auto"/>
        <w:right w:val="none" w:sz="0" w:space="0" w:color="auto"/>
      </w:divBdr>
    </w:div>
    <w:div w:id="634332812">
      <w:bodyDiv w:val="1"/>
      <w:marLeft w:val="0"/>
      <w:marRight w:val="0"/>
      <w:marTop w:val="0"/>
      <w:marBottom w:val="0"/>
      <w:divBdr>
        <w:top w:val="none" w:sz="0" w:space="0" w:color="auto"/>
        <w:left w:val="none" w:sz="0" w:space="0" w:color="auto"/>
        <w:bottom w:val="none" w:sz="0" w:space="0" w:color="auto"/>
        <w:right w:val="none" w:sz="0" w:space="0" w:color="auto"/>
      </w:divBdr>
    </w:div>
    <w:div w:id="636035453">
      <w:bodyDiv w:val="1"/>
      <w:marLeft w:val="0"/>
      <w:marRight w:val="0"/>
      <w:marTop w:val="0"/>
      <w:marBottom w:val="0"/>
      <w:divBdr>
        <w:top w:val="none" w:sz="0" w:space="0" w:color="auto"/>
        <w:left w:val="none" w:sz="0" w:space="0" w:color="auto"/>
        <w:bottom w:val="none" w:sz="0" w:space="0" w:color="auto"/>
        <w:right w:val="none" w:sz="0" w:space="0" w:color="auto"/>
      </w:divBdr>
    </w:div>
    <w:div w:id="653948514">
      <w:bodyDiv w:val="1"/>
      <w:marLeft w:val="0"/>
      <w:marRight w:val="0"/>
      <w:marTop w:val="0"/>
      <w:marBottom w:val="0"/>
      <w:divBdr>
        <w:top w:val="none" w:sz="0" w:space="0" w:color="auto"/>
        <w:left w:val="none" w:sz="0" w:space="0" w:color="auto"/>
        <w:bottom w:val="none" w:sz="0" w:space="0" w:color="auto"/>
        <w:right w:val="none" w:sz="0" w:space="0" w:color="auto"/>
      </w:divBdr>
    </w:div>
    <w:div w:id="658844010">
      <w:bodyDiv w:val="1"/>
      <w:marLeft w:val="0"/>
      <w:marRight w:val="0"/>
      <w:marTop w:val="0"/>
      <w:marBottom w:val="0"/>
      <w:divBdr>
        <w:top w:val="none" w:sz="0" w:space="0" w:color="auto"/>
        <w:left w:val="none" w:sz="0" w:space="0" w:color="auto"/>
        <w:bottom w:val="none" w:sz="0" w:space="0" w:color="auto"/>
        <w:right w:val="none" w:sz="0" w:space="0" w:color="auto"/>
      </w:divBdr>
    </w:div>
    <w:div w:id="742027404">
      <w:bodyDiv w:val="1"/>
      <w:marLeft w:val="0"/>
      <w:marRight w:val="0"/>
      <w:marTop w:val="0"/>
      <w:marBottom w:val="0"/>
      <w:divBdr>
        <w:top w:val="none" w:sz="0" w:space="0" w:color="auto"/>
        <w:left w:val="none" w:sz="0" w:space="0" w:color="auto"/>
        <w:bottom w:val="none" w:sz="0" w:space="0" w:color="auto"/>
        <w:right w:val="none" w:sz="0" w:space="0" w:color="auto"/>
      </w:divBdr>
    </w:div>
    <w:div w:id="743769491">
      <w:bodyDiv w:val="1"/>
      <w:marLeft w:val="0"/>
      <w:marRight w:val="0"/>
      <w:marTop w:val="0"/>
      <w:marBottom w:val="0"/>
      <w:divBdr>
        <w:top w:val="none" w:sz="0" w:space="0" w:color="auto"/>
        <w:left w:val="none" w:sz="0" w:space="0" w:color="auto"/>
        <w:bottom w:val="none" w:sz="0" w:space="0" w:color="auto"/>
        <w:right w:val="none" w:sz="0" w:space="0" w:color="auto"/>
      </w:divBdr>
    </w:div>
    <w:div w:id="757293915">
      <w:bodyDiv w:val="1"/>
      <w:marLeft w:val="0"/>
      <w:marRight w:val="0"/>
      <w:marTop w:val="0"/>
      <w:marBottom w:val="0"/>
      <w:divBdr>
        <w:top w:val="none" w:sz="0" w:space="0" w:color="auto"/>
        <w:left w:val="none" w:sz="0" w:space="0" w:color="auto"/>
        <w:bottom w:val="none" w:sz="0" w:space="0" w:color="auto"/>
        <w:right w:val="none" w:sz="0" w:space="0" w:color="auto"/>
      </w:divBdr>
    </w:div>
    <w:div w:id="773868802">
      <w:bodyDiv w:val="1"/>
      <w:marLeft w:val="0"/>
      <w:marRight w:val="0"/>
      <w:marTop w:val="0"/>
      <w:marBottom w:val="0"/>
      <w:divBdr>
        <w:top w:val="none" w:sz="0" w:space="0" w:color="auto"/>
        <w:left w:val="none" w:sz="0" w:space="0" w:color="auto"/>
        <w:bottom w:val="none" w:sz="0" w:space="0" w:color="auto"/>
        <w:right w:val="none" w:sz="0" w:space="0" w:color="auto"/>
      </w:divBdr>
    </w:div>
    <w:div w:id="785780780">
      <w:bodyDiv w:val="1"/>
      <w:marLeft w:val="0"/>
      <w:marRight w:val="0"/>
      <w:marTop w:val="0"/>
      <w:marBottom w:val="0"/>
      <w:divBdr>
        <w:top w:val="none" w:sz="0" w:space="0" w:color="auto"/>
        <w:left w:val="none" w:sz="0" w:space="0" w:color="auto"/>
        <w:bottom w:val="none" w:sz="0" w:space="0" w:color="auto"/>
        <w:right w:val="none" w:sz="0" w:space="0" w:color="auto"/>
      </w:divBdr>
    </w:div>
    <w:div w:id="787435071">
      <w:bodyDiv w:val="1"/>
      <w:marLeft w:val="0"/>
      <w:marRight w:val="0"/>
      <w:marTop w:val="0"/>
      <w:marBottom w:val="0"/>
      <w:divBdr>
        <w:top w:val="none" w:sz="0" w:space="0" w:color="auto"/>
        <w:left w:val="none" w:sz="0" w:space="0" w:color="auto"/>
        <w:bottom w:val="none" w:sz="0" w:space="0" w:color="auto"/>
        <w:right w:val="none" w:sz="0" w:space="0" w:color="auto"/>
      </w:divBdr>
    </w:div>
    <w:div w:id="837767995">
      <w:bodyDiv w:val="1"/>
      <w:marLeft w:val="0"/>
      <w:marRight w:val="0"/>
      <w:marTop w:val="0"/>
      <w:marBottom w:val="0"/>
      <w:divBdr>
        <w:top w:val="none" w:sz="0" w:space="0" w:color="auto"/>
        <w:left w:val="none" w:sz="0" w:space="0" w:color="auto"/>
        <w:bottom w:val="none" w:sz="0" w:space="0" w:color="auto"/>
        <w:right w:val="none" w:sz="0" w:space="0" w:color="auto"/>
      </w:divBdr>
    </w:div>
    <w:div w:id="838497984">
      <w:bodyDiv w:val="1"/>
      <w:marLeft w:val="0"/>
      <w:marRight w:val="0"/>
      <w:marTop w:val="0"/>
      <w:marBottom w:val="0"/>
      <w:divBdr>
        <w:top w:val="none" w:sz="0" w:space="0" w:color="auto"/>
        <w:left w:val="none" w:sz="0" w:space="0" w:color="auto"/>
        <w:bottom w:val="none" w:sz="0" w:space="0" w:color="auto"/>
        <w:right w:val="none" w:sz="0" w:space="0" w:color="auto"/>
      </w:divBdr>
    </w:div>
    <w:div w:id="840045973">
      <w:bodyDiv w:val="1"/>
      <w:marLeft w:val="0"/>
      <w:marRight w:val="0"/>
      <w:marTop w:val="0"/>
      <w:marBottom w:val="0"/>
      <w:divBdr>
        <w:top w:val="none" w:sz="0" w:space="0" w:color="auto"/>
        <w:left w:val="none" w:sz="0" w:space="0" w:color="auto"/>
        <w:bottom w:val="none" w:sz="0" w:space="0" w:color="auto"/>
        <w:right w:val="none" w:sz="0" w:space="0" w:color="auto"/>
      </w:divBdr>
    </w:div>
    <w:div w:id="856390991">
      <w:bodyDiv w:val="1"/>
      <w:marLeft w:val="0"/>
      <w:marRight w:val="0"/>
      <w:marTop w:val="0"/>
      <w:marBottom w:val="0"/>
      <w:divBdr>
        <w:top w:val="none" w:sz="0" w:space="0" w:color="auto"/>
        <w:left w:val="none" w:sz="0" w:space="0" w:color="auto"/>
        <w:bottom w:val="none" w:sz="0" w:space="0" w:color="auto"/>
        <w:right w:val="none" w:sz="0" w:space="0" w:color="auto"/>
      </w:divBdr>
    </w:div>
    <w:div w:id="863250920">
      <w:bodyDiv w:val="1"/>
      <w:marLeft w:val="0"/>
      <w:marRight w:val="0"/>
      <w:marTop w:val="0"/>
      <w:marBottom w:val="0"/>
      <w:divBdr>
        <w:top w:val="none" w:sz="0" w:space="0" w:color="auto"/>
        <w:left w:val="none" w:sz="0" w:space="0" w:color="auto"/>
        <w:bottom w:val="none" w:sz="0" w:space="0" w:color="auto"/>
        <w:right w:val="none" w:sz="0" w:space="0" w:color="auto"/>
      </w:divBdr>
    </w:div>
    <w:div w:id="867327563">
      <w:bodyDiv w:val="1"/>
      <w:marLeft w:val="0"/>
      <w:marRight w:val="0"/>
      <w:marTop w:val="0"/>
      <w:marBottom w:val="0"/>
      <w:divBdr>
        <w:top w:val="none" w:sz="0" w:space="0" w:color="auto"/>
        <w:left w:val="none" w:sz="0" w:space="0" w:color="auto"/>
        <w:bottom w:val="none" w:sz="0" w:space="0" w:color="auto"/>
        <w:right w:val="none" w:sz="0" w:space="0" w:color="auto"/>
      </w:divBdr>
    </w:div>
    <w:div w:id="874539784">
      <w:bodyDiv w:val="1"/>
      <w:marLeft w:val="0"/>
      <w:marRight w:val="0"/>
      <w:marTop w:val="0"/>
      <w:marBottom w:val="0"/>
      <w:divBdr>
        <w:top w:val="none" w:sz="0" w:space="0" w:color="auto"/>
        <w:left w:val="none" w:sz="0" w:space="0" w:color="auto"/>
        <w:bottom w:val="none" w:sz="0" w:space="0" w:color="auto"/>
        <w:right w:val="none" w:sz="0" w:space="0" w:color="auto"/>
      </w:divBdr>
    </w:div>
    <w:div w:id="899629435">
      <w:bodyDiv w:val="1"/>
      <w:marLeft w:val="0"/>
      <w:marRight w:val="0"/>
      <w:marTop w:val="0"/>
      <w:marBottom w:val="0"/>
      <w:divBdr>
        <w:top w:val="none" w:sz="0" w:space="0" w:color="auto"/>
        <w:left w:val="none" w:sz="0" w:space="0" w:color="auto"/>
        <w:bottom w:val="none" w:sz="0" w:space="0" w:color="auto"/>
        <w:right w:val="none" w:sz="0" w:space="0" w:color="auto"/>
      </w:divBdr>
    </w:div>
    <w:div w:id="900946862">
      <w:bodyDiv w:val="1"/>
      <w:marLeft w:val="0"/>
      <w:marRight w:val="0"/>
      <w:marTop w:val="0"/>
      <w:marBottom w:val="0"/>
      <w:divBdr>
        <w:top w:val="none" w:sz="0" w:space="0" w:color="auto"/>
        <w:left w:val="none" w:sz="0" w:space="0" w:color="auto"/>
        <w:bottom w:val="none" w:sz="0" w:space="0" w:color="auto"/>
        <w:right w:val="none" w:sz="0" w:space="0" w:color="auto"/>
      </w:divBdr>
    </w:div>
    <w:div w:id="916087749">
      <w:bodyDiv w:val="1"/>
      <w:marLeft w:val="0"/>
      <w:marRight w:val="0"/>
      <w:marTop w:val="0"/>
      <w:marBottom w:val="0"/>
      <w:divBdr>
        <w:top w:val="none" w:sz="0" w:space="0" w:color="auto"/>
        <w:left w:val="none" w:sz="0" w:space="0" w:color="auto"/>
        <w:bottom w:val="none" w:sz="0" w:space="0" w:color="auto"/>
        <w:right w:val="none" w:sz="0" w:space="0" w:color="auto"/>
      </w:divBdr>
    </w:div>
    <w:div w:id="920018130">
      <w:bodyDiv w:val="1"/>
      <w:marLeft w:val="0"/>
      <w:marRight w:val="0"/>
      <w:marTop w:val="0"/>
      <w:marBottom w:val="0"/>
      <w:divBdr>
        <w:top w:val="none" w:sz="0" w:space="0" w:color="auto"/>
        <w:left w:val="none" w:sz="0" w:space="0" w:color="auto"/>
        <w:bottom w:val="none" w:sz="0" w:space="0" w:color="auto"/>
        <w:right w:val="none" w:sz="0" w:space="0" w:color="auto"/>
      </w:divBdr>
    </w:div>
    <w:div w:id="922371372">
      <w:bodyDiv w:val="1"/>
      <w:marLeft w:val="0"/>
      <w:marRight w:val="0"/>
      <w:marTop w:val="0"/>
      <w:marBottom w:val="0"/>
      <w:divBdr>
        <w:top w:val="none" w:sz="0" w:space="0" w:color="auto"/>
        <w:left w:val="none" w:sz="0" w:space="0" w:color="auto"/>
        <w:bottom w:val="none" w:sz="0" w:space="0" w:color="auto"/>
        <w:right w:val="none" w:sz="0" w:space="0" w:color="auto"/>
      </w:divBdr>
    </w:div>
    <w:div w:id="928387273">
      <w:bodyDiv w:val="1"/>
      <w:marLeft w:val="0"/>
      <w:marRight w:val="0"/>
      <w:marTop w:val="0"/>
      <w:marBottom w:val="0"/>
      <w:divBdr>
        <w:top w:val="none" w:sz="0" w:space="0" w:color="auto"/>
        <w:left w:val="none" w:sz="0" w:space="0" w:color="auto"/>
        <w:bottom w:val="none" w:sz="0" w:space="0" w:color="auto"/>
        <w:right w:val="none" w:sz="0" w:space="0" w:color="auto"/>
      </w:divBdr>
    </w:div>
    <w:div w:id="933174118">
      <w:bodyDiv w:val="1"/>
      <w:marLeft w:val="0"/>
      <w:marRight w:val="0"/>
      <w:marTop w:val="0"/>
      <w:marBottom w:val="0"/>
      <w:divBdr>
        <w:top w:val="none" w:sz="0" w:space="0" w:color="auto"/>
        <w:left w:val="none" w:sz="0" w:space="0" w:color="auto"/>
        <w:bottom w:val="none" w:sz="0" w:space="0" w:color="auto"/>
        <w:right w:val="none" w:sz="0" w:space="0" w:color="auto"/>
      </w:divBdr>
    </w:div>
    <w:div w:id="947396169">
      <w:bodyDiv w:val="1"/>
      <w:marLeft w:val="0"/>
      <w:marRight w:val="0"/>
      <w:marTop w:val="0"/>
      <w:marBottom w:val="0"/>
      <w:divBdr>
        <w:top w:val="none" w:sz="0" w:space="0" w:color="auto"/>
        <w:left w:val="none" w:sz="0" w:space="0" w:color="auto"/>
        <w:bottom w:val="none" w:sz="0" w:space="0" w:color="auto"/>
        <w:right w:val="none" w:sz="0" w:space="0" w:color="auto"/>
      </w:divBdr>
    </w:div>
    <w:div w:id="962537185">
      <w:bodyDiv w:val="1"/>
      <w:marLeft w:val="0"/>
      <w:marRight w:val="0"/>
      <w:marTop w:val="0"/>
      <w:marBottom w:val="0"/>
      <w:divBdr>
        <w:top w:val="none" w:sz="0" w:space="0" w:color="auto"/>
        <w:left w:val="none" w:sz="0" w:space="0" w:color="auto"/>
        <w:bottom w:val="none" w:sz="0" w:space="0" w:color="auto"/>
        <w:right w:val="none" w:sz="0" w:space="0" w:color="auto"/>
      </w:divBdr>
    </w:div>
    <w:div w:id="974214984">
      <w:bodyDiv w:val="1"/>
      <w:marLeft w:val="0"/>
      <w:marRight w:val="0"/>
      <w:marTop w:val="0"/>
      <w:marBottom w:val="0"/>
      <w:divBdr>
        <w:top w:val="none" w:sz="0" w:space="0" w:color="auto"/>
        <w:left w:val="none" w:sz="0" w:space="0" w:color="auto"/>
        <w:bottom w:val="none" w:sz="0" w:space="0" w:color="auto"/>
        <w:right w:val="none" w:sz="0" w:space="0" w:color="auto"/>
      </w:divBdr>
    </w:div>
    <w:div w:id="996231356">
      <w:bodyDiv w:val="1"/>
      <w:marLeft w:val="0"/>
      <w:marRight w:val="0"/>
      <w:marTop w:val="0"/>
      <w:marBottom w:val="0"/>
      <w:divBdr>
        <w:top w:val="none" w:sz="0" w:space="0" w:color="auto"/>
        <w:left w:val="none" w:sz="0" w:space="0" w:color="auto"/>
        <w:bottom w:val="none" w:sz="0" w:space="0" w:color="auto"/>
        <w:right w:val="none" w:sz="0" w:space="0" w:color="auto"/>
      </w:divBdr>
    </w:div>
    <w:div w:id="1068188329">
      <w:bodyDiv w:val="1"/>
      <w:marLeft w:val="0"/>
      <w:marRight w:val="0"/>
      <w:marTop w:val="0"/>
      <w:marBottom w:val="0"/>
      <w:divBdr>
        <w:top w:val="none" w:sz="0" w:space="0" w:color="auto"/>
        <w:left w:val="none" w:sz="0" w:space="0" w:color="auto"/>
        <w:bottom w:val="none" w:sz="0" w:space="0" w:color="auto"/>
        <w:right w:val="none" w:sz="0" w:space="0" w:color="auto"/>
      </w:divBdr>
    </w:div>
    <w:div w:id="1069383121">
      <w:bodyDiv w:val="1"/>
      <w:marLeft w:val="0"/>
      <w:marRight w:val="0"/>
      <w:marTop w:val="0"/>
      <w:marBottom w:val="0"/>
      <w:divBdr>
        <w:top w:val="none" w:sz="0" w:space="0" w:color="auto"/>
        <w:left w:val="none" w:sz="0" w:space="0" w:color="auto"/>
        <w:bottom w:val="none" w:sz="0" w:space="0" w:color="auto"/>
        <w:right w:val="none" w:sz="0" w:space="0" w:color="auto"/>
      </w:divBdr>
    </w:div>
    <w:div w:id="1077559214">
      <w:bodyDiv w:val="1"/>
      <w:marLeft w:val="0"/>
      <w:marRight w:val="0"/>
      <w:marTop w:val="0"/>
      <w:marBottom w:val="0"/>
      <w:divBdr>
        <w:top w:val="none" w:sz="0" w:space="0" w:color="auto"/>
        <w:left w:val="none" w:sz="0" w:space="0" w:color="auto"/>
        <w:bottom w:val="none" w:sz="0" w:space="0" w:color="auto"/>
        <w:right w:val="none" w:sz="0" w:space="0" w:color="auto"/>
      </w:divBdr>
    </w:div>
    <w:div w:id="1093815838">
      <w:bodyDiv w:val="1"/>
      <w:marLeft w:val="0"/>
      <w:marRight w:val="0"/>
      <w:marTop w:val="0"/>
      <w:marBottom w:val="0"/>
      <w:divBdr>
        <w:top w:val="none" w:sz="0" w:space="0" w:color="auto"/>
        <w:left w:val="none" w:sz="0" w:space="0" w:color="auto"/>
        <w:bottom w:val="none" w:sz="0" w:space="0" w:color="auto"/>
        <w:right w:val="none" w:sz="0" w:space="0" w:color="auto"/>
      </w:divBdr>
    </w:div>
    <w:div w:id="1094590575">
      <w:bodyDiv w:val="1"/>
      <w:marLeft w:val="0"/>
      <w:marRight w:val="0"/>
      <w:marTop w:val="0"/>
      <w:marBottom w:val="0"/>
      <w:divBdr>
        <w:top w:val="none" w:sz="0" w:space="0" w:color="auto"/>
        <w:left w:val="none" w:sz="0" w:space="0" w:color="auto"/>
        <w:bottom w:val="none" w:sz="0" w:space="0" w:color="auto"/>
        <w:right w:val="none" w:sz="0" w:space="0" w:color="auto"/>
      </w:divBdr>
    </w:div>
    <w:div w:id="1115753255">
      <w:bodyDiv w:val="1"/>
      <w:marLeft w:val="0"/>
      <w:marRight w:val="0"/>
      <w:marTop w:val="0"/>
      <w:marBottom w:val="0"/>
      <w:divBdr>
        <w:top w:val="none" w:sz="0" w:space="0" w:color="auto"/>
        <w:left w:val="none" w:sz="0" w:space="0" w:color="auto"/>
        <w:bottom w:val="none" w:sz="0" w:space="0" w:color="auto"/>
        <w:right w:val="none" w:sz="0" w:space="0" w:color="auto"/>
      </w:divBdr>
    </w:div>
    <w:div w:id="1147013754">
      <w:bodyDiv w:val="1"/>
      <w:marLeft w:val="0"/>
      <w:marRight w:val="0"/>
      <w:marTop w:val="0"/>
      <w:marBottom w:val="0"/>
      <w:divBdr>
        <w:top w:val="none" w:sz="0" w:space="0" w:color="auto"/>
        <w:left w:val="none" w:sz="0" w:space="0" w:color="auto"/>
        <w:bottom w:val="none" w:sz="0" w:space="0" w:color="auto"/>
        <w:right w:val="none" w:sz="0" w:space="0" w:color="auto"/>
      </w:divBdr>
    </w:div>
    <w:div w:id="1162433711">
      <w:bodyDiv w:val="1"/>
      <w:marLeft w:val="0"/>
      <w:marRight w:val="0"/>
      <w:marTop w:val="0"/>
      <w:marBottom w:val="0"/>
      <w:divBdr>
        <w:top w:val="none" w:sz="0" w:space="0" w:color="auto"/>
        <w:left w:val="none" w:sz="0" w:space="0" w:color="auto"/>
        <w:bottom w:val="none" w:sz="0" w:space="0" w:color="auto"/>
        <w:right w:val="none" w:sz="0" w:space="0" w:color="auto"/>
      </w:divBdr>
    </w:div>
    <w:div w:id="1234043304">
      <w:bodyDiv w:val="1"/>
      <w:marLeft w:val="0"/>
      <w:marRight w:val="0"/>
      <w:marTop w:val="0"/>
      <w:marBottom w:val="0"/>
      <w:divBdr>
        <w:top w:val="none" w:sz="0" w:space="0" w:color="auto"/>
        <w:left w:val="none" w:sz="0" w:space="0" w:color="auto"/>
        <w:bottom w:val="none" w:sz="0" w:space="0" w:color="auto"/>
        <w:right w:val="none" w:sz="0" w:space="0" w:color="auto"/>
      </w:divBdr>
    </w:div>
    <w:div w:id="1284073346">
      <w:bodyDiv w:val="1"/>
      <w:marLeft w:val="0"/>
      <w:marRight w:val="0"/>
      <w:marTop w:val="0"/>
      <w:marBottom w:val="0"/>
      <w:divBdr>
        <w:top w:val="none" w:sz="0" w:space="0" w:color="auto"/>
        <w:left w:val="none" w:sz="0" w:space="0" w:color="auto"/>
        <w:bottom w:val="none" w:sz="0" w:space="0" w:color="auto"/>
        <w:right w:val="none" w:sz="0" w:space="0" w:color="auto"/>
      </w:divBdr>
    </w:div>
    <w:div w:id="1316228221">
      <w:bodyDiv w:val="1"/>
      <w:marLeft w:val="0"/>
      <w:marRight w:val="0"/>
      <w:marTop w:val="0"/>
      <w:marBottom w:val="0"/>
      <w:divBdr>
        <w:top w:val="none" w:sz="0" w:space="0" w:color="auto"/>
        <w:left w:val="none" w:sz="0" w:space="0" w:color="auto"/>
        <w:bottom w:val="none" w:sz="0" w:space="0" w:color="auto"/>
        <w:right w:val="none" w:sz="0" w:space="0" w:color="auto"/>
      </w:divBdr>
    </w:div>
    <w:div w:id="1324047675">
      <w:bodyDiv w:val="1"/>
      <w:marLeft w:val="0"/>
      <w:marRight w:val="0"/>
      <w:marTop w:val="0"/>
      <w:marBottom w:val="0"/>
      <w:divBdr>
        <w:top w:val="none" w:sz="0" w:space="0" w:color="auto"/>
        <w:left w:val="none" w:sz="0" w:space="0" w:color="auto"/>
        <w:bottom w:val="none" w:sz="0" w:space="0" w:color="auto"/>
        <w:right w:val="none" w:sz="0" w:space="0" w:color="auto"/>
      </w:divBdr>
    </w:div>
    <w:div w:id="1340810641">
      <w:bodyDiv w:val="1"/>
      <w:marLeft w:val="0"/>
      <w:marRight w:val="0"/>
      <w:marTop w:val="0"/>
      <w:marBottom w:val="0"/>
      <w:divBdr>
        <w:top w:val="none" w:sz="0" w:space="0" w:color="auto"/>
        <w:left w:val="none" w:sz="0" w:space="0" w:color="auto"/>
        <w:bottom w:val="none" w:sz="0" w:space="0" w:color="auto"/>
        <w:right w:val="none" w:sz="0" w:space="0" w:color="auto"/>
      </w:divBdr>
    </w:div>
    <w:div w:id="1348562966">
      <w:bodyDiv w:val="1"/>
      <w:marLeft w:val="0"/>
      <w:marRight w:val="0"/>
      <w:marTop w:val="0"/>
      <w:marBottom w:val="0"/>
      <w:divBdr>
        <w:top w:val="none" w:sz="0" w:space="0" w:color="auto"/>
        <w:left w:val="none" w:sz="0" w:space="0" w:color="auto"/>
        <w:bottom w:val="none" w:sz="0" w:space="0" w:color="auto"/>
        <w:right w:val="none" w:sz="0" w:space="0" w:color="auto"/>
      </w:divBdr>
    </w:div>
    <w:div w:id="1353607791">
      <w:bodyDiv w:val="1"/>
      <w:marLeft w:val="0"/>
      <w:marRight w:val="0"/>
      <w:marTop w:val="0"/>
      <w:marBottom w:val="0"/>
      <w:divBdr>
        <w:top w:val="none" w:sz="0" w:space="0" w:color="auto"/>
        <w:left w:val="none" w:sz="0" w:space="0" w:color="auto"/>
        <w:bottom w:val="none" w:sz="0" w:space="0" w:color="auto"/>
        <w:right w:val="none" w:sz="0" w:space="0" w:color="auto"/>
      </w:divBdr>
    </w:div>
    <w:div w:id="1362046245">
      <w:bodyDiv w:val="1"/>
      <w:marLeft w:val="0"/>
      <w:marRight w:val="0"/>
      <w:marTop w:val="0"/>
      <w:marBottom w:val="0"/>
      <w:divBdr>
        <w:top w:val="none" w:sz="0" w:space="0" w:color="auto"/>
        <w:left w:val="none" w:sz="0" w:space="0" w:color="auto"/>
        <w:bottom w:val="none" w:sz="0" w:space="0" w:color="auto"/>
        <w:right w:val="none" w:sz="0" w:space="0" w:color="auto"/>
      </w:divBdr>
    </w:div>
    <w:div w:id="1370254083">
      <w:bodyDiv w:val="1"/>
      <w:marLeft w:val="0"/>
      <w:marRight w:val="0"/>
      <w:marTop w:val="0"/>
      <w:marBottom w:val="0"/>
      <w:divBdr>
        <w:top w:val="none" w:sz="0" w:space="0" w:color="auto"/>
        <w:left w:val="none" w:sz="0" w:space="0" w:color="auto"/>
        <w:bottom w:val="none" w:sz="0" w:space="0" w:color="auto"/>
        <w:right w:val="none" w:sz="0" w:space="0" w:color="auto"/>
      </w:divBdr>
    </w:div>
    <w:div w:id="1375083972">
      <w:bodyDiv w:val="1"/>
      <w:marLeft w:val="0"/>
      <w:marRight w:val="0"/>
      <w:marTop w:val="0"/>
      <w:marBottom w:val="0"/>
      <w:divBdr>
        <w:top w:val="none" w:sz="0" w:space="0" w:color="auto"/>
        <w:left w:val="none" w:sz="0" w:space="0" w:color="auto"/>
        <w:bottom w:val="none" w:sz="0" w:space="0" w:color="auto"/>
        <w:right w:val="none" w:sz="0" w:space="0" w:color="auto"/>
      </w:divBdr>
    </w:div>
    <w:div w:id="1382291620">
      <w:bodyDiv w:val="1"/>
      <w:marLeft w:val="0"/>
      <w:marRight w:val="0"/>
      <w:marTop w:val="0"/>
      <w:marBottom w:val="0"/>
      <w:divBdr>
        <w:top w:val="none" w:sz="0" w:space="0" w:color="auto"/>
        <w:left w:val="none" w:sz="0" w:space="0" w:color="auto"/>
        <w:bottom w:val="none" w:sz="0" w:space="0" w:color="auto"/>
        <w:right w:val="none" w:sz="0" w:space="0" w:color="auto"/>
      </w:divBdr>
    </w:div>
    <w:div w:id="1423600700">
      <w:bodyDiv w:val="1"/>
      <w:marLeft w:val="0"/>
      <w:marRight w:val="0"/>
      <w:marTop w:val="0"/>
      <w:marBottom w:val="0"/>
      <w:divBdr>
        <w:top w:val="none" w:sz="0" w:space="0" w:color="auto"/>
        <w:left w:val="none" w:sz="0" w:space="0" w:color="auto"/>
        <w:bottom w:val="none" w:sz="0" w:space="0" w:color="auto"/>
        <w:right w:val="none" w:sz="0" w:space="0" w:color="auto"/>
      </w:divBdr>
    </w:div>
    <w:div w:id="1460341831">
      <w:bodyDiv w:val="1"/>
      <w:marLeft w:val="0"/>
      <w:marRight w:val="0"/>
      <w:marTop w:val="0"/>
      <w:marBottom w:val="0"/>
      <w:divBdr>
        <w:top w:val="none" w:sz="0" w:space="0" w:color="auto"/>
        <w:left w:val="none" w:sz="0" w:space="0" w:color="auto"/>
        <w:bottom w:val="none" w:sz="0" w:space="0" w:color="auto"/>
        <w:right w:val="none" w:sz="0" w:space="0" w:color="auto"/>
      </w:divBdr>
    </w:div>
    <w:div w:id="1497723385">
      <w:bodyDiv w:val="1"/>
      <w:marLeft w:val="0"/>
      <w:marRight w:val="0"/>
      <w:marTop w:val="0"/>
      <w:marBottom w:val="0"/>
      <w:divBdr>
        <w:top w:val="none" w:sz="0" w:space="0" w:color="auto"/>
        <w:left w:val="none" w:sz="0" w:space="0" w:color="auto"/>
        <w:bottom w:val="none" w:sz="0" w:space="0" w:color="auto"/>
        <w:right w:val="none" w:sz="0" w:space="0" w:color="auto"/>
      </w:divBdr>
    </w:div>
    <w:div w:id="1516189887">
      <w:bodyDiv w:val="1"/>
      <w:marLeft w:val="0"/>
      <w:marRight w:val="0"/>
      <w:marTop w:val="0"/>
      <w:marBottom w:val="0"/>
      <w:divBdr>
        <w:top w:val="none" w:sz="0" w:space="0" w:color="auto"/>
        <w:left w:val="none" w:sz="0" w:space="0" w:color="auto"/>
        <w:bottom w:val="none" w:sz="0" w:space="0" w:color="auto"/>
        <w:right w:val="none" w:sz="0" w:space="0" w:color="auto"/>
      </w:divBdr>
    </w:div>
    <w:div w:id="1530486167">
      <w:bodyDiv w:val="1"/>
      <w:marLeft w:val="0"/>
      <w:marRight w:val="0"/>
      <w:marTop w:val="0"/>
      <w:marBottom w:val="0"/>
      <w:divBdr>
        <w:top w:val="none" w:sz="0" w:space="0" w:color="auto"/>
        <w:left w:val="none" w:sz="0" w:space="0" w:color="auto"/>
        <w:bottom w:val="none" w:sz="0" w:space="0" w:color="auto"/>
        <w:right w:val="none" w:sz="0" w:space="0" w:color="auto"/>
      </w:divBdr>
    </w:div>
    <w:div w:id="1530875966">
      <w:bodyDiv w:val="1"/>
      <w:marLeft w:val="0"/>
      <w:marRight w:val="0"/>
      <w:marTop w:val="0"/>
      <w:marBottom w:val="0"/>
      <w:divBdr>
        <w:top w:val="none" w:sz="0" w:space="0" w:color="auto"/>
        <w:left w:val="none" w:sz="0" w:space="0" w:color="auto"/>
        <w:bottom w:val="none" w:sz="0" w:space="0" w:color="auto"/>
        <w:right w:val="none" w:sz="0" w:space="0" w:color="auto"/>
      </w:divBdr>
    </w:div>
    <w:div w:id="1531608844">
      <w:bodyDiv w:val="1"/>
      <w:marLeft w:val="0"/>
      <w:marRight w:val="0"/>
      <w:marTop w:val="0"/>
      <w:marBottom w:val="0"/>
      <w:divBdr>
        <w:top w:val="none" w:sz="0" w:space="0" w:color="auto"/>
        <w:left w:val="none" w:sz="0" w:space="0" w:color="auto"/>
        <w:bottom w:val="none" w:sz="0" w:space="0" w:color="auto"/>
        <w:right w:val="none" w:sz="0" w:space="0" w:color="auto"/>
      </w:divBdr>
    </w:div>
    <w:div w:id="1542133888">
      <w:bodyDiv w:val="1"/>
      <w:marLeft w:val="0"/>
      <w:marRight w:val="0"/>
      <w:marTop w:val="0"/>
      <w:marBottom w:val="0"/>
      <w:divBdr>
        <w:top w:val="none" w:sz="0" w:space="0" w:color="auto"/>
        <w:left w:val="none" w:sz="0" w:space="0" w:color="auto"/>
        <w:bottom w:val="none" w:sz="0" w:space="0" w:color="auto"/>
        <w:right w:val="none" w:sz="0" w:space="0" w:color="auto"/>
      </w:divBdr>
    </w:div>
    <w:div w:id="1544369337">
      <w:bodyDiv w:val="1"/>
      <w:marLeft w:val="0"/>
      <w:marRight w:val="0"/>
      <w:marTop w:val="0"/>
      <w:marBottom w:val="0"/>
      <w:divBdr>
        <w:top w:val="none" w:sz="0" w:space="0" w:color="auto"/>
        <w:left w:val="none" w:sz="0" w:space="0" w:color="auto"/>
        <w:bottom w:val="none" w:sz="0" w:space="0" w:color="auto"/>
        <w:right w:val="none" w:sz="0" w:space="0" w:color="auto"/>
      </w:divBdr>
    </w:div>
    <w:div w:id="1562256323">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69657437">
      <w:bodyDiv w:val="1"/>
      <w:marLeft w:val="0"/>
      <w:marRight w:val="0"/>
      <w:marTop w:val="0"/>
      <w:marBottom w:val="0"/>
      <w:divBdr>
        <w:top w:val="none" w:sz="0" w:space="0" w:color="auto"/>
        <w:left w:val="none" w:sz="0" w:space="0" w:color="auto"/>
        <w:bottom w:val="none" w:sz="0" w:space="0" w:color="auto"/>
        <w:right w:val="none" w:sz="0" w:space="0" w:color="auto"/>
      </w:divBdr>
    </w:div>
    <w:div w:id="1570920730">
      <w:bodyDiv w:val="1"/>
      <w:marLeft w:val="0"/>
      <w:marRight w:val="0"/>
      <w:marTop w:val="0"/>
      <w:marBottom w:val="0"/>
      <w:divBdr>
        <w:top w:val="none" w:sz="0" w:space="0" w:color="auto"/>
        <w:left w:val="none" w:sz="0" w:space="0" w:color="auto"/>
        <w:bottom w:val="none" w:sz="0" w:space="0" w:color="auto"/>
        <w:right w:val="none" w:sz="0" w:space="0" w:color="auto"/>
      </w:divBdr>
    </w:div>
    <w:div w:id="1593854854">
      <w:bodyDiv w:val="1"/>
      <w:marLeft w:val="0"/>
      <w:marRight w:val="0"/>
      <w:marTop w:val="0"/>
      <w:marBottom w:val="0"/>
      <w:divBdr>
        <w:top w:val="none" w:sz="0" w:space="0" w:color="auto"/>
        <w:left w:val="none" w:sz="0" w:space="0" w:color="auto"/>
        <w:bottom w:val="none" w:sz="0" w:space="0" w:color="auto"/>
        <w:right w:val="none" w:sz="0" w:space="0" w:color="auto"/>
      </w:divBdr>
    </w:div>
    <w:div w:id="1600020654">
      <w:bodyDiv w:val="1"/>
      <w:marLeft w:val="0"/>
      <w:marRight w:val="0"/>
      <w:marTop w:val="0"/>
      <w:marBottom w:val="0"/>
      <w:divBdr>
        <w:top w:val="none" w:sz="0" w:space="0" w:color="auto"/>
        <w:left w:val="none" w:sz="0" w:space="0" w:color="auto"/>
        <w:bottom w:val="none" w:sz="0" w:space="0" w:color="auto"/>
        <w:right w:val="none" w:sz="0" w:space="0" w:color="auto"/>
      </w:divBdr>
    </w:div>
    <w:div w:id="1609190452">
      <w:bodyDiv w:val="1"/>
      <w:marLeft w:val="0"/>
      <w:marRight w:val="0"/>
      <w:marTop w:val="0"/>
      <w:marBottom w:val="0"/>
      <w:divBdr>
        <w:top w:val="none" w:sz="0" w:space="0" w:color="auto"/>
        <w:left w:val="none" w:sz="0" w:space="0" w:color="auto"/>
        <w:bottom w:val="none" w:sz="0" w:space="0" w:color="auto"/>
        <w:right w:val="none" w:sz="0" w:space="0" w:color="auto"/>
      </w:divBdr>
    </w:div>
    <w:div w:id="1648246827">
      <w:bodyDiv w:val="1"/>
      <w:marLeft w:val="0"/>
      <w:marRight w:val="0"/>
      <w:marTop w:val="0"/>
      <w:marBottom w:val="0"/>
      <w:divBdr>
        <w:top w:val="none" w:sz="0" w:space="0" w:color="auto"/>
        <w:left w:val="none" w:sz="0" w:space="0" w:color="auto"/>
        <w:bottom w:val="none" w:sz="0" w:space="0" w:color="auto"/>
        <w:right w:val="none" w:sz="0" w:space="0" w:color="auto"/>
      </w:divBdr>
    </w:div>
    <w:div w:id="1658531246">
      <w:bodyDiv w:val="1"/>
      <w:marLeft w:val="0"/>
      <w:marRight w:val="0"/>
      <w:marTop w:val="0"/>
      <w:marBottom w:val="0"/>
      <w:divBdr>
        <w:top w:val="none" w:sz="0" w:space="0" w:color="auto"/>
        <w:left w:val="none" w:sz="0" w:space="0" w:color="auto"/>
        <w:bottom w:val="none" w:sz="0" w:space="0" w:color="auto"/>
        <w:right w:val="none" w:sz="0" w:space="0" w:color="auto"/>
      </w:divBdr>
    </w:div>
    <w:div w:id="1701662934">
      <w:bodyDiv w:val="1"/>
      <w:marLeft w:val="0"/>
      <w:marRight w:val="0"/>
      <w:marTop w:val="0"/>
      <w:marBottom w:val="0"/>
      <w:divBdr>
        <w:top w:val="none" w:sz="0" w:space="0" w:color="auto"/>
        <w:left w:val="none" w:sz="0" w:space="0" w:color="auto"/>
        <w:bottom w:val="none" w:sz="0" w:space="0" w:color="auto"/>
        <w:right w:val="none" w:sz="0" w:space="0" w:color="auto"/>
      </w:divBdr>
    </w:div>
    <w:div w:id="1705255410">
      <w:bodyDiv w:val="1"/>
      <w:marLeft w:val="0"/>
      <w:marRight w:val="0"/>
      <w:marTop w:val="0"/>
      <w:marBottom w:val="0"/>
      <w:divBdr>
        <w:top w:val="none" w:sz="0" w:space="0" w:color="auto"/>
        <w:left w:val="none" w:sz="0" w:space="0" w:color="auto"/>
        <w:bottom w:val="none" w:sz="0" w:space="0" w:color="auto"/>
        <w:right w:val="none" w:sz="0" w:space="0" w:color="auto"/>
      </w:divBdr>
    </w:div>
    <w:div w:id="1775901000">
      <w:bodyDiv w:val="1"/>
      <w:marLeft w:val="0"/>
      <w:marRight w:val="0"/>
      <w:marTop w:val="0"/>
      <w:marBottom w:val="0"/>
      <w:divBdr>
        <w:top w:val="none" w:sz="0" w:space="0" w:color="auto"/>
        <w:left w:val="none" w:sz="0" w:space="0" w:color="auto"/>
        <w:bottom w:val="none" w:sz="0" w:space="0" w:color="auto"/>
        <w:right w:val="none" w:sz="0" w:space="0" w:color="auto"/>
      </w:divBdr>
    </w:div>
    <w:div w:id="1778284012">
      <w:bodyDiv w:val="1"/>
      <w:marLeft w:val="0"/>
      <w:marRight w:val="0"/>
      <w:marTop w:val="0"/>
      <w:marBottom w:val="0"/>
      <w:divBdr>
        <w:top w:val="none" w:sz="0" w:space="0" w:color="auto"/>
        <w:left w:val="none" w:sz="0" w:space="0" w:color="auto"/>
        <w:bottom w:val="none" w:sz="0" w:space="0" w:color="auto"/>
        <w:right w:val="none" w:sz="0" w:space="0" w:color="auto"/>
      </w:divBdr>
    </w:div>
    <w:div w:id="1816993990">
      <w:bodyDiv w:val="1"/>
      <w:marLeft w:val="0"/>
      <w:marRight w:val="0"/>
      <w:marTop w:val="0"/>
      <w:marBottom w:val="0"/>
      <w:divBdr>
        <w:top w:val="none" w:sz="0" w:space="0" w:color="auto"/>
        <w:left w:val="none" w:sz="0" w:space="0" w:color="auto"/>
        <w:bottom w:val="none" w:sz="0" w:space="0" w:color="auto"/>
        <w:right w:val="none" w:sz="0" w:space="0" w:color="auto"/>
      </w:divBdr>
    </w:div>
    <w:div w:id="1821774949">
      <w:bodyDiv w:val="1"/>
      <w:marLeft w:val="0"/>
      <w:marRight w:val="0"/>
      <w:marTop w:val="0"/>
      <w:marBottom w:val="0"/>
      <w:divBdr>
        <w:top w:val="none" w:sz="0" w:space="0" w:color="auto"/>
        <w:left w:val="none" w:sz="0" w:space="0" w:color="auto"/>
        <w:bottom w:val="none" w:sz="0" w:space="0" w:color="auto"/>
        <w:right w:val="none" w:sz="0" w:space="0" w:color="auto"/>
      </w:divBdr>
    </w:div>
    <w:div w:id="1867331905">
      <w:bodyDiv w:val="1"/>
      <w:marLeft w:val="0"/>
      <w:marRight w:val="0"/>
      <w:marTop w:val="0"/>
      <w:marBottom w:val="0"/>
      <w:divBdr>
        <w:top w:val="none" w:sz="0" w:space="0" w:color="auto"/>
        <w:left w:val="none" w:sz="0" w:space="0" w:color="auto"/>
        <w:bottom w:val="none" w:sz="0" w:space="0" w:color="auto"/>
        <w:right w:val="none" w:sz="0" w:space="0" w:color="auto"/>
      </w:divBdr>
    </w:div>
    <w:div w:id="1867714771">
      <w:bodyDiv w:val="1"/>
      <w:marLeft w:val="0"/>
      <w:marRight w:val="0"/>
      <w:marTop w:val="0"/>
      <w:marBottom w:val="0"/>
      <w:divBdr>
        <w:top w:val="none" w:sz="0" w:space="0" w:color="auto"/>
        <w:left w:val="none" w:sz="0" w:space="0" w:color="auto"/>
        <w:bottom w:val="none" w:sz="0" w:space="0" w:color="auto"/>
        <w:right w:val="none" w:sz="0" w:space="0" w:color="auto"/>
      </w:divBdr>
    </w:div>
    <w:div w:id="1914197669">
      <w:bodyDiv w:val="1"/>
      <w:marLeft w:val="0"/>
      <w:marRight w:val="0"/>
      <w:marTop w:val="0"/>
      <w:marBottom w:val="0"/>
      <w:divBdr>
        <w:top w:val="none" w:sz="0" w:space="0" w:color="auto"/>
        <w:left w:val="none" w:sz="0" w:space="0" w:color="auto"/>
        <w:bottom w:val="none" w:sz="0" w:space="0" w:color="auto"/>
        <w:right w:val="none" w:sz="0" w:space="0" w:color="auto"/>
      </w:divBdr>
    </w:div>
    <w:div w:id="1940605279">
      <w:bodyDiv w:val="1"/>
      <w:marLeft w:val="0"/>
      <w:marRight w:val="0"/>
      <w:marTop w:val="0"/>
      <w:marBottom w:val="0"/>
      <w:divBdr>
        <w:top w:val="none" w:sz="0" w:space="0" w:color="auto"/>
        <w:left w:val="none" w:sz="0" w:space="0" w:color="auto"/>
        <w:bottom w:val="none" w:sz="0" w:space="0" w:color="auto"/>
        <w:right w:val="none" w:sz="0" w:space="0" w:color="auto"/>
      </w:divBdr>
    </w:div>
    <w:div w:id="1948586923">
      <w:bodyDiv w:val="1"/>
      <w:marLeft w:val="0"/>
      <w:marRight w:val="0"/>
      <w:marTop w:val="0"/>
      <w:marBottom w:val="0"/>
      <w:divBdr>
        <w:top w:val="none" w:sz="0" w:space="0" w:color="auto"/>
        <w:left w:val="none" w:sz="0" w:space="0" w:color="auto"/>
        <w:bottom w:val="none" w:sz="0" w:space="0" w:color="auto"/>
        <w:right w:val="none" w:sz="0" w:space="0" w:color="auto"/>
      </w:divBdr>
    </w:div>
    <w:div w:id="1950892051">
      <w:bodyDiv w:val="1"/>
      <w:marLeft w:val="0"/>
      <w:marRight w:val="0"/>
      <w:marTop w:val="0"/>
      <w:marBottom w:val="0"/>
      <w:divBdr>
        <w:top w:val="none" w:sz="0" w:space="0" w:color="auto"/>
        <w:left w:val="none" w:sz="0" w:space="0" w:color="auto"/>
        <w:bottom w:val="none" w:sz="0" w:space="0" w:color="auto"/>
        <w:right w:val="none" w:sz="0" w:space="0" w:color="auto"/>
      </w:divBdr>
    </w:div>
    <w:div w:id="1978340235">
      <w:bodyDiv w:val="1"/>
      <w:marLeft w:val="0"/>
      <w:marRight w:val="0"/>
      <w:marTop w:val="0"/>
      <w:marBottom w:val="0"/>
      <w:divBdr>
        <w:top w:val="none" w:sz="0" w:space="0" w:color="auto"/>
        <w:left w:val="none" w:sz="0" w:space="0" w:color="auto"/>
        <w:bottom w:val="none" w:sz="0" w:space="0" w:color="auto"/>
        <w:right w:val="none" w:sz="0" w:space="0" w:color="auto"/>
      </w:divBdr>
    </w:div>
    <w:div w:id="1978752488">
      <w:bodyDiv w:val="1"/>
      <w:marLeft w:val="0"/>
      <w:marRight w:val="0"/>
      <w:marTop w:val="0"/>
      <w:marBottom w:val="0"/>
      <w:divBdr>
        <w:top w:val="none" w:sz="0" w:space="0" w:color="auto"/>
        <w:left w:val="none" w:sz="0" w:space="0" w:color="auto"/>
        <w:bottom w:val="none" w:sz="0" w:space="0" w:color="auto"/>
        <w:right w:val="none" w:sz="0" w:space="0" w:color="auto"/>
      </w:divBdr>
    </w:div>
    <w:div w:id="1990667090">
      <w:bodyDiv w:val="1"/>
      <w:marLeft w:val="0"/>
      <w:marRight w:val="0"/>
      <w:marTop w:val="0"/>
      <w:marBottom w:val="0"/>
      <w:divBdr>
        <w:top w:val="none" w:sz="0" w:space="0" w:color="auto"/>
        <w:left w:val="none" w:sz="0" w:space="0" w:color="auto"/>
        <w:bottom w:val="none" w:sz="0" w:space="0" w:color="auto"/>
        <w:right w:val="none" w:sz="0" w:space="0" w:color="auto"/>
      </w:divBdr>
    </w:div>
    <w:div w:id="2016767404">
      <w:bodyDiv w:val="1"/>
      <w:marLeft w:val="0"/>
      <w:marRight w:val="0"/>
      <w:marTop w:val="0"/>
      <w:marBottom w:val="0"/>
      <w:divBdr>
        <w:top w:val="none" w:sz="0" w:space="0" w:color="auto"/>
        <w:left w:val="none" w:sz="0" w:space="0" w:color="auto"/>
        <w:bottom w:val="none" w:sz="0" w:space="0" w:color="auto"/>
        <w:right w:val="none" w:sz="0" w:space="0" w:color="auto"/>
      </w:divBdr>
    </w:div>
    <w:div w:id="2040857915">
      <w:bodyDiv w:val="1"/>
      <w:marLeft w:val="0"/>
      <w:marRight w:val="0"/>
      <w:marTop w:val="0"/>
      <w:marBottom w:val="0"/>
      <w:divBdr>
        <w:top w:val="none" w:sz="0" w:space="0" w:color="auto"/>
        <w:left w:val="none" w:sz="0" w:space="0" w:color="auto"/>
        <w:bottom w:val="none" w:sz="0" w:space="0" w:color="auto"/>
        <w:right w:val="none" w:sz="0" w:space="0" w:color="auto"/>
      </w:divBdr>
    </w:div>
    <w:div w:id="2045984929">
      <w:bodyDiv w:val="1"/>
      <w:marLeft w:val="0"/>
      <w:marRight w:val="0"/>
      <w:marTop w:val="0"/>
      <w:marBottom w:val="0"/>
      <w:divBdr>
        <w:top w:val="none" w:sz="0" w:space="0" w:color="auto"/>
        <w:left w:val="none" w:sz="0" w:space="0" w:color="auto"/>
        <w:bottom w:val="none" w:sz="0" w:space="0" w:color="auto"/>
        <w:right w:val="none" w:sz="0" w:space="0" w:color="auto"/>
      </w:divBdr>
    </w:div>
    <w:div w:id="2046446102">
      <w:bodyDiv w:val="1"/>
      <w:marLeft w:val="0"/>
      <w:marRight w:val="0"/>
      <w:marTop w:val="0"/>
      <w:marBottom w:val="0"/>
      <w:divBdr>
        <w:top w:val="none" w:sz="0" w:space="0" w:color="auto"/>
        <w:left w:val="none" w:sz="0" w:space="0" w:color="auto"/>
        <w:bottom w:val="none" w:sz="0" w:space="0" w:color="auto"/>
        <w:right w:val="none" w:sz="0" w:space="0" w:color="auto"/>
      </w:divBdr>
    </w:div>
    <w:div w:id="2103138818">
      <w:bodyDiv w:val="1"/>
      <w:marLeft w:val="0"/>
      <w:marRight w:val="0"/>
      <w:marTop w:val="0"/>
      <w:marBottom w:val="0"/>
      <w:divBdr>
        <w:top w:val="none" w:sz="0" w:space="0" w:color="auto"/>
        <w:left w:val="none" w:sz="0" w:space="0" w:color="auto"/>
        <w:bottom w:val="none" w:sz="0" w:space="0" w:color="auto"/>
        <w:right w:val="none" w:sz="0" w:space="0" w:color="auto"/>
      </w:divBdr>
    </w:div>
    <w:div w:id="2128426736">
      <w:bodyDiv w:val="1"/>
      <w:marLeft w:val="0"/>
      <w:marRight w:val="0"/>
      <w:marTop w:val="0"/>
      <w:marBottom w:val="0"/>
      <w:divBdr>
        <w:top w:val="none" w:sz="0" w:space="0" w:color="auto"/>
        <w:left w:val="none" w:sz="0" w:space="0" w:color="auto"/>
        <w:bottom w:val="none" w:sz="0" w:space="0" w:color="auto"/>
        <w:right w:val="none" w:sz="0" w:space="0" w:color="auto"/>
      </w:divBdr>
    </w:div>
    <w:div w:id="2141143193">
      <w:bodyDiv w:val="1"/>
      <w:marLeft w:val="0"/>
      <w:marRight w:val="0"/>
      <w:marTop w:val="0"/>
      <w:marBottom w:val="0"/>
      <w:divBdr>
        <w:top w:val="none" w:sz="0" w:space="0" w:color="auto"/>
        <w:left w:val="none" w:sz="0" w:space="0" w:color="auto"/>
        <w:bottom w:val="none" w:sz="0" w:space="0" w:color="auto"/>
        <w:right w:val="none" w:sz="0" w:space="0" w:color="auto"/>
      </w:divBdr>
    </w:div>
    <w:div w:id="21446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117" Type="http://schemas.openxmlformats.org/officeDocument/2006/relationships/chart" Target="charts/chart61.xml"/><Relationship Id="rId21" Type="http://schemas.openxmlformats.org/officeDocument/2006/relationships/chart" Target="charts/chart9.xml"/><Relationship Id="rId42" Type="http://schemas.openxmlformats.org/officeDocument/2006/relationships/chart" Target="charts/chart16.xml"/><Relationship Id="rId47" Type="http://schemas.openxmlformats.org/officeDocument/2006/relationships/chart" Target="charts/chart20.xml"/><Relationship Id="rId63" Type="http://schemas.openxmlformats.org/officeDocument/2006/relationships/diagramColors" Target="diagrams/colors3.xml"/><Relationship Id="rId68" Type="http://schemas.openxmlformats.org/officeDocument/2006/relationships/chart" Target="charts/chart29.xml"/><Relationship Id="rId84" Type="http://schemas.openxmlformats.org/officeDocument/2006/relationships/chart" Target="charts/chart39.xml"/><Relationship Id="rId89" Type="http://schemas.openxmlformats.org/officeDocument/2006/relationships/diagramColors" Target="diagrams/colors4.xml"/><Relationship Id="rId112" Type="http://schemas.openxmlformats.org/officeDocument/2006/relationships/diagramQuickStyle" Target="diagrams/quickStyle5.xml"/><Relationship Id="rId133" Type="http://schemas.openxmlformats.org/officeDocument/2006/relationships/chart" Target="charts/chart69.xml"/><Relationship Id="rId138" Type="http://schemas.openxmlformats.org/officeDocument/2006/relationships/chart" Target="charts/chart73.xml"/><Relationship Id="rId16" Type="http://schemas.openxmlformats.org/officeDocument/2006/relationships/chart" Target="charts/chart4.xml"/><Relationship Id="rId107" Type="http://schemas.openxmlformats.org/officeDocument/2006/relationships/chart" Target="charts/chart56.xml"/><Relationship Id="rId11" Type="http://schemas.openxmlformats.org/officeDocument/2006/relationships/hyperlink" Target="https://www.em.gov.lv/lv/nozares_politika/energijas_tirgus_un_infrastruktura/statistika_un_petijumi/" TargetMode="External"/><Relationship Id="rId32" Type="http://schemas.openxmlformats.org/officeDocument/2006/relationships/chart" Target="charts/chart12.xml"/><Relationship Id="rId37" Type="http://schemas.openxmlformats.org/officeDocument/2006/relationships/chart" Target="charts/chart14.xml"/><Relationship Id="rId53" Type="http://schemas.openxmlformats.org/officeDocument/2006/relationships/image" Target="media/image16.png"/><Relationship Id="rId58" Type="http://schemas.microsoft.com/office/2007/relationships/diagramDrawing" Target="diagrams/drawing2.xml"/><Relationship Id="rId74" Type="http://schemas.openxmlformats.org/officeDocument/2006/relationships/hyperlink" Target="http://termini.lza.lv/term.php?term=audits&amp;list=audits&amp;lang=LV" TargetMode="External"/><Relationship Id="rId79" Type="http://schemas.openxmlformats.org/officeDocument/2006/relationships/chart" Target="charts/chart34.xml"/><Relationship Id="rId102" Type="http://schemas.openxmlformats.org/officeDocument/2006/relationships/chart" Target="charts/chart51.xml"/><Relationship Id="rId123" Type="http://schemas.openxmlformats.org/officeDocument/2006/relationships/image" Target="media/image21.png"/><Relationship Id="rId128" Type="http://schemas.openxmlformats.org/officeDocument/2006/relationships/hyperlink" Target="http://www.latvija.lv" TargetMode="External"/><Relationship Id="rId144" Type="http://schemas.openxmlformats.org/officeDocument/2006/relationships/footer" Target="footer1.xml"/><Relationship Id="rId5" Type="http://schemas.openxmlformats.org/officeDocument/2006/relationships/webSettings" Target="webSettings.xml"/><Relationship Id="rId90" Type="http://schemas.microsoft.com/office/2007/relationships/diagramDrawing" Target="diagrams/drawing4.xml"/><Relationship Id="rId95" Type="http://schemas.openxmlformats.org/officeDocument/2006/relationships/chart" Target="charts/chart45.xml"/><Relationship Id="rId22" Type="http://schemas.openxmlformats.org/officeDocument/2006/relationships/chart" Target="charts/chart10.xml"/><Relationship Id="rId27" Type="http://schemas.openxmlformats.org/officeDocument/2006/relationships/diagramLayout" Target="diagrams/layout1.xml"/><Relationship Id="rId43" Type="http://schemas.openxmlformats.org/officeDocument/2006/relationships/chart" Target="charts/chart17.xml"/><Relationship Id="rId48" Type="http://schemas.openxmlformats.org/officeDocument/2006/relationships/image" Target="media/image15.png"/><Relationship Id="rId64" Type="http://schemas.microsoft.com/office/2007/relationships/diagramDrawing" Target="diagrams/drawing3.xml"/><Relationship Id="rId69" Type="http://schemas.openxmlformats.org/officeDocument/2006/relationships/chart" Target="charts/chart30.xml"/><Relationship Id="rId113" Type="http://schemas.openxmlformats.org/officeDocument/2006/relationships/diagramColors" Target="diagrams/colors5.xml"/><Relationship Id="rId118" Type="http://schemas.openxmlformats.org/officeDocument/2006/relationships/chart" Target="charts/chart62.xml"/><Relationship Id="rId134" Type="http://schemas.openxmlformats.org/officeDocument/2006/relationships/hyperlink" Target="https://likumi.lv/doc.php?id=235421" TargetMode="External"/><Relationship Id="rId139" Type="http://schemas.openxmlformats.org/officeDocument/2006/relationships/chart" Target="charts/chart74.xml"/><Relationship Id="rId80" Type="http://schemas.openxmlformats.org/officeDocument/2006/relationships/chart" Target="charts/chart35.xml"/><Relationship Id="rId85" Type="http://schemas.openxmlformats.org/officeDocument/2006/relationships/chart" Target="charts/chart40.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chart" Target="charts/chart5.xml"/><Relationship Id="rId25" Type="http://schemas.openxmlformats.org/officeDocument/2006/relationships/image" Target="media/image5.png"/><Relationship Id="rId33" Type="http://schemas.openxmlformats.org/officeDocument/2006/relationships/hyperlink" Target="http://likumi.lv/doc.php?id=147522" TargetMode="External"/><Relationship Id="rId38" Type="http://schemas.openxmlformats.org/officeDocument/2006/relationships/image" Target="media/image12.png"/><Relationship Id="rId46" Type="http://schemas.openxmlformats.org/officeDocument/2006/relationships/image" Target="media/image14.png"/><Relationship Id="rId59" Type="http://schemas.openxmlformats.org/officeDocument/2006/relationships/chart" Target="charts/chart25.xml"/><Relationship Id="rId67" Type="http://schemas.openxmlformats.org/officeDocument/2006/relationships/chart" Target="charts/chart28.xml"/><Relationship Id="rId103" Type="http://schemas.openxmlformats.org/officeDocument/2006/relationships/chart" Target="charts/chart52.xml"/><Relationship Id="rId108" Type="http://schemas.openxmlformats.org/officeDocument/2006/relationships/chart" Target="charts/chart57.xml"/><Relationship Id="rId116" Type="http://schemas.openxmlformats.org/officeDocument/2006/relationships/chart" Target="charts/chart60.xml"/><Relationship Id="rId124" Type="http://schemas.openxmlformats.org/officeDocument/2006/relationships/hyperlink" Target="https://likumi.lv/ta/id/225418-civillikums" TargetMode="External"/><Relationship Id="rId129" Type="http://schemas.openxmlformats.org/officeDocument/2006/relationships/chart" Target="charts/chart66.xml"/><Relationship Id="rId137" Type="http://schemas.openxmlformats.org/officeDocument/2006/relationships/chart" Target="charts/chart72.xml"/><Relationship Id="rId20" Type="http://schemas.openxmlformats.org/officeDocument/2006/relationships/chart" Target="charts/chart8.xml"/><Relationship Id="rId41" Type="http://schemas.openxmlformats.org/officeDocument/2006/relationships/chart" Target="charts/chart15.xml"/><Relationship Id="rId54" Type="http://schemas.openxmlformats.org/officeDocument/2006/relationships/diagramData" Target="diagrams/data2.xml"/><Relationship Id="rId62" Type="http://schemas.openxmlformats.org/officeDocument/2006/relationships/diagramQuickStyle" Target="diagrams/quickStyle3.xml"/><Relationship Id="rId70" Type="http://schemas.openxmlformats.org/officeDocument/2006/relationships/hyperlink" Target="http://termini.lza.lv/term.php?term=ekspert&#299;ze&amp;list=ekspert&#299;ze&amp;lang=LV" TargetMode="External"/><Relationship Id="rId75" Type="http://schemas.openxmlformats.org/officeDocument/2006/relationships/hyperlink" Target="http://termini.lza.lv/term.php?term=eksperta%20sl&#275;dziens&amp;list=eksperta%20sl&#275;dziens&amp;lang=LV" TargetMode="External"/><Relationship Id="rId83" Type="http://schemas.openxmlformats.org/officeDocument/2006/relationships/chart" Target="charts/chart38.xml"/><Relationship Id="rId88" Type="http://schemas.openxmlformats.org/officeDocument/2006/relationships/diagramQuickStyle" Target="diagrams/quickStyle4.xml"/><Relationship Id="rId91" Type="http://schemas.openxmlformats.org/officeDocument/2006/relationships/chart" Target="charts/chart41.xml"/><Relationship Id="rId96" Type="http://schemas.openxmlformats.org/officeDocument/2006/relationships/chart" Target="charts/chart46.xml"/><Relationship Id="rId111" Type="http://schemas.openxmlformats.org/officeDocument/2006/relationships/diagramLayout" Target="diagrams/layout5.xml"/><Relationship Id="rId132" Type="http://schemas.openxmlformats.org/officeDocument/2006/relationships/chart" Target="charts/chart68.xml"/><Relationship Id="rId140" Type="http://schemas.openxmlformats.org/officeDocument/2006/relationships/chart" Target="charts/chart75.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4.png"/><Relationship Id="rId28" Type="http://schemas.openxmlformats.org/officeDocument/2006/relationships/diagramQuickStyle" Target="diagrams/quickStyle1.xml"/><Relationship Id="rId36" Type="http://schemas.openxmlformats.org/officeDocument/2006/relationships/image" Target="media/image11.png"/><Relationship Id="rId49" Type="http://schemas.openxmlformats.org/officeDocument/2006/relationships/chart" Target="charts/chart21.xml"/><Relationship Id="rId57" Type="http://schemas.openxmlformats.org/officeDocument/2006/relationships/diagramColors" Target="diagrams/colors2.xml"/><Relationship Id="rId106" Type="http://schemas.openxmlformats.org/officeDocument/2006/relationships/chart" Target="charts/chart55.xml"/><Relationship Id="rId114" Type="http://schemas.microsoft.com/office/2007/relationships/diagramDrawing" Target="diagrams/drawing5.xml"/><Relationship Id="rId119" Type="http://schemas.openxmlformats.org/officeDocument/2006/relationships/image" Target="media/image18.png"/><Relationship Id="rId127" Type="http://schemas.openxmlformats.org/officeDocument/2006/relationships/chart" Target="charts/chart65.xml"/><Relationship Id="rId10" Type="http://schemas.openxmlformats.org/officeDocument/2006/relationships/hyperlink" Target="http://www.fm.gov.lv/valstsbudzets/" TargetMode="External"/><Relationship Id="rId31" Type="http://schemas.openxmlformats.org/officeDocument/2006/relationships/chart" Target="charts/chart11.xml"/><Relationship Id="rId44" Type="http://schemas.openxmlformats.org/officeDocument/2006/relationships/chart" Target="charts/chart18.xml"/><Relationship Id="rId52" Type="http://schemas.openxmlformats.org/officeDocument/2006/relationships/chart" Target="charts/chart24.xml"/><Relationship Id="rId60" Type="http://schemas.openxmlformats.org/officeDocument/2006/relationships/diagramData" Target="diagrams/data3.xml"/><Relationship Id="rId65" Type="http://schemas.openxmlformats.org/officeDocument/2006/relationships/chart" Target="charts/chart26.xml"/><Relationship Id="rId73" Type="http://schemas.openxmlformats.org/officeDocument/2006/relationships/hyperlink" Target="http://termini.lza.lv/term.php?term=rev&#299;zija&amp;list=rev&#299;zija&amp;lang=LV" TargetMode="External"/><Relationship Id="rId78" Type="http://schemas.openxmlformats.org/officeDocument/2006/relationships/chart" Target="charts/chart33.xml"/><Relationship Id="rId81" Type="http://schemas.openxmlformats.org/officeDocument/2006/relationships/chart" Target="charts/chart36.xml"/><Relationship Id="rId86" Type="http://schemas.openxmlformats.org/officeDocument/2006/relationships/diagramData" Target="diagrams/data4.xml"/><Relationship Id="rId94" Type="http://schemas.openxmlformats.org/officeDocument/2006/relationships/chart" Target="charts/chart44.xml"/><Relationship Id="rId99" Type="http://schemas.openxmlformats.org/officeDocument/2006/relationships/chart" Target="charts/chart49.xml"/><Relationship Id="rId101" Type="http://schemas.openxmlformats.org/officeDocument/2006/relationships/image" Target="media/image17.png"/><Relationship Id="rId122" Type="http://schemas.openxmlformats.org/officeDocument/2006/relationships/image" Target="media/image20.png"/><Relationship Id="rId130" Type="http://schemas.openxmlformats.org/officeDocument/2006/relationships/hyperlink" Target="http://www.geolatvija.lv" TargetMode="External"/><Relationship Id="rId135" Type="http://schemas.openxmlformats.org/officeDocument/2006/relationships/chart" Target="charts/chart70.xml"/><Relationship Id="rId14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chart" Target="charts/chart2.xml"/><Relationship Id="rId18" Type="http://schemas.openxmlformats.org/officeDocument/2006/relationships/chart" Target="charts/chart6.xml"/><Relationship Id="rId39" Type="http://schemas.openxmlformats.org/officeDocument/2006/relationships/image" Target="media/image13.emf"/><Relationship Id="rId109" Type="http://schemas.openxmlformats.org/officeDocument/2006/relationships/chart" Target="charts/chart58.xml"/><Relationship Id="rId34" Type="http://schemas.openxmlformats.org/officeDocument/2006/relationships/chart" Target="charts/chart13.xml"/><Relationship Id="rId50" Type="http://schemas.openxmlformats.org/officeDocument/2006/relationships/chart" Target="charts/chart22.xml"/><Relationship Id="rId55" Type="http://schemas.openxmlformats.org/officeDocument/2006/relationships/diagramLayout" Target="diagrams/layout2.xml"/><Relationship Id="rId76" Type="http://schemas.openxmlformats.org/officeDocument/2006/relationships/chart" Target="charts/chart31.xml"/><Relationship Id="rId97" Type="http://schemas.openxmlformats.org/officeDocument/2006/relationships/chart" Target="charts/chart47.xml"/><Relationship Id="rId104" Type="http://schemas.openxmlformats.org/officeDocument/2006/relationships/chart" Target="charts/chart53.xml"/><Relationship Id="rId120" Type="http://schemas.openxmlformats.org/officeDocument/2006/relationships/chart" Target="charts/chart63.xml"/><Relationship Id="rId125" Type="http://schemas.openxmlformats.org/officeDocument/2006/relationships/hyperlink" Target="https://likumi.lv/ta/id/225418-civillikums" TargetMode="External"/><Relationship Id="rId141" Type="http://schemas.openxmlformats.org/officeDocument/2006/relationships/chart" Target="charts/chart76.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termini.lza.lv/term.php?term=nov&#275;rt&#275;&#353;ana&amp;list=nov&#275;rt&#275;&#353;ana&amp;lang=LV" TargetMode="External"/><Relationship Id="rId92" Type="http://schemas.openxmlformats.org/officeDocument/2006/relationships/chart" Target="charts/chart42.xml"/><Relationship Id="rId2" Type="http://schemas.openxmlformats.org/officeDocument/2006/relationships/numbering" Target="numbering.xml"/><Relationship Id="rId29" Type="http://schemas.openxmlformats.org/officeDocument/2006/relationships/diagramColors" Target="diagrams/colors1.xml"/><Relationship Id="rId24" Type="http://schemas.openxmlformats.org/officeDocument/2006/relationships/hyperlink" Target="http://www.fm.gov.lv/lv/sadalas/valsts_budzets/valsts_budzeta_izdevumu_izmainas/" TargetMode="External"/><Relationship Id="rId40" Type="http://schemas.openxmlformats.org/officeDocument/2006/relationships/oleObject" Target="embeddings/oleObject1.bin"/><Relationship Id="rId45" Type="http://schemas.openxmlformats.org/officeDocument/2006/relationships/chart" Target="charts/chart19.xml"/><Relationship Id="rId66" Type="http://schemas.openxmlformats.org/officeDocument/2006/relationships/chart" Target="charts/chart27.xml"/><Relationship Id="rId87" Type="http://schemas.openxmlformats.org/officeDocument/2006/relationships/diagramLayout" Target="diagrams/layout4.xml"/><Relationship Id="rId110" Type="http://schemas.openxmlformats.org/officeDocument/2006/relationships/diagramData" Target="diagrams/data5.xml"/><Relationship Id="rId115" Type="http://schemas.openxmlformats.org/officeDocument/2006/relationships/chart" Target="charts/chart59.xml"/><Relationship Id="rId131" Type="http://schemas.openxmlformats.org/officeDocument/2006/relationships/chart" Target="charts/chart67.xml"/><Relationship Id="rId136" Type="http://schemas.openxmlformats.org/officeDocument/2006/relationships/chart" Target="charts/chart71.xml"/><Relationship Id="rId61" Type="http://schemas.openxmlformats.org/officeDocument/2006/relationships/diagramLayout" Target="diagrams/layout3.xml"/><Relationship Id="rId82" Type="http://schemas.openxmlformats.org/officeDocument/2006/relationships/chart" Target="charts/chart37.xml"/><Relationship Id="rId19" Type="http://schemas.openxmlformats.org/officeDocument/2006/relationships/chart" Target="charts/chart7.xml"/><Relationship Id="rId14" Type="http://schemas.openxmlformats.org/officeDocument/2006/relationships/chart" Target="charts/chart3.xml"/><Relationship Id="rId30" Type="http://schemas.microsoft.com/office/2007/relationships/diagramDrawing" Target="diagrams/drawing1.xml"/><Relationship Id="rId35" Type="http://schemas.openxmlformats.org/officeDocument/2006/relationships/image" Target="media/image10.emf"/><Relationship Id="rId56" Type="http://schemas.openxmlformats.org/officeDocument/2006/relationships/diagramQuickStyle" Target="diagrams/quickStyle2.xml"/><Relationship Id="rId77" Type="http://schemas.openxmlformats.org/officeDocument/2006/relationships/chart" Target="charts/chart32.xml"/><Relationship Id="rId100" Type="http://schemas.openxmlformats.org/officeDocument/2006/relationships/chart" Target="charts/chart50.xml"/><Relationship Id="rId105" Type="http://schemas.openxmlformats.org/officeDocument/2006/relationships/chart" Target="charts/chart54.xml"/><Relationship Id="rId126" Type="http://schemas.openxmlformats.org/officeDocument/2006/relationships/chart" Target="charts/chart64.xml"/><Relationship Id="rId8" Type="http://schemas.openxmlformats.org/officeDocument/2006/relationships/image" Target="media/image1.png"/><Relationship Id="rId51" Type="http://schemas.openxmlformats.org/officeDocument/2006/relationships/chart" Target="charts/chart23.xml"/><Relationship Id="rId72" Type="http://schemas.openxmlformats.org/officeDocument/2006/relationships/hyperlink" Target="http://termini.lza.lv/term.php?term=nov&#275;rt&#275;jums&amp;list=nov&#275;rt&#275;jums&amp;lang=LV" TargetMode="External"/><Relationship Id="rId93" Type="http://schemas.openxmlformats.org/officeDocument/2006/relationships/chart" Target="charts/chart43.xml"/><Relationship Id="rId98" Type="http://schemas.openxmlformats.org/officeDocument/2006/relationships/chart" Target="charts/chart48.xml"/><Relationship Id="rId121" Type="http://schemas.openxmlformats.org/officeDocument/2006/relationships/image" Target="media/image19.png"/><Relationship Id="rId142" Type="http://schemas.openxmlformats.org/officeDocument/2006/relationships/chart" Target="charts/chart77.xml"/></Relationships>
</file>

<file path=word/_rels/footnotes.xml.rels><?xml version="1.0" encoding="UTF-8" standalone="yes"?>
<Relationships xmlns="http://schemas.openxmlformats.org/package/2006/relationships"><Relationship Id="rId8" Type="http://schemas.openxmlformats.org/officeDocument/2006/relationships/hyperlink" Target="https://www.meteo.lv/lapas/par-centru/lvgmc-darba-plans-atbilstosi-atsevisku-parvaldes-uzdevumu-delegesanas-/lvgmc-darba-plans-atbilstosi-atsevisku-parvaldes-uzdevumu-delegesanas-?id=862&amp;nid=327" TargetMode="External"/><Relationship Id="rId13" Type="http://schemas.openxmlformats.org/officeDocument/2006/relationships/hyperlink" Target="http://www.varam.gov.lv/lat/publiskais_iepirkums/publiskais_iepirkums_rss/?doc=22869" TargetMode="External"/><Relationship Id="rId3" Type="http://schemas.openxmlformats.org/officeDocument/2006/relationships/hyperlink" Target="http://www.kase.gov.lv/uploaded_files/Pasvaldibam/iestades_PAS_VBI_01012017.pdf" TargetMode="External"/><Relationship Id="rId7" Type="http://schemas.openxmlformats.org/officeDocument/2006/relationships/hyperlink" Target="http://www.lvif.gov.lv/?object_id=381" TargetMode="External"/><Relationship Id="rId12" Type="http://schemas.openxmlformats.org/officeDocument/2006/relationships/hyperlink" Target="http://www.csb.gov.lv/" TargetMode="External"/><Relationship Id="rId2" Type="http://schemas.openxmlformats.org/officeDocument/2006/relationships/hyperlink" Target="http://www.csb.gov.lv/statistikas-temas/darbaspeka-izmaksas-galvenie-raditaji-30319.html" TargetMode="External"/><Relationship Id="rId1" Type="http://schemas.openxmlformats.org/officeDocument/2006/relationships/hyperlink" Target="http://www.kase.gov.lv/uploaded_files/Pasvaldibam/iestades_PAS_VBI_01012017.pdf" TargetMode="External"/><Relationship Id="rId6" Type="http://schemas.openxmlformats.org/officeDocument/2006/relationships/hyperlink" Target="http://www.lhei.lv/lv/aktu%C4%81lie_projekti/383-atsevi%C5%A1%C4%B7u-p%C4%81rvaldes-uzdevumu-dele%C4%A3%C4%93%C5%A1anas-l%C4%ABgums-starp-varam-un-lhei-par-atbalstu-j%C5%ABras-telpiskajam-pl%C4%81nojumam-2017-g" TargetMode="External"/><Relationship Id="rId11" Type="http://schemas.openxmlformats.org/officeDocument/2006/relationships/hyperlink" Target="http://termini.lza.lv/term.php" TargetMode="External"/><Relationship Id="rId5" Type="http://schemas.openxmlformats.org/officeDocument/2006/relationships/hyperlink" Target="http://www.lhei.lv/lv/par-mums/p%C4%81rskati" TargetMode="External"/><Relationship Id="rId10" Type="http://schemas.openxmlformats.org/officeDocument/2006/relationships/hyperlink" Target="http://www.enguresnovads.lv/uploads/filedir/slokenbekas_muizas_strat2016_2025.pdf" TargetMode="External"/><Relationship Id="rId4" Type="http://schemas.openxmlformats.org/officeDocument/2006/relationships/hyperlink" Target="http://www.csb.gov.lv/statistikas-temas/darbaspeka-izmaksas-galvenie-raditaji-30319.html" TargetMode="External"/><Relationship Id="rId9" Type="http://schemas.openxmlformats.org/officeDocument/2006/relationships/hyperlink" Target="https://www.meteo.lv/lapas/par-centru/publiskie-gada-parskati/publiskie-gada-parskati?id=1090&amp;nid=327" TargetMode="External"/><Relationship Id="rId14" Type="http://schemas.openxmlformats.org/officeDocument/2006/relationships/hyperlink" Target="https://www.visr.eps.gov.lv/visr/"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3.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fs\fvmd\DarbaSamaksa\Martinsone%20Solvita\INFO_piepr\Info%20Valsts%20kancelejai\Nodarb_ip_valsts_budz_iest_2017_I.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fs\fvmd\DarbaSamaksa\Martinsone%20Solvita\~Darba%20samaksa\_izejas%20dati.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bd-stasu\Desktop\komp_med.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C:\Users\bd-stasu\Desktop\nulles%20budzets\Copy%20of%20pacientu_videjais_vecums%20(003).xlsx"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fs\bd\Kopsavilkuma_nod\OECD\20_starpt_iemaksas\Iem_2016_2019_23052017.xls" TargetMode="External"/><Relationship Id="rId1" Type="http://schemas.openxmlformats.org/officeDocument/2006/relationships/themeOverride" Target="../theme/themeOverride6.xml"/></Relationships>
</file>

<file path=word/charts/_rels/chart16.xml.rels><?xml version="1.0" encoding="UTF-8" standalone="yes"?>
<Relationships xmlns="http://schemas.openxmlformats.org/package/2006/relationships"><Relationship Id="rId2" Type="http://schemas.openxmlformats.org/officeDocument/2006/relationships/oleObject" Target="file:///\\fs\bd\Kopsavilkuma_nod\OECD\20_starpt_iemaksas\Iem_2016_2019_13062017.xls" TargetMode="External"/><Relationship Id="rId1" Type="http://schemas.openxmlformats.org/officeDocument/2006/relationships/themeOverride" Target="../theme/themeOverride7.xm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5.xml"/><Relationship Id="rId4" Type="http://schemas.openxmlformats.org/officeDocument/2006/relationships/package" Target="../embeddings/Microsoft_Excel_Worksheet4.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6.xml"/><Relationship Id="rId4" Type="http://schemas.openxmlformats.org/officeDocument/2006/relationships/oleObject" Target="Chart%20in%20Microsoft%20Word"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7.xml"/><Relationship Id="rId4" Type="http://schemas.openxmlformats.org/officeDocument/2006/relationships/oleObject" Target="../embeddings/oleObject2.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oleObject" Target="file:///\\fs\personal$\bd\bd-hilde\BD\2-BUDZETS\Budzets_2018\Izd_parskatisana\VARAM_iestades\VARAM%20Statu%20saraksts%2031%2003%202017_BD.xlsx" TargetMode="External"/><Relationship Id="rId2" Type="http://schemas.microsoft.com/office/2011/relationships/chartColorStyle" Target="colors16.xml"/><Relationship Id="rId1" Type="http://schemas.microsoft.com/office/2011/relationships/chartStyle" Target="style16.xml"/></Relationships>
</file>

<file path=word/charts/_rels/chart21.xml.rels><?xml version="1.0" encoding="UTF-8" standalone="yes"?>
<Relationships xmlns="http://schemas.openxmlformats.org/package/2006/relationships"><Relationship Id="rId3" Type="http://schemas.openxmlformats.org/officeDocument/2006/relationships/oleObject" Target="file:///\\fs\personal$\bd\bd-hilde\BD\2-BUDZETS\Budzets_2018\Izd_parskatisana\VARAM_iestades\VARAM%20Statu%20saraksts%2031%2003%202017_BD.xlsx" TargetMode="External"/><Relationship Id="rId2" Type="http://schemas.microsoft.com/office/2011/relationships/chartColorStyle" Target="colors17.xml"/><Relationship Id="rId1" Type="http://schemas.microsoft.com/office/2011/relationships/chartStyle" Target="style17.xml"/></Relationships>
</file>

<file path=word/charts/_rels/chart22.xml.rels><?xml version="1.0" encoding="UTF-8" standalone="yes"?>
<Relationships xmlns="http://schemas.openxmlformats.org/package/2006/relationships"><Relationship Id="rId3" Type="http://schemas.openxmlformats.org/officeDocument/2006/relationships/oleObject" Target="file:///\\fs\personal$\bd\bd-hilde\BD\2-BUDZETS\Budzets_2018\Izd_parskatisana\VARAM_iestades\VARAM%20Statu%20saraksts%2031%2003%202017_BD.xlsx" TargetMode="External"/><Relationship Id="rId2" Type="http://schemas.microsoft.com/office/2011/relationships/chartColorStyle" Target="colors18.xml"/><Relationship Id="rId1" Type="http://schemas.microsoft.com/office/2011/relationships/chartStyle" Target="style18.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rturs\Desktop\VARAM%20Statu%20saraksts%2031%2003%202017_BD.xlsx" TargetMode="External"/><Relationship Id="rId2" Type="http://schemas.microsoft.com/office/2011/relationships/chartColorStyle" Target="colors19.xml"/><Relationship Id="rId1" Type="http://schemas.microsoft.com/office/2011/relationships/chartStyle" Target="style19.xml"/></Relationships>
</file>

<file path=word/charts/_rels/chart24.xml.rels><?xml version="1.0" encoding="UTF-8" standalone="yes"?>
<Relationships xmlns="http://schemas.openxmlformats.org/package/2006/relationships"><Relationship Id="rId3" Type="http://schemas.openxmlformats.org/officeDocument/2006/relationships/oleObject" Target="file:///\\fs\personal$\bd\bd-hilde\BD\2-BUDZETS\Budzets_2018\Izd_parskatisana\VARAM_iestades\VARAM%20Statu%20saraksts%2031%2003%202017_BD.xlsx" TargetMode="Externa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chartUserShapes" Target="../drawings/drawing8.xm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5.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6.xlsx"/></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23.xml"/><Relationship Id="rId1" Type="http://schemas.microsoft.com/office/2011/relationships/chartStyle" Target="style23.xm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8.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9.xlsx"/></Relationships>
</file>

<file path=word/charts/_rels/chart3.xml.rels><?xml version="1.0" encoding="UTF-8" standalone="yes"?>
<Relationships xmlns="http://schemas.openxmlformats.org/package/2006/relationships"><Relationship Id="rId3" Type="http://schemas.openxmlformats.org/officeDocument/2006/relationships/oleObject" Target="file:///\\fs\bd\Kopsavilkuma_nod\VBPKN_jaut&#257;jumi\IZDEVUMU_PARSKATISANA\2017\Info%20zi&#326;ojums\Darba%20materi&#257;li\grafiki.xlsx" TargetMode="External"/><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10.xlsx"/></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27.xml"/><Relationship Id="rId1" Type="http://schemas.microsoft.com/office/2011/relationships/chartStyle" Target="style27.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12.xlsx"/></Relationships>
</file>

<file path=word/charts/_rels/chart33.xml.rels><?xml version="1.0" encoding="UTF-8" standalone="yes"?>
<Relationships xmlns="http://schemas.openxmlformats.org/package/2006/relationships"><Relationship Id="rId3" Type="http://schemas.openxmlformats.org/officeDocument/2006/relationships/oleObject" Target="file:///C:\Users\kc-birzi\Desktop\Bud&#382;ets%202018-2020\Ekspertizes\Ekspert&#299;zes_apkopojums_grafiki_120617.xlsx" TargetMode="Externa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chartUserShapes" Target="../drawings/drawing9.xml"/></Relationships>
</file>

<file path=word/charts/_rels/chart3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0.xml"/><Relationship Id="rId1" Type="http://schemas.microsoft.com/office/2011/relationships/chartStyle" Target="style30.xml"/></Relationships>
</file>

<file path=word/charts/_rels/chart35.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package" Target="../embeddings/Microsoft_Excel_Worksheet13.xlsx"/><Relationship Id="rId1" Type="http://schemas.openxmlformats.org/officeDocument/2006/relationships/themeOverride" Target="../theme/themeOverride17.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8.xm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1.xml"/><Relationship Id="rId1" Type="http://schemas.microsoft.com/office/2011/relationships/chartStyle" Target="style31.xml"/><Relationship Id="rId5" Type="http://schemas.openxmlformats.org/officeDocument/2006/relationships/chartUserShapes" Target="../drawings/drawing11.xml"/><Relationship Id="rId4" Type="http://schemas.openxmlformats.org/officeDocument/2006/relationships/oleObject" Target="file:///\\fs\bd\Kopsavilkuma_nod\Dace_Sinkovska\parskatisana_2.4.1\atlikumi_17.05.17..xlsx" TargetMode="Externa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0.xm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fs\bd\Kopsavilkuma_nod\Dace_Sinkovska\parskatisana_2.4.1\atlikumi_17.05.17..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s\bd\Kopsavilkuma_nod\VBPKN_jaut&#257;jumi\IZDEVUMU_PARSKATISANA\2017\Noteikumu%20optimiz&#275;&#353;ana\grafik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33.xml"/><Relationship Id="rId1" Type="http://schemas.microsoft.com/office/2011/relationships/chartStyle" Target="style33.xml"/><Relationship Id="rId5" Type="http://schemas.openxmlformats.org/officeDocument/2006/relationships/chartUserShapes" Target="../drawings/drawing12.xml"/><Relationship Id="rId4" Type="http://schemas.openxmlformats.org/officeDocument/2006/relationships/oleObject" Target="file:///\\fs\bd\Kopsavilkuma_nod\Dace_Sinkovska\parskatisana_2.4.1\atlikumi_17.05.17..xlsx" TargetMode="External"/></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fs\bd\Kopsavilkuma_nod\Dace_Sinkovska\parskatisana_2.4.1\BNI.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file:///\\fs\bd\Kopsavilkuma_nod\Dace_Sinkovska\parskatisana_2.4.1\BNI.xlsx" TargetMode="External"/></Relationships>
</file>

<file path=word/charts/_rels/chart43.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package" Target="../embeddings/Microsoft_Excel_Worksheet16.xlsx"/><Relationship Id="rId1" Type="http://schemas.openxmlformats.org/officeDocument/2006/relationships/themeOverride" Target="../theme/themeOverride25.xml"/></Relationships>
</file>

<file path=word/charts/_rels/chart44.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36.xml"/><Relationship Id="rId1" Type="http://schemas.microsoft.com/office/2011/relationships/chartStyle" Target="style36.xm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37.xml"/><Relationship Id="rId1" Type="http://schemas.microsoft.com/office/2011/relationships/chartStyle" Target="style37.xml"/><Relationship Id="rId5" Type="http://schemas.openxmlformats.org/officeDocument/2006/relationships/chartUserShapes" Target="../drawings/drawing14.xml"/><Relationship Id="rId4" Type="http://schemas.openxmlformats.org/officeDocument/2006/relationships/package" Target="../embeddings/Microsoft_Excel_Worksheet18.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8.xml"/><Relationship Id="rId1" Type="http://schemas.microsoft.com/office/2011/relationships/chartStyle" Target="style38.xml"/><Relationship Id="rId5" Type="http://schemas.openxmlformats.org/officeDocument/2006/relationships/chartUserShapes" Target="../drawings/drawing15.xml"/><Relationship Id="rId4" Type="http://schemas.openxmlformats.org/officeDocument/2006/relationships/package" Target="../embeddings/Microsoft_Excel_Worksheet19.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9.xml"/><Relationship Id="rId1" Type="http://schemas.microsoft.com/office/2011/relationships/chartStyle" Target="style39.xml"/><Relationship Id="rId5" Type="http://schemas.openxmlformats.org/officeDocument/2006/relationships/chartUserShapes" Target="../drawings/drawing16.xml"/><Relationship Id="rId4" Type="http://schemas.openxmlformats.org/officeDocument/2006/relationships/package" Target="../embeddings/Microsoft_Excel_Worksheet20.xlsx"/></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40.xml"/><Relationship Id="rId1" Type="http://schemas.microsoft.com/office/2011/relationships/chartStyle" Target="style40.xml"/><Relationship Id="rId5" Type="http://schemas.openxmlformats.org/officeDocument/2006/relationships/chartUserShapes" Target="../drawings/drawing17.xml"/><Relationship Id="rId4" Type="http://schemas.openxmlformats.org/officeDocument/2006/relationships/package" Target="../embeddings/Microsoft_Excel_Worksheet21.xlsx"/></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41.xml"/><Relationship Id="rId1" Type="http://schemas.microsoft.com/office/2011/relationships/chartStyle" Target="style41.xml"/><Relationship Id="rId5" Type="http://schemas.openxmlformats.org/officeDocument/2006/relationships/chartUserShapes" Target="../drawings/drawing18.xml"/><Relationship Id="rId4" Type="http://schemas.openxmlformats.org/officeDocument/2006/relationships/package" Target="../embeddings/Microsoft_Excel_Worksheet22.xlsx"/></Relationships>
</file>

<file path=word/charts/_rels/chart5.xml.rels><?xml version="1.0" encoding="UTF-8" standalone="yes"?>
<Relationships xmlns="http://schemas.openxmlformats.org/package/2006/relationships"><Relationship Id="rId3" Type="http://schemas.openxmlformats.org/officeDocument/2006/relationships/oleObject" Target="file:///\\fs\bd\Kopsavilkuma_nod\VBPKN_jaut&#257;jumi\IZDEVUMU_PARSKATISANA\2017\Info%20zi&#326;ojums\Darba%20materi&#257;li\grafiki.xlsx" TargetMode="External"/><Relationship Id="rId2" Type="http://schemas.microsoft.com/office/2011/relationships/chartColorStyle" Target="colors3.xml"/><Relationship Id="rId1" Type="http://schemas.microsoft.com/office/2011/relationships/chartStyle" Target="style3.xm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42.xml"/><Relationship Id="rId1" Type="http://schemas.microsoft.com/office/2011/relationships/chartStyle" Target="style42.xml"/><Relationship Id="rId5" Type="http://schemas.openxmlformats.org/officeDocument/2006/relationships/chartUserShapes" Target="../drawings/drawing19.xml"/><Relationship Id="rId4" Type="http://schemas.openxmlformats.org/officeDocument/2006/relationships/package" Target="../embeddings/Microsoft_Excel_Worksheet23.xlsx"/></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24.xlsx"/></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25.xlsx"/></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26.xlsx"/></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46.xml"/><Relationship Id="rId1" Type="http://schemas.microsoft.com/office/2011/relationships/chartStyle" Target="style46.xml"/><Relationship Id="rId5" Type="http://schemas.openxmlformats.org/officeDocument/2006/relationships/chartUserShapes" Target="../drawings/drawing20.xml"/><Relationship Id="rId4" Type="http://schemas.openxmlformats.org/officeDocument/2006/relationships/package" Target="../embeddings/Microsoft_Excel_Worksheet27.xlsx"/></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28.xlsx"/></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8.xml"/><Relationship Id="rId1" Type="http://schemas.microsoft.com/office/2011/relationships/chartStyle" Target="style48.xml"/><Relationship Id="rId5" Type="http://schemas.openxmlformats.org/officeDocument/2006/relationships/chartUserShapes" Target="../drawings/drawing21.xml"/><Relationship Id="rId4" Type="http://schemas.openxmlformats.org/officeDocument/2006/relationships/package" Target="../embeddings/Microsoft_Excel_Worksheet29.xlsx"/></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package" Target="../embeddings/Microsoft_Excel_Worksheet30.xlsx"/></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package" Target="../embeddings/Microsoft_Excel_Worksheet31.xlsx"/></Relationships>
</file>

<file path=word/charts/_rels/chart59.xml.rels><?xml version="1.0" encoding="UTF-8" standalone="yes"?>
<Relationships xmlns="http://schemas.openxmlformats.org/package/2006/relationships"><Relationship Id="rId3" Type="http://schemas.openxmlformats.org/officeDocument/2006/relationships/oleObject" Target="file:///\\fs\personal$\BD\bd-belov\Bud&#382;eta%20sagatavo&#353;ana\2017\Izdevumu_p&#257;rskat&#299;&#353;ana\&#256;M\Pieteikumus_skaits.xlsx" TargetMode="Externa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chartUserShapes" Target="../drawings/drawing22.xml"/></Relationships>
</file>

<file path=word/charts/_rels/chart6.xml.rels><?xml version="1.0" encoding="UTF-8" standalone="yes"?>
<Relationships xmlns="http://schemas.openxmlformats.org/package/2006/relationships"><Relationship Id="rId3" Type="http://schemas.openxmlformats.org/officeDocument/2006/relationships/oleObject" Target="file:///\\fs\bd\Kopsavilkuma_nod\Adijane%20Zane\dazadi\2017\izdevumu_izvertesana_2017\apropriaciju_izmainas\grafiki_apro_izmainas.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52.xml"/><Relationship Id="rId1" Type="http://schemas.microsoft.com/office/2011/relationships/chartStyle" Target="style52.xml"/><Relationship Id="rId5" Type="http://schemas.openxmlformats.org/officeDocument/2006/relationships/chartUserShapes" Target="../drawings/drawing23.xml"/><Relationship Id="rId4" Type="http://schemas.openxmlformats.org/officeDocument/2006/relationships/package" Target="../embeddings/Microsoft_Excel_Worksheet32.xlsx"/></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53.xml"/><Relationship Id="rId1" Type="http://schemas.microsoft.com/office/2011/relationships/chartStyle" Target="style53.xml"/><Relationship Id="rId5" Type="http://schemas.openxmlformats.org/officeDocument/2006/relationships/chartUserShapes" Target="../drawings/drawing24.xml"/><Relationship Id="rId4" Type="http://schemas.openxmlformats.org/officeDocument/2006/relationships/package" Target="../embeddings/Microsoft_Excel_Worksheet33.xlsx"/></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file:///\\fs\personal$\BD\Bd-karsu\IeM\Budzets_2018_2020\Izdevumu_parskatisana_2017\veselibas_aprupe_grafiki.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55.xml"/><Relationship Id="rId1" Type="http://schemas.microsoft.com/office/2011/relationships/chartStyle" Target="style55.xml"/><Relationship Id="rId5" Type="http://schemas.openxmlformats.org/officeDocument/2006/relationships/chartUserShapes" Target="../drawings/drawing25.xml"/><Relationship Id="rId4" Type="http://schemas.openxmlformats.org/officeDocument/2006/relationships/package" Target="../embeddings/Microsoft_Excel_Worksheet34.xlsx"/></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package" Target="../embeddings/Microsoft_Excel_Worksheet35.xlsx"/></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57.xml"/><Relationship Id="rId1" Type="http://schemas.microsoft.com/office/2011/relationships/chartStyle" Target="style57.xml"/><Relationship Id="rId5" Type="http://schemas.openxmlformats.org/officeDocument/2006/relationships/chartUserShapes" Target="../drawings/drawing26.xml"/><Relationship Id="rId4" Type="http://schemas.openxmlformats.org/officeDocument/2006/relationships/package" Target="../embeddings/Microsoft_Excel_Worksheet36.xlsx"/></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58.xml"/><Relationship Id="rId1" Type="http://schemas.microsoft.com/office/2011/relationships/chartStyle" Target="style58.xml"/><Relationship Id="rId5" Type="http://schemas.openxmlformats.org/officeDocument/2006/relationships/chartUserShapes" Target="../drawings/drawing27.xml"/><Relationship Id="rId4" Type="http://schemas.openxmlformats.org/officeDocument/2006/relationships/package" Target="../embeddings/Microsoft_Excel_Worksheet37.xlsx"/></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59.xml"/><Relationship Id="rId1" Type="http://schemas.microsoft.com/office/2011/relationships/chartStyle" Target="style59.xml"/><Relationship Id="rId5" Type="http://schemas.openxmlformats.org/officeDocument/2006/relationships/chartUserShapes" Target="../drawings/drawing28.xml"/><Relationship Id="rId4" Type="http://schemas.openxmlformats.org/officeDocument/2006/relationships/package" Target="../embeddings/Microsoft_Excel_Worksheet38.xlsx"/></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60.xml"/><Relationship Id="rId1" Type="http://schemas.microsoft.com/office/2011/relationships/chartStyle" Target="style60.xml"/><Relationship Id="rId5" Type="http://schemas.openxmlformats.org/officeDocument/2006/relationships/chartUserShapes" Target="../drawings/drawing29.xml"/><Relationship Id="rId4" Type="http://schemas.openxmlformats.org/officeDocument/2006/relationships/package" Target="../embeddings/Microsoft_Excel_Worksheet39.xlsx"/></Relationships>
</file>

<file path=word/charts/_rels/chart69.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61.xml"/><Relationship Id="rId1" Type="http://schemas.microsoft.com/office/2011/relationships/chartStyle" Target="style61.xml"/></Relationships>
</file>

<file path=word/charts/_rels/chart7.xml.rels><?xml version="1.0" encoding="UTF-8" standalone="yes"?>
<Relationships xmlns="http://schemas.openxmlformats.org/package/2006/relationships"><Relationship Id="rId3" Type="http://schemas.openxmlformats.org/officeDocument/2006/relationships/oleObject" Target="file:///\\fs\bd\Kopsavilkuma_nod\Adijane%20Zane\dazadi\2017\izdevumu_izvertesana_2017\apropriaciju_izmainas\grafiki_apro_izmainas.xlsx" TargetMode="External"/><Relationship Id="rId2" Type="http://schemas.microsoft.com/office/2011/relationships/chartColorStyle" Target="colors5.xml"/><Relationship Id="rId1" Type="http://schemas.microsoft.com/office/2011/relationships/chartStyle" Target="style5.xml"/></Relationships>
</file>

<file path=word/charts/_rels/chart70.xml.rels><?xml version="1.0" encoding="UTF-8" standalone="yes"?>
<Relationships xmlns="http://schemas.openxmlformats.org/package/2006/relationships"><Relationship Id="rId3" Type="http://schemas.openxmlformats.org/officeDocument/2006/relationships/oleObject" Target="file:///C:\Users\bd-garav\Desktop\Darba%20materiali\060300_Maksatnespejas_procesa_parvaldiba.xlsx" TargetMode="External"/><Relationship Id="rId2" Type="http://schemas.microsoft.com/office/2011/relationships/chartColorStyle" Target="colors62.xml"/><Relationship Id="rId1" Type="http://schemas.microsoft.com/office/2011/relationships/chartStyle" Target="style62.xml"/></Relationships>
</file>

<file path=word/charts/_rels/chart71.xml.rels><?xml version="1.0" encoding="UTF-8" standalone="yes"?>
<Relationships xmlns="http://schemas.openxmlformats.org/package/2006/relationships"><Relationship Id="rId3" Type="http://schemas.openxmlformats.org/officeDocument/2006/relationships/oleObject" Target="file:///\\fs\personal$\bd\bd-hilde\BD\2-BUDZETS\Budzets_2018\Izd_parskatisana\IKT\19%20saimes%20amati%20uz%2031%2003%202017_BD.xlsx" TargetMode="External"/><Relationship Id="rId2" Type="http://schemas.microsoft.com/office/2011/relationships/chartColorStyle" Target="colors63.xml"/><Relationship Id="rId1" Type="http://schemas.microsoft.com/office/2011/relationships/chartStyle" Target="style63.xml"/></Relationships>
</file>

<file path=word/charts/_rels/chart72.xml.rels><?xml version="1.0" encoding="UTF-8" standalone="yes"?>
<Relationships xmlns="http://schemas.openxmlformats.org/package/2006/relationships"><Relationship Id="rId3" Type="http://schemas.openxmlformats.org/officeDocument/2006/relationships/oleObject" Target="file:///\\fs\personal$\bd\bd-hilde\BD\2-BUDZETS\Budzets_2018\Izd_parskatisana\IKT\19%20saimes%20amati%20uz%2031%2003%202017_BD.xlsx" TargetMode="External"/><Relationship Id="rId2" Type="http://schemas.microsoft.com/office/2011/relationships/chartColorStyle" Target="colors64.xml"/><Relationship Id="rId1" Type="http://schemas.microsoft.com/office/2011/relationships/chartStyle" Target="style64.xml"/></Relationships>
</file>

<file path=word/charts/_rels/chart73.xml.rels><?xml version="1.0" encoding="UTF-8" standalone="yes"?>
<Relationships xmlns="http://schemas.openxmlformats.org/package/2006/relationships"><Relationship Id="rId3" Type="http://schemas.openxmlformats.org/officeDocument/2006/relationships/oleObject" Target="file:///\\fs\personal$\bd\bd-hilde\BD\2-BUDZETS\Budzets_2018\Izd_parskatisana\IKT\19%20saimes%20amati%20uz%2031%2003%202017_BD.xlsx" TargetMode="External"/><Relationship Id="rId2" Type="http://schemas.microsoft.com/office/2011/relationships/chartColorStyle" Target="colors65.xml"/><Relationship Id="rId1" Type="http://schemas.microsoft.com/office/2011/relationships/chartStyle" Target="style65.xml"/></Relationships>
</file>

<file path=word/charts/_rels/chart74.xml.rels><?xml version="1.0" encoding="UTF-8" standalone="yes"?>
<Relationships xmlns="http://schemas.openxmlformats.org/package/2006/relationships"><Relationship Id="rId3" Type="http://schemas.openxmlformats.org/officeDocument/2006/relationships/oleObject" Target="file:///\\fs\personal$\bd\bd-hilde\BD\2-BUDZETS\Budzets_2018\Izd_parskatisana\IKT\19%20saimes%20amati%20uz%2031%2003%202017_BD.xlsx" TargetMode="External"/><Relationship Id="rId2" Type="http://schemas.microsoft.com/office/2011/relationships/chartColorStyle" Target="colors66.xml"/><Relationship Id="rId1" Type="http://schemas.microsoft.com/office/2011/relationships/chartStyle" Target="style66.xml"/></Relationships>
</file>

<file path=word/charts/_rels/chart75.xml.rels><?xml version="1.0" encoding="UTF-8" standalone="yes"?>
<Relationships xmlns="http://schemas.openxmlformats.org/package/2006/relationships"><Relationship Id="rId3" Type="http://schemas.openxmlformats.org/officeDocument/2006/relationships/oleObject" Target="file:///\\fs\personal$\bd\bd-hilde\BD\2-BUDZETS\Budzets_2018\Izd_parskatisana\IKT\19%20saimes%20amati%20uz%2031%2003%202017_BD.xlsx" TargetMode="Externa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chartUserShapes" Target="../drawings/drawing30.xml"/></Relationships>
</file>

<file path=word/charts/_rels/chart76.xml.rels><?xml version="1.0" encoding="UTF-8" standalone="yes"?>
<Relationships xmlns="http://schemas.openxmlformats.org/package/2006/relationships"><Relationship Id="rId3" Type="http://schemas.openxmlformats.org/officeDocument/2006/relationships/oleObject" Target="file:///\\fs\personal$\bd\bd-hilde\BD\2-BUDZETS\Budzets_2018\Izd_parskatisana\IKT\19%20saimes%20amati%20uz%2031%2003%202017_BD.xlsx" TargetMode="External"/><Relationship Id="rId2" Type="http://schemas.microsoft.com/office/2011/relationships/chartColorStyle" Target="colors68.xml"/><Relationship Id="rId1" Type="http://schemas.microsoft.com/office/2011/relationships/chartStyle" Target="style68.xml"/></Relationships>
</file>

<file path=word/charts/_rels/chart77.xml.rels><?xml version="1.0" encoding="UTF-8" standalone="yes"?>
<Relationships xmlns="http://schemas.openxmlformats.org/package/2006/relationships"><Relationship Id="rId3" Type="http://schemas.openxmlformats.org/officeDocument/2006/relationships/oleObject" Target="file:///\\fs\personal$\bd\bd-hilde\BD\2-BUDZETS\Budzets_2018\Izd_parskatisana\IKT\19%20saimes%20amati%20uz%2031%2003%202017_BD.xlsx" TargetMode="External"/><Relationship Id="rId2" Type="http://schemas.microsoft.com/office/2011/relationships/chartColorStyle" Target="colors69.xml"/><Relationship Id="rId1" Type="http://schemas.microsoft.com/office/2011/relationships/chartStyle" Target="style69.xml"/></Relationships>
</file>

<file path=word/charts/_rels/chart8.xml.rels><?xml version="1.0" encoding="UTF-8" standalone="yes"?>
<Relationships xmlns="http://schemas.openxmlformats.org/package/2006/relationships"><Relationship Id="rId3" Type="http://schemas.openxmlformats.org/officeDocument/2006/relationships/oleObject" Target="file:///\\fs\bd\Kopsavilkuma_nod\Adijane%20Zane\dazadi\2017\izdevumu_izvertesana_2017\apropriaciju_izmainas\grafiki_apro_izmainas.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078139792643223"/>
          <c:y val="3.1452053871706326E-2"/>
          <c:w val="0.54475211859514616"/>
          <c:h val="0.96124422877846072"/>
        </c:manualLayout>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BCF7-4A9F-ABED-5F122D98598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F7-4A9F-ABED-5F122D985988}"/>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BCF7-4A9F-ABED-5F122D98598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CF7-4A9F-ABED-5F122D985988}"/>
              </c:ext>
            </c:extLst>
          </c:dPt>
          <c:dLbls>
            <c:dLbl>
              <c:idx val="0"/>
              <c:layout>
                <c:manualLayout>
                  <c:x val="-0.18402467653420154"/>
                  <c:y val="-0.25928930005951528"/>
                </c:manualLayout>
              </c:layout>
              <c:showLegendKey val="0"/>
              <c:showVal val="1"/>
              <c:showCatName val="1"/>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BCF7-4A9F-ABED-5F122D985988}"/>
                </c:ext>
              </c:extLst>
            </c:dLbl>
            <c:dLbl>
              <c:idx val="1"/>
              <c:layout>
                <c:manualLayout>
                  <c:x val="0.16158842681321725"/>
                  <c:y val="5.6971603023078368E-2"/>
                </c:manualLayout>
              </c:layout>
              <c:showLegendKey val="0"/>
              <c:showVal val="1"/>
              <c:showCatName val="1"/>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3-BCF7-4A9F-ABED-5F122D985988}"/>
                </c:ext>
              </c:extLst>
            </c:dLbl>
            <c:dLbl>
              <c:idx val="2"/>
              <c:layout>
                <c:manualLayout>
                  <c:x val="-1.772261605129271E-2"/>
                  <c:y val="3.025984859617761E-2"/>
                </c:manualLayout>
              </c:layout>
              <c:showLegendKey val="0"/>
              <c:showVal val="1"/>
              <c:showCatName val="1"/>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BCF7-4A9F-ABED-5F122D985988}"/>
                </c:ext>
              </c:extLst>
            </c:dLbl>
            <c:dLbl>
              <c:idx val="3"/>
              <c:layout>
                <c:manualLayout>
                  <c:x val="7.1911282438458166E-2"/>
                  <c:y val="9.0908542854941946E-2"/>
                </c:manualLayout>
              </c:layout>
              <c:showLegendKey val="0"/>
              <c:showVal val="1"/>
              <c:showCatName val="1"/>
              <c:showSerName val="0"/>
              <c:showPercent val="1"/>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BCF7-4A9F-ABED-5F122D985988}"/>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Sheet1!$D$21:$D$24</c:f>
              <c:strCache>
                <c:ptCount val="4"/>
                <c:pt idx="0">
                  <c:v>Izpildītie</c:v>
                </c:pt>
                <c:pt idx="1">
                  <c:v>Uzsāktie </c:v>
                </c:pt>
                <c:pt idx="2">
                  <c:v>Neuzsāktie</c:v>
                </c:pt>
                <c:pt idx="3">
                  <c:v>Pārējie</c:v>
                </c:pt>
              </c:strCache>
            </c:strRef>
          </c:cat>
          <c:val>
            <c:numRef>
              <c:f>Sheet1!$E$21:$E$24</c:f>
              <c:numCache>
                <c:formatCode>General</c:formatCode>
                <c:ptCount val="4"/>
                <c:pt idx="0">
                  <c:v>37</c:v>
                </c:pt>
                <c:pt idx="1">
                  <c:v>10</c:v>
                </c:pt>
                <c:pt idx="2">
                  <c:v>1</c:v>
                </c:pt>
                <c:pt idx="3">
                  <c:v>5</c:v>
                </c:pt>
              </c:numCache>
            </c:numRef>
          </c:val>
          <c:extLst>
            <c:ext xmlns:c16="http://schemas.microsoft.com/office/drawing/2014/chart" uri="{C3380CC4-5D6E-409C-BE32-E72D297353CC}">
              <c16:uniqueId val="{00000008-BCF7-4A9F-ABED-5F122D985988}"/>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93462552442347"/>
          <c:y val="6.8293458509993951E-2"/>
          <c:w val="0.82294098285945749"/>
          <c:h val="0.72625814630314056"/>
        </c:manualLayout>
      </c:layout>
      <c:lineChart>
        <c:grouping val="standard"/>
        <c:varyColors val="0"/>
        <c:ser>
          <c:idx val="0"/>
          <c:order val="0"/>
          <c:tx>
            <c:strRef>
              <c:f>'15'!$A$248</c:f>
              <c:strCache>
                <c:ptCount val="1"/>
                <c:pt idx="0">
                  <c:v>Preces un pakalpojumi</c:v>
                </c:pt>
              </c:strCache>
            </c:strRef>
          </c:tx>
          <c:spPr>
            <a:ln w="15875" cap="rnd">
              <a:solidFill>
                <a:srgbClr val="70AD47"/>
              </a:solidFill>
              <a:round/>
            </a:ln>
            <a:effectLst/>
          </c:spPr>
          <c:marker>
            <c:symbol val="circle"/>
            <c:size val="5"/>
            <c:spPr>
              <a:solidFill>
                <a:srgbClr val="70AD47"/>
              </a:solidFill>
              <a:ln w="9525" cap="flat" cmpd="sng" algn="ctr">
                <a:solidFill>
                  <a:srgbClr val="70AD47"/>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'15'!$B$247:$H$247</c:f>
              <c:numCache>
                <c:formatCode>m/d/yyyy</c:formatCode>
                <c:ptCount val="7"/>
                <c:pt idx="0">
                  <c:v>42370</c:v>
                </c:pt>
                <c:pt idx="1">
                  <c:v>42460</c:v>
                </c:pt>
                <c:pt idx="2">
                  <c:v>42548</c:v>
                </c:pt>
                <c:pt idx="3">
                  <c:v>42552</c:v>
                </c:pt>
                <c:pt idx="4">
                  <c:v>42646</c:v>
                </c:pt>
                <c:pt idx="5">
                  <c:v>42713</c:v>
                </c:pt>
                <c:pt idx="6">
                  <c:v>42735</c:v>
                </c:pt>
              </c:numCache>
            </c:numRef>
          </c:cat>
          <c:val>
            <c:numRef>
              <c:f>'15'!$B$248:$H$248</c:f>
              <c:numCache>
                <c:formatCode>#,##0</c:formatCode>
                <c:ptCount val="7"/>
                <c:pt idx="0">
                  <c:v>1180662</c:v>
                </c:pt>
                <c:pt idx="1">
                  <c:v>1139434</c:v>
                </c:pt>
                <c:pt idx="2">
                  <c:v>1251743</c:v>
                </c:pt>
                <c:pt idx="3">
                  <c:v>1237831</c:v>
                </c:pt>
                <c:pt idx="4">
                  <c:v>1234361</c:v>
                </c:pt>
                <c:pt idx="5">
                  <c:v>1257317</c:v>
                </c:pt>
                <c:pt idx="6">
                  <c:v>1257317</c:v>
                </c:pt>
              </c:numCache>
            </c:numRef>
          </c:val>
          <c:smooth val="0"/>
          <c:extLst>
            <c:ext xmlns:c16="http://schemas.microsoft.com/office/drawing/2014/chart" uri="{C3380CC4-5D6E-409C-BE32-E72D297353CC}">
              <c16:uniqueId val="{00000000-E92A-48D9-850F-261BA78EFB42}"/>
            </c:ext>
          </c:extLst>
        </c:ser>
        <c:ser>
          <c:idx val="1"/>
          <c:order val="1"/>
          <c:tx>
            <c:strRef>
              <c:f>'15'!$A$249</c:f>
              <c:strCache>
                <c:ptCount val="1"/>
                <c:pt idx="0">
                  <c:v>Izpilde</c:v>
                </c:pt>
              </c:strCache>
            </c:strRef>
          </c:tx>
          <c:spPr>
            <a:ln w="15875" cap="rnd">
              <a:solidFill>
                <a:srgbClr val="ED7D31"/>
              </a:solidFill>
              <a:round/>
            </a:ln>
            <a:effectLst/>
          </c:spPr>
          <c:marker>
            <c:symbol val="circle"/>
            <c:size val="5"/>
            <c:spPr>
              <a:solidFill>
                <a:srgbClr val="ED7D31"/>
              </a:solidFill>
              <a:ln w="9525" cap="flat" cmpd="sng" algn="ctr">
                <a:solidFill>
                  <a:srgbClr val="ED7D31"/>
                </a:solidFill>
                <a:round/>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'15'!$B$247:$H$247</c:f>
              <c:numCache>
                <c:formatCode>m/d/yyyy</c:formatCode>
                <c:ptCount val="7"/>
                <c:pt idx="0">
                  <c:v>42370</c:v>
                </c:pt>
                <c:pt idx="1">
                  <c:v>42460</c:v>
                </c:pt>
                <c:pt idx="2">
                  <c:v>42548</c:v>
                </c:pt>
                <c:pt idx="3">
                  <c:v>42552</c:v>
                </c:pt>
                <c:pt idx="4">
                  <c:v>42646</c:v>
                </c:pt>
                <c:pt idx="5">
                  <c:v>42713</c:v>
                </c:pt>
                <c:pt idx="6">
                  <c:v>42735</c:v>
                </c:pt>
              </c:numCache>
            </c:numRef>
          </c:cat>
          <c:val>
            <c:numRef>
              <c:f>'15'!$B$249:$H$249</c:f>
              <c:numCache>
                <c:formatCode>#,##0</c:formatCode>
                <c:ptCount val="7"/>
                <c:pt idx="0">
                  <c:v>0</c:v>
                </c:pt>
                <c:pt idx="1">
                  <c:v>222488</c:v>
                </c:pt>
                <c:pt idx="2">
                  <c:v>435572</c:v>
                </c:pt>
                <c:pt idx="3">
                  <c:v>506483</c:v>
                </c:pt>
                <c:pt idx="4">
                  <c:v>715397</c:v>
                </c:pt>
                <c:pt idx="5">
                  <c:v>975482</c:v>
                </c:pt>
                <c:pt idx="6">
                  <c:v>975482</c:v>
                </c:pt>
              </c:numCache>
            </c:numRef>
          </c:val>
          <c:smooth val="0"/>
          <c:extLst>
            <c:ext xmlns:c16="http://schemas.microsoft.com/office/drawing/2014/chart" uri="{C3380CC4-5D6E-409C-BE32-E72D297353CC}">
              <c16:uniqueId val="{00000001-E92A-48D9-850F-261BA78EFB42}"/>
            </c:ext>
          </c:extLst>
        </c:ser>
        <c:dLbls>
          <c:dLblPos val="t"/>
          <c:showLegendKey val="0"/>
          <c:showVal val="1"/>
          <c:showCatName val="0"/>
          <c:showSerName val="0"/>
          <c:showPercent val="0"/>
          <c:showBubbleSize val="0"/>
        </c:dLbls>
        <c:marker val="1"/>
        <c:smooth val="0"/>
        <c:axId val="188619504"/>
        <c:axId val="188619896"/>
      </c:lineChart>
      <c:catAx>
        <c:axId val="18861950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619896"/>
        <c:crosses val="autoZero"/>
        <c:auto val="0"/>
        <c:lblAlgn val="ctr"/>
        <c:lblOffset val="100"/>
        <c:noMultiLvlLbl val="0"/>
      </c:catAx>
      <c:valAx>
        <c:axId val="18861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619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ysClr val="window" lastClr="FFFFFF"/>
    </a:solidFill>
    <a:ln w="12700" cap="flat" cmpd="sng" algn="ctr">
      <a:solidFill>
        <a:srgbClr val="A5A5A5"/>
      </a:solidFill>
      <a:prstDash val="solid"/>
      <a:miter lim="800000"/>
    </a:ln>
    <a:effectLst/>
  </c:spPr>
  <c:txPr>
    <a:bodyPr/>
    <a:lstStyle/>
    <a:p>
      <a:pPr>
        <a:defRPr>
          <a:solidFill>
            <a:sysClr val="windowText" lastClr="000000"/>
          </a:solidFill>
          <a:latin typeface="Times New Roman" panose="02020603050405020304" pitchFamily="18" charset="0"/>
          <a:ea typeface="+mn-ea"/>
          <a:cs typeface="Times New Roman" panose="02020603050405020304" pitchFamily="18" charset="0"/>
        </a:defRPr>
      </a:pPr>
      <a:endParaRPr lang="lv-LV"/>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19970039516126"/>
          <c:y val="2.2264914832859972E-2"/>
          <c:w val="0.51908900099729194"/>
          <c:h val="0.95749847984544467"/>
        </c:manualLayout>
      </c:layout>
      <c:pieChart>
        <c:varyColors val="1"/>
        <c:ser>
          <c:idx val="0"/>
          <c:order val="0"/>
          <c:explosion val="8"/>
          <c:dPt>
            <c:idx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extLst>
              <c:ext xmlns:c16="http://schemas.microsoft.com/office/drawing/2014/chart" uri="{C3380CC4-5D6E-409C-BE32-E72D297353CC}">
                <c16:uniqueId val="{00000001-D186-4CB3-838D-3482161B76C5}"/>
              </c:ext>
            </c:extLst>
          </c:dPt>
          <c:dPt>
            <c:idx val="1"/>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3-D186-4CB3-838D-3482161B76C5}"/>
              </c:ext>
            </c:extLst>
          </c:dPt>
          <c:dPt>
            <c:idx val="2"/>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extLst>
              <c:ext xmlns:c16="http://schemas.microsoft.com/office/drawing/2014/chart" uri="{C3380CC4-5D6E-409C-BE32-E72D297353CC}">
                <c16:uniqueId val="{00000005-D186-4CB3-838D-3482161B76C5}"/>
              </c:ext>
            </c:extLst>
          </c:dPt>
          <c:dPt>
            <c:idx val="3"/>
            <c:bubble3D val="0"/>
            <c:spPr>
              <a:solidFill>
                <a:srgbClr val="C00000"/>
              </a:solidFill>
              <a:ln w="9525" cap="flat" cmpd="sng" algn="ctr">
                <a:solidFill>
                  <a:srgbClr val="C00000"/>
                </a:solidFill>
                <a:round/>
              </a:ln>
              <a:effectLst/>
            </c:spPr>
            <c:extLst>
              <c:ext xmlns:c16="http://schemas.microsoft.com/office/drawing/2014/chart" uri="{C3380CC4-5D6E-409C-BE32-E72D297353CC}">
                <c16:uniqueId val="{00000007-D186-4CB3-838D-3482161B76C5}"/>
              </c:ext>
            </c:extLst>
          </c:dPt>
          <c:dPt>
            <c:idx val="4"/>
            <c:bubble3D val="0"/>
            <c:explosion val="9"/>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extLst>
              <c:ext xmlns:c16="http://schemas.microsoft.com/office/drawing/2014/chart" uri="{C3380CC4-5D6E-409C-BE32-E72D297353CC}">
                <c16:uniqueId val="{00000009-D186-4CB3-838D-3482161B76C5}"/>
              </c:ext>
            </c:extLst>
          </c:dPt>
          <c:dPt>
            <c:idx val="5"/>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extLst>
              <c:ext xmlns:c16="http://schemas.microsoft.com/office/drawing/2014/chart" uri="{C3380CC4-5D6E-409C-BE32-E72D297353CC}">
                <c16:uniqueId val="{0000000B-D186-4CB3-838D-3482161B76C5}"/>
              </c:ext>
            </c:extLst>
          </c:dPt>
          <c:dPt>
            <c:idx val="6"/>
            <c:bubble3D val="0"/>
            <c:spPr>
              <a:solidFill>
                <a:srgbClr val="FF3300"/>
              </a:solidFill>
              <a:ln w="9525" cap="flat" cmpd="sng" algn="ctr">
                <a:solidFill>
                  <a:srgbClr val="FF99CC"/>
                </a:solidFill>
                <a:round/>
              </a:ln>
              <a:effectLst/>
            </c:spPr>
            <c:extLst>
              <c:ext xmlns:c16="http://schemas.microsoft.com/office/drawing/2014/chart" uri="{C3380CC4-5D6E-409C-BE32-E72D297353CC}">
                <c16:uniqueId val="{0000000D-D186-4CB3-838D-3482161B76C5}"/>
              </c:ext>
            </c:extLst>
          </c:dPt>
          <c:dPt>
            <c:idx val="7"/>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F-D186-4CB3-838D-3482161B76C5}"/>
              </c:ext>
            </c:extLst>
          </c:dPt>
          <c:dPt>
            <c:idx val="8"/>
            <c:bubble3D val="0"/>
            <c:spPr>
              <a:solidFill>
                <a:srgbClr val="7030A0"/>
              </a:solidFill>
              <a:ln w="9525" cap="flat" cmpd="sng" algn="ctr">
                <a:solidFill>
                  <a:schemeClr val="accent3">
                    <a:lumMod val="60000"/>
                    <a:shade val="95000"/>
                  </a:schemeClr>
                </a:solidFill>
                <a:round/>
              </a:ln>
              <a:effectLst/>
            </c:spPr>
            <c:extLst>
              <c:ext xmlns:c16="http://schemas.microsoft.com/office/drawing/2014/chart" uri="{C3380CC4-5D6E-409C-BE32-E72D297353CC}">
                <c16:uniqueId val="{00000011-D186-4CB3-838D-3482161B76C5}"/>
              </c:ext>
            </c:extLst>
          </c:dPt>
          <c:dPt>
            <c:idx val="9"/>
            <c:bubble3D val="0"/>
            <c:spPr>
              <a:solidFill>
                <a:schemeClr val="accent4">
                  <a:lumMod val="60000"/>
                  <a:lumOff val="40000"/>
                </a:schemeClr>
              </a:solidFill>
              <a:ln w="9525" cap="flat" cmpd="sng" algn="ctr">
                <a:solidFill>
                  <a:schemeClr val="accent4">
                    <a:lumMod val="60000"/>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13-D186-4CB3-838D-3482161B76C5}"/>
              </c:ext>
            </c:extLst>
          </c:dPt>
          <c:dLbls>
            <c:dLbl>
              <c:idx val="0"/>
              <c:layout>
                <c:manualLayout>
                  <c:x val="1.5814896755162243E-3"/>
                  <c:y val="4.6501474926253686E-2"/>
                </c:manualLayout>
              </c:layout>
              <c:tx>
                <c:rich>
                  <a:bodyPr/>
                  <a:lstStyle/>
                  <a:p>
                    <a:fld id="{F0EB894E-15F7-4787-8FBE-42E8B5D1B156}" type="CATEGORYNAME">
                      <a:rPr lang="en-US" baseline="0"/>
                      <a:pPr/>
                      <a:t>[CATEGORY NAME]</a:t>
                    </a:fld>
                    <a:r>
                      <a:rPr lang="en-US" baseline="0"/>
                      <a:t>; </a:t>
                    </a:r>
                  </a:p>
                  <a:p>
                    <a:fld id="{C95484B5-DFA0-4E55-82E5-6E3A1BF8A71C}" type="VALUE">
                      <a:rPr lang="en-US" baseline="0"/>
                      <a:pPr/>
                      <a:t>[VALUE]</a:t>
                    </a:fld>
                    <a:r>
                      <a:rPr lang="en-US" baseline="0"/>
                      <a:t>; </a:t>
                    </a:r>
                    <a:r>
                      <a:rPr lang="en-US" b="1" baseline="0"/>
                      <a:t>4.3%</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D186-4CB3-838D-3482161B76C5}"/>
                </c:ext>
              </c:extLst>
            </c:dLbl>
            <c:dLbl>
              <c:idx val="1"/>
              <c:layout>
                <c:manualLayout>
                  <c:x val="0.14958276479351049"/>
                  <c:y val="-0.11422649148328599"/>
                </c:manualLayout>
              </c:layout>
              <c:tx>
                <c:rich>
                  <a:bodyPr rot="0" spcFirstLastPara="1" vertOverflow="ellipsis" vert="horz" wrap="square" lIns="38100" tIns="19050" rIns="38100" bIns="19050" anchor="ctr" anchorCtr="1">
                    <a:noAutofit/>
                  </a:bodyPr>
                  <a:lstStyle/>
                  <a:p>
                    <a:pPr>
                      <a:defRPr sz="87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FEEAED76-BB45-4EC3-A780-9D9B0F3593EB}" type="CATEGORYNAME">
                      <a:rPr lang="en-US" sz="870" b="0" baseline="0">
                        <a:solidFill>
                          <a:sysClr val="windowText" lastClr="000000"/>
                        </a:solidFill>
                        <a:latin typeface="Times New Roman" panose="02020603050405020304" pitchFamily="18" charset="0"/>
                        <a:cs typeface="Times New Roman" panose="02020603050405020304" pitchFamily="18" charset="0"/>
                      </a:rPr>
                      <a:pPr>
                        <a:defRPr sz="870">
                          <a:solidFill>
                            <a:sysClr val="windowText" lastClr="000000"/>
                          </a:solidFill>
                          <a:latin typeface="Times New Roman" panose="02020603050405020304" pitchFamily="18" charset="0"/>
                          <a:cs typeface="Times New Roman" panose="02020603050405020304" pitchFamily="18" charset="0"/>
                        </a:defRPr>
                      </a:pPr>
                      <a:t>[CATEGORY NAME]</a:t>
                    </a:fld>
                    <a:r>
                      <a:rPr lang="en-US" sz="870" b="0" baseline="0">
                        <a:solidFill>
                          <a:sysClr val="windowText" lastClr="000000"/>
                        </a:solidFill>
                        <a:latin typeface="Times New Roman" panose="02020603050405020304" pitchFamily="18" charset="0"/>
                        <a:cs typeface="Times New Roman" panose="02020603050405020304" pitchFamily="18" charset="0"/>
                      </a:rPr>
                      <a:t>; </a:t>
                    </a:r>
                  </a:p>
                  <a:p>
                    <a:pPr>
                      <a:defRPr sz="870">
                        <a:solidFill>
                          <a:sysClr val="windowText" lastClr="000000"/>
                        </a:solidFill>
                        <a:latin typeface="Times New Roman" panose="02020603050405020304" pitchFamily="18" charset="0"/>
                        <a:cs typeface="Times New Roman" panose="02020603050405020304" pitchFamily="18" charset="0"/>
                      </a:defRPr>
                    </a:pPr>
                    <a:r>
                      <a:rPr lang="en-US" sz="870" b="0" baseline="0">
                        <a:solidFill>
                          <a:sysClr val="windowText" lastClr="000000"/>
                        </a:solidFill>
                        <a:latin typeface="Times New Roman" panose="02020603050405020304" pitchFamily="18" charset="0"/>
                        <a:cs typeface="Times New Roman" panose="02020603050405020304" pitchFamily="18" charset="0"/>
                      </a:rPr>
                      <a:t>17 987: 30.9%</a:t>
                    </a:r>
                  </a:p>
                </c:rich>
              </c:tx>
              <c:spPr>
                <a:noFill/>
                <a:ln>
                  <a:noFill/>
                </a:ln>
                <a:effectLst/>
              </c:spPr>
              <c:txPr>
                <a:bodyPr rot="0" spcFirstLastPara="1" vertOverflow="ellipsis" vert="horz" wrap="square" lIns="38100" tIns="19050" rIns="38100" bIns="19050" anchor="ctr" anchorCtr="1">
                  <a:noAutofit/>
                </a:bodyPr>
                <a:lstStyle/>
                <a:p>
                  <a:pPr>
                    <a:defRPr sz="87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28012551690180221"/>
                      <c:h val="0.24611721361982178"/>
                    </c:manualLayout>
                  </c15:layout>
                  <c15:dlblFieldTable/>
                  <c15:showDataLabelsRange val="0"/>
                </c:ext>
                <c:ext xmlns:c16="http://schemas.microsoft.com/office/drawing/2014/chart" uri="{C3380CC4-5D6E-409C-BE32-E72D297353CC}">
                  <c16:uniqueId val="{00000003-D186-4CB3-838D-3482161B76C5}"/>
                </c:ext>
              </c:extLst>
            </c:dLbl>
            <c:dLbl>
              <c:idx val="2"/>
              <c:tx>
                <c:rich>
                  <a:bodyPr/>
                  <a:lstStyle/>
                  <a:p>
                    <a:fld id="{D6984DFF-2456-4261-AD6A-505547000ED6}" type="CATEGORYNAME">
                      <a:rPr lang="lv-LV"/>
                      <a:pPr/>
                      <a:t>[CATEGORY NAME]</a:t>
                    </a:fld>
                    <a:r>
                      <a:rPr lang="lv-LV" baseline="0"/>
                      <a:t>; </a:t>
                    </a:r>
                  </a:p>
                  <a:p>
                    <a:r>
                      <a:rPr lang="lv-LV" baseline="0"/>
                      <a:t>11 643; </a:t>
                    </a:r>
                    <a:fld id="{2126CE84-B69B-4184-8070-0649FDEAF496}" type="PERCENTAGE">
                      <a:rPr lang="lv-LV" b="1" baseline="0"/>
                      <a:pPr/>
                      <a:t>[PERCENTAGE]</a:t>
                    </a:fld>
                    <a:endParaRPr lang="lv-LV" baseline="0"/>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5-D186-4CB3-838D-3482161B76C5}"/>
                </c:ext>
              </c:extLst>
            </c:dLbl>
            <c:dLbl>
              <c:idx val="3"/>
              <c:layout>
                <c:manualLayout>
                  <c:x val="-2.9633770515301368E-2"/>
                  <c:y val="-5.9461651917404419E-3"/>
                </c:manualLayout>
              </c:layout>
              <c:tx>
                <c:rich>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65D0416E-9D8B-433B-B400-089662B55841}" type="CATEGORYNAME">
                      <a:rPr lang="en-US" b="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[CATEGORY NAME]</a:t>
                    </a:fld>
                    <a:r>
                      <a:rPr lang="en-US" b="0" baseline="0">
                        <a:solidFill>
                          <a:sysClr val="windowText" lastClr="000000"/>
                        </a:solidFill>
                        <a:latin typeface="Times New Roman" panose="02020603050405020304" pitchFamily="18" charset="0"/>
                        <a:cs typeface="Times New Roman" panose="02020603050405020304" pitchFamily="18" charset="0"/>
                      </a:rPr>
                      <a:t>; </a:t>
                    </a:r>
                  </a:p>
                  <a:p>
                    <a:pPr>
                      <a:defRPr>
                        <a:solidFill>
                          <a:sysClr val="windowText" lastClr="000000"/>
                        </a:solidFill>
                        <a:latin typeface="Times New Roman" panose="02020603050405020304" pitchFamily="18" charset="0"/>
                        <a:cs typeface="Times New Roman" panose="02020603050405020304" pitchFamily="18" charset="0"/>
                      </a:defRPr>
                    </a:pPr>
                    <a:fld id="{D888B659-54AE-45E2-9621-E4AF502795CE}" type="VALUE">
                      <a:rPr lang="en-US" b="0"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[VALUE]</a:t>
                    </a:fld>
                    <a:r>
                      <a:rPr lang="en-US" b="0" baseline="0">
                        <a:solidFill>
                          <a:sysClr val="windowText" lastClr="000000"/>
                        </a:solidFill>
                        <a:latin typeface="Times New Roman" panose="02020603050405020304" pitchFamily="18" charset="0"/>
                        <a:cs typeface="Times New Roman" panose="02020603050405020304" pitchFamily="18" charset="0"/>
                      </a:rPr>
                      <a:t>; 0.17%</a:t>
                    </a:r>
                  </a:p>
                </c:rich>
              </c:tx>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7-D186-4CB3-838D-3482161B76C5}"/>
                </c:ext>
              </c:extLst>
            </c:dLbl>
            <c:dLbl>
              <c:idx val="4"/>
              <c:layout>
                <c:manualLayout>
                  <c:x val="-3.0466557340109949E-2"/>
                  <c:y val="9.6976162437173344E-2"/>
                </c:manualLayout>
              </c:layout>
              <c:tx>
                <c:rich>
                  <a:bodyPr/>
                  <a:lstStyle/>
                  <a:p>
                    <a:fld id="{4B89CD24-949A-4142-8DAB-32162EB36281}" type="CATEGORYNAME">
                      <a:rPr lang="en-US" b="0">
                        <a:solidFill>
                          <a:sysClr val="windowText" lastClr="000000"/>
                        </a:solidFill>
                        <a:latin typeface="Times New Roman" panose="02020603050405020304" pitchFamily="18" charset="0"/>
                        <a:cs typeface="Times New Roman" panose="02020603050405020304" pitchFamily="18" charset="0"/>
                      </a:rPr>
                      <a:pPr/>
                      <a:t>[CATEGORY NAME]</a:t>
                    </a:fld>
                    <a:r>
                      <a:rPr lang="en-US" b="0" baseline="0">
                        <a:solidFill>
                          <a:sysClr val="windowText" lastClr="000000"/>
                        </a:solidFill>
                        <a:latin typeface="Times New Roman" panose="02020603050405020304" pitchFamily="18" charset="0"/>
                        <a:cs typeface="Times New Roman" panose="02020603050405020304" pitchFamily="18" charset="0"/>
                      </a:rPr>
                      <a:t>| </a:t>
                    </a:r>
                    <a:fld id="{DC3ABEA9-28FB-40D3-B20F-CC6659A35DDC}" type="VALUE">
                      <a:rPr lang="en-US" b="0" baseline="0">
                        <a:solidFill>
                          <a:sysClr val="windowText" lastClr="000000"/>
                        </a:solidFill>
                        <a:latin typeface="Times New Roman" panose="02020603050405020304" pitchFamily="18" charset="0"/>
                        <a:cs typeface="Times New Roman" panose="02020603050405020304" pitchFamily="18" charset="0"/>
                      </a:rPr>
                      <a:pPr/>
                      <a:t>[VALUE]</a:t>
                    </a:fld>
                    <a:r>
                      <a:rPr lang="en-US" b="0" baseline="0">
                        <a:solidFill>
                          <a:sysClr val="windowText" lastClr="000000"/>
                        </a:solidFill>
                        <a:latin typeface="Times New Roman" panose="02020603050405020304" pitchFamily="18" charset="0"/>
                        <a:cs typeface="Times New Roman" panose="02020603050405020304" pitchFamily="18" charset="0"/>
                      </a:rPr>
                      <a:t>| 21.7%</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9-D186-4CB3-838D-3482161B76C5}"/>
                </c:ext>
              </c:extLst>
            </c:dLbl>
            <c:dLbl>
              <c:idx val="5"/>
              <c:layout>
                <c:manualLayout>
                  <c:x val="-0.12973774144686603"/>
                  <c:y val="7.7936418705707861E-2"/>
                </c:manualLayout>
              </c:layout>
              <c:tx>
                <c:rich>
                  <a:bodyPr/>
                  <a:lstStyle/>
                  <a:p>
                    <a:fld id="{25910D23-5801-47F8-8B3D-EB2737FC1B95}" type="CATEGORYNAME">
                      <a:rPr lang="en-US" baseline="0"/>
                      <a:pPr/>
                      <a:t>[CATEGORY NAME]</a:t>
                    </a:fld>
                    <a:r>
                      <a:rPr lang="en-US" baseline="0"/>
                      <a:t>; </a:t>
                    </a:r>
                  </a:p>
                  <a:p>
                    <a:fld id="{DEA3DAFA-7D1A-46A1-BB4E-62BF27F05967}" type="VALUE">
                      <a:rPr lang="en-US" baseline="0"/>
                      <a:pPr/>
                      <a:t>[VALUE]</a:t>
                    </a:fld>
                    <a:r>
                      <a:rPr lang="en-US" baseline="0"/>
                      <a:t>; </a:t>
                    </a:r>
                    <a:r>
                      <a:rPr lang="en-US" b="1" baseline="0"/>
                      <a:t>9.6%</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B-D186-4CB3-838D-3482161B76C5}"/>
                </c:ext>
              </c:extLst>
            </c:dLbl>
            <c:dLbl>
              <c:idx val="6"/>
              <c:layout>
                <c:manualLayout>
                  <c:x val="1.7817177447364503E-2"/>
                  <c:y val="-6.8260570304818094E-2"/>
                </c:manualLayout>
              </c:layout>
              <c:tx>
                <c:rich>
                  <a:bodyPr/>
                  <a:lstStyle/>
                  <a:p>
                    <a:fld id="{7A0E9BE0-7D13-4BAA-A48D-1E1DC109091C}" type="CATEGORYNAME">
                      <a:rPr lang="en-US" b="0" baseline="0">
                        <a:solidFill>
                          <a:sysClr val="windowText" lastClr="000000"/>
                        </a:solidFill>
                      </a:rPr>
                      <a:pPr/>
                      <a:t>[CATEGORY NAME]</a:t>
                    </a:fld>
                    <a:r>
                      <a:rPr lang="en-US" b="0" baseline="0">
                        <a:solidFill>
                          <a:sysClr val="windowText" lastClr="000000"/>
                        </a:solidFill>
                      </a:rPr>
                      <a:t>; </a:t>
                    </a:r>
                  </a:p>
                  <a:p>
                    <a:r>
                      <a:rPr lang="en-US" b="0" baseline="0">
                        <a:solidFill>
                          <a:sysClr val="windowText" lastClr="000000"/>
                        </a:solidFill>
                      </a:rPr>
                      <a:t>3784; </a:t>
                    </a:r>
                    <a:r>
                      <a:rPr lang="en-US" b="1" baseline="0">
                        <a:solidFill>
                          <a:sysClr val="windowText" lastClr="000000"/>
                        </a:solidFill>
                      </a:rPr>
                      <a:t>6.5%</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D-D186-4CB3-838D-3482161B76C5}"/>
                </c:ext>
              </c:extLst>
            </c:dLbl>
            <c:dLbl>
              <c:idx val="7"/>
              <c:layout>
                <c:manualLayout>
                  <c:x val="6.2287900589341035E-2"/>
                  <c:y val="-8.1344518190757248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7D2DA6CC-FBBB-4A09-B06B-36D96C183050}" type="CATEGORYNAME">
                      <a:rPr lang="en-US" b="0"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[CATEGORY NAME]</a:t>
                    </a:fld>
                    <a:r>
                      <a:rPr lang="en-US" b="0" baseline="0">
                        <a:solidFill>
                          <a:sysClr val="windowText" lastClr="000000"/>
                        </a:solidFill>
                        <a:latin typeface="Times New Roman" panose="02020603050405020304" pitchFamily="18" charset="0"/>
                        <a:cs typeface="Times New Roman" panose="02020603050405020304" pitchFamily="18" charset="0"/>
                      </a:rPr>
                      <a:t>; </a:t>
                    </a:r>
                  </a:p>
                  <a:p>
                    <a:pPr>
                      <a:defRPr>
                        <a:solidFill>
                          <a:sysClr val="windowText" lastClr="000000"/>
                        </a:solidFill>
                        <a:latin typeface="Times New Roman" panose="02020603050405020304" pitchFamily="18" charset="0"/>
                        <a:cs typeface="Times New Roman" panose="02020603050405020304" pitchFamily="18" charset="0"/>
                      </a:defRPr>
                    </a:pPr>
                    <a:fld id="{C99B54EE-26B1-4350-BAEA-009592CD2DD5}" type="VALUE">
                      <a:rPr lang="en-US" b="0" baseline="0">
                        <a:solidFill>
                          <a:sysClr val="windowText" lastClr="000000"/>
                        </a:solidFill>
                        <a:latin typeface="Times New Roman" panose="02020603050405020304" pitchFamily="18" charset="0"/>
                        <a:cs typeface="Times New Roman" panose="02020603050405020304" pitchFamily="18" charset="0"/>
                      </a:rPr>
                      <a:pPr>
                        <a:defRPr>
                          <a:solidFill>
                            <a:sysClr val="windowText" lastClr="000000"/>
                          </a:solidFill>
                          <a:latin typeface="Times New Roman" panose="02020603050405020304" pitchFamily="18" charset="0"/>
                          <a:cs typeface="Times New Roman" panose="02020603050405020304" pitchFamily="18" charset="0"/>
                        </a:defRPr>
                      </a:pPr>
                      <a:t>[VALUE]</a:t>
                    </a:fld>
                    <a:r>
                      <a:rPr lang="en-US" b="0" baseline="0">
                        <a:solidFill>
                          <a:sysClr val="windowText" lastClr="000000"/>
                        </a:solidFill>
                        <a:latin typeface="Times New Roman" panose="02020603050405020304" pitchFamily="18" charset="0"/>
                        <a:cs typeface="Times New Roman" panose="02020603050405020304" pitchFamily="18" charset="0"/>
                      </a:rPr>
                      <a:t>; 5.1%</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20550176692081656"/>
                      <c:h val="0.14342133726646999"/>
                    </c:manualLayout>
                  </c15:layout>
                  <c15:dlblFieldTable/>
                  <c15:showDataLabelsRange val="0"/>
                </c:ext>
                <c:ext xmlns:c16="http://schemas.microsoft.com/office/drawing/2014/chart" uri="{C3380CC4-5D6E-409C-BE32-E72D297353CC}">
                  <c16:uniqueId val="{0000000F-D186-4CB3-838D-3482161B76C5}"/>
                </c:ext>
              </c:extLst>
            </c:dLbl>
            <c:dLbl>
              <c:idx val="8"/>
              <c:layout>
                <c:manualLayout>
                  <c:x val="9.0350540806293025E-2"/>
                  <c:y val="-1.8667649950835793E-3"/>
                </c:manualLayout>
              </c:layout>
              <c:tx>
                <c:rich>
                  <a:bodyPr/>
                  <a:lstStyle/>
                  <a:p>
                    <a:fld id="{3D8F002D-CFD4-429B-B98A-CC7418341633}" type="CATEGORYNAME">
                      <a:rPr lang="en-US" baseline="0"/>
                      <a:pPr/>
                      <a:t>[CATEGORY NAME]</a:t>
                    </a:fld>
                    <a:r>
                      <a:rPr lang="en-US" baseline="0"/>
                      <a:t>; </a:t>
                    </a:r>
                  </a:p>
                  <a:p>
                    <a:fld id="{E531C385-C2CC-4964-AD80-C6472A90C871}" type="VALUE">
                      <a:rPr lang="en-US" baseline="0"/>
                      <a:pPr/>
                      <a:t>[VALUE]</a:t>
                    </a:fld>
                    <a:r>
                      <a:rPr lang="en-US" baseline="0"/>
                      <a:t>; </a:t>
                    </a:r>
                    <a:r>
                      <a:rPr lang="en-US" b="1" baseline="0"/>
                      <a:t>1.8%</a:t>
                    </a:r>
                  </a:p>
                </c:rich>
              </c:tx>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11-D186-4CB3-838D-3482161B76C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'MK541'!$H$2:$H$10</c:f>
              <c:strCache>
                <c:ptCount val="9"/>
                <c:pt idx="0">
                  <c:v>Ārstniecības personas</c:v>
                </c:pt>
                <c:pt idx="1">
                  <c:v>Uz darba tiesiskajām attiecībām nodarbinātie (t.sk., eksperti, speciālisti, konsultanti, atbalsta personāls u.c.)</c:v>
                </c:pt>
                <c:pt idx="2">
                  <c:v>Ierēdņi</c:v>
                </c:pt>
                <c:pt idx="3">
                  <c:v>Saeimas deputāti</c:v>
                </c:pt>
                <c:pt idx="4">
                  <c:v>Amatpersonas ar speciālo dienesta pakāpi</c:v>
                </c:pt>
                <c:pt idx="5">
                  <c:v>Karavīri</c:v>
                </c:pt>
                <c:pt idx="6">
                  <c:v>Pedagogi (valsts prof. izgl. iest.)</c:v>
                </c:pt>
                <c:pt idx="7">
                  <c:v>Sociālās aprūpes centru nodarb.</c:v>
                </c:pt>
                <c:pt idx="8">
                  <c:v>Prokurori, tiesneši</c:v>
                </c:pt>
              </c:strCache>
            </c:strRef>
          </c:cat>
          <c:val>
            <c:numRef>
              <c:f>'MK541'!$I$2:$I$10</c:f>
              <c:numCache>
                <c:formatCode>_-* #,##0_-;\-* #,##0_-;_-* "-"??_-;_-@_-</c:formatCode>
                <c:ptCount val="9"/>
                <c:pt idx="0">
                  <c:v>2474</c:v>
                </c:pt>
                <c:pt idx="1">
                  <c:v>18279</c:v>
                </c:pt>
                <c:pt idx="2">
                  <c:v>11652</c:v>
                </c:pt>
                <c:pt idx="3">
                  <c:v>100</c:v>
                </c:pt>
                <c:pt idx="4">
                  <c:v>12608</c:v>
                </c:pt>
                <c:pt idx="5">
                  <c:v>5560</c:v>
                </c:pt>
                <c:pt idx="6">
                  <c:v>3785</c:v>
                </c:pt>
                <c:pt idx="7">
                  <c:v>2987</c:v>
                </c:pt>
                <c:pt idx="8">
                  <c:v>1055</c:v>
                </c:pt>
              </c:numCache>
            </c:numRef>
          </c:val>
          <c:extLst>
            <c:ext xmlns:c16="http://schemas.microsoft.com/office/drawing/2014/chart" uri="{C3380CC4-5D6E-409C-BE32-E72D297353CC}">
              <c16:uniqueId val="{00000014-D186-4CB3-838D-3482161B76C5}"/>
            </c:ext>
          </c:extLst>
        </c:ser>
        <c:dLbls>
          <c:showLegendKey val="0"/>
          <c:showVal val="0"/>
          <c:showCatName val="0"/>
          <c:showSerName val="0"/>
          <c:showPercent val="0"/>
          <c:showBubbleSize val="0"/>
          <c:showLeaderLines val="1"/>
        </c:dLbls>
        <c:firstSliceAng val="126"/>
      </c:pieChart>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15907467153999E-2"/>
          <c:y val="3.3108113141486456E-2"/>
          <c:w val="0.92245952064014924"/>
          <c:h val="0.86812088886240213"/>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1-CE78-489A-9C11-108AF92929DB}"/>
              </c:ext>
            </c:extLst>
          </c:dPt>
          <c:dPt>
            <c:idx val="1"/>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3-CE78-489A-9C11-108AF92929DB}"/>
              </c:ext>
            </c:extLst>
          </c:dPt>
          <c:dPt>
            <c:idx val="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5-CE78-489A-9C11-108AF92929DB}"/>
              </c:ext>
            </c:extLst>
          </c:dPt>
          <c:dPt>
            <c:idx val="3"/>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7-CE78-489A-9C11-108AF92929DB}"/>
              </c:ext>
            </c:extLst>
          </c:dPt>
          <c:dPt>
            <c:idx val="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9-CE78-489A-9C11-108AF92929DB}"/>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B-CE78-489A-9C11-108AF92929DB}"/>
              </c:ext>
            </c:extLst>
          </c:dPt>
          <c:dPt>
            <c:idx val="6"/>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D-CE78-489A-9C11-108AF92929DB}"/>
              </c:ext>
            </c:extLst>
          </c:dPt>
          <c:dPt>
            <c:idx val="7"/>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F-CE78-489A-9C11-108AF92929DB}"/>
              </c:ext>
            </c:extLst>
          </c:dPt>
          <c:dPt>
            <c:idx val="8"/>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1-CE78-489A-9C11-108AF92929DB}"/>
              </c:ext>
            </c:extLst>
          </c:dPt>
          <c:dPt>
            <c:idx val="9"/>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3-CE78-489A-9C11-108AF92929DB}"/>
              </c:ext>
            </c:extLst>
          </c:dPt>
          <c:dPt>
            <c:idx val="1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5-CE78-489A-9C11-108AF92929DB}"/>
              </c:ext>
            </c:extLst>
          </c:dPt>
          <c:dPt>
            <c:idx val="11"/>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7-CE78-489A-9C11-108AF92929DB}"/>
              </c:ext>
            </c:extLst>
          </c:dPt>
          <c:dPt>
            <c:idx val="1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9-CE78-489A-9C11-108AF92929DB}"/>
              </c:ext>
            </c:extLst>
          </c:dPt>
          <c:dPt>
            <c:idx val="13"/>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B-CE78-489A-9C11-108AF92929DB}"/>
              </c:ext>
            </c:extLst>
          </c:dPt>
          <c:dPt>
            <c:idx val="1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1D-CE78-489A-9C11-108AF92929DB}"/>
              </c:ext>
            </c:extLst>
          </c:dPt>
          <c:dLbls>
            <c:dLbl>
              <c:idx val="0"/>
              <c:tx>
                <c:rich>
                  <a:bodyPr/>
                  <a:lstStyle/>
                  <a:p>
                    <a:fld id="{BE7A194F-0373-4105-9696-34D796C499BE}" type="CELLRANGE">
                      <a:rPr lang="en-US"/>
                      <a:pPr/>
                      <a:t>[CELLRANGE]</a:t>
                    </a:fld>
                    <a:endParaRPr lang="en-US" baseline="0"/>
                  </a:p>
                  <a:p>
                    <a:fld id="{CA96D443-76EB-4534-9575-1497BF5BD41C}"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1-CE78-489A-9C11-108AF92929DB}"/>
                </c:ext>
              </c:extLst>
            </c:dLbl>
            <c:dLbl>
              <c:idx val="1"/>
              <c:tx>
                <c:rich>
                  <a:bodyPr/>
                  <a:lstStyle/>
                  <a:p>
                    <a:fld id="{052E72C7-0E1D-4879-93DB-BFFB29613E42}" type="CELLRANGE">
                      <a:rPr lang="en-US"/>
                      <a:pPr/>
                      <a:t>[CELLRANGE]</a:t>
                    </a:fld>
                    <a:endParaRPr lang="en-US" baseline="0"/>
                  </a:p>
                  <a:p>
                    <a:fld id="{B620B941-7C46-496F-AAAC-0D70118CC2C5}"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3-CE78-489A-9C11-108AF92929DB}"/>
                </c:ext>
              </c:extLst>
            </c:dLbl>
            <c:dLbl>
              <c:idx val="2"/>
              <c:tx>
                <c:rich>
                  <a:bodyPr/>
                  <a:lstStyle/>
                  <a:p>
                    <a:fld id="{5ED3A8AC-DD6D-48E9-AD89-206B06B435AB}" type="CELLRANGE">
                      <a:rPr lang="en-US"/>
                      <a:pPr/>
                      <a:t>[CELLRANGE]</a:t>
                    </a:fld>
                    <a:endParaRPr lang="en-US" baseline="0"/>
                  </a:p>
                  <a:p>
                    <a:fld id="{AA24432E-3936-4EB6-824E-559D97662CB9}"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5-CE78-489A-9C11-108AF92929DB}"/>
                </c:ext>
              </c:extLst>
            </c:dLbl>
            <c:dLbl>
              <c:idx val="3"/>
              <c:tx>
                <c:rich>
                  <a:bodyPr/>
                  <a:lstStyle/>
                  <a:p>
                    <a:fld id="{AFC012C6-7D0E-4CDA-B291-8E53CE1EB2D8}" type="CELLRANGE">
                      <a:rPr lang="en-US"/>
                      <a:pPr/>
                      <a:t>[CELLRANGE]</a:t>
                    </a:fld>
                    <a:endParaRPr lang="en-US" baseline="0"/>
                  </a:p>
                  <a:p>
                    <a:fld id="{FAEB75AC-8FF5-4F3A-AB19-436445139C65}"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7-CE78-489A-9C11-108AF92929DB}"/>
                </c:ext>
              </c:extLst>
            </c:dLbl>
            <c:dLbl>
              <c:idx val="4"/>
              <c:tx>
                <c:rich>
                  <a:bodyPr/>
                  <a:lstStyle/>
                  <a:p>
                    <a:fld id="{447B021B-E6C7-4A45-9532-DEF3C2BAA7AB}" type="CELLRANGE">
                      <a:rPr lang="en-US"/>
                      <a:pPr/>
                      <a:t>[CELLRANGE]</a:t>
                    </a:fld>
                    <a:endParaRPr lang="en-US" baseline="0"/>
                  </a:p>
                  <a:p>
                    <a:fld id="{49049258-75CF-472B-B406-8171FBDF7D73}"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9-CE78-489A-9C11-108AF92929DB}"/>
                </c:ext>
              </c:extLst>
            </c:dLbl>
            <c:dLbl>
              <c:idx val="5"/>
              <c:tx>
                <c:rich>
                  <a:bodyPr/>
                  <a:lstStyle/>
                  <a:p>
                    <a:fld id="{1303F373-A0AF-49D4-9B55-A1CE99112295}" type="CELLRANGE">
                      <a:rPr lang="en-US"/>
                      <a:pPr/>
                      <a:t>[CELLRANGE]</a:t>
                    </a:fld>
                    <a:endParaRPr lang="en-US" baseline="0"/>
                  </a:p>
                  <a:p>
                    <a:fld id="{8050748E-6E74-4CDA-A487-E4A5C9E1FB5F}"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B-CE78-489A-9C11-108AF92929DB}"/>
                </c:ext>
              </c:extLst>
            </c:dLbl>
            <c:dLbl>
              <c:idx val="6"/>
              <c:tx>
                <c:rich>
                  <a:bodyPr/>
                  <a:lstStyle/>
                  <a:p>
                    <a:fld id="{E2FA546A-23B9-4DDA-B4AC-189C490742F1}" type="CELLRANGE">
                      <a:rPr lang="en-US"/>
                      <a:pPr/>
                      <a:t>[CELLRANGE]</a:t>
                    </a:fld>
                    <a:endParaRPr lang="en-US" baseline="0"/>
                  </a:p>
                  <a:p>
                    <a:fld id="{0BB23B08-F79A-42B6-BD78-37E191365FFA}"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D-CE78-489A-9C11-108AF92929DB}"/>
                </c:ext>
              </c:extLst>
            </c:dLbl>
            <c:dLbl>
              <c:idx val="7"/>
              <c:tx>
                <c:rich>
                  <a:bodyPr/>
                  <a:lstStyle/>
                  <a:p>
                    <a:fld id="{03AE4404-D318-40C9-9B08-C06C3A5BE617}" type="CELLRANGE">
                      <a:rPr lang="en-US"/>
                      <a:pPr/>
                      <a:t>[CELLRANGE]</a:t>
                    </a:fld>
                    <a:endParaRPr lang="en-US" baseline="0"/>
                  </a:p>
                  <a:p>
                    <a:fld id="{BAC67E58-0521-4B2D-99CB-BDEB913CB27D}" type="VALUE">
                      <a:rPr lang="en-US"/>
                      <a:pPr/>
                      <a:t>[VALUE]</a:t>
                    </a:fld>
                    <a:endParaRPr lang="lv-LV"/>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showDataLabelsRange val="1"/>
                </c:ext>
                <c:ext xmlns:c16="http://schemas.microsoft.com/office/drawing/2014/chart" uri="{C3380CC4-5D6E-409C-BE32-E72D297353CC}">
                  <c16:uniqueId val="{0000000F-CE78-489A-9C11-108AF92929DB}"/>
                </c:ext>
              </c:extLst>
            </c:dLbl>
            <c:dLbl>
              <c:idx val="8"/>
              <c:tx>
                <c:rich>
                  <a:bodyPr/>
                  <a:lstStyle/>
                  <a:p>
                    <a:fld id="{08058B54-66D3-4868-9BD4-A2FA9D771C91}" type="CELLRANGE">
                      <a:rPr lang="lv-LV"/>
                      <a:pPr/>
                      <a:t>[CELLRANGE]</a:t>
                    </a:fld>
                    <a:r>
                      <a:rPr lang="lv-LV" baseline="0"/>
                      <a:t>
</a:t>
                    </a:r>
                    <a:fld id="{D499F35A-6D94-4B0D-B062-071901321413}" type="VALUE">
                      <a:rPr lang="lv-LV" baseline="0"/>
                      <a:pPr/>
                      <a:t>[VALUE]</a:t>
                    </a:fld>
                    <a:endParaRPr lang="lv-LV" baseline="0"/>
                  </a:p>
                </c:rich>
              </c:tx>
              <c:dLblPos val="outEnd"/>
              <c:showLegendKey val="0"/>
              <c:showVal val="1"/>
              <c:showCatName val="0"/>
              <c:showSerName val="0"/>
              <c:showPercent val="0"/>
              <c:showBubbleSize val="0"/>
              <c:separator>
</c:separator>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CE78-489A-9C11-108AF92929DB}"/>
                </c:ext>
              </c:extLst>
            </c:dLbl>
            <c:dLbl>
              <c:idx val="9"/>
              <c:tx>
                <c:rich>
                  <a:bodyPr/>
                  <a:lstStyle/>
                  <a:p>
                    <a:r>
                      <a:rPr lang="en-US"/>
                      <a:t>0.3%</a:t>
                    </a:r>
                  </a:p>
                  <a:p>
                    <a:r>
                      <a:rPr lang="en-US"/>
                      <a:t>58.2</a:t>
                    </a:r>
                  </a:p>
                </c:rich>
              </c:tx>
              <c:dLblPos val="outEnd"/>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13-CE78-489A-9C11-108AF92929D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DataLabelsRange val="1"/>
                <c15:showLeaderLines val="1"/>
                <c15:leaderLines>
                  <c:spPr>
                    <a:ln w="9525">
                      <a:solidFill>
                        <a:schemeClr val="dk1">
                          <a:lumMod val="50000"/>
                          <a:lumOff val="50000"/>
                        </a:schemeClr>
                      </a:solidFill>
                    </a:ln>
                    <a:effectLst/>
                  </c:spPr>
                </c15:leaderLines>
              </c:ext>
            </c:extLst>
          </c:dLbls>
          <c:cat>
            <c:strRef>
              <c:f>Nodarb.!$A$89:$J$89</c:f>
              <c:strCache>
                <c:ptCount val="10"/>
                <c:pt idx="0">
                  <c:v>2008.g. I</c:v>
                </c:pt>
                <c:pt idx="1">
                  <c:v>2009.g. I</c:v>
                </c:pt>
                <c:pt idx="2">
                  <c:v>2010.g. I</c:v>
                </c:pt>
                <c:pt idx="3">
                  <c:v>2011.g. I</c:v>
                </c:pt>
                <c:pt idx="4">
                  <c:v>2012.g. I</c:v>
                </c:pt>
                <c:pt idx="5">
                  <c:v>2013.g. I</c:v>
                </c:pt>
                <c:pt idx="6">
                  <c:v>2014.g. I</c:v>
                </c:pt>
                <c:pt idx="7">
                  <c:v>2015.g. I</c:v>
                </c:pt>
                <c:pt idx="8">
                  <c:v>2016.g. I</c:v>
                </c:pt>
                <c:pt idx="9">
                  <c:v>2017.g. I</c:v>
                </c:pt>
              </c:strCache>
            </c:strRef>
          </c:cat>
          <c:val>
            <c:numRef>
              <c:f>Nodarb.!$A$90:$J$90</c:f>
              <c:numCache>
                <c:formatCode>0.0</c:formatCode>
                <c:ptCount val="10"/>
                <c:pt idx="0">
                  <c:v>78</c:v>
                </c:pt>
                <c:pt idx="1">
                  <c:v>75.3</c:v>
                </c:pt>
                <c:pt idx="2">
                  <c:v>61.1</c:v>
                </c:pt>
                <c:pt idx="3">
                  <c:v>60.2</c:v>
                </c:pt>
                <c:pt idx="4">
                  <c:v>59.1</c:v>
                </c:pt>
                <c:pt idx="5">
                  <c:v>57.8</c:v>
                </c:pt>
                <c:pt idx="6">
                  <c:v>58</c:v>
                </c:pt>
                <c:pt idx="7">
                  <c:v>57.8</c:v>
                </c:pt>
                <c:pt idx="8">
                  <c:v>58</c:v>
                </c:pt>
                <c:pt idx="9">
                  <c:v>58.5</c:v>
                </c:pt>
              </c:numCache>
            </c:numRef>
          </c:val>
          <c:extLst>
            <c:ext xmlns:c15="http://schemas.microsoft.com/office/drawing/2012/chart" uri="{02D57815-91ED-43cb-92C2-25804820EDAC}">
              <c15:datalabelsRange>
                <c15:f>Nodarb.!$A$91:$I$91</c15:f>
                <c15:dlblRangeCache>
                  <c:ptCount val="9"/>
                  <c:pt idx="1">
                    <c:v>-3.5%</c:v>
                  </c:pt>
                  <c:pt idx="2">
                    <c:v>-18.9%</c:v>
                  </c:pt>
                  <c:pt idx="3">
                    <c:v>-1.5%</c:v>
                  </c:pt>
                  <c:pt idx="4">
                    <c:v>-1.8%</c:v>
                  </c:pt>
                  <c:pt idx="5">
                    <c:v>-2.2%</c:v>
                  </c:pt>
                  <c:pt idx="6">
                    <c:v>0.3%</c:v>
                  </c:pt>
                  <c:pt idx="7">
                    <c:v>-0.3%</c:v>
                  </c:pt>
                  <c:pt idx="8">
                    <c:v>0.3%</c:v>
                  </c:pt>
                </c15:dlblRangeCache>
              </c15:datalabelsRange>
            </c:ext>
            <c:ext xmlns:c16="http://schemas.microsoft.com/office/drawing/2014/chart" uri="{C3380CC4-5D6E-409C-BE32-E72D297353CC}">
              <c16:uniqueId val="{0000001E-CE78-489A-9C11-108AF92929DB}"/>
            </c:ext>
          </c:extLst>
        </c:ser>
        <c:dLbls>
          <c:showLegendKey val="0"/>
          <c:showVal val="0"/>
          <c:showCatName val="0"/>
          <c:showSerName val="0"/>
          <c:showPercent val="0"/>
          <c:showBubbleSize val="0"/>
        </c:dLbls>
        <c:gapWidth val="50"/>
        <c:axId val="278449944"/>
        <c:axId val="278450336"/>
      </c:barChart>
      <c:catAx>
        <c:axId val="278449944"/>
        <c:scaling>
          <c:orientation val="minMax"/>
        </c:scaling>
        <c:delete val="0"/>
        <c:axPos val="b"/>
        <c:numFmt formatCode="General" sourceLinked="0"/>
        <c:majorTickMark val="none"/>
        <c:minorTickMark val="none"/>
        <c:tickLblPos val="nextTo"/>
        <c:spPr>
          <a:noFill/>
          <a:ln w="19050" cap="flat" cmpd="sng" algn="ctr">
            <a:solidFill>
              <a:schemeClr val="bg1">
                <a:lumMod val="6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450336"/>
        <c:crosses val="autoZero"/>
        <c:auto val="1"/>
        <c:lblAlgn val="ctr"/>
        <c:lblOffset val="100"/>
        <c:noMultiLvlLbl val="0"/>
      </c:catAx>
      <c:valAx>
        <c:axId val="2784503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b="0">
                    <a:solidFill>
                      <a:sysClr val="windowText" lastClr="000000"/>
                    </a:solidFill>
                    <a:latin typeface="Times New Roman" panose="02020603050405020304" pitchFamily="18" charset="0"/>
                    <a:cs typeface="Times New Roman" panose="02020603050405020304" pitchFamily="18" charset="0"/>
                  </a:rPr>
                  <a:t>Nodarbin.sk., tūkst.</a:t>
                </a:r>
              </a:p>
            </c:rich>
          </c:tx>
          <c:layout>
            <c:manualLayout>
              <c:xMode val="edge"/>
              <c:yMode val="edge"/>
              <c:x val="4.6147970742913286E-3"/>
              <c:y val="0.3571700111456941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crossAx val="278449944"/>
        <c:crosses val="autoZero"/>
        <c:crossBetween val="between"/>
      </c:valAx>
      <c:spPr>
        <a:noFill/>
        <a:ln>
          <a:noFill/>
        </a:ln>
        <a:effectLst/>
      </c:spPr>
    </c:plotArea>
    <c:plotVisOnly val="1"/>
    <c:dispBlanksAs val="gap"/>
    <c:showDLblsOverMax val="0"/>
  </c:chart>
  <c:spPr>
    <a:no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527351414121708E-2"/>
          <c:y val="6.6105769230769232E-2"/>
          <c:w val="0.90561390118018914"/>
          <c:h val="0.61257003331314352"/>
        </c:manualLayout>
      </c:layout>
      <c:barChart>
        <c:barDir val="col"/>
        <c:grouping val="clustered"/>
        <c:varyColors val="0"/>
        <c:ser>
          <c:idx val="2"/>
          <c:order val="2"/>
          <c:tx>
            <c:strRef>
              <c:f>Sheet1!$J$9</c:f>
              <c:strCache>
                <c:ptCount val="1"/>
                <c:pt idx="0">
                  <c:v>Kopā</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Sheet1!$K$3:$N$6</c:f>
              <c:multiLvlStrCache>
                <c:ptCount val="4"/>
                <c:lvl>
                  <c:pt idx="0">
                    <c:v>izpilde</c:v>
                  </c:pt>
                  <c:pt idx="1">
                    <c:v>izpilde</c:v>
                  </c:pt>
                  <c:pt idx="2">
                    <c:v>izpilde</c:v>
                  </c:pt>
                  <c:pt idx="3">
                    <c:v>plāns ar FM rīkojumu izmaiņām uz 03.05.2017.</c:v>
                  </c:pt>
                </c:lvl>
                <c:lvl>
                  <c:pt idx="0">
                    <c:v>2014</c:v>
                  </c:pt>
                  <c:pt idx="1">
                    <c:v>2015</c:v>
                  </c:pt>
                  <c:pt idx="2">
                    <c:v>2016</c:v>
                  </c:pt>
                  <c:pt idx="3">
                    <c:v>2017</c:v>
                  </c:pt>
                </c:lvl>
              </c:multiLvlStrCache>
            </c:multiLvlStrRef>
          </c:cat>
          <c:val>
            <c:numRef>
              <c:f>Sheet1!$K$9:$N$9</c:f>
              <c:numCache>
                <c:formatCode>#,##0</c:formatCode>
                <c:ptCount val="4"/>
                <c:pt idx="0">
                  <c:v>118.206721</c:v>
                </c:pt>
                <c:pt idx="1">
                  <c:v>124.46507099999999</c:v>
                </c:pt>
                <c:pt idx="2">
                  <c:v>144.58336600000001</c:v>
                </c:pt>
                <c:pt idx="3">
                  <c:v>142.762336</c:v>
                </c:pt>
              </c:numCache>
            </c:numRef>
          </c:val>
          <c:extLst>
            <c:ext xmlns:c16="http://schemas.microsoft.com/office/drawing/2014/chart" uri="{C3380CC4-5D6E-409C-BE32-E72D297353CC}">
              <c16:uniqueId val="{00000000-8181-46E3-9219-15BAD4BDF8C4}"/>
            </c:ext>
          </c:extLst>
        </c:ser>
        <c:dLbls>
          <c:dLblPos val="outEnd"/>
          <c:showLegendKey val="0"/>
          <c:showVal val="1"/>
          <c:showCatName val="0"/>
          <c:showSerName val="0"/>
          <c:showPercent val="0"/>
          <c:showBubbleSize val="0"/>
        </c:dLbls>
        <c:gapWidth val="219"/>
        <c:overlap val="-27"/>
        <c:axId val="278451120"/>
        <c:axId val="278451512"/>
        <c:extLst>
          <c:ext xmlns:c15="http://schemas.microsoft.com/office/drawing/2012/chart" uri="{02D57815-91ED-43cb-92C2-25804820EDAC}">
            <c15:filteredBarSeries>
              <c15:ser>
                <c:idx val="0"/>
                <c:order val="0"/>
                <c:tx>
                  <c:strRef>
                    <c:extLst>
                      <c:ext uri="{02D57815-91ED-43cb-92C2-25804820EDAC}">
                        <c15:formulaRef>
                          <c15:sqref>Sheet1!$J$7</c15:sqref>
                        </c15:formulaRef>
                      </c:ext>
                    </c:extLst>
                    <c:strCache>
                      <c:ptCount val="1"/>
                      <c:pt idx="0">
                        <c:v>33.03.00 "Kompensējamo medikamentu un materiālu apmaksāšana"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Sheet1!$K$3:$N$6</c15:sqref>
                        </c15:formulaRef>
                      </c:ext>
                    </c:extLst>
                    <c:multiLvlStrCache>
                      <c:ptCount val="4"/>
                      <c:lvl>
                        <c:pt idx="0">
                          <c:v>izpilde</c:v>
                        </c:pt>
                        <c:pt idx="1">
                          <c:v>izpilde</c:v>
                        </c:pt>
                        <c:pt idx="2">
                          <c:v>izpilde</c:v>
                        </c:pt>
                        <c:pt idx="3">
                          <c:v>plāns ar FM rīkojumu izmaiņām uz 03.05.2017.</c:v>
                        </c:pt>
                      </c:lvl>
                      <c:lvl>
                        <c:pt idx="0">
                          <c:v>2014</c:v>
                        </c:pt>
                        <c:pt idx="1">
                          <c:v>2015</c:v>
                        </c:pt>
                        <c:pt idx="2">
                          <c:v>2016</c:v>
                        </c:pt>
                        <c:pt idx="3">
                          <c:v>2017</c:v>
                        </c:pt>
                      </c:lvl>
                    </c:multiLvlStrCache>
                  </c:multiLvlStrRef>
                </c:cat>
                <c:val>
                  <c:numRef>
                    <c:extLst>
                      <c:ext uri="{02D57815-91ED-43cb-92C2-25804820EDAC}">
                        <c15:formulaRef>
                          <c15:sqref>Sheet1!$K$7:$N$7</c15:sqref>
                        </c15:formulaRef>
                      </c:ext>
                    </c:extLst>
                    <c:numCache>
                      <c:formatCode>#\ ##0.0</c:formatCode>
                      <c:ptCount val="4"/>
                      <c:pt idx="0">
                        <c:v>117.206721</c:v>
                      </c:pt>
                      <c:pt idx="1">
                        <c:v>121.46507099999999</c:v>
                      </c:pt>
                      <c:pt idx="2">
                        <c:v>144.58336600000001</c:v>
                      </c:pt>
                      <c:pt idx="3">
                        <c:v>142.762336</c:v>
                      </c:pt>
                    </c:numCache>
                  </c:numRef>
                </c:val>
                <c:extLst>
                  <c:ext xmlns:c16="http://schemas.microsoft.com/office/drawing/2014/chart" uri="{C3380CC4-5D6E-409C-BE32-E72D297353CC}">
                    <c16:uniqueId val="{00000001-8181-46E3-9219-15BAD4BDF8C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Sheet1!$J$8</c15:sqref>
                        </c15:formulaRef>
                      </c:ext>
                    </c:extLst>
                    <c:strCache>
                      <c:ptCount val="1"/>
                      <c:pt idx="0">
                        <c:v>99.00.00 "Līdzekļu neparedzētiem gadījumiem izlietojums"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xmlns:c15="http://schemas.microsoft.com/office/drawing/2012/chart">
                      <c:ext xmlns:c15="http://schemas.microsoft.com/office/drawing/2012/chart" uri="{02D57815-91ED-43cb-92C2-25804820EDAC}">
                        <c15:formulaRef>
                          <c15:sqref>Sheet1!$K$3:$N$6</c15:sqref>
                        </c15:formulaRef>
                      </c:ext>
                    </c:extLst>
                    <c:multiLvlStrCache>
                      <c:ptCount val="4"/>
                      <c:lvl>
                        <c:pt idx="0">
                          <c:v>izpilde</c:v>
                        </c:pt>
                        <c:pt idx="1">
                          <c:v>izpilde</c:v>
                        </c:pt>
                        <c:pt idx="2">
                          <c:v>izpilde</c:v>
                        </c:pt>
                        <c:pt idx="3">
                          <c:v>plāns ar FM rīkojumu izmaiņām uz 03.05.2017.</c:v>
                        </c:pt>
                      </c:lvl>
                      <c:lvl>
                        <c:pt idx="0">
                          <c:v>2014</c:v>
                        </c:pt>
                        <c:pt idx="1">
                          <c:v>2015</c:v>
                        </c:pt>
                        <c:pt idx="2">
                          <c:v>2016</c:v>
                        </c:pt>
                        <c:pt idx="3">
                          <c:v>2017</c:v>
                        </c:pt>
                      </c:lvl>
                    </c:multiLvlStrCache>
                  </c:multiLvlStrRef>
                </c:cat>
                <c:val>
                  <c:numRef>
                    <c:extLst xmlns:c15="http://schemas.microsoft.com/office/drawing/2012/chart">
                      <c:ext xmlns:c15="http://schemas.microsoft.com/office/drawing/2012/chart" uri="{02D57815-91ED-43cb-92C2-25804820EDAC}">
                        <c15:formulaRef>
                          <c15:sqref>Sheet1!$K$8:$N$8</c15:sqref>
                        </c15:formulaRef>
                      </c:ext>
                    </c:extLst>
                    <c:numCache>
                      <c:formatCode>#\ ##0.0</c:formatCode>
                      <c:ptCount val="4"/>
                      <c:pt idx="0">
                        <c:v>1</c:v>
                      </c:pt>
                      <c:pt idx="1">
                        <c:v>3</c:v>
                      </c:pt>
                    </c:numCache>
                  </c:numRef>
                </c:val>
                <c:extLst xmlns:c15="http://schemas.microsoft.com/office/drawing/2012/chart">
                  <c:ext xmlns:c16="http://schemas.microsoft.com/office/drawing/2014/chart" uri="{C3380CC4-5D6E-409C-BE32-E72D297353CC}">
                    <c16:uniqueId val="{00000002-8181-46E3-9219-15BAD4BDF8C4}"/>
                  </c:ext>
                </c:extLst>
              </c15:ser>
            </c15:filteredBarSeries>
          </c:ext>
        </c:extLst>
      </c:barChart>
      <c:catAx>
        <c:axId val="278451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451512"/>
        <c:crosses val="autoZero"/>
        <c:auto val="1"/>
        <c:lblAlgn val="ctr"/>
        <c:lblOffset val="100"/>
        <c:noMultiLvlLbl val="0"/>
      </c:catAx>
      <c:valAx>
        <c:axId val="278451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451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6">
                  <a:lumMod val="75000"/>
                </a:schemeClr>
              </a:solidFill>
              <a:ln w="9525">
                <a:solidFill>
                  <a:schemeClr val="accent1"/>
                </a:solidFill>
              </a:ln>
              <a:effectLst/>
            </c:spPr>
          </c:marker>
          <c:xVal>
            <c:numRef>
              <c:f>Prognoze!$C$3:$C$28</c:f>
              <c:numCache>
                <c:formatCode>General</c:formatCode>
                <c:ptCount val="26"/>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numCache>
            </c:numRef>
          </c:xVal>
          <c:yVal>
            <c:numRef>
              <c:f>Prognoze!$D$3:$D$28</c:f>
              <c:numCache>
                <c:formatCode>General</c:formatCode>
                <c:ptCount val="26"/>
                <c:pt idx="0">
                  <c:v>69.5</c:v>
                </c:pt>
                <c:pt idx="1">
                  <c:v>69.5</c:v>
                </c:pt>
                <c:pt idx="2">
                  <c:v>68.7</c:v>
                </c:pt>
                <c:pt idx="3">
                  <c:v>67.2</c:v>
                </c:pt>
                <c:pt idx="4">
                  <c:v>66.400000000000006</c:v>
                </c:pt>
                <c:pt idx="5">
                  <c:v>66.7</c:v>
                </c:pt>
                <c:pt idx="6">
                  <c:v>69.3</c:v>
                </c:pt>
                <c:pt idx="7">
                  <c:v>70</c:v>
                </c:pt>
                <c:pt idx="8">
                  <c:v>69.900000000000006</c:v>
                </c:pt>
                <c:pt idx="9">
                  <c:v>70.400000000000006</c:v>
                </c:pt>
                <c:pt idx="10">
                  <c:v>70.2</c:v>
                </c:pt>
                <c:pt idx="11">
                  <c:v>69.900000000000006</c:v>
                </c:pt>
                <c:pt idx="12">
                  <c:v>70.2</c:v>
                </c:pt>
                <c:pt idx="13">
                  <c:v>70.7</c:v>
                </c:pt>
                <c:pt idx="14">
                  <c:v>71</c:v>
                </c:pt>
                <c:pt idx="15">
                  <c:v>70.7</c:v>
                </c:pt>
                <c:pt idx="16">
                  <c:v>70.599999999999994</c:v>
                </c:pt>
                <c:pt idx="17">
                  <c:v>70.8</c:v>
                </c:pt>
                <c:pt idx="18">
                  <c:v>72</c:v>
                </c:pt>
                <c:pt idx="19">
                  <c:v>72.7</c:v>
                </c:pt>
                <c:pt idx="20">
                  <c:v>73.099999999999994</c:v>
                </c:pt>
                <c:pt idx="21">
                  <c:v>73.7</c:v>
                </c:pt>
                <c:pt idx="22">
                  <c:v>74</c:v>
                </c:pt>
                <c:pt idx="23">
                  <c:v>74.2</c:v>
                </c:pt>
                <c:pt idx="24">
                  <c:v>74.3</c:v>
                </c:pt>
                <c:pt idx="25">
                  <c:v>74.7</c:v>
                </c:pt>
              </c:numCache>
            </c:numRef>
          </c:yVal>
          <c:smooth val="0"/>
          <c:extLst>
            <c:ext xmlns:c16="http://schemas.microsoft.com/office/drawing/2014/chart" uri="{C3380CC4-5D6E-409C-BE32-E72D297353CC}">
              <c16:uniqueId val="{00000000-F951-421F-B1B0-51702435DEDF}"/>
            </c:ext>
          </c:extLst>
        </c:ser>
        <c:dLbls>
          <c:showLegendKey val="0"/>
          <c:showVal val="0"/>
          <c:showCatName val="0"/>
          <c:showSerName val="0"/>
          <c:showPercent val="0"/>
          <c:showBubbleSize val="0"/>
        </c:dLbls>
        <c:axId val="278452296"/>
        <c:axId val="278452688"/>
      </c:scatterChart>
      <c:valAx>
        <c:axId val="278452296"/>
        <c:scaling>
          <c:orientation val="minMax"/>
          <c:max val="2015"/>
          <c:min val="199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452688"/>
        <c:crosses val="autoZero"/>
        <c:crossBetween val="midCat"/>
      </c:valAx>
      <c:valAx>
        <c:axId val="27845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84522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088973813126795E-2"/>
          <c:y val="3.9182672259425518E-2"/>
          <c:w val="0.90772799165576612"/>
          <c:h val="0.61572252066622501"/>
        </c:manualLayout>
      </c:layout>
      <c:barChart>
        <c:barDir val="col"/>
        <c:grouping val="stacked"/>
        <c:varyColors val="0"/>
        <c:ser>
          <c:idx val="0"/>
          <c:order val="0"/>
          <c:tx>
            <c:strRef>
              <c:f>sagatave_slaidam!$I$43</c:f>
              <c:strCache>
                <c:ptCount val="1"/>
                <c:pt idx="0">
                  <c:v>OECD</c:v>
                </c:pt>
              </c:strCache>
            </c:strRef>
          </c:tx>
          <c:spPr>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c:spPr>
          <c:invertIfNegative val="0"/>
          <c:cat>
            <c:strRef>
              <c:f>sagatave_slaidam!$J$42:$M$42</c:f>
              <c:strCache>
                <c:ptCount val="4"/>
                <c:pt idx="0">
                  <c:v>2016.gada precizētais plāns</c:v>
                </c:pt>
                <c:pt idx="1">
                  <c:v>2017.gada ietvars</c:v>
                </c:pt>
                <c:pt idx="2">
                  <c:v>2018.gada ietvars</c:v>
                </c:pt>
                <c:pt idx="3">
                  <c:v>2019.gada ietvars</c:v>
                </c:pt>
              </c:strCache>
            </c:strRef>
          </c:cat>
          <c:val>
            <c:numRef>
              <c:f>sagatave_slaidam!$J$43:$M$43</c:f>
              <c:numCache>
                <c:formatCode>#\ ##0.0</c:formatCode>
                <c:ptCount val="4"/>
                <c:pt idx="0">
                  <c:v>3.3288120000000001</c:v>
                </c:pt>
                <c:pt idx="1">
                  <c:v>0.147096</c:v>
                </c:pt>
                <c:pt idx="2">
                  <c:v>3.0286960000000001</c:v>
                </c:pt>
                <c:pt idx="3">
                  <c:v>3.033096</c:v>
                </c:pt>
              </c:numCache>
            </c:numRef>
          </c:val>
          <c:extLst>
            <c:ext xmlns:c16="http://schemas.microsoft.com/office/drawing/2014/chart" uri="{C3380CC4-5D6E-409C-BE32-E72D297353CC}">
              <c16:uniqueId val="{00000000-3633-4F09-A515-9D99812C2D6B}"/>
            </c:ext>
          </c:extLst>
        </c:ser>
        <c:ser>
          <c:idx val="1"/>
          <c:order val="1"/>
          <c:tx>
            <c:strRef>
              <c:f>sagatave_slaidam!$I$44</c:f>
              <c:strCache>
                <c:ptCount val="1"/>
                <c:pt idx="0">
                  <c:v>NATO</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cat>
            <c:strRef>
              <c:f>sagatave_slaidam!$J$42:$M$42</c:f>
              <c:strCache>
                <c:ptCount val="4"/>
                <c:pt idx="0">
                  <c:v>2016.gada precizētais plāns</c:v>
                </c:pt>
                <c:pt idx="1">
                  <c:v>2017.gada ietvars</c:v>
                </c:pt>
                <c:pt idx="2">
                  <c:v>2018.gada ietvars</c:v>
                </c:pt>
                <c:pt idx="3">
                  <c:v>2019.gada ietvars</c:v>
                </c:pt>
              </c:strCache>
            </c:strRef>
          </c:cat>
          <c:val>
            <c:numRef>
              <c:f>sagatave_slaidam!$J$44:$M$44</c:f>
              <c:numCache>
                <c:formatCode>#\ ##0.0</c:formatCode>
                <c:ptCount val="4"/>
                <c:pt idx="0">
                  <c:v>7.4751149999999997</c:v>
                </c:pt>
                <c:pt idx="1">
                  <c:v>7.614922</c:v>
                </c:pt>
                <c:pt idx="2">
                  <c:v>7.5919840000000001</c:v>
                </c:pt>
                <c:pt idx="3">
                  <c:v>7.5872229999999998</c:v>
                </c:pt>
              </c:numCache>
            </c:numRef>
          </c:val>
          <c:extLst>
            <c:ext xmlns:c16="http://schemas.microsoft.com/office/drawing/2014/chart" uri="{C3380CC4-5D6E-409C-BE32-E72D297353CC}">
              <c16:uniqueId val="{00000001-3633-4F09-A515-9D99812C2D6B}"/>
            </c:ext>
          </c:extLst>
        </c:ser>
        <c:ser>
          <c:idx val="2"/>
          <c:order val="2"/>
          <c:tx>
            <c:strRef>
              <c:f>sagatave_slaidam!$I$45</c:f>
              <c:strCache>
                <c:ptCount val="1"/>
                <c:pt idx="0">
                  <c:v>AiM*</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cat>
            <c:strRef>
              <c:f>sagatave_slaidam!$J$42:$M$42</c:f>
              <c:strCache>
                <c:ptCount val="4"/>
                <c:pt idx="0">
                  <c:v>2016.gada precizētais plāns</c:v>
                </c:pt>
                <c:pt idx="1">
                  <c:v>2017.gada ietvars</c:v>
                </c:pt>
                <c:pt idx="2">
                  <c:v>2018.gada ietvars</c:v>
                </c:pt>
                <c:pt idx="3">
                  <c:v>2019.gada ietvars</c:v>
                </c:pt>
              </c:strCache>
            </c:strRef>
          </c:cat>
          <c:val>
            <c:numRef>
              <c:f>sagatave_slaidam!$J$45:$M$45</c:f>
              <c:numCache>
                <c:formatCode>#\ ##0.0</c:formatCode>
                <c:ptCount val="4"/>
                <c:pt idx="0">
                  <c:v>2.4268809999999998</c:v>
                </c:pt>
                <c:pt idx="1">
                  <c:v>2.6897899999999999</c:v>
                </c:pt>
                <c:pt idx="2">
                  <c:v>2.7127279999999998</c:v>
                </c:pt>
                <c:pt idx="3">
                  <c:v>2.7423890000000002</c:v>
                </c:pt>
              </c:numCache>
            </c:numRef>
          </c:val>
          <c:extLst>
            <c:ext xmlns:c16="http://schemas.microsoft.com/office/drawing/2014/chart" uri="{C3380CC4-5D6E-409C-BE32-E72D297353CC}">
              <c16:uniqueId val="{00000002-3633-4F09-A515-9D99812C2D6B}"/>
            </c:ext>
          </c:extLst>
        </c:ser>
        <c:ser>
          <c:idx val="3"/>
          <c:order val="3"/>
          <c:tx>
            <c:strRef>
              <c:f>sagatave_slaidam!$I$46</c:f>
              <c:strCache>
                <c:ptCount val="1"/>
                <c:pt idx="0">
                  <c:v>Saeima, Tiesībsargs, SPRK, VK, AT, ST, NEPLP*</c:v>
                </c:pt>
              </c:strCache>
            </c:strRef>
          </c:tx>
          <c:spPr>
            <a:solidFill>
              <a:srgbClr val="8064A2"/>
            </a:solidFill>
            <a:ln w="25400">
              <a:noFill/>
            </a:ln>
          </c:spPr>
          <c:invertIfNegative val="0"/>
          <c:cat>
            <c:strRef>
              <c:f>sagatave_slaidam!$J$42:$M$42</c:f>
              <c:strCache>
                <c:ptCount val="4"/>
                <c:pt idx="0">
                  <c:v>2016.gada precizētais plāns</c:v>
                </c:pt>
                <c:pt idx="1">
                  <c:v>2017.gada ietvars</c:v>
                </c:pt>
                <c:pt idx="2">
                  <c:v>2018.gada ietvars</c:v>
                </c:pt>
                <c:pt idx="3">
                  <c:v>2019.gada ietvars</c:v>
                </c:pt>
              </c:strCache>
            </c:strRef>
          </c:cat>
          <c:val>
            <c:numRef>
              <c:f>sagatave_slaidam!$J$46:$M$46</c:f>
              <c:numCache>
                <c:formatCode>#\ ##0.0</c:formatCode>
                <c:ptCount val="4"/>
                <c:pt idx="0">
                  <c:v>0.23669899999999999</c:v>
                </c:pt>
                <c:pt idx="1">
                  <c:v>0.18884300000000001</c:v>
                </c:pt>
                <c:pt idx="2">
                  <c:v>0.18904299999999999</c:v>
                </c:pt>
                <c:pt idx="3">
                  <c:v>0.18904299999999999</c:v>
                </c:pt>
              </c:numCache>
            </c:numRef>
          </c:val>
          <c:extLst>
            <c:ext xmlns:c16="http://schemas.microsoft.com/office/drawing/2014/chart" uri="{C3380CC4-5D6E-409C-BE32-E72D297353CC}">
              <c16:uniqueId val="{00000003-3633-4F09-A515-9D99812C2D6B}"/>
            </c:ext>
          </c:extLst>
        </c:ser>
        <c:ser>
          <c:idx val="4"/>
          <c:order val="4"/>
          <c:tx>
            <c:strRef>
              <c:f>sagatave_slaidam!$I$47</c:f>
              <c:strCache>
                <c:ptCount val="1"/>
                <c:pt idx="0">
                  <c:v>Pārskatīšanai pakļautā summa</c:v>
                </c:pt>
              </c:strCache>
            </c:strRef>
          </c:tx>
          <c:spPr>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sagatave_slaidam!$J$42:$M$42</c:f>
              <c:strCache>
                <c:ptCount val="4"/>
                <c:pt idx="0">
                  <c:v>2016.gada precizētais plāns</c:v>
                </c:pt>
                <c:pt idx="1">
                  <c:v>2017.gada ietvars</c:v>
                </c:pt>
                <c:pt idx="2">
                  <c:v>2018.gada ietvars</c:v>
                </c:pt>
                <c:pt idx="3">
                  <c:v>2019.gada ietvars</c:v>
                </c:pt>
              </c:strCache>
            </c:strRef>
          </c:cat>
          <c:val>
            <c:numRef>
              <c:f>sagatave_slaidam!$J$47:$M$47</c:f>
              <c:numCache>
                <c:formatCode>#\ ##0.0</c:formatCode>
                <c:ptCount val="4"/>
                <c:pt idx="0">
                  <c:v>8.5744849999999992</c:v>
                </c:pt>
                <c:pt idx="1">
                  <c:v>11.903471</c:v>
                </c:pt>
                <c:pt idx="2">
                  <c:v>12.095236</c:v>
                </c:pt>
                <c:pt idx="3">
                  <c:v>12.217248</c:v>
                </c:pt>
              </c:numCache>
            </c:numRef>
          </c:val>
          <c:extLst>
            <c:ext xmlns:c16="http://schemas.microsoft.com/office/drawing/2014/chart" uri="{C3380CC4-5D6E-409C-BE32-E72D297353CC}">
              <c16:uniqueId val="{00000004-3633-4F09-A515-9D99812C2D6B}"/>
            </c:ext>
          </c:extLst>
        </c:ser>
        <c:dLbls>
          <c:showLegendKey val="0"/>
          <c:showVal val="0"/>
          <c:showCatName val="0"/>
          <c:showSerName val="0"/>
          <c:showPercent val="0"/>
          <c:showBubbleSize val="0"/>
        </c:dLbls>
        <c:gapWidth val="150"/>
        <c:overlap val="100"/>
        <c:axId val="278453472"/>
        <c:axId val="280748064"/>
      </c:barChart>
      <c:catAx>
        <c:axId val="278453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280748064"/>
        <c:crosses val="autoZero"/>
        <c:auto val="1"/>
        <c:lblAlgn val="ctr"/>
        <c:lblOffset val="100"/>
        <c:noMultiLvlLbl val="0"/>
      </c:catAx>
      <c:valAx>
        <c:axId val="28074806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ln w="9525">
            <a:noFill/>
          </a:ln>
        </c:spPr>
        <c:txPr>
          <a:bodyPr rot="-60000000" vert="horz"/>
          <a:lstStyle/>
          <a:p>
            <a:pPr>
              <a:defRPr/>
            </a:pPr>
            <a:endParaRPr lang="lv-LV"/>
          </a:p>
        </c:txPr>
        <c:crossAx val="278453472"/>
        <c:crosses val="autoZero"/>
        <c:crossBetween val="between"/>
      </c:valAx>
      <c:spPr>
        <a:noFill/>
        <a:ln w="25400">
          <a:noFill/>
        </a:ln>
      </c:spPr>
    </c:plotArea>
    <c:legend>
      <c:legendPos val="r"/>
      <c:layout>
        <c:manualLayout>
          <c:xMode val="edge"/>
          <c:yMode val="edge"/>
          <c:x val="1.6666700575155794E-2"/>
          <c:y val="0.78674351585014413"/>
          <c:w val="0.95208527035577462"/>
          <c:h val="0.16138328530259366"/>
        </c:manualLayout>
      </c:layout>
      <c:overlay val="0"/>
      <c:spPr>
        <a:noFill/>
        <a:ln w="25400">
          <a:noFill/>
        </a:ln>
      </c:spPr>
      <c:txPr>
        <a:bodyPr rot="0" vert="horz"/>
        <a:lstStyle/>
        <a:p>
          <a:pPr>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53460928051071"/>
          <c:y val="4.2283298097251586E-2"/>
          <c:w val="0.85085069868879359"/>
          <c:h val="0.77491020801971966"/>
        </c:manualLayout>
      </c:layout>
      <c:barChart>
        <c:barDir val="col"/>
        <c:grouping val="clustered"/>
        <c:varyColors val="0"/>
        <c:ser>
          <c:idx val="0"/>
          <c:order val="0"/>
          <c:tx>
            <c:strRef>
              <c:f>'Divi slaidi'!$D$7</c:f>
              <c:strCache>
                <c:ptCount val="1"/>
                <c:pt idx="0">
                  <c:v>  2 016</c:v>
                </c:pt>
              </c:strCache>
            </c:strRef>
          </c:tx>
          <c:spPr>
            <a:solidFill>
              <a:srgbClr val="4F81BD"/>
            </a:solidFill>
            <a:ln w="25400">
              <a:noFill/>
            </a:ln>
          </c:spPr>
          <c:invertIfNegative val="0"/>
          <c:cat>
            <c:strRef>
              <c:f>'Divi slaidi'!$C$8:$C$31</c:f>
              <c:strCache>
                <c:ptCount val="24"/>
                <c:pt idx="0">
                  <c:v>Saeima</c:v>
                </c:pt>
                <c:pt idx="1">
                  <c:v>MK</c:v>
                </c:pt>
                <c:pt idx="2">
                  <c:v>KNAB</c:v>
                </c:pt>
                <c:pt idx="3">
                  <c:v>TB</c:v>
                </c:pt>
                <c:pt idx="4">
                  <c:v>SPRK</c:v>
                </c:pt>
                <c:pt idx="5">
                  <c:v>AiM</c:v>
                </c:pt>
                <c:pt idx="6">
                  <c:v>ĀM</c:v>
                </c:pt>
                <c:pt idx="7">
                  <c:v>EM</c:v>
                </c:pt>
                <c:pt idx="8">
                  <c:v>FM</c:v>
                </c:pt>
                <c:pt idx="9">
                  <c:v>IeM</c:v>
                </c:pt>
                <c:pt idx="10">
                  <c:v>IZM</c:v>
                </c:pt>
                <c:pt idx="11">
                  <c:v>ZM</c:v>
                </c:pt>
                <c:pt idx="12">
                  <c:v>SM</c:v>
                </c:pt>
                <c:pt idx="13">
                  <c:v>LM</c:v>
                </c:pt>
                <c:pt idx="14">
                  <c:v>TM</c:v>
                </c:pt>
                <c:pt idx="15">
                  <c:v>VARAM</c:v>
                </c:pt>
                <c:pt idx="16">
                  <c:v>KM</c:v>
                </c:pt>
                <c:pt idx="17">
                  <c:v>Vkontrole</c:v>
                </c:pt>
                <c:pt idx="18">
                  <c:v>PKC</c:v>
                </c:pt>
                <c:pt idx="19">
                  <c:v>AT</c:v>
                </c:pt>
                <c:pt idx="20">
                  <c:v>VM</c:v>
                </c:pt>
                <c:pt idx="21">
                  <c:v>ST</c:v>
                </c:pt>
                <c:pt idx="22">
                  <c:v>CVK</c:v>
                </c:pt>
                <c:pt idx="23">
                  <c:v>NEPLP</c:v>
                </c:pt>
              </c:strCache>
            </c:strRef>
          </c:cat>
          <c:val>
            <c:numRef>
              <c:f>'Divi slaidi'!$D$8:$D$31</c:f>
              <c:numCache>
                <c:formatCode>#,##0</c:formatCode>
                <c:ptCount val="24"/>
                <c:pt idx="0">
                  <c:v>144612</c:v>
                </c:pt>
                <c:pt idx="1">
                  <c:v>6399</c:v>
                </c:pt>
                <c:pt idx="2">
                  <c:v>7782</c:v>
                </c:pt>
                <c:pt idx="3">
                  <c:v>8500</c:v>
                </c:pt>
                <c:pt idx="4">
                  <c:v>75765</c:v>
                </c:pt>
                <c:pt idx="5">
                  <c:v>9731256</c:v>
                </c:pt>
                <c:pt idx="6">
                  <c:v>8477842</c:v>
                </c:pt>
                <c:pt idx="7">
                  <c:v>316799</c:v>
                </c:pt>
                <c:pt idx="8">
                  <c:v>129596</c:v>
                </c:pt>
                <c:pt idx="9">
                  <c:v>100393</c:v>
                </c:pt>
                <c:pt idx="10">
                  <c:v>193901</c:v>
                </c:pt>
                <c:pt idx="11">
                  <c:v>445460</c:v>
                </c:pt>
                <c:pt idx="12">
                  <c:v>293548</c:v>
                </c:pt>
                <c:pt idx="13">
                  <c:v>179026</c:v>
                </c:pt>
                <c:pt idx="14">
                  <c:v>190280</c:v>
                </c:pt>
                <c:pt idx="15">
                  <c:v>1111382</c:v>
                </c:pt>
                <c:pt idx="16">
                  <c:v>190264</c:v>
                </c:pt>
                <c:pt idx="17">
                  <c:v>1422</c:v>
                </c:pt>
                <c:pt idx="18">
                  <c:v>50300</c:v>
                </c:pt>
                <c:pt idx="19">
                  <c:v>8500</c:v>
                </c:pt>
                <c:pt idx="20">
                  <c:v>323765</c:v>
                </c:pt>
                <c:pt idx="21">
                  <c:v>1000</c:v>
                </c:pt>
                <c:pt idx="22">
                  <c:v>1800</c:v>
                </c:pt>
                <c:pt idx="23">
                  <c:v>2400</c:v>
                </c:pt>
              </c:numCache>
            </c:numRef>
          </c:val>
          <c:extLst>
            <c:ext xmlns:c16="http://schemas.microsoft.com/office/drawing/2014/chart" uri="{C3380CC4-5D6E-409C-BE32-E72D297353CC}">
              <c16:uniqueId val="{00000000-5AF8-4A14-8F0D-48F5F29FA149}"/>
            </c:ext>
          </c:extLst>
        </c:ser>
        <c:ser>
          <c:idx val="1"/>
          <c:order val="1"/>
          <c:tx>
            <c:strRef>
              <c:f>'Divi slaidi'!$E$7</c:f>
              <c:strCache>
                <c:ptCount val="1"/>
                <c:pt idx="0">
                  <c:v>  2 017</c:v>
                </c:pt>
              </c:strCache>
            </c:strRef>
          </c:tx>
          <c:spPr>
            <a:solidFill>
              <a:srgbClr val="C0504D"/>
            </a:solidFill>
            <a:ln w="25400">
              <a:noFill/>
            </a:ln>
          </c:spPr>
          <c:invertIfNegative val="0"/>
          <c:cat>
            <c:strRef>
              <c:f>'Divi slaidi'!$C$8:$C$31</c:f>
              <c:strCache>
                <c:ptCount val="24"/>
                <c:pt idx="0">
                  <c:v>Saeima</c:v>
                </c:pt>
                <c:pt idx="1">
                  <c:v>MK</c:v>
                </c:pt>
                <c:pt idx="2">
                  <c:v>KNAB</c:v>
                </c:pt>
                <c:pt idx="3">
                  <c:v>TB</c:v>
                </c:pt>
                <c:pt idx="4">
                  <c:v>SPRK</c:v>
                </c:pt>
                <c:pt idx="5">
                  <c:v>AiM</c:v>
                </c:pt>
                <c:pt idx="6">
                  <c:v>ĀM</c:v>
                </c:pt>
                <c:pt idx="7">
                  <c:v>EM</c:v>
                </c:pt>
                <c:pt idx="8">
                  <c:v>FM</c:v>
                </c:pt>
                <c:pt idx="9">
                  <c:v>IeM</c:v>
                </c:pt>
                <c:pt idx="10">
                  <c:v>IZM</c:v>
                </c:pt>
                <c:pt idx="11">
                  <c:v>ZM</c:v>
                </c:pt>
                <c:pt idx="12">
                  <c:v>SM</c:v>
                </c:pt>
                <c:pt idx="13">
                  <c:v>LM</c:v>
                </c:pt>
                <c:pt idx="14">
                  <c:v>TM</c:v>
                </c:pt>
                <c:pt idx="15">
                  <c:v>VARAM</c:v>
                </c:pt>
                <c:pt idx="16">
                  <c:v>KM</c:v>
                </c:pt>
                <c:pt idx="17">
                  <c:v>Vkontrole</c:v>
                </c:pt>
                <c:pt idx="18">
                  <c:v>PKC</c:v>
                </c:pt>
                <c:pt idx="19">
                  <c:v>AT</c:v>
                </c:pt>
                <c:pt idx="20">
                  <c:v>VM</c:v>
                </c:pt>
                <c:pt idx="21">
                  <c:v>ST</c:v>
                </c:pt>
                <c:pt idx="22">
                  <c:v>CVK</c:v>
                </c:pt>
                <c:pt idx="23">
                  <c:v>NEPLP</c:v>
                </c:pt>
              </c:strCache>
            </c:strRef>
          </c:cat>
          <c:val>
            <c:numRef>
              <c:f>'Divi slaidi'!$E$8:$E$31</c:f>
              <c:numCache>
                <c:formatCode>#,##0</c:formatCode>
                <c:ptCount val="24"/>
                <c:pt idx="0">
                  <c:v>144356</c:v>
                </c:pt>
                <c:pt idx="1">
                  <c:v>6399</c:v>
                </c:pt>
                <c:pt idx="2">
                  <c:v>8964</c:v>
                </c:pt>
                <c:pt idx="3">
                  <c:v>10700</c:v>
                </c:pt>
                <c:pt idx="4">
                  <c:v>25765</c:v>
                </c:pt>
                <c:pt idx="5">
                  <c:v>9969612</c:v>
                </c:pt>
                <c:pt idx="6">
                  <c:v>7334558</c:v>
                </c:pt>
                <c:pt idx="7">
                  <c:v>230083</c:v>
                </c:pt>
                <c:pt idx="8">
                  <c:v>101500</c:v>
                </c:pt>
                <c:pt idx="9">
                  <c:v>105295</c:v>
                </c:pt>
                <c:pt idx="10">
                  <c:v>1485049</c:v>
                </c:pt>
                <c:pt idx="11">
                  <c:v>445460</c:v>
                </c:pt>
                <c:pt idx="12">
                  <c:v>301048</c:v>
                </c:pt>
                <c:pt idx="13">
                  <c:v>220430</c:v>
                </c:pt>
                <c:pt idx="14">
                  <c:v>155333</c:v>
                </c:pt>
                <c:pt idx="15">
                  <c:v>1393391</c:v>
                </c:pt>
                <c:pt idx="16">
                  <c:v>190264</c:v>
                </c:pt>
                <c:pt idx="17">
                  <c:v>1422</c:v>
                </c:pt>
                <c:pt idx="18">
                  <c:v>50300</c:v>
                </c:pt>
                <c:pt idx="19">
                  <c:v>8500</c:v>
                </c:pt>
                <c:pt idx="20">
                  <c:v>350493</c:v>
                </c:pt>
                <c:pt idx="21">
                  <c:v>1000</c:v>
                </c:pt>
                <c:pt idx="22">
                  <c:v>1800</c:v>
                </c:pt>
                <c:pt idx="23">
                  <c:v>2400</c:v>
                </c:pt>
              </c:numCache>
            </c:numRef>
          </c:val>
          <c:extLst>
            <c:ext xmlns:c16="http://schemas.microsoft.com/office/drawing/2014/chart" uri="{C3380CC4-5D6E-409C-BE32-E72D297353CC}">
              <c16:uniqueId val="{00000001-5AF8-4A14-8F0D-48F5F29FA149}"/>
            </c:ext>
          </c:extLst>
        </c:ser>
        <c:ser>
          <c:idx val="2"/>
          <c:order val="2"/>
          <c:tx>
            <c:strRef>
              <c:f>'Divi slaidi'!$F$7</c:f>
              <c:strCache>
                <c:ptCount val="1"/>
                <c:pt idx="0">
                  <c:v>  2 018</c:v>
                </c:pt>
              </c:strCache>
            </c:strRef>
          </c:tx>
          <c:spPr>
            <a:solidFill>
              <a:srgbClr val="9BBB59"/>
            </a:solidFill>
            <a:ln w="25400">
              <a:noFill/>
            </a:ln>
          </c:spPr>
          <c:invertIfNegative val="0"/>
          <c:cat>
            <c:strRef>
              <c:f>'Divi slaidi'!$C$8:$C$31</c:f>
              <c:strCache>
                <c:ptCount val="24"/>
                <c:pt idx="0">
                  <c:v>Saeima</c:v>
                </c:pt>
                <c:pt idx="1">
                  <c:v>MK</c:v>
                </c:pt>
                <c:pt idx="2">
                  <c:v>KNAB</c:v>
                </c:pt>
                <c:pt idx="3">
                  <c:v>TB</c:v>
                </c:pt>
                <c:pt idx="4">
                  <c:v>SPRK</c:v>
                </c:pt>
                <c:pt idx="5">
                  <c:v>AiM</c:v>
                </c:pt>
                <c:pt idx="6">
                  <c:v>ĀM</c:v>
                </c:pt>
                <c:pt idx="7">
                  <c:v>EM</c:v>
                </c:pt>
                <c:pt idx="8">
                  <c:v>FM</c:v>
                </c:pt>
                <c:pt idx="9">
                  <c:v>IeM</c:v>
                </c:pt>
                <c:pt idx="10">
                  <c:v>IZM</c:v>
                </c:pt>
                <c:pt idx="11">
                  <c:v>ZM</c:v>
                </c:pt>
                <c:pt idx="12">
                  <c:v>SM</c:v>
                </c:pt>
                <c:pt idx="13">
                  <c:v>LM</c:v>
                </c:pt>
                <c:pt idx="14">
                  <c:v>TM</c:v>
                </c:pt>
                <c:pt idx="15">
                  <c:v>VARAM</c:v>
                </c:pt>
                <c:pt idx="16">
                  <c:v>KM</c:v>
                </c:pt>
                <c:pt idx="17">
                  <c:v>Vkontrole</c:v>
                </c:pt>
                <c:pt idx="18">
                  <c:v>PKC</c:v>
                </c:pt>
                <c:pt idx="19">
                  <c:v>AT</c:v>
                </c:pt>
                <c:pt idx="20">
                  <c:v>VM</c:v>
                </c:pt>
                <c:pt idx="21">
                  <c:v>ST</c:v>
                </c:pt>
                <c:pt idx="22">
                  <c:v>CVK</c:v>
                </c:pt>
                <c:pt idx="23">
                  <c:v>NEPLP</c:v>
                </c:pt>
              </c:strCache>
            </c:strRef>
          </c:cat>
          <c:val>
            <c:numRef>
              <c:f>'Divi slaidi'!$F$8:$F$31</c:f>
              <c:numCache>
                <c:formatCode>#,##0</c:formatCode>
                <c:ptCount val="24"/>
                <c:pt idx="0">
                  <c:v>144556</c:v>
                </c:pt>
                <c:pt idx="1">
                  <c:v>6399</c:v>
                </c:pt>
                <c:pt idx="2">
                  <c:v>8964</c:v>
                </c:pt>
                <c:pt idx="3">
                  <c:v>10700</c:v>
                </c:pt>
                <c:pt idx="4">
                  <c:v>25765</c:v>
                </c:pt>
                <c:pt idx="5">
                  <c:v>9969612</c:v>
                </c:pt>
                <c:pt idx="6">
                  <c:v>10406692</c:v>
                </c:pt>
                <c:pt idx="7">
                  <c:v>230083</c:v>
                </c:pt>
                <c:pt idx="8">
                  <c:v>103250</c:v>
                </c:pt>
                <c:pt idx="9">
                  <c:v>102101</c:v>
                </c:pt>
                <c:pt idx="10">
                  <c:v>1531912</c:v>
                </c:pt>
                <c:pt idx="11">
                  <c:v>397472</c:v>
                </c:pt>
                <c:pt idx="12">
                  <c:v>304848</c:v>
                </c:pt>
                <c:pt idx="13">
                  <c:v>220430</c:v>
                </c:pt>
                <c:pt idx="14">
                  <c:v>155333</c:v>
                </c:pt>
                <c:pt idx="15">
                  <c:v>1393391</c:v>
                </c:pt>
                <c:pt idx="16">
                  <c:v>190264</c:v>
                </c:pt>
                <c:pt idx="17">
                  <c:v>1422</c:v>
                </c:pt>
                <c:pt idx="18">
                  <c:v>50300</c:v>
                </c:pt>
                <c:pt idx="19">
                  <c:v>8500</c:v>
                </c:pt>
                <c:pt idx="20">
                  <c:v>350493</c:v>
                </c:pt>
                <c:pt idx="21">
                  <c:v>1000</c:v>
                </c:pt>
                <c:pt idx="22">
                  <c:v>1800</c:v>
                </c:pt>
                <c:pt idx="23">
                  <c:v>2400</c:v>
                </c:pt>
              </c:numCache>
            </c:numRef>
          </c:val>
          <c:extLst>
            <c:ext xmlns:c16="http://schemas.microsoft.com/office/drawing/2014/chart" uri="{C3380CC4-5D6E-409C-BE32-E72D297353CC}">
              <c16:uniqueId val="{00000002-5AF8-4A14-8F0D-48F5F29FA149}"/>
            </c:ext>
          </c:extLst>
        </c:ser>
        <c:ser>
          <c:idx val="3"/>
          <c:order val="3"/>
          <c:tx>
            <c:strRef>
              <c:f>'Divi slaidi'!$G$7</c:f>
              <c:strCache>
                <c:ptCount val="1"/>
                <c:pt idx="0">
                  <c:v>  2 019</c:v>
                </c:pt>
              </c:strCache>
            </c:strRef>
          </c:tx>
          <c:spPr>
            <a:solidFill>
              <a:srgbClr val="8064A2"/>
            </a:solidFill>
            <a:ln w="25400">
              <a:noFill/>
            </a:ln>
          </c:spPr>
          <c:invertIfNegative val="0"/>
          <c:cat>
            <c:strRef>
              <c:f>'Divi slaidi'!$C$8:$C$31</c:f>
              <c:strCache>
                <c:ptCount val="24"/>
                <c:pt idx="0">
                  <c:v>Saeima</c:v>
                </c:pt>
                <c:pt idx="1">
                  <c:v>MK</c:v>
                </c:pt>
                <c:pt idx="2">
                  <c:v>KNAB</c:v>
                </c:pt>
                <c:pt idx="3">
                  <c:v>TB</c:v>
                </c:pt>
                <c:pt idx="4">
                  <c:v>SPRK</c:v>
                </c:pt>
                <c:pt idx="5">
                  <c:v>AiM</c:v>
                </c:pt>
                <c:pt idx="6">
                  <c:v>ĀM</c:v>
                </c:pt>
                <c:pt idx="7">
                  <c:v>EM</c:v>
                </c:pt>
                <c:pt idx="8">
                  <c:v>FM</c:v>
                </c:pt>
                <c:pt idx="9">
                  <c:v>IeM</c:v>
                </c:pt>
                <c:pt idx="10">
                  <c:v>IZM</c:v>
                </c:pt>
                <c:pt idx="11">
                  <c:v>ZM</c:v>
                </c:pt>
                <c:pt idx="12">
                  <c:v>SM</c:v>
                </c:pt>
                <c:pt idx="13">
                  <c:v>LM</c:v>
                </c:pt>
                <c:pt idx="14">
                  <c:v>TM</c:v>
                </c:pt>
                <c:pt idx="15">
                  <c:v>VARAM</c:v>
                </c:pt>
                <c:pt idx="16">
                  <c:v>KM</c:v>
                </c:pt>
                <c:pt idx="17">
                  <c:v>Vkontrole</c:v>
                </c:pt>
                <c:pt idx="18">
                  <c:v>PKC</c:v>
                </c:pt>
                <c:pt idx="19">
                  <c:v>AT</c:v>
                </c:pt>
                <c:pt idx="20">
                  <c:v>VM</c:v>
                </c:pt>
                <c:pt idx="21">
                  <c:v>ST</c:v>
                </c:pt>
                <c:pt idx="22">
                  <c:v>CVK</c:v>
                </c:pt>
                <c:pt idx="23">
                  <c:v>NEPLP</c:v>
                </c:pt>
              </c:strCache>
            </c:strRef>
          </c:cat>
          <c:val>
            <c:numRef>
              <c:f>'Divi slaidi'!$G$8:$G$31</c:f>
              <c:numCache>
                <c:formatCode>#,##0</c:formatCode>
                <c:ptCount val="24"/>
                <c:pt idx="0">
                  <c:v>144556</c:v>
                </c:pt>
                <c:pt idx="1">
                  <c:v>6399</c:v>
                </c:pt>
                <c:pt idx="2">
                  <c:v>8964</c:v>
                </c:pt>
                <c:pt idx="3">
                  <c:v>10700</c:v>
                </c:pt>
                <c:pt idx="4">
                  <c:v>25765</c:v>
                </c:pt>
                <c:pt idx="5">
                  <c:v>9969612</c:v>
                </c:pt>
                <c:pt idx="6">
                  <c:v>10520986</c:v>
                </c:pt>
                <c:pt idx="7">
                  <c:v>230083</c:v>
                </c:pt>
                <c:pt idx="8">
                  <c:v>103250</c:v>
                </c:pt>
                <c:pt idx="9">
                  <c:v>102101</c:v>
                </c:pt>
                <c:pt idx="10">
                  <c:v>1571912</c:v>
                </c:pt>
                <c:pt idx="11">
                  <c:v>390690</c:v>
                </c:pt>
                <c:pt idx="12">
                  <c:v>308648</c:v>
                </c:pt>
                <c:pt idx="13">
                  <c:v>220430</c:v>
                </c:pt>
                <c:pt idx="14">
                  <c:v>155333</c:v>
                </c:pt>
                <c:pt idx="15">
                  <c:v>1393391</c:v>
                </c:pt>
                <c:pt idx="16">
                  <c:v>190264</c:v>
                </c:pt>
                <c:pt idx="17">
                  <c:v>1422</c:v>
                </c:pt>
                <c:pt idx="18">
                  <c:v>50300</c:v>
                </c:pt>
                <c:pt idx="19">
                  <c:v>8500</c:v>
                </c:pt>
                <c:pt idx="20">
                  <c:v>350493</c:v>
                </c:pt>
                <c:pt idx="21">
                  <c:v>1000</c:v>
                </c:pt>
                <c:pt idx="22">
                  <c:v>1800</c:v>
                </c:pt>
                <c:pt idx="23">
                  <c:v>2400</c:v>
                </c:pt>
              </c:numCache>
            </c:numRef>
          </c:val>
          <c:extLst>
            <c:ext xmlns:c16="http://schemas.microsoft.com/office/drawing/2014/chart" uri="{C3380CC4-5D6E-409C-BE32-E72D297353CC}">
              <c16:uniqueId val="{00000003-5AF8-4A14-8F0D-48F5F29FA149}"/>
            </c:ext>
          </c:extLst>
        </c:ser>
        <c:dLbls>
          <c:showLegendKey val="0"/>
          <c:showVal val="0"/>
          <c:showCatName val="0"/>
          <c:showSerName val="0"/>
          <c:showPercent val="0"/>
          <c:showBubbleSize val="0"/>
        </c:dLbls>
        <c:gapWidth val="219"/>
        <c:overlap val="-27"/>
        <c:axId val="280751200"/>
        <c:axId val="280751592"/>
      </c:barChart>
      <c:catAx>
        <c:axId val="28075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700000" vert="horz"/>
          <a:lstStyle/>
          <a:p>
            <a:pPr>
              <a:defRPr/>
            </a:pPr>
            <a:endParaRPr lang="lv-LV"/>
          </a:p>
        </c:txPr>
        <c:crossAx val="280751592"/>
        <c:crosses val="autoZero"/>
        <c:auto val="1"/>
        <c:lblAlgn val="ctr"/>
        <c:lblOffset val="100"/>
        <c:noMultiLvlLbl val="0"/>
      </c:catAx>
      <c:valAx>
        <c:axId val="2807515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ln w="9525">
            <a:noFill/>
          </a:ln>
        </c:spPr>
        <c:txPr>
          <a:bodyPr rot="0" vert="horz"/>
          <a:lstStyle/>
          <a:p>
            <a:pPr>
              <a:defRPr/>
            </a:pPr>
            <a:endParaRPr lang="lv-LV"/>
          </a:p>
        </c:txPr>
        <c:crossAx val="280751200"/>
        <c:crosses val="autoZero"/>
        <c:crossBetween val="between"/>
      </c:valAx>
      <c:spPr>
        <a:noFill/>
        <a:ln w="25400">
          <a:noFill/>
        </a:ln>
      </c:spPr>
    </c:plotArea>
    <c:legend>
      <c:legendPos val="r"/>
      <c:layout>
        <c:manualLayout>
          <c:xMode val="edge"/>
          <c:yMode val="edge"/>
          <c:x val="0.14884401770923311"/>
          <c:y val="0.93439009037897403"/>
          <c:w val="0.74504245792805313"/>
          <c:h val="4.9773755656108642E-2"/>
        </c:manualLayout>
      </c:layout>
      <c:overlay val="0"/>
      <c:spPr>
        <a:noFill/>
        <a:ln w="25400">
          <a:noFill/>
        </a:ln>
      </c:sp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lv-LV"/>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428427544117961"/>
          <c:y val="4.7377661125692611E-2"/>
          <c:w val="0.68845414742023503"/>
          <c:h val="0.58753384532945463"/>
        </c:manualLayout>
      </c:layout>
      <c:barChart>
        <c:barDir val="bar"/>
        <c:grouping val="stacked"/>
        <c:varyColors val="0"/>
        <c:ser>
          <c:idx val="0"/>
          <c:order val="0"/>
          <c:tx>
            <c:strRef>
              <c:f>Sheet1!$B$1</c:f>
              <c:strCache>
                <c:ptCount val="1"/>
                <c:pt idx="0">
                  <c:v>Pamatfunkciju veicēju skaits resorā, %</c:v>
                </c:pt>
              </c:strCache>
            </c:strRef>
          </c:tx>
          <c:spPr>
            <a:solidFill>
              <a:srgbClr val="30962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Iekšlietu ministrijas resors</c:v>
                </c:pt>
                <c:pt idx="1">
                  <c:v>Veselības ministrijas resors</c:v>
                </c:pt>
                <c:pt idx="2">
                  <c:v>Tieslietu ministrijas resors</c:v>
                </c:pt>
                <c:pt idx="3">
                  <c:v>Finanšu ministrijas resors</c:v>
                </c:pt>
                <c:pt idx="4">
                  <c:v>VARAM  resors</c:v>
                </c:pt>
                <c:pt idx="5">
                  <c:v>Ārlietu ministrijas resors </c:v>
                </c:pt>
                <c:pt idx="6">
                  <c:v>Aizsardzības ministrijas resors</c:v>
                </c:pt>
                <c:pt idx="7">
                  <c:v>Zemkopības ministrijas resors</c:v>
                </c:pt>
                <c:pt idx="8">
                  <c:v>Ekonomikas ministrijas resors</c:v>
                </c:pt>
                <c:pt idx="9">
                  <c:v>Izglītības un zinātnes ministrijas resors</c:v>
                </c:pt>
                <c:pt idx="10">
                  <c:v>Kultūras ministrijas resors</c:v>
                </c:pt>
                <c:pt idx="11">
                  <c:v>Labklājības ministrijas resors</c:v>
                </c:pt>
                <c:pt idx="12">
                  <c:v>Satiksmes ministrijas resors</c:v>
                </c:pt>
              </c:strCache>
            </c:strRef>
          </c:cat>
          <c:val>
            <c:numRef>
              <c:f>Sheet1!$B$2:$B$14</c:f>
              <c:numCache>
                <c:formatCode>0%</c:formatCode>
                <c:ptCount val="13"/>
                <c:pt idx="0">
                  <c:v>0.91</c:v>
                </c:pt>
                <c:pt idx="1">
                  <c:v>0.9</c:v>
                </c:pt>
                <c:pt idx="2">
                  <c:v>0.87</c:v>
                </c:pt>
                <c:pt idx="3">
                  <c:v>0.83</c:v>
                </c:pt>
                <c:pt idx="4">
                  <c:v>0.82</c:v>
                </c:pt>
                <c:pt idx="5">
                  <c:v>0.82</c:v>
                </c:pt>
                <c:pt idx="6">
                  <c:v>0.82</c:v>
                </c:pt>
                <c:pt idx="7">
                  <c:v>0.81</c:v>
                </c:pt>
                <c:pt idx="8">
                  <c:v>0.8</c:v>
                </c:pt>
                <c:pt idx="9">
                  <c:v>0.78</c:v>
                </c:pt>
                <c:pt idx="10">
                  <c:v>0.77</c:v>
                </c:pt>
                <c:pt idx="11">
                  <c:v>0.76</c:v>
                </c:pt>
                <c:pt idx="12">
                  <c:v>0.63</c:v>
                </c:pt>
              </c:numCache>
            </c:numRef>
          </c:val>
          <c:extLst>
            <c:ext xmlns:c16="http://schemas.microsoft.com/office/drawing/2014/chart" uri="{C3380CC4-5D6E-409C-BE32-E72D297353CC}">
              <c16:uniqueId val="{00000000-A9BE-4495-A120-07974A50FAB5}"/>
            </c:ext>
          </c:extLst>
        </c:ser>
        <c:ser>
          <c:idx val="1"/>
          <c:order val="1"/>
          <c:tx>
            <c:strRef>
              <c:f>Sheet1!$C$1</c:f>
              <c:strCache>
                <c:ptCount val="1"/>
                <c:pt idx="0">
                  <c:v>Atbalsta funkciju veicēju skaits resorā (atbilstoši MK 2010.12.14. ieteikumi Nr.2 "Valsts pārvaldes iestādes struktūras izveidošanas kārtība"),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Iekšlietu ministrijas resors</c:v>
                </c:pt>
                <c:pt idx="1">
                  <c:v>Veselības ministrijas resors</c:v>
                </c:pt>
                <c:pt idx="2">
                  <c:v>Tieslietu ministrijas resors</c:v>
                </c:pt>
                <c:pt idx="3">
                  <c:v>Finanšu ministrijas resors</c:v>
                </c:pt>
                <c:pt idx="4">
                  <c:v>VARAM  resors</c:v>
                </c:pt>
                <c:pt idx="5">
                  <c:v>Ārlietu ministrijas resors </c:v>
                </c:pt>
                <c:pt idx="6">
                  <c:v>Aizsardzības ministrijas resors</c:v>
                </c:pt>
                <c:pt idx="7">
                  <c:v>Zemkopības ministrijas resors</c:v>
                </c:pt>
                <c:pt idx="8">
                  <c:v>Ekonomikas ministrijas resors</c:v>
                </c:pt>
                <c:pt idx="9">
                  <c:v>Izglītības un zinātnes ministrijas resors</c:v>
                </c:pt>
                <c:pt idx="10">
                  <c:v>Kultūras ministrijas resors</c:v>
                </c:pt>
                <c:pt idx="11">
                  <c:v>Labklājības ministrijas resors</c:v>
                </c:pt>
                <c:pt idx="12">
                  <c:v>Satiksmes ministrijas resors</c:v>
                </c:pt>
              </c:strCache>
            </c:strRef>
          </c:cat>
          <c:val>
            <c:numRef>
              <c:f>Sheet1!$C$2:$C$14</c:f>
              <c:numCache>
                <c:formatCode>0%</c:formatCode>
                <c:ptCount val="13"/>
                <c:pt idx="0">
                  <c:v>0.09</c:v>
                </c:pt>
                <c:pt idx="1">
                  <c:v>0.1</c:v>
                </c:pt>
                <c:pt idx="2">
                  <c:v>0.13</c:v>
                </c:pt>
                <c:pt idx="3">
                  <c:v>0.16845180136319376</c:v>
                </c:pt>
                <c:pt idx="4">
                  <c:v>0.18</c:v>
                </c:pt>
                <c:pt idx="5">
                  <c:v>0.18043844856661045</c:v>
                </c:pt>
                <c:pt idx="6">
                  <c:v>0.21</c:v>
                </c:pt>
                <c:pt idx="7">
                  <c:v>0.19</c:v>
                </c:pt>
                <c:pt idx="8">
                  <c:v>0.2</c:v>
                </c:pt>
                <c:pt idx="9">
                  <c:v>0.22</c:v>
                </c:pt>
                <c:pt idx="10">
                  <c:v>0.23</c:v>
                </c:pt>
                <c:pt idx="11">
                  <c:v>0.24</c:v>
                </c:pt>
                <c:pt idx="12">
                  <c:v>0.37</c:v>
                </c:pt>
              </c:numCache>
            </c:numRef>
          </c:val>
          <c:extLst>
            <c:ext xmlns:c16="http://schemas.microsoft.com/office/drawing/2014/chart" uri="{C3380CC4-5D6E-409C-BE32-E72D297353CC}">
              <c16:uniqueId val="{00000001-A9BE-4495-A120-07974A50FAB5}"/>
            </c:ext>
          </c:extLst>
        </c:ser>
        <c:dLbls>
          <c:showLegendKey val="0"/>
          <c:showVal val="0"/>
          <c:showCatName val="0"/>
          <c:showSerName val="0"/>
          <c:showPercent val="0"/>
          <c:showBubbleSize val="0"/>
        </c:dLbls>
        <c:gapWidth val="150"/>
        <c:overlap val="100"/>
        <c:axId val="280748848"/>
        <c:axId val="280751984"/>
      </c:barChart>
      <c:catAx>
        <c:axId val="2807488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0751984"/>
        <c:crosses val="autoZero"/>
        <c:auto val="1"/>
        <c:lblAlgn val="ctr"/>
        <c:lblOffset val="100"/>
        <c:noMultiLvlLbl val="0"/>
      </c:catAx>
      <c:valAx>
        <c:axId val="28075198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0748848"/>
        <c:crosses val="autoZero"/>
        <c:crossBetween val="between"/>
      </c:valAx>
      <c:spPr>
        <a:noFill/>
        <a:ln>
          <a:noFill/>
        </a:ln>
        <a:effectLst/>
      </c:spPr>
    </c:plotArea>
    <c:legend>
      <c:legendPos val="b"/>
      <c:layout>
        <c:manualLayout>
          <c:xMode val="edge"/>
          <c:yMode val="edge"/>
          <c:x val="1.2346798113650428E-2"/>
          <c:y val="0.82332560513269171"/>
          <c:w val="0.96663431705183189"/>
          <c:h val="0.141578502687164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4643564750649851E-2"/>
          <c:y val="0.11285348533887252"/>
          <c:w val="0.9143068340947178"/>
          <c:h val="0.46468285214348204"/>
        </c:manualLayout>
      </c:layout>
      <c:scatterChart>
        <c:scatterStyle val="lineMarker"/>
        <c:varyColors val="0"/>
        <c:ser>
          <c:idx val="0"/>
          <c:order val="0"/>
          <c:tx>
            <c:strRef>
              <c:f>'[Chart in Microsoft Word]punktu grafiks 14. saime'!$C$1</c:f>
              <c:strCache>
                <c:ptCount val="1"/>
                <c:pt idx="0">
                  <c:v>14.amata saimē klasificēto amata vietu skaits iestādē</c:v>
                </c:pt>
              </c:strCache>
            </c:strRef>
          </c:tx>
          <c:spPr>
            <a:ln w="19050" cap="rnd">
              <a:noFill/>
              <a:round/>
            </a:ln>
            <a:effectLst/>
          </c:spPr>
          <c:marker>
            <c:symbol val="circle"/>
            <c:size val="5"/>
            <c:spPr>
              <a:solidFill>
                <a:srgbClr val="309622"/>
              </a:solidFill>
              <a:ln w="9525">
                <a:solidFill>
                  <a:schemeClr val="accent1"/>
                </a:solidFill>
              </a:ln>
              <a:effectLst/>
            </c:spPr>
          </c:marker>
          <c:dPt>
            <c:idx val="17"/>
            <c:marker>
              <c:symbol val="circle"/>
              <c:size val="5"/>
              <c:spPr>
                <a:solidFill>
                  <a:srgbClr val="309622"/>
                </a:solidFill>
                <a:ln w="9525">
                  <a:noFill/>
                </a:ln>
                <a:effectLst/>
              </c:spPr>
            </c:marker>
            <c:bubble3D val="0"/>
            <c:spPr>
              <a:ln w="19050" cap="rnd">
                <a:noFill/>
                <a:round/>
              </a:ln>
              <a:effectLst/>
            </c:spPr>
            <c:extLst>
              <c:ext xmlns:c16="http://schemas.microsoft.com/office/drawing/2014/chart" uri="{C3380CC4-5D6E-409C-BE32-E72D297353CC}">
                <c16:uniqueId val="{00000001-3942-450C-8EB1-C521D38617AE}"/>
              </c:ext>
            </c:extLst>
          </c:dPt>
          <c:xVal>
            <c:numRef>
              <c:f>'[Chart in Microsoft Word]punktu grafiks 14. saime'!$B$2:$B$128</c:f>
              <c:numCache>
                <c:formatCode>General</c:formatCode>
                <c:ptCount val="127"/>
                <c:pt idx="0">
                  <c:v>333</c:v>
                </c:pt>
                <c:pt idx="1">
                  <c:v>172</c:v>
                </c:pt>
                <c:pt idx="2">
                  <c:v>281</c:v>
                </c:pt>
                <c:pt idx="3">
                  <c:v>68</c:v>
                </c:pt>
                <c:pt idx="4">
                  <c:v>339</c:v>
                </c:pt>
                <c:pt idx="5">
                  <c:v>588</c:v>
                </c:pt>
                <c:pt idx="6">
                  <c:v>5</c:v>
                </c:pt>
                <c:pt idx="7">
                  <c:v>72</c:v>
                </c:pt>
                <c:pt idx="8">
                  <c:v>559</c:v>
                </c:pt>
                <c:pt idx="9">
                  <c:v>217</c:v>
                </c:pt>
                <c:pt idx="10">
                  <c:v>50</c:v>
                </c:pt>
                <c:pt idx="11">
                  <c:v>278</c:v>
                </c:pt>
                <c:pt idx="12">
                  <c:v>92</c:v>
                </c:pt>
                <c:pt idx="13">
                  <c:v>356</c:v>
                </c:pt>
                <c:pt idx="14">
                  <c:v>60</c:v>
                </c:pt>
                <c:pt idx="15">
                  <c:v>414</c:v>
                </c:pt>
                <c:pt idx="16">
                  <c:v>4095</c:v>
                </c:pt>
                <c:pt idx="17">
                  <c:v>191</c:v>
                </c:pt>
                <c:pt idx="18">
                  <c:v>19</c:v>
                </c:pt>
                <c:pt idx="19">
                  <c:v>10</c:v>
                </c:pt>
                <c:pt idx="20">
                  <c:v>97</c:v>
                </c:pt>
                <c:pt idx="21">
                  <c:v>146</c:v>
                </c:pt>
                <c:pt idx="22">
                  <c:v>94</c:v>
                </c:pt>
                <c:pt idx="23">
                  <c:v>316</c:v>
                </c:pt>
                <c:pt idx="24">
                  <c:v>646</c:v>
                </c:pt>
                <c:pt idx="25">
                  <c:v>7448</c:v>
                </c:pt>
                <c:pt idx="26">
                  <c:v>450</c:v>
                </c:pt>
                <c:pt idx="27">
                  <c:v>2355</c:v>
                </c:pt>
                <c:pt idx="28">
                  <c:v>3006</c:v>
                </c:pt>
                <c:pt idx="29">
                  <c:v>93</c:v>
                </c:pt>
                <c:pt idx="30">
                  <c:v>213</c:v>
                </c:pt>
                <c:pt idx="31">
                  <c:v>21</c:v>
                </c:pt>
                <c:pt idx="32">
                  <c:v>11</c:v>
                </c:pt>
                <c:pt idx="33">
                  <c:v>7</c:v>
                </c:pt>
                <c:pt idx="34">
                  <c:v>196</c:v>
                </c:pt>
                <c:pt idx="35">
                  <c:v>107</c:v>
                </c:pt>
                <c:pt idx="36">
                  <c:v>36</c:v>
                </c:pt>
                <c:pt idx="37">
                  <c:v>20</c:v>
                </c:pt>
                <c:pt idx="38">
                  <c:v>16</c:v>
                </c:pt>
                <c:pt idx="39">
                  <c:v>79</c:v>
                </c:pt>
                <c:pt idx="40">
                  <c:v>25</c:v>
                </c:pt>
                <c:pt idx="41">
                  <c:v>135</c:v>
                </c:pt>
                <c:pt idx="42">
                  <c:v>72</c:v>
                </c:pt>
                <c:pt idx="43">
                  <c:v>425</c:v>
                </c:pt>
                <c:pt idx="44">
                  <c:v>28</c:v>
                </c:pt>
                <c:pt idx="45">
                  <c:v>201</c:v>
                </c:pt>
                <c:pt idx="46">
                  <c:v>134</c:v>
                </c:pt>
                <c:pt idx="47">
                  <c:v>392</c:v>
                </c:pt>
                <c:pt idx="48">
                  <c:v>48</c:v>
                </c:pt>
                <c:pt idx="49">
                  <c:v>60</c:v>
                </c:pt>
                <c:pt idx="50">
                  <c:v>11</c:v>
                </c:pt>
                <c:pt idx="51">
                  <c:v>67</c:v>
                </c:pt>
                <c:pt idx="52">
                  <c:v>126</c:v>
                </c:pt>
                <c:pt idx="53">
                  <c:v>113</c:v>
                </c:pt>
                <c:pt idx="54">
                  <c:v>103</c:v>
                </c:pt>
                <c:pt idx="55">
                  <c:v>12</c:v>
                </c:pt>
                <c:pt idx="56">
                  <c:v>239</c:v>
                </c:pt>
                <c:pt idx="57">
                  <c:v>875</c:v>
                </c:pt>
                <c:pt idx="58">
                  <c:v>365</c:v>
                </c:pt>
                <c:pt idx="59">
                  <c:v>1000</c:v>
                </c:pt>
                <c:pt idx="60">
                  <c:v>577</c:v>
                </c:pt>
                <c:pt idx="61">
                  <c:v>661</c:v>
                </c:pt>
                <c:pt idx="62">
                  <c:v>383</c:v>
                </c:pt>
                <c:pt idx="63">
                  <c:v>1008</c:v>
                </c:pt>
                <c:pt idx="64">
                  <c:v>511</c:v>
                </c:pt>
                <c:pt idx="65">
                  <c:v>64</c:v>
                </c:pt>
                <c:pt idx="66">
                  <c:v>190</c:v>
                </c:pt>
                <c:pt idx="67">
                  <c:v>169</c:v>
                </c:pt>
                <c:pt idx="68">
                  <c:v>158</c:v>
                </c:pt>
                <c:pt idx="69">
                  <c:v>130</c:v>
                </c:pt>
                <c:pt idx="70">
                  <c:v>21</c:v>
                </c:pt>
                <c:pt idx="71">
                  <c:v>38</c:v>
                </c:pt>
                <c:pt idx="72">
                  <c:v>25</c:v>
                </c:pt>
                <c:pt idx="73">
                  <c:v>153</c:v>
                </c:pt>
                <c:pt idx="74">
                  <c:v>21</c:v>
                </c:pt>
                <c:pt idx="75">
                  <c:v>7</c:v>
                </c:pt>
                <c:pt idx="76">
                  <c:v>906</c:v>
                </c:pt>
                <c:pt idx="77">
                  <c:v>550</c:v>
                </c:pt>
                <c:pt idx="78">
                  <c:v>126</c:v>
                </c:pt>
                <c:pt idx="79">
                  <c:v>43</c:v>
                </c:pt>
                <c:pt idx="80">
                  <c:v>18</c:v>
                </c:pt>
                <c:pt idx="81">
                  <c:v>41</c:v>
                </c:pt>
                <c:pt idx="82">
                  <c:v>116</c:v>
                </c:pt>
                <c:pt idx="83">
                  <c:v>180</c:v>
                </c:pt>
                <c:pt idx="84">
                  <c:v>71</c:v>
                </c:pt>
                <c:pt idx="85">
                  <c:v>156</c:v>
                </c:pt>
                <c:pt idx="86">
                  <c:v>10</c:v>
                </c:pt>
                <c:pt idx="87">
                  <c:v>79</c:v>
                </c:pt>
                <c:pt idx="88">
                  <c:v>21</c:v>
                </c:pt>
                <c:pt idx="89">
                  <c:v>12</c:v>
                </c:pt>
                <c:pt idx="90">
                  <c:v>26</c:v>
                </c:pt>
                <c:pt idx="91">
                  <c:v>2796</c:v>
                </c:pt>
                <c:pt idx="92">
                  <c:v>34</c:v>
                </c:pt>
                <c:pt idx="93">
                  <c:v>247</c:v>
                </c:pt>
                <c:pt idx="94">
                  <c:v>52</c:v>
                </c:pt>
                <c:pt idx="95">
                  <c:v>66</c:v>
                </c:pt>
                <c:pt idx="96">
                  <c:v>2426</c:v>
                </c:pt>
                <c:pt idx="97">
                  <c:v>178</c:v>
                </c:pt>
                <c:pt idx="98">
                  <c:v>28</c:v>
                </c:pt>
                <c:pt idx="99">
                  <c:v>388</c:v>
                </c:pt>
                <c:pt idx="100">
                  <c:v>53</c:v>
                </c:pt>
                <c:pt idx="101">
                  <c:v>42</c:v>
                </c:pt>
                <c:pt idx="102">
                  <c:v>750</c:v>
                </c:pt>
                <c:pt idx="103">
                  <c:v>130</c:v>
                </c:pt>
                <c:pt idx="104">
                  <c:v>55</c:v>
                </c:pt>
                <c:pt idx="105">
                  <c:v>342</c:v>
                </c:pt>
                <c:pt idx="106">
                  <c:v>108</c:v>
                </c:pt>
                <c:pt idx="107">
                  <c:v>324</c:v>
                </c:pt>
                <c:pt idx="108">
                  <c:v>5</c:v>
                </c:pt>
                <c:pt idx="109">
                  <c:v>18</c:v>
                </c:pt>
                <c:pt idx="110">
                  <c:v>129</c:v>
                </c:pt>
                <c:pt idx="111">
                  <c:v>213</c:v>
                </c:pt>
                <c:pt idx="112">
                  <c:v>3949</c:v>
                </c:pt>
                <c:pt idx="113">
                  <c:v>90</c:v>
                </c:pt>
                <c:pt idx="114">
                  <c:v>163</c:v>
                </c:pt>
                <c:pt idx="115">
                  <c:v>182</c:v>
                </c:pt>
                <c:pt idx="116">
                  <c:v>78</c:v>
                </c:pt>
                <c:pt idx="117">
                  <c:v>172</c:v>
                </c:pt>
                <c:pt idx="118">
                  <c:v>233</c:v>
                </c:pt>
                <c:pt idx="119">
                  <c:v>154</c:v>
                </c:pt>
                <c:pt idx="120">
                  <c:v>247</c:v>
                </c:pt>
                <c:pt idx="121">
                  <c:v>71</c:v>
                </c:pt>
                <c:pt idx="122">
                  <c:v>781</c:v>
                </c:pt>
                <c:pt idx="123">
                  <c:v>638</c:v>
                </c:pt>
                <c:pt idx="124">
                  <c:v>200</c:v>
                </c:pt>
                <c:pt idx="125">
                  <c:v>669</c:v>
                </c:pt>
                <c:pt idx="126">
                  <c:v>76</c:v>
                </c:pt>
              </c:numCache>
            </c:numRef>
          </c:xVal>
          <c:yVal>
            <c:numRef>
              <c:f>'[Chart in Microsoft Word]punktu grafiks 14. saime'!$C$2:$C$128</c:f>
              <c:numCache>
                <c:formatCode>General</c:formatCode>
                <c:ptCount val="127"/>
                <c:pt idx="0">
                  <c:v>3.6036036036036037</c:v>
                </c:pt>
                <c:pt idx="1">
                  <c:v>1.7441860465116279</c:v>
                </c:pt>
                <c:pt idx="2">
                  <c:v>1.4234875444839858</c:v>
                </c:pt>
                <c:pt idx="3">
                  <c:v>5.8823529411764701</c:v>
                </c:pt>
                <c:pt idx="4">
                  <c:v>2.9498525073746311</c:v>
                </c:pt>
                <c:pt idx="5">
                  <c:v>2.3809523809523809</c:v>
                </c:pt>
                <c:pt idx="6">
                  <c:v>0</c:v>
                </c:pt>
                <c:pt idx="7">
                  <c:v>0</c:v>
                </c:pt>
                <c:pt idx="8">
                  <c:v>1.0733452593917709</c:v>
                </c:pt>
                <c:pt idx="9">
                  <c:v>3.2258064516129035</c:v>
                </c:pt>
                <c:pt idx="10">
                  <c:v>0</c:v>
                </c:pt>
                <c:pt idx="11">
                  <c:v>3.2374100719424463</c:v>
                </c:pt>
                <c:pt idx="12">
                  <c:v>2.1739130434782608</c:v>
                </c:pt>
                <c:pt idx="13">
                  <c:v>0.5617977528089888</c:v>
                </c:pt>
                <c:pt idx="14">
                  <c:v>0</c:v>
                </c:pt>
                <c:pt idx="15">
                  <c:v>2.1739130434782612</c:v>
                </c:pt>
                <c:pt idx="16">
                  <c:v>0.73260073260073255</c:v>
                </c:pt>
                <c:pt idx="17">
                  <c:v>2.0942408376963351</c:v>
                </c:pt>
                <c:pt idx="18">
                  <c:v>0</c:v>
                </c:pt>
                <c:pt idx="19">
                  <c:v>0</c:v>
                </c:pt>
                <c:pt idx="20">
                  <c:v>2.061855670103093</c:v>
                </c:pt>
                <c:pt idx="21">
                  <c:v>3.4246575342465753</c:v>
                </c:pt>
                <c:pt idx="22">
                  <c:v>4.2553191489361701</c:v>
                </c:pt>
                <c:pt idx="23">
                  <c:v>3.1645569620253164</c:v>
                </c:pt>
                <c:pt idx="24">
                  <c:v>0.30959752321981426</c:v>
                </c:pt>
                <c:pt idx="25">
                  <c:v>3.6654135338345863</c:v>
                </c:pt>
                <c:pt idx="26">
                  <c:v>4</c:v>
                </c:pt>
                <c:pt idx="27">
                  <c:v>1.4861995753715498</c:v>
                </c:pt>
                <c:pt idx="28">
                  <c:v>0.89820359281437134</c:v>
                </c:pt>
                <c:pt idx="29">
                  <c:v>4.301075268817204</c:v>
                </c:pt>
                <c:pt idx="30">
                  <c:v>4.694835680751174</c:v>
                </c:pt>
                <c:pt idx="31">
                  <c:v>9.5238095238095237</c:v>
                </c:pt>
                <c:pt idx="32">
                  <c:v>18.181818181818183</c:v>
                </c:pt>
                <c:pt idx="33">
                  <c:v>14.285714285714285</c:v>
                </c:pt>
                <c:pt idx="34">
                  <c:v>2.0408163265306123</c:v>
                </c:pt>
                <c:pt idx="35">
                  <c:v>2.8037383177570092</c:v>
                </c:pt>
                <c:pt idx="36">
                  <c:v>0</c:v>
                </c:pt>
                <c:pt idx="37">
                  <c:v>0</c:v>
                </c:pt>
                <c:pt idx="38">
                  <c:v>6.25</c:v>
                </c:pt>
                <c:pt idx="39">
                  <c:v>7.5949367088607591</c:v>
                </c:pt>
                <c:pt idx="40">
                  <c:v>8</c:v>
                </c:pt>
                <c:pt idx="41">
                  <c:v>4.4444444444444438</c:v>
                </c:pt>
                <c:pt idx="42">
                  <c:v>6.9444444444444446</c:v>
                </c:pt>
                <c:pt idx="43">
                  <c:v>2.1176470588235294</c:v>
                </c:pt>
                <c:pt idx="44">
                  <c:v>7.1428571428571423</c:v>
                </c:pt>
                <c:pt idx="45">
                  <c:v>6.965174129353235</c:v>
                </c:pt>
                <c:pt idx="46">
                  <c:v>5.2238805970149249</c:v>
                </c:pt>
                <c:pt idx="47">
                  <c:v>1.0204081632653061</c:v>
                </c:pt>
                <c:pt idx="48">
                  <c:v>4.166666666666667</c:v>
                </c:pt>
                <c:pt idx="49">
                  <c:v>8.3333333333333339</c:v>
                </c:pt>
                <c:pt idx="50">
                  <c:v>0</c:v>
                </c:pt>
                <c:pt idx="51">
                  <c:v>2.9850746268656714</c:v>
                </c:pt>
                <c:pt idx="52">
                  <c:v>4.7619047619047619</c:v>
                </c:pt>
                <c:pt idx="53">
                  <c:v>7.0796460176991154</c:v>
                </c:pt>
                <c:pt idx="54">
                  <c:v>0</c:v>
                </c:pt>
                <c:pt idx="55">
                  <c:v>0</c:v>
                </c:pt>
                <c:pt idx="56">
                  <c:v>7.531380753138075</c:v>
                </c:pt>
                <c:pt idx="57">
                  <c:v>2.9714285714285715</c:v>
                </c:pt>
                <c:pt idx="58">
                  <c:v>2.4657534246575343</c:v>
                </c:pt>
                <c:pt idx="59">
                  <c:v>1.9</c:v>
                </c:pt>
                <c:pt idx="60">
                  <c:v>1.0398613518197575</c:v>
                </c:pt>
                <c:pt idx="61">
                  <c:v>1.059001512859304</c:v>
                </c:pt>
                <c:pt idx="62">
                  <c:v>1.0443864229765012</c:v>
                </c:pt>
                <c:pt idx="63">
                  <c:v>0.8928571428571429</c:v>
                </c:pt>
                <c:pt idx="64">
                  <c:v>1.3698630136986301</c:v>
                </c:pt>
                <c:pt idx="65">
                  <c:v>0</c:v>
                </c:pt>
                <c:pt idx="66">
                  <c:v>0</c:v>
                </c:pt>
                <c:pt idx="67">
                  <c:v>0</c:v>
                </c:pt>
                <c:pt idx="68">
                  <c:v>1.8987341772151898</c:v>
                </c:pt>
                <c:pt idx="69">
                  <c:v>1.5384615384615383</c:v>
                </c:pt>
                <c:pt idx="70">
                  <c:v>0</c:v>
                </c:pt>
                <c:pt idx="71">
                  <c:v>2.6315789473684212</c:v>
                </c:pt>
                <c:pt idx="72">
                  <c:v>0</c:v>
                </c:pt>
                <c:pt idx="73">
                  <c:v>1.3071895424836601</c:v>
                </c:pt>
                <c:pt idx="74">
                  <c:v>4.7619047619047619</c:v>
                </c:pt>
                <c:pt idx="75">
                  <c:v>14.285714285714285</c:v>
                </c:pt>
                <c:pt idx="76">
                  <c:v>1.1037527593818983</c:v>
                </c:pt>
                <c:pt idx="77">
                  <c:v>1.0909090909090908</c:v>
                </c:pt>
                <c:pt idx="78">
                  <c:v>0</c:v>
                </c:pt>
                <c:pt idx="79">
                  <c:v>4.6511627906976747</c:v>
                </c:pt>
                <c:pt idx="80">
                  <c:v>5.5555555555555554</c:v>
                </c:pt>
                <c:pt idx="81">
                  <c:v>2.4390243902439024</c:v>
                </c:pt>
                <c:pt idx="82">
                  <c:v>0</c:v>
                </c:pt>
                <c:pt idx="83">
                  <c:v>0</c:v>
                </c:pt>
                <c:pt idx="84">
                  <c:v>0</c:v>
                </c:pt>
                <c:pt idx="85">
                  <c:v>3.2051282051282048</c:v>
                </c:pt>
                <c:pt idx="86">
                  <c:v>10</c:v>
                </c:pt>
                <c:pt idx="87">
                  <c:v>2.5316455696202529</c:v>
                </c:pt>
                <c:pt idx="88">
                  <c:v>0</c:v>
                </c:pt>
                <c:pt idx="89">
                  <c:v>0</c:v>
                </c:pt>
                <c:pt idx="90">
                  <c:v>0</c:v>
                </c:pt>
                <c:pt idx="91">
                  <c:v>1.9670958512160228</c:v>
                </c:pt>
                <c:pt idx="92">
                  <c:v>8.8235294117647047</c:v>
                </c:pt>
                <c:pt idx="93">
                  <c:v>3.2388663967611335</c:v>
                </c:pt>
                <c:pt idx="94">
                  <c:v>3.8461538461538458</c:v>
                </c:pt>
                <c:pt idx="95">
                  <c:v>4.545454545454545</c:v>
                </c:pt>
                <c:pt idx="96">
                  <c:v>0.82440230832646322</c:v>
                </c:pt>
                <c:pt idx="97">
                  <c:v>3.9325842696629212</c:v>
                </c:pt>
                <c:pt idx="98">
                  <c:v>14.285714285714285</c:v>
                </c:pt>
                <c:pt idx="99">
                  <c:v>1.5463917525773196</c:v>
                </c:pt>
                <c:pt idx="100">
                  <c:v>1.8867924528301885</c:v>
                </c:pt>
                <c:pt idx="101">
                  <c:v>2.3809523809523809</c:v>
                </c:pt>
                <c:pt idx="102">
                  <c:v>2.2666666666666666</c:v>
                </c:pt>
                <c:pt idx="103">
                  <c:v>3.8461538461538458</c:v>
                </c:pt>
                <c:pt idx="104">
                  <c:v>1.8181818181818181</c:v>
                </c:pt>
                <c:pt idx="105">
                  <c:v>3.5087719298245617</c:v>
                </c:pt>
                <c:pt idx="106">
                  <c:v>1.8518518518518516</c:v>
                </c:pt>
                <c:pt idx="107">
                  <c:v>1.5432098765432098</c:v>
                </c:pt>
                <c:pt idx="108">
                  <c:v>0</c:v>
                </c:pt>
                <c:pt idx="109">
                  <c:v>0</c:v>
                </c:pt>
                <c:pt idx="110">
                  <c:v>3.1007751937984493</c:v>
                </c:pt>
                <c:pt idx="111">
                  <c:v>10.7981220657277</c:v>
                </c:pt>
                <c:pt idx="112">
                  <c:v>0.55710306406685239</c:v>
                </c:pt>
                <c:pt idx="113">
                  <c:v>4.4444444444444446</c:v>
                </c:pt>
                <c:pt idx="114">
                  <c:v>3.0674846625766872</c:v>
                </c:pt>
                <c:pt idx="115">
                  <c:v>3.8461538461538458</c:v>
                </c:pt>
                <c:pt idx="116">
                  <c:v>1.2820512820512819</c:v>
                </c:pt>
                <c:pt idx="117">
                  <c:v>1.7441860465116279</c:v>
                </c:pt>
                <c:pt idx="118">
                  <c:v>1.7167381974248928</c:v>
                </c:pt>
                <c:pt idx="119">
                  <c:v>3.8961038961038961</c:v>
                </c:pt>
                <c:pt idx="120">
                  <c:v>2.8340080971659916</c:v>
                </c:pt>
                <c:pt idx="121">
                  <c:v>4.2253521126760569</c:v>
                </c:pt>
                <c:pt idx="122">
                  <c:v>0.89628681177976954</c:v>
                </c:pt>
                <c:pt idx="123">
                  <c:v>1.8808777429467085</c:v>
                </c:pt>
                <c:pt idx="124">
                  <c:v>1</c:v>
                </c:pt>
                <c:pt idx="125">
                  <c:v>1.4947683109118086</c:v>
                </c:pt>
                <c:pt idx="126">
                  <c:v>3.9473684210526314</c:v>
                </c:pt>
              </c:numCache>
            </c:numRef>
          </c:yVal>
          <c:smooth val="0"/>
          <c:extLst>
            <c:ext xmlns:c16="http://schemas.microsoft.com/office/drawing/2014/chart" uri="{C3380CC4-5D6E-409C-BE32-E72D297353CC}">
              <c16:uniqueId val="{00000002-3942-450C-8EB1-C521D38617AE}"/>
            </c:ext>
          </c:extLst>
        </c:ser>
        <c:ser>
          <c:idx val="1"/>
          <c:order val="1"/>
          <c:tx>
            <c:strRef>
              <c:f>'[Chart in Microsoft Word]punktu grafiks 14. saime'!$D$1</c:f>
              <c:strCache>
                <c:ptCount val="1"/>
                <c:pt idx="0">
                  <c:v>Vidējais valsts pārvaldē 14.amata saimē klasificēto amata vietu skaits uz 100 amata vietām</c:v>
                </c:pt>
              </c:strCache>
            </c:strRef>
          </c:tx>
          <c:spPr>
            <a:ln w="19050" cap="rnd">
              <a:solidFill>
                <a:schemeClr val="accent2"/>
              </a:solidFill>
              <a:round/>
            </a:ln>
            <a:effectLst/>
          </c:spPr>
          <c:marker>
            <c:symbol val="dot"/>
            <c:size val="2"/>
            <c:spPr>
              <a:solidFill>
                <a:schemeClr val="accent2"/>
              </a:solidFill>
              <a:ln w="9525">
                <a:solidFill>
                  <a:schemeClr val="accent2"/>
                </a:solidFill>
              </a:ln>
              <a:effectLst/>
            </c:spPr>
          </c:marker>
          <c:xVal>
            <c:numRef>
              <c:f>'[Chart in Microsoft Word]punktu grafiks 14. saime'!$B$2:$B$128</c:f>
              <c:numCache>
                <c:formatCode>General</c:formatCode>
                <c:ptCount val="127"/>
                <c:pt idx="0">
                  <c:v>333</c:v>
                </c:pt>
                <c:pt idx="1">
                  <c:v>172</c:v>
                </c:pt>
                <c:pt idx="2">
                  <c:v>281</c:v>
                </c:pt>
                <c:pt idx="3">
                  <c:v>68</c:v>
                </c:pt>
                <c:pt idx="4">
                  <c:v>339</c:v>
                </c:pt>
                <c:pt idx="5">
                  <c:v>588</c:v>
                </c:pt>
                <c:pt idx="6">
                  <c:v>5</c:v>
                </c:pt>
                <c:pt idx="7">
                  <c:v>72</c:v>
                </c:pt>
                <c:pt idx="8">
                  <c:v>559</c:v>
                </c:pt>
                <c:pt idx="9">
                  <c:v>217</c:v>
                </c:pt>
                <c:pt idx="10">
                  <c:v>50</c:v>
                </c:pt>
                <c:pt idx="11">
                  <c:v>278</c:v>
                </c:pt>
                <c:pt idx="12">
                  <c:v>92</c:v>
                </c:pt>
                <c:pt idx="13">
                  <c:v>356</c:v>
                </c:pt>
                <c:pt idx="14">
                  <c:v>60</c:v>
                </c:pt>
                <c:pt idx="15">
                  <c:v>414</c:v>
                </c:pt>
                <c:pt idx="16">
                  <c:v>4095</c:v>
                </c:pt>
                <c:pt idx="17">
                  <c:v>191</c:v>
                </c:pt>
                <c:pt idx="18">
                  <c:v>19</c:v>
                </c:pt>
                <c:pt idx="19">
                  <c:v>10</c:v>
                </c:pt>
                <c:pt idx="20">
                  <c:v>97</c:v>
                </c:pt>
                <c:pt idx="21">
                  <c:v>146</c:v>
                </c:pt>
                <c:pt idx="22">
                  <c:v>94</c:v>
                </c:pt>
                <c:pt idx="23">
                  <c:v>316</c:v>
                </c:pt>
                <c:pt idx="24">
                  <c:v>646</c:v>
                </c:pt>
                <c:pt idx="25">
                  <c:v>7448</c:v>
                </c:pt>
                <c:pt idx="26">
                  <c:v>450</c:v>
                </c:pt>
                <c:pt idx="27">
                  <c:v>2355</c:v>
                </c:pt>
                <c:pt idx="28">
                  <c:v>3006</c:v>
                </c:pt>
                <c:pt idx="29">
                  <c:v>93</c:v>
                </c:pt>
                <c:pt idx="30">
                  <c:v>213</c:v>
                </c:pt>
                <c:pt idx="31">
                  <c:v>21</c:v>
                </c:pt>
                <c:pt idx="32">
                  <c:v>11</c:v>
                </c:pt>
                <c:pt idx="33">
                  <c:v>7</c:v>
                </c:pt>
                <c:pt idx="34">
                  <c:v>196</c:v>
                </c:pt>
                <c:pt idx="35">
                  <c:v>107</c:v>
                </c:pt>
                <c:pt idx="36">
                  <c:v>36</c:v>
                </c:pt>
                <c:pt idx="37">
                  <c:v>20</c:v>
                </c:pt>
                <c:pt idx="38">
                  <c:v>16</c:v>
                </c:pt>
                <c:pt idx="39">
                  <c:v>79</c:v>
                </c:pt>
                <c:pt idx="40">
                  <c:v>25</c:v>
                </c:pt>
                <c:pt idx="41">
                  <c:v>135</c:v>
                </c:pt>
                <c:pt idx="42">
                  <c:v>72</c:v>
                </c:pt>
                <c:pt idx="43">
                  <c:v>425</c:v>
                </c:pt>
                <c:pt idx="44">
                  <c:v>28</c:v>
                </c:pt>
                <c:pt idx="45">
                  <c:v>201</c:v>
                </c:pt>
                <c:pt idx="46">
                  <c:v>134</c:v>
                </c:pt>
                <c:pt idx="47">
                  <c:v>392</c:v>
                </c:pt>
                <c:pt idx="48">
                  <c:v>48</c:v>
                </c:pt>
                <c:pt idx="49">
                  <c:v>60</c:v>
                </c:pt>
                <c:pt idx="50">
                  <c:v>11</c:v>
                </c:pt>
                <c:pt idx="51">
                  <c:v>67</c:v>
                </c:pt>
                <c:pt idx="52">
                  <c:v>126</c:v>
                </c:pt>
                <c:pt idx="53">
                  <c:v>113</c:v>
                </c:pt>
                <c:pt idx="54">
                  <c:v>103</c:v>
                </c:pt>
                <c:pt idx="55">
                  <c:v>12</c:v>
                </c:pt>
                <c:pt idx="56">
                  <c:v>239</c:v>
                </c:pt>
                <c:pt idx="57">
                  <c:v>875</c:v>
                </c:pt>
                <c:pt idx="58">
                  <c:v>365</c:v>
                </c:pt>
                <c:pt idx="59">
                  <c:v>1000</c:v>
                </c:pt>
                <c:pt idx="60">
                  <c:v>577</c:v>
                </c:pt>
                <c:pt idx="61">
                  <c:v>661</c:v>
                </c:pt>
                <c:pt idx="62">
                  <c:v>383</c:v>
                </c:pt>
                <c:pt idx="63">
                  <c:v>1008</c:v>
                </c:pt>
                <c:pt idx="64">
                  <c:v>511</c:v>
                </c:pt>
                <c:pt idx="65">
                  <c:v>64</c:v>
                </c:pt>
                <c:pt idx="66">
                  <c:v>190</c:v>
                </c:pt>
                <c:pt idx="67">
                  <c:v>169</c:v>
                </c:pt>
                <c:pt idx="68">
                  <c:v>158</c:v>
                </c:pt>
                <c:pt idx="69">
                  <c:v>130</c:v>
                </c:pt>
                <c:pt idx="70">
                  <c:v>21</c:v>
                </c:pt>
                <c:pt idx="71">
                  <c:v>38</c:v>
                </c:pt>
                <c:pt idx="72">
                  <c:v>25</c:v>
                </c:pt>
                <c:pt idx="73">
                  <c:v>153</c:v>
                </c:pt>
                <c:pt idx="74">
                  <c:v>21</c:v>
                </c:pt>
                <c:pt idx="75">
                  <c:v>7</c:v>
                </c:pt>
                <c:pt idx="76">
                  <c:v>906</c:v>
                </c:pt>
                <c:pt idx="77">
                  <c:v>550</c:v>
                </c:pt>
                <c:pt idx="78">
                  <c:v>126</c:v>
                </c:pt>
                <c:pt idx="79">
                  <c:v>43</c:v>
                </c:pt>
                <c:pt idx="80">
                  <c:v>18</c:v>
                </c:pt>
                <c:pt idx="81">
                  <c:v>41</c:v>
                </c:pt>
                <c:pt idx="82">
                  <c:v>116</c:v>
                </c:pt>
                <c:pt idx="83">
                  <c:v>180</c:v>
                </c:pt>
                <c:pt idx="84">
                  <c:v>71</c:v>
                </c:pt>
                <c:pt idx="85">
                  <c:v>156</c:v>
                </c:pt>
                <c:pt idx="86">
                  <c:v>10</c:v>
                </c:pt>
                <c:pt idx="87">
                  <c:v>79</c:v>
                </c:pt>
                <c:pt idx="88">
                  <c:v>21</c:v>
                </c:pt>
                <c:pt idx="89">
                  <c:v>12</c:v>
                </c:pt>
                <c:pt idx="90">
                  <c:v>26</c:v>
                </c:pt>
                <c:pt idx="91">
                  <c:v>2796</c:v>
                </c:pt>
                <c:pt idx="92">
                  <c:v>34</c:v>
                </c:pt>
                <c:pt idx="93">
                  <c:v>247</c:v>
                </c:pt>
                <c:pt idx="94">
                  <c:v>52</c:v>
                </c:pt>
                <c:pt idx="95">
                  <c:v>66</c:v>
                </c:pt>
                <c:pt idx="96">
                  <c:v>2426</c:v>
                </c:pt>
                <c:pt idx="97">
                  <c:v>178</c:v>
                </c:pt>
                <c:pt idx="98">
                  <c:v>28</c:v>
                </c:pt>
                <c:pt idx="99">
                  <c:v>388</c:v>
                </c:pt>
                <c:pt idx="100">
                  <c:v>53</c:v>
                </c:pt>
                <c:pt idx="101">
                  <c:v>42</c:v>
                </c:pt>
                <c:pt idx="102">
                  <c:v>750</c:v>
                </c:pt>
                <c:pt idx="103">
                  <c:v>130</c:v>
                </c:pt>
                <c:pt idx="104">
                  <c:v>55</c:v>
                </c:pt>
                <c:pt idx="105">
                  <c:v>342</c:v>
                </c:pt>
                <c:pt idx="106">
                  <c:v>108</c:v>
                </c:pt>
                <c:pt idx="107">
                  <c:v>324</c:v>
                </c:pt>
                <c:pt idx="108">
                  <c:v>5</c:v>
                </c:pt>
                <c:pt idx="109">
                  <c:v>18</c:v>
                </c:pt>
                <c:pt idx="110">
                  <c:v>129</c:v>
                </c:pt>
                <c:pt idx="111">
                  <c:v>213</c:v>
                </c:pt>
                <c:pt idx="112">
                  <c:v>3949</c:v>
                </c:pt>
                <c:pt idx="113">
                  <c:v>90</c:v>
                </c:pt>
                <c:pt idx="114">
                  <c:v>163</c:v>
                </c:pt>
                <c:pt idx="115">
                  <c:v>182</c:v>
                </c:pt>
                <c:pt idx="116">
                  <c:v>78</c:v>
                </c:pt>
                <c:pt idx="117">
                  <c:v>172</c:v>
                </c:pt>
                <c:pt idx="118">
                  <c:v>233</c:v>
                </c:pt>
                <c:pt idx="119">
                  <c:v>154</c:v>
                </c:pt>
                <c:pt idx="120">
                  <c:v>247</c:v>
                </c:pt>
                <c:pt idx="121">
                  <c:v>71</c:v>
                </c:pt>
                <c:pt idx="122">
                  <c:v>781</c:v>
                </c:pt>
                <c:pt idx="123">
                  <c:v>638</c:v>
                </c:pt>
                <c:pt idx="124">
                  <c:v>200</c:v>
                </c:pt>
                <c:pt idx="125">
                  <c:v>669</c:v>
                </c:pt>
                <c:pt idx="126">
                  <c:v>76</c:v>
                </c:pt>
              </c:numCache>
            </c:numRef>
          </c:xVal>
          <c:yVal>
            <c:numRef>
              <c:f>'[Chart in Microsoft Word]punktu grafiks 14. saime'!$D$2:$D$128</c:f>
              <c:numCache>
                <c:formatCode>General</c:formatCode>
                <c:ptCount val="127"/>
                <c:pt idx="0">
                  <c:v>2</c:v>
                </c:pt>
                <c:pt idx="1">
                  <c:v>2</c:v>
                </c:pt>
                <c:pt idx="2">
                  <c:v>2</c:v>
                </c:pt>
                <c:pt idx="3">
                  <c:v>2</c:v>
                </c:pt>
                <c:pt idx="4">
                  <c:v>2</c:v>
                </c:pt>
                <c:pt idx="5">
                  <c:v>2</c:v>
                </c:pt>
                <c:pt idx="6">
                  <c:v>2</c:v>
                </c:pt>
                <c:pt idx="7">
                  <c:v>2</c:v>
                </c:pt>
                <c:pt idx="8">
                  <c:v>2</c:v>
                </c:pt>
                <c:pt idx="9">
                  <c:v>2</c:v>
                </c:pt>
                <c:pt idx="10">
                  <c:v>2</c:v>
                </c:pt>
                <c:pt idx="11">
                  <c:v>2</c:v>
                </c:pt>
                <c:pt idx="12">
                  <c:v>2</c:v>
                </c:pt>
                <c:pt idx="13">
                  <c:v>2</c:v>
                </c:pt>
                <c:pt idx="14">
                  <c:v>2</c:v>
                </c:pt>
                <c:pt idx="15">
                  <c:v>2</c:v>
                </c:pt>
                <c:pt idx="16">
                  <c:v>2</c:v>
                </c:pt>
                <c:pt idx="17">
                  <c:v>2</c:v>
                </c:pt>
                <c:pt idx="18">
                  <c:v>2</c:v>
                </c:pt>
                <c:pt idx="19">
                  <c:v>2</c:v>
                </c:pt>
                <c:pt idx="20">
                  <c:v>2</c:v>
                </c:pt>
                <c:pt idx="21">
                  <c:v>2</c:v>
                </c:pt>
                <c:pt idx="22">
                  <c:v>2</c:v>
                </c:pt>
                <c:pt idx="23">
                  <c:v>2</c:v>
                </c:pt>
                <c:pt idx="24">
                  <c:v>2</c:v>
                </c:pt>
                <c:pt idx="25">
                  <c:v>2</c:v>
                </c:pt>
                <c:pt idx="26">
                  <c:v>2</c:v>
                </c:pt>
                <c:pt idx="27">
                  <c:v>2</c:v>
                </c:pt>
                <c:pt idx="28">
                  <c:v>2</c:v>
                </c:pt>
                <c:pt idx="29">
                  <c:v>2</c:v>
                </c:pt>
                <c:pt idx="30">
                  <c:v>2</c:v>
                </c:pt>
                <c:pt idx="31">
                  <c:v>2</c:v>
                </c:pt>
                <c:pt idx="32">
                  <c:v>2</c:v>
                </c:pt>
                <c:pt idx="33">
                  <c:v>2</c:v>
                </c:pt>
                <c:pt idx="34">
                  <c:v>2</c:v>
                </c:pt>
                <c:pt idx="35">
                  <c:v>2</c:v>
                </c:pt>
                <c:pt idx="36">
                  <c:v>2</c:v>
                </c:pt>
                <c:pt idx="37">
                  <c:v>2</c:v>
                </c:pt>
                <c:pt idx="38">
                  <c:v>2</c:v>
                </c:pt>
                <c:pt idx="39">
                  <c:v>2</c:v>
                </c:pt>
                <c:pt idx="40">
                  <c:v>2</c:v>
                </c:pt>
                <c:pt idx="41">
                  <c:v>2</c:v>
                </c:pt>
                <c:pt idx="42">
                  <c:v>2</c:v>
                </c:pt>
                <c:pt idx="43">
                  <c:v>2</c:v>
                </c:pt>
                <c:pt idx="44">
                  <c:v>2</c:v>
                </c:pt>
                <c:pt idx="45">
                  <c:v>2</c:v>
                </c:pt>
                <c:pt idx="46">
                  <c:v>2</c:v>
                </c:pt>
                <c:pt idx="47">
                  <c:v>2</c:v>
                </c:pt>
                <c:pt idx="48">
                  <c:v>2</c:v>
                </c:pt>
                <c:pt idx="49">
                  <c:v>2</c:v>
                </c:pt>
                <c:pt idx="50">
                  <c:v>2</c:v>
                </c:pt>
                <c:pt idx="51">
                  <c:v>2</c:v>
                </c:pt>
                <c:pt idx="52">
                  <c:v>2</c:v>
                </c:pt>
                <c:pt idx="53">
                  <c:v>2</c:v>
                </c:pt>
                <c:pt idx="54">
                  <c:v>2</c:v>
                </c:pt>
                <c:pt idx="55">
                  <c:v>2</c:v>
                </c:pt>
                <c:pt idx="56">
                  <c:v>2</c:v>
                </c:pt>
                <c:pt idx="57">
                  <c:v>2</c:v>
                </c:pt>
                <c:pt idx="58">
                  <c:v>2</c:v>
                </c:pt>
                <c:pt idx="59">
                  <c:v>2</c:v>
                </c:pt>
                <c:pt idx="60">
                  <c:v>2</c:v>
                </c:pt>
                <c:pt idx="61">
                  <c:v>2</c:v>
                </c:pt>
                <c:pt idx="62">
                  <c:v>2</c:v>
                </c:pt>
                <c:pt idx="63">
                  <c:v>2</c:v>
                </c:pt>
                <c:pt idx="64">
                  <c:v>2</c:v>
                </c:pt>
                <c:pt idx="65">
                  <c:v>2</c:v>
                </c:pt>
                <c:pt idx="66">
                  <c:v>2</c:v>
                </c:pt>
                <c:pt idx="67">
                  <c:v>2</c:v>
                </c:pt>
                <c:pt idx="68">
                  <c:v>2</c:v>
                </c:pt>
                <c:pt idx="69">
                  <c:v>2</c:v>
                </c:pt>
                <c:pt idx="70">
                  <c:v>2</c:v>
                </c:pt>
                <c:pt idx="71">
                  <c:v>2</c:v>
                </c:pt>
                <c:pt idx="72">
                  <c:v>2</c:v>
                </c:pt>
                <c:pt idx="73">
                  <c:v>2</c:v>
                </c:pt>
                <c:pt idx="74">
                  <c:v>2</c:v>
                </c:pt>
                <c:pt idx="75">
                  <c:v>2</c:v>
                </c:pt>
                <c:pt idx="76">
                  <c:v>2</c:v>
                </c:pt>
                <c:pt idx="77">
                  <c:v>2</c:v>
                </c:pt>
                <c:pt idx="78">
                  <c:v>2</c:v>
                </c:pt>
                <c:pt idx="79">
                  <c:v>2</c:v>
                </c:pt>
                <c:pt idx="80">
                  <c:v>2</c:v>
                </c:pt>
                <c:pt idx="81">
                  <c:v>2</c:v>
                </c:pt>
                <c:pt idx="82">
                  <c:v>2</c:v>
                </c:pt>
                <c:pt idx="83">
                  <c:v>2</c:v>
                </c:pt>
                <c:pt idx="84">
                  <c:v>2</c:v>
                </c:pt>
                <c:pt idx="85">
                  <c:v>2</c:v>
                </c:pt>
                <c:pt idx="86">
                  <c:v>2</c:v>
                </c:pt>
                <c:pt idx="87">
                  <c:v>2</c:v>
                </c:pt>
                <c:pt idx="88">
                  <c:v>2</c:v>
                </c:pt>
                <c:pt idx="89">
                  <c:v>2</c:v>
                </c:pt>
                <c:pt idx="90">
                  <c:v>2</c:v>
                </c:pt>
                <c:pt idx="91">
                  <c:v>2</c:v>
                </c:pt>
                <c:pt idx="92">
                  <c:v>2</c:v>
                </c:pt>
                <c:pt idx="93">
                  <c:v>2</c:v>
                </c:pt>
                <c:pt idx="94">
                  <c:v>2</c:v>
                </c:pt>
                <c:pt idx="95">
                  <c:v>2</c:v>
                </c:pt>
                <c:pt idx="96">
                  <c:v>2</c:v>
                </c:pt>
                <c:pt idx="97">
                  <c:v>2</c:v>
                </c:pt>
                <c:pt idx="98">
                  <c:v>2</c:v>
                </c:pt>
                <c:pt idx="99">
                  <c:v>2</c:v>
                </c:pt>
                <c:pt idx="100">
                  <c:v>2</c:v>
                </c:pt>
                <c:pt idx="101">
                  <c:v>2</c:v>
                </c:pt>
                <c:pt idx="102">
                  <c:v>2</c:v>
                </c:pt>
                <c:pt idx="103">
                  <c:v>2</c:v>
                </c:pt>
                <c:pt idx="104">
                  <c:v>2</c:v>
                </c:pt>
                <c:pt idx="105">
                  <c:v>2</c:v>
                </c:pt>
                <c:pt idx="106">
                  <c:v>2</c:v>
                </c:pt>
                <c:pt idx="107">
                  <c:v>2</c:v>
                </c:pt>
                <c:pt idx="108">
                  <c:v>2</c:v>
                </c:pt>
                <c:pt idx="109">
                  <c:v>2</c:v>
                </c:pt>
                <c:pt idx="110">
                  <c:v>2</c:v>
                </c:pt>
                <c:pt idx="111">
                  <c:v>2</c:v>
                </c:pt>
                <c:pt idx="112">
                  <c:v>2</c:v>
                </c:pt>
                <c:pt idx="113">
                  <c:v>2</c:v>
                </c:pt>
                <c:pt idx="114">
                  <c:v>2</c:v>
                </c:pt>
                <c:pt idx="115">
                  <c:v>2</c:v>
                </c:pt>
                <c:pt idx="116">
                  <c:v>2</c:v>
                </c:pt>
                <c:pt idx="117">
                  <c:v>2</c:v>
                </c:pt>
                <c:pt idx="118">
                  <c:v>2</c:v>
                </c:pt>
                <c:pt idx="119">
                  <c:v>2</c:v>
                </c:pt>
                <c:pt idx="120">
                  <c:v>2</c:v>
                </c:pt>
                <c:pt idx="121">
                  <c:v>2</c:v>
                </c:pt>
                <c:pt idx="122">
                  <c:v>2</c:v>
                </c:pt>
                <c:pt idx="123">
                  <c:v>2</c:v>
                </c:pt>
                <c:pt idx="124">
                  <c:v>2</c:v>
                </c:pt>
                <c:pt idx="125">
                  <c:v>2</c:v>
                </c:pt>
                <c:pt idx="126">
                  <c:v>2</c:v>
                </c:pt>
              </c:numCache>
            </c:numRef>
          </c:yVal>
          <c:smooth val="0"/>
          <c:extLst>
            <c:ext xmlns:c16="http://schemas.microsoft.com/office/drawing/2014/chart" uri="{C3380CC4-5D6E-409C-BE32-E72D297353CC}">
              <c16:uniqueId val="{00000003-3942-450C-8EB1-C521D38617AE}"/>
            </c:ext>
          </c:extLst>
        </c:ser>
        <c:dLbls>
          <c:showLegendKey val="0"/>
          <c:showVal val="0"/>
          <c:showCatName val="0"/>
          <c:showSerName val="0"/>
          <c:showPercent val="0"/>
          <c:showBubbleSize val="0"/>
        </c:dLbls>
        <c:axId val="280753160"/>
        <c:axId val="280753552"/>
      </c:scatterChart>
      <c:valAx>
        <c:axId val="280753160"/>
        <c:scaling>
          <c:orientation val="minMax"/>
          <c:max val="1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53552"/>
        <c:crosses val="autoZero"/>
        <c:crossBetween val="midCat"/>
      </c:valAx>
      <c:valAx>
        <c:axId val="28075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53160"/>
        <c:crosses val="autoZero"/>
        <c:crossBetween val="midCat"/>
      </c:valAx>
      <c:spPr>
        <a:noFill/>
        <a:ln>
          <a:noFill/>
        </a:ln>
        <a:effectLst/>
      </c:spPr>
    </c:plotArea>
    <c:legend>
      <c:legendPos val="b"/>
      <c:layout>
        <c:manualLayout>
          <c:xMode val="edge"/>
          <c:yMode val="edge"/>
          <c:x val="6.8719320631513883E-2"/>
          <c:y val="0.70734843727356167"/>
          <c:w val="0.86256116913871195"/>
          <c:h val="0.1944921400953913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762340476763781E-2"/>
          <c:y val="8.0144471736951259E-2"/>
          <c:w val="0.89552133617651886"/>
          <c:h val="0.51097914843977832"/>
        </c:manualLayout>
      </c:layout>
      <c:scatterChart>
        <c:scatterStyle val="lineMarker"/>
        <c:varyColors val="0"/>
        <c:ser>
          <c:idx val="0"/>
          <c:order val="0"/>
          <c:tx>
            <c:strRef>
              <c:f>'[2017_03 Statu saraksts 20170427102441_JB.xlsb]Punktu graf.30.saime'!$C$1</c:f>
              <c:strCache>
                <c:ptCount val="1"/>
                <c:pt idx="0">
                  <c:v>30.amata saimē klasificēto amata vietu skaits iestādē</c:v>
                </c:pt>
              </c:strCache>
            </c:strRef>
          </c:tx>
          <c:spPr>
            <a:ln w="19050" cap="rnd">
              <a:noFill/>
              <a:round/>
            </a:ln>
            <a:effectLst/>
          </c:spPr>
          <c:marker>
            <c:symbol val="circle"/>
            <c:size val="5"/>
            <c:spPr>
              <a:solidFill>
                <a:srgbClr val="2C891F"/>
              </a:solidFill>
              <a:ln w="9525">
                <a:solidFill>
                  <a:schemeClr val="accent1"/>
                </a:solidFill>
              </a:ln>
              <a:effectLst/>
            </c:spPr>
          </c:marker>
          <c:dPt>
            <c:idx val="53"/>
            <c:marker>
              <c:symbol val="circle"/>
              <c:size val="5"/>
              <c:spPr>
                <a:solidFill>
                  <a:srgbClr val="2C891F"/>
                </a:solidFill>
                <a:ln w="9525">
                  <a:noFill/>
                </a:ln>
                <a:effectLst/>
              </c:spPr>
            </c:marker>
            <c:bubble3D val="0"/>
            <c:spPr>
              <a:ln w="19050" cap="rnd">
                <a:noFill/>
                <a:round/>
              </a:ln>
              <a:effectLst/>
            </c:spPr>
            <c:extLst>
              <c:ext xmlns:c16="http://schemas.microsoft.com/office/drawing/2014/chart" uri="{C3380CC4-5D6E-409C-BE32-E72D297353CC}">
                <c16:uniqueId val="{00000001-4006-4BEE-A2C2-1403809C0BFC}"/>
              </c:ext>
            </c:extLst>
          </c:dPt>
          <c:xVal>
            <c:numRef>
              <c:f>'[2017_03 Statu saraksts 20170427102441_JB.xlsb]Punktu graf.30.saime'!$B$2:$B$123</c:f>
              <c:numCache>
                <c:formatCode>General</c:formatCode>
                <c:ptCount val="122"/>
                <c:pt idx="0">
                  <c:v>333</c:v>
                </c:pt>
                <c:pt idx="1">
                  <c:v>172</c:v>
                </c:pt>
                <c:pt idx="2">
                  <c:v>281</c:v>
                </c:pt>
                <c:pt idx="3">
                  <c:v>68</c:v>
                </c:pt>
                <c:pt idx="4">
                  <c:v>339</c:v>
                </c:pt>
                <c:pt idx="5">
                  <c:v>588</c:v>
                </c:pt>
                <c:pt idx="6">
                  <c:v>5</c:v>
                </c:pt>
                <c:pt idx="7">
                  <c:v>72</c:v>
                </c:pt>
                <c:pt idx="8">
                  <c:v>559</c:v>
                </c:pt>
                <c:pt idx="9">
                  <c:v>217</c:v>
                </c:pt>
                <c:pt idx="10">
                  <c:v>50</c:v>
                </c:pt>
                <c:pt idx="11">
                  <c:v>278</c:v>
                </c:pt>
                <c:pt idx="12">
                  <c:v>92</c:v>
                </c:pt>
                <c:pt idx="13">
                  <c:v>356</c:v>
                </c:pt>
                <c:pt idx="14">
                  <c:v>60</c:v>
                </c:pt>
                <c:pt idx="15">
                  <c:v>414</c:v>
                </c:pt>
                <c:pt idx="16">
                  <c:v>4095</c:v>
                </c:pt>
                <c:pt idx="17">
                  <c:v>191</c:v>
                </c:pt>
                <c:pt idx="18">
                  <c:v>19</c:v>
                </c:pt>
                <c:pt idx="19">
                  <c:v>10</c:v>
                </c:pt>
                <c:pt idx="20">
                  <c:v>97</c:v>
                </c:pt>
                <c:pt idx="21">
                  <c:v>146</c:v>
                </c:pt>
                <c:pt idx="22">
                  <c:v>94</c:v>
                </c:pt>
                <c:pt idx="23">
                  <c:v>316</c:v>
                </c:pt>
                <c:pt idx="24">
                  <c:v>646</c:v>
                </c:pt>
                <c:pt idx="25">
                  <c:v>7448</c:v>
                </c:pt>
                <c:pt idx="26">
                  <c:v>450</c:v>
                </c:pt>
                <c:pt idx="27">
                  <c:v>2355</c:v>
                </c:pt>
                <c:pt idx="28">
                  <c:v>3006</c:v>
                </c:pt>
                <c:pt idx="29">
                  <c:v>93</c:v>
                </c:pt>
                <c:pt idx="30">
                  <c:v>213</c:v>
                </c:pt>
                <c:pt idx="31">
                  <c:v>21</c:v>
                </c:pt>
                <c:pt idx="32">
                  <c:v>11</c:v>
                </c:pt>
                <c:pt idx="33">
                  <c:v>196</c:v>
                </c:pt>
                <c:pt idx="34">
                  <c:v>107</c:v>
                </c:pt>
                <c:pt idx="35">
                  <c:v>36</c:v>
                </c:pt>
                <c:pt idx="36">
                  <c:v>20</c:v>
                </c:pt>
                <c:pt idx="37">
                  <c:v>16</c:v>
                </c:pt>
                <c:pt idx="38">
                  <c:v>79</c:v>
                </c:pt>
                <c:pt idx="39">
                  <c:v>25</c:v>
                </c:pt>
                <c:pt idx="40">
                  <c:v>135</c:v>
                </c:pt>
                <c:pt idx="41">
                  <c:v>72</c:v>
                </c:pt>
                <c:pt idx="42">
                  <c:v>425</c:v>
                </c:pt>
                <c:pt idx="43">
                  <c:v>28</c:v>
                </c:pt>
                <c:pt idx="44">
                  <c:v>201</c:v>
                </c:pt>
                <c:pt idx="45">
                  <c:v>134</c:v>
                </c:pt>
                <c:pt idx="46">
                  <c:v>392</c:v>
                </c:pt>
                <c:pt idx="47">
                  <c:v>48</c:v>
                </c:pt>
                <c:pt idx="48">
                  <c:v>60</c:v>
                </c:pt>
                <c:pt idx="49">
                  <c:v>11</c:v>
                </c:pt>
                <c:pt idx="50">
                  <c:v>67</c:v>
                </c:pt>
                <c:pt idx="51">
                  <c:v>126</c:v>
                </c:pt>
                <c:pt idx="52">
                  <c:v>113</c:v>
                </c:pt>
                <c:pt idx="53">
                  <c:v>103</c:v>
                </c:pt>
                <c:pt idx="54">
                  <c:v>12</c:v>
                </c:pt>
                <c:pt idx="55">
                  <c:v>239</c:v>
                </c:pt>
                <c:pt idx="56">
                  <c:v>875</c:v>
                </c:pt>
                <c:pt idx="57">
                  <c:v>365</c:v>
                </c:pt>
                <c:pt idx="58">
                  <c:v>1000</c:v>
                </c:pt>
                <c:pt idx="59">
                  <c:v>577</c:v>
                </c:pt>
                <c:pt idx="60">
                  <c:v>661</c:v>
                </c:pt>
                <c:pt idx="61">
                  <c:v>383</c:v>
                </c:pt>
                <c:pt idx="62">
                  <c:v>1008</c:v>
                </c:pt>
                <c:pt idx="63">
                  <c:v>511</c:v>
                </c:pt>
                <c:pt idx="64">
                  <c:v>64</c:v>
                </c:pt>
                <c:pt idx="65">
                  <c:v>190</c:v>
                </c:pt>
                <c:pt idx="66">
                  <c:v>169</c:v>
                </c:pt>
                <c:pt idx="67">
                  <c:v>158</c:v>
                </c:pt>
                <c:pt idx="68">
                  <c:v>130</c:v>
                </c:pt>
                <c:pt idx="69">
                  <c:v>21</c:v>
                </c:pt>
                <c:pt idx="70">
                  <c:v>38</c:v>
                </c:pt>
                <c:pt idx="71">
                  <c:v>25</c:v>
                </c:pt>
                <c:pt idx="72">
                  <c:v>153</c:v>
                </c:pt>
                <c:pt idx="73">
                  <c:v>21</c:v>
                </c:pt>
                <c:pt idx="74">
                  <c:v>7</c:v>
                </c:pt>
                <c:pt idx="75">
                  <c:v>906</c:v>
                </c:pt>
                <c:pt idx="76">
                  <c:v>126</c:v>
                </c:pt>
                <c:pt idx="77">
                  <c:v>43</c:v>
                </c:pt>
                <c:pt idx="78">
                  <c:v>18</c:v>
                </c:pt>
                <c:pt idx="79">
                  <c:v>41</c:v>
                </c:pt>
                <c:pt idx="80">
                  <c:v>156</c:v>
                </c:pt>
                <c:pt idx="81">
                  <c:v>10</c:v>
                </c:pt>
                <c:pt idx="82">
                  <c:v>79</c:v>
                </c:pt>
                <c:pt idx="83">
                  <c:v>21</c:v>
                </c:pt>
                <c:pt idx="84">
                  <c:v>12</c:v>
                </c:pt>
                <c:pt idx="85">
                  <c:v>26</c:v>
                </c:pt>
                <c:pt idx="86">
                  <c:v>2796</c:v>
                </c:pt>
                <c:pt idx="87">
                  <c:v>34</c:v>
                </c:pt>
                <c:pt idx="88">
                  <c:v>247</c:v>
                </c:pt>
                <c:pt idx="89">
                  <c:v>52</c:v>
                </c:pt>
                <c:pt idx="90">
                  <c:v>66</c:v>
                </c:pt>
                <c:pt idx="91">
                  <c:v>2426</c:v>
                </c:pt>
                <c:pt idx="92">
                  <c:v>178</c:v>
                </c:pt>
                <c:pt idx="93">
                  <c:v>28</c:v>
                </c:pt>
                <c:pt idx="94">
                  <c:v>388</c:v>
                </c:pt>
                <c:pt idx="95">
                  <c:v>53</c:v>
                </c:pt>
                <c:pt idx="96">
                  <c:v>42</c:v>
                </c:pt>
                <c:pt idx="97">
                  <c:v>750</c:v>
                </c:pt>
                <c:pt idx="98">
                  <c:v>130</c:v>
                </c:pt>
                <c:pt idx="99">
                  <c:v>55</c:v>
                </c:pt>
                <c:pt idx="100">
                  <c:v>342</c:v>
                </c:pt>
                <c:pt idx="101">
                  <c:v>108</c:v>
                </c:pt>
                <c:pt idx="102">
                  <c:v>324</c:v>
                </c:pt>
                <c:pt idx="103">
                  <c:v>5</c:v>
                </c:pt>
                <c:pt idx="104">
                  <c:v>18</c:v>
                </c:pt>
                <c:pt idx="105">
                  <c:v>129</c:v>
                </c:pt>
                <c:pt idx="106">
                  <c:v>213</c:v>
                </c:pt>
                <c:pt idx="107">
                  <c:v>3949</c:v>
                </c:pt>
                <c:pt idx="108">
                  <c:v>90</c:v>
                </c:pt>
                <c:pt idx="109">
                  <c:v>163</c:v>
                </c:pt>
                <c:pt idx="110">
                  <c:v>182</c:v>
                </c:pt>
                <c:pt idx="111">
                  <c:v>78</c:v>
                </c:pt>
                <c:pt idx="112">
                  <c:v>172</c:v>
                </c:pt>
                <c:pt idx="113">
                  <c:v>233</c:v>
                </c:pt>
                <c:pt idx="114">
                  <c:v>154</c:v>
                </c:pt>
                <c:pt idx="115">
                  <c:v>247</c:v>
                </c:pt>
                <c:pt idx="116">
                  <c:v>71</c:v>
                </c:pt>
                <c:pt idx="117">
                  <c:v>781</c:v>
                </c:pt>
                <c:pt idx="118">
                  <c:v>638</c:v>
                </c:pt>
                <c:pt idx="119">
                  <c:v>200</c:v>
                </c:pt>
                <c:pt idx="120">
                  <c:v>669</c:v>
                </c:pt>
                <c:pt idx="121">
                  <c:v>76</c:v>
                </c:pt>
              </c:numCache>
            </c:numRef>
          </c:xVal>
          <c:yVal>
            <c:numRef>
              <c:f>'[2017_03 Statu saraksts 20170427102441_JB.xlsb]Punktu graf.30.saime'!$C$2:$C$123</c:f>
              <c:numCache>
                <c:formatCode>0.0</c:formatCode>
                <c:ptCount val="122"/>
                <c:pt idx="0">
                  <c:v>1.5015015015015014</c:v>
                </c:pt>
                <c:pt idx="1">
                  <c:v>0.58139534883720934</c:v>
                </c:pt>
                <c:pt idx="2">
                  <c:v>1.0676156583629892</c:v>
                </c:pt>
                <c:pt idx="3">
                  <c:v>1.4705882352941175</c:v>
                </c:pt>
                <c:pt idx="4">
                  <c:v>1.1799410029498525</c:v>
                </c:pt>
                <c:pt idx="5">
                  <c:v>1.0204081632653061</c:v>
                </c:pt>
                <c:pt idx="6" formatCode="0">
                  <c:v>0</c:v>
                </c:pt>
                <c:pt idx="7">
                  <c:v>1.3888888888888888</c:v>
                </c:pt>
                <c:pt idx="8">
                  <c:v>1.0733452593917709</c:v>
                </c:pt>
                <c:pt idx="9">
                  <c:v>2.7649769585253456</c:v>
                </c:pt>
                <c:pt idx="10">
                  <c:v>2</c:v>
                </c:pt>
                <c:pt idx="11">
                  <c:v>1.4388489208633095</c:v>
                </c:pt>
                <c:pt idx="12">
                  <c:v>2.1739130434782608</c:v>
                </c:pt>
                <c:pt idx="13">
                  <c:v>1.4044943820224718</c:v>
                </c:pt>
                <c:pt idx="14">
                  <c:v>1.6666666666666667</c:v>
                </c:pt>
                <c:pt idx="15">
                  <c:v>1.2077294685990339</c:v>
                </c:pt>
                <c:pt idx="16">
                  <c:v>0.73260073260073255</c:v>
                </c:pt>
                <c:pt idx="17">
                  <c:v>2.0942408376963351</c:v>
                </c:pt>
                <c:pt idx="18">
                  <c:v>0</c:v>
                </c:pt>
                <c:pt idx="19">
                  <c:v>0</c:v>
                </c:pt>
                <c:pt idx="20">
                  <c:v>2.061855670103093</c:v>
                </c:pt>
                <c:pt idx="21">
                  <c:v>3.4246575342465753</c:v>
                </c:pt>
                <c:pt idx="22">
                  <c:v>1.0638297872340425</c:v>
                </c:pt>
                <c:pt idx="23">
                  <c:v>0.94936708860759489</c:v>
                </c:pt>
                <c:pt idx="24">
                  <c:v>1.5479876160990713</c:v>
                </c:pt>
                <c:pt idx="25">
                  <c:v>0.96670247046186886</c:v>
                </c:pt>
                <c:pt idx="26">
                  <c:v>1.5555555555555556</c:v>
                </c:pt>
                <c:pt idx="27">
                  <c:v>1.6560509554140126</c:v>
                </c:pt>
                <c:pt idx="28">
                  <c:v>0.83166999334664005</c:v>
                </c:pt>
                <c:pt idx="29">
                  <c:v>1.075268817204301</c:v>
                </c:pt>
                <c:pt idx="30">
                  <c:v>2.8169014084507045</c:v>
                </c:pt>
                <c:pt idx="31">
                  <c:v>0</c:v>
                </c:pt>
                <c:pt idx="32">
                  <c:v>0</c:v>
                </c:pt>
                <c:pt idx="33">
                  <c:v>1.5306122448979591</c:v>
                </c:pt>
                <c:pt idx="34">
                  <c:v>0.93457943925233644</c:v>
                </c:pt>
                <c:pt idx="35">
                  <c:v>0</c:v>
                </c:pt>
                <c:pt idx="36">
                  <c:v>0</c:v>
                </c:pt>
                <c:pt idx="37">
                  <c:v>0</c:v>
                </c:pt>
                <c:pt idx="38">
                  <c:v>1.2658227848101264</c:v>
                </c:pt>
                <c:pt idx="39">
                  <c:v>0</c:v>
                </c:pt>
                <c:pt idx="40">
                  <c:v>2.9629629629629628</c:v>
                </c:pt>
                <c:pt idx="41">
                  <c:v>0</c:v>
                </c:pt>
                <c:pt idx="42">
                  <c:v>1.1764705882352942</c:v>
                </c:pt>
                <c:pt idx="43">
                  <c:v>0</c:v>
                </c:pt>
                <c:pt idx="44">
                  <c:v>0.99502487562189068</c:v>
                </c:pt>
                <c:pt idx="45">
                  <c:v>0.74626865671641784</c:v>
                </c:pt>
                <c:pt idx="46">
                  <c:v>1.2755102040816326</c:v>
                </c:pt>
                <c:pt idx="47">
                  <c:v>0</c:v>
                </c:pt>
                <c:pt idx="48">
                  <c:v>1.6666666666666667</c:v>
                </c:pt>
                <c:pt idx="49">
                  <c:v>9.0909090909090917</c:v>
                </c:pt>
                <c:pt idx="50">
                  <c:v>1.4925373134328357</c:v>
                </c:pt>
                <c:pt idx="51">
                  <c:v>0.79365079365079361</c:v>
                </c:pt>
                <c:pt idx="52">
                  <c:v>0.88495575221238942</c:v>
                </c:pt>
                <c:pt idx="53">
                  <c:v>0.970873786407767</c:v>
                </c:pt>
                <c:pt idx="54">
                  <c:v>0</c:v>
                </c:pt>
                <c:pt idx="55">
                  <c:v>2.9288702928870292</c:v>
                </c:pt>
                <c:pt idx="56">
                  <c:v>0.68571428571428572</c:v>
                </c:pt>
                <c:pt idx="57">
                  <c:v>0.82191780821917815</c:v>
                </c:pt>
                <c:pt idx="58">
                  <c:v>0.8</c:v>
                </c:pt>
                <c:pt idx="59">
                  <c:v>0.69324090121317161</c:v>
                </c:pt>
                <c:pt idx="60">
                  <c:v>0.75642965204236001</c:v>
                </c:pt>
                <c:pt idx="61">
                  <c:v>0.78328981723237601</c:v>
                </c:pt>
                <c:pt idx="62">
                  <c:v>0.49603174603174605</c:v>
                </c:pt>
                <c:pt idx="63">
                  <c:v>1.1741682974559686</c:v>
                </c:pt>
                <c:pt idx="64">
                  <c:v>0</c:v>
                </c:pt>
                <c:pt idx="65">
                  <c:v>0</c:v>
                </c:pt>
                <c:pt idx="66">
                  <c:v>0</c:v>
                </c:pt>
                <c:pt idx="67">
                  <c:v>0.63291139240506322</c:v>
                </c:pt>
                <c:pt idx="68">
                  <c:v>1.5384615384615383</c:v>
                </c:pt>
                <c:pt idx="69">
                  <c:v>0</c:v>
                </c:pt>
                <c:pt idx="70">
                  <c:v>2.6315789473684212</c:v>
                </c:pt>
                <c:pt idx="71">
                  <c:v>0</c:v>
                </c:pt>
                <c:pt idx="72">
                  <c:v>1.3071895424836601</c:v>
                </c:pt>
                <c:pt idx="73">
                  <c:v>0</c:v>
                </c:pt>
                <c:pt idx="74">
                  <c:v>0</c:v>
                </c:pt>
                <c:pt idx="75">
                  <c:v>0.66225165562913901</c:v>
                </c:pt>
                <c:pt idx="76">
                  <c:v>0</c:v>
                </c:pt>
                <c:pt idx="77">
                  <c:v>0</c:v>
                </c:pt>
                <c:pt idx="78">
                  <c:v>0</c:v>
                </c:pt>
                <c:pt idx="79">
                  <c:v>2.4390243902439024</c:v>
                </c:pt>
                <c:pt idx="80">
                  <c:v>1.9230769230769229</c:v>
                </c:pt>
                <c:pt idx="81">
                  <c:v>0</c:v>
                </c:pt>
                <c:pt idx="82">
                  <c:v>1.2658227848101264</c:v>
                </c:pt>
                <c:pt idx="83">
                  <c:v>4.7619047619047619</c:v>
                </c:pt>
                <c:pt idx="84">
                  <c:v>0</c:v>
                </c:pt>
                <c:pt idx="85">
                  <c:v>3.8461538461538458</c:v>
                </c:pt>
                <c:pt idx="86">
                  <c:v>3.0758226037195993</c:v>
                </c:pt>
                <c:pt idx="87">
                  <c:v>2.9411764705882351</c:v>
                </c:pt>
                <c:pt idx="88">
                  <c:v>2.0242914979757085</c:v>
                </c:pt>
                <c:pt idx="89">
                  <c:v>1.9230769230769229</c:v>
                </c:pt>
                <c:pt idx="90">
                  <c:v>3.0303030303030303</c:v>
                </c:pt>
                <c:pt idx="91">
                  <c:v>0.32976092333058532</c:v>
                </c:pt>
                <c:pt idx="92">
                  <c:v>1.1235955056179776</c:v>
                </c:pt>
                <c:pt idx="93">
                  <c:v>3.5714285714285712</c:v>
                </c:pt>
                <c:pt idx="94">
                  <c:v>1.0309278350515465</c:v>
                </c:pt>
                <c:pt idx="95">
                  <c:v>1.8867924528301885</c:v>
                </c:pt>
                <c:pt idx="96">
                  <c:v>2.3809523809523809</c:v>
                </c:pt>
                <c:pt idx="97">
                  <c:v>0.93333333333333335</c:v>
                </c:pt>
                <c:pt idx="98">
                  <c:v>1.5384615384615383</c:v>
                </c:pt>
                <c:pt idx="99">
                  <c:v>1.8181818181818181</c:v>
                </c:pt>
                <c:pt idx="100">
                  <c:v>1.1695906432748537</c:v>
                </c:pt>
                <c:pt idx="101">
                  <c:v>0</c:v>
                </c:pt>
                <c:pt idx="102">
                  <c:v>0.92592592592592582</c:v>
                </c:pt>
                <c:pt idx="103">
                  <c:v>0</c:v>
                </c:pt>
                <c:pt idx="104">
                  <c:v>0</c:v>
                </c:pt>
                <c:pt idx="105">
                  <c:v>3.1007751937984493</c:v>
                </c:pt>
                <c:pt idx="106">
                  <c:v>0.93896713615023475</c:v>
                </c:pt>
                <c:pt idx="107">
                  <c:v>0.43048873132438592</c:v>
                </c:pt>
                <c:pt idx="108">
                  <c:v>1.1111111111111112</c:v>
                </c:pt>
                <c:pt idx="109">
                  <c:v>1.2269938650306749</c:v>
                </c:pt>
                <c:pt idx="110">
                  <c:v>1.6483516483516483</c:v>
                </c:pt>
                <c:pt idx="111">
                  <c:v>0</c:v>
                </c:pt>
                <c:pt idx="112">
                  <c:v>1.1627906976744187</c:v>
                </c:pt>
                <c:pt idx="113">
                  <c:v>1.7167381974248928</c:v>
                </c:pt>
                <c:pt idx="114">
                  <c:v>1.948051948051948</c:v>
                </c:pt>
                <c:pt idx="115">
                  <c:v>2.0242914979757085</c:v>
                </c:pt>
                <c:pt idx="116">
                  <c:v>0</c:v>
                </c:pt>
                <c:pt idx="117">
                  <c:v>1.1523687580025608</c:v>
                </c:pt>
                <c:pt idx="118">
                  <c:v>0.94043887147335425</c:v>
                </c:pt>
                <c:pt idx="119">
                  <c:v>1</c:v>
                </c:pt>
                <c:pt idx="120">
                  <c:v>0.59790732436472338</c:v>
                </c:pt>
                <c:pt idx="121">
                  <c:v>1.3157894736842106</c:v>
                </c:pt>
              </c:numCache>
            </c:numRef>
          </c:yVal>
          <c:smooth val="0"/>
          <c:extLst>
            <c:ext xmlns:c16="http://schemas.microsoft.com/office/drawing/2014/chart" uri="{C3380CC4-5D6E-409C-BE32-E72D297353CC}">
              <c16:uniqueId val="{00000002-4006-4BEE-A2C2-1403809C0BFC}"/>
            </c:ext>
          </c:extLst>
        </c:ser>
        <c:ser>
          <c:idx val="1"/>
          <c:order val="1"/>
          <c:tx>
            <c:strRef>
              <c:f>'[2017_03 Statu saraksts 20170427102441_JB.xlsb]Punktu graf.30.saime'!$D$1</c:f>
              <c:strCache>
                <c:ptCount val="1"/>
                <c:pt idx="0">
                  <c:v>Vidējais valsts pārvaldē 30.amata saimē klasificēto amata vietu skaits uz 100 amata vietām</c:v>
                </c:pt>
              </c:strCache>
            </c:strRef>
          </c:tx>
          <c:spPr>
            <a:ln w="19050" cap="rnd">
              <a:solidFill>
                <a:schemeClr val="accent2"/>
              </a:solidFill>
              <a:round/>
            </a:ln>
            <a:effectLst/>
          </c:spPr>
          <c:marker>
            <c:symbol val="dash"/>
            <c:size val="5"/>
            <c:spPr>
              <a:solidFill>
                <a:schemeClr val="accent2"/>
              </a:solidFill>
              <a:ln w="3175">
                <a:solidFill>
                  <a:schemeClr val="accent2"/>
                </a:solidFill>
              </a:ln>
              <a:effectLst/>
            </c:spPr>
          </c:marker>
          <c:xVal>
            <c:numRef>
              <c:f>'[2017_03 Statu saraksts 20170427102441_JB.xlsb]Punktu graf.30.saime'!$B$2:$B$123</c:f>
              <c:numCache>
                <c:formatCode>General</c:formatCode>
                <c:ptCount val="122"/>
                <c:pt idx="0">
                  <c:v>333</c:v>
                </c:pt>
                <c:pt idx="1">
                  <c:v>172</c:v>
                </c:pt>
                <c:pt idx="2">
                  <c:v>281</c:v>
                </c:pt>
                <c:pt idx="3">
                  <c:v>68</c:v>
                </c:pt>
                <c:pt idx="4">
                  <c:v>339</c:v>
                </c:pt>
                <c:pt idx="5">
                  <c:v>588</c:v>
                </c:pt>
                <c:pt idx="6">
                  <c:v>5</c:v>
                </c:pt>
                <c:pt idx="7">
                  <c:v>72</c:v>
                </c:pt>
                <c:pt idx="8">
                  <c:v>559</c:v>
                </c:pt>
                <c:pt idx="9">
                  <c:v>217</c:v>
                </c:pt>
                <c:pt idx="10">
                  <c:v>50</c:v>
                </c:pt>
                <c:pt idx="11">
                  <c:v>278</c:v>
                </c:pt>
                <c:pt idx="12">
                  <c:v>92</c:v>
                </c:pt>
                <c:pt idx="13">
                  <c:v>356</c:v>
                </c:pt>
                <c:pt idx="14">
                  <c:v>60</c:v>
                </c:pt>
                <c:pt idx="15">
                  <c:v>414</c:v>
                </c:pt>
                <c:pt idx="16">
                  <c:v>4095</c:v>
                </c:pt>
                <c:pt idx="17">
                  <c:v>191</c:v>
                </c:pt>
                <c:pt idx="18">
                  <c:v>19</c:v>
                </c:pt>
                <c:pt idx="19">
                  <c:v>10</c:v>
                </c:pt>
                <c:pt idx="20">
                  <c:v>97</c:v>
                </c:pt>
                <c:pt idx="21">
                  <c:v>146</c:v>
                </c:pt>
                <c:pt idx="22">
                  <c:v>94</c:v>
                </c:pt>
                <c:pt idx="23">
                  <c:v>316</c:v>
                </c:pt>
                <c:pt idx="24">
                  <c:v>646</c:v>
                </c:pt>
                <c:pt idx="25">
                  <c:v>7448</c:v>
                </c:pt>
                <c:pt idx="26">
                  <c:v>450</c:v>
                </c:pt>
                <c:pt idx="27">
                  <c:v>2355</c:v>
                </c:pt>
                <c:pt idx="28">
                  <c:v>3006</c:v>
                </c:pt>
                <c:pt idx="29">
                  <c:v>93</c:v>
                </c:pt>
                <c:pt idx="30">
                  <c:v>213</c:v>
                </c:pt>
                <c:pt idx="31">
                  <c:v>21</c:v>
                </c:pt>
                <c:pt idx="32">
                  <c:v>11</c:v>
                </c:pt>
                <c:pt idx="33">
                  <c:v>196</c:v>
                </c:pt>
                <c:pt idx="34">
                  <c:v>107</c:v>
                </c:pt>
                <c:pt idx="35">
                  <c:v>36</c:v>
                </c:pt>
                <c:pt idx="36">
                  <c:v>20</c:v>
                </c:pt>
                <c:pt idx="37">
                  <c:v>16</c:v>
                </c:pt>
                <c:pt idx="38">
                  <c:v>79</c:v>
                </c:pt>
                <c:pt idx="39">
                  <c:v>25</c:v>
                </c:pt>
                <c:pt idx="40">
                  <c:v>135</c:v>
                </c:pt>
                <c:pt idx="41">
                  <c:v>72</c:v>
                </c:pt>
                <c:pt idx="42">
                  <c:v>425</c:v>
                </c:pt>
                <c:pt idx="43">
                  <c:v>28</c:v>
                </c:pt>
                <c:pt idx="44">
                  <c:v>201</c:v>
                </c:pt>
                <c:pt idx="45">
                  <c:v>134</c:v>
                </c:pt>
                <c:pt idx="46">
                  <c:v>392</c:v>
                </c:pt>
                <c:pt idx="47">
                  <c:v>48</c:v>
                </c:pt>
                <c:pt idx="48">
                  <c:v>60</c:v>
                </c:pt>
                <c:pt idx="49">
                  <c:v>11</c:v>
                </c:pt>
                <c:pt idx="50">
                  <c:v>67</c:v>
                </c:pt>
                <c:pt idx="51">
                  <c:v>126</c:v>
                </c:pt>
                <c:pt idx="52">
                  <c:v>113</c:v>
                </c:pt>
                <c:pt idx="53">
                  <c:v>103</c:v>
                </c:pt>
                <c:pt idx="54">
                  <c:v>12</c:v>
                </c:pt>
                <c:pt idx="55">
                  <c:v>239</c:v>
                </c:pt>
                <c:pt idx="56">
                  <c:v>875</c:v>
                </c:pt>
                <c:pt idx="57">
                  <c:v>365</c:v>
                </c:pt>
                <c:pt idx="58">
                  <c:v>1000</c:v>
                </c:pt>
                <c:pt idx="59">
                  <c:v>577</c:v>
                </c:pt>
                <c:pt idx="60">
                  <c:v>661</c:v>
                </c:pt>
                <c:pt idx="61">
                  <c:v>383</c:v>
                </c:pt>
                <c:pt idx="62">
                  <c:v>1008</c:v>
                </c:pt>
                <c:pt idx="63">
                  <c:v>511</c:v>
                </c:pt>
                <c:pt idx="64">
                  <c:v>64</c:v>
                </c:pt>
                <c:pt idx="65">
                  <c:v>190</c:v>
                </c:pt>
                <c:pt idx="66">
                  <c:v>169</c:v>
                </c:pt>
                <c:pt idx="67">
                  <c:v>158</c:v>
                </c:pt>
                <c:pt idx="68">
                  <c:v>130</c:v>
                </c:pt>
                <c:pt idx="69">
                  <c:v>21</c:v>
                </c:pt>
                <c:pt idx="70">
                  <c:v>38</c:v>
                </c:pt>
                <c:pt idx="71">
                  <c:v>25</c:v>
                </c:pt>
                <c:pt idx="72">
                  <c:v>153</c:v>
                </c:pt>
                <c:pt idx="73">
                  <c:v>21</c:v>
                </c:pt>
                <c:pt idx="74">
                  <c:v>7</c:v>
                </c:pt>
                <c:pt idx="75">
                  <c:v>906</c:v>
                </c:pt>
                <c:pt idx="76">
                  <c:v>126</c:v>
                </c:pt>
                <c:pt idx="77">
                  <c:v>43</c:v>
                </c:pt>
                <c:pt idx="78">
                  <c:v>18</c:v>
                </c:pt>
                <c:pt idx="79">
                  <c:v>41</c:v>
                </c:pt>
                <c:pt idx="80">
                  <c:v>156</c:v>
                </c:pt>
                <c:pt idx="81">
                  <c:v>10</c:v>
                </c:pt>
                <c:pt idx="82">
                  <c:v>79</c:v>
                </c:pt>
                <c:pt idx="83">
                  <c:v>21</c:v>
                </c:pt>
                <c:pt idx="84">
                  <c:v>12</c:v>
                </c:pt>
                <c:pt idx="85">
                  <c:v>26</c:v>
                </c:pt>
                <c:pt idx="86">
                  <c:v>2796</c:v>
                </c:pt>
                <c:pt idx="87">
                  <c:v>34</c:v>
                </c:pt>
                <c:pt idx="88">
                  <c:v>247</c:v>
                </c:pt>
                <c:pt idx="89">
                  <c:v>52</c:v>
                </c:pt>
                <c:pt idx="90">
                  <c:v>66</c:v>
                </c:pt>
                <c:pt idx="91">
                  <c:v>2426</c:v>
                </c:pt>
                <c:pt idx="92">
                  <c:v>178</c:v>
                </c:pt>
                <c:pt idx="93">
                  <c:v>28</c:v>
                </c:pt>
                <c:pt idx="94">
                  <c:v>388</c:v>
                </c:pt>
                <c:pt idx="95">
                  <c:v>53</c:v>
                </c:pt>
                <c:pt idx="96">
                  <c:v>42</c:v>
                </c:pt>
                <c:pt idx="97">
                  <c:v>750</c:v>
                </c:pt>
                <c:pt idx="98">
                  <c:v>130</c:v>
                </c:pt>
                <c:pt idx="99">
                  <c:v>55</c:v>
                </c:pt>
                <c:pt idx="100">
                  <c:v>342</c:v>
                </c:pt>
                <c:pt idx="101">
                  <c:v>108</c:v>
                </c:pt>
                <c:pt idx="102">
                  <c:v>324</c:v>
                </c:pt>
                <c:pt idx="103">
                  <c:v>5</c:v>
                </c:pt>
                <c:pt idx="104">
                  <c:v>18</c:v>
                </c:pt>
                <c:pt idx="105">
                  <c:v>129</c:v>
                </c:pt>
                <c:pt idx="106">
                  <c:v>213</c:v>
                </c:pt>
                <c:pt idx="107">
                  <c:v>3949</c:v>
                </c:pt>
                <c:pt idx="108">
                  <c:v>90</c:v>
                </c:pt>
                <c:pt idx="109">
                  <c:v>163</c:v>
                </c:pt>
                <c:pt idx="110">
                  <c:v>182</c:v>
                </c:pt>
                <c:pt idx="111">
                  <c:v>78</c:v>
                </c:pt>
                <c:pt idx="112">
                  <c:v>172</c:v>
                </c:pt>
                <c:pt idx="113">
                  <c:v>233</c:v>
                </c:pt>
                <c:pt idx="114">
                  <c:v>154</c:v>
                </c:pt>
                <c:pt idx="115">
                  <c:v>247</c:v>
                </c:pt>
                <c:pt idx="116">
                  <c:v>71</c:v>
                </c:pt>
                <c:pt idx="117">
                  <c:v>781</c:v>
                </c:pt>
                <c:pt idx="118">
                  <c:v>638</c:v>
                </c:pt>
                <c:pt idx="119">
                  <c:v>200</c:v>
                </c:pt>
                <c:pt idx="120">
                  <c:v>669</c:v>
                </c:pt>
                <c:pt idx="121">
                  <c:v>76</c:v>
                </c:pt>
              </c:numCache>
            </c:numRef>
          </c:xVal>
          <c:yVal>
            <c:numRef>
              <c:f>'[2017_03 Statu saraksts 20170427102441_JB.xlsb]Punktu graf.30.saime'!$D$2:$D$123</c:f>
              <c:numCache>
                <c:formatCode>General</c:formatCode>
                <c:ptCount val="122"/>
                <c:pt idx="0">
                  <c:v>1.2</c:v>
                </c:pt>
                <c:pt idx="1">
                  <c:v>1.2</c:v>
                </c:pt>
                <c:pt idx="2">
                  <c:v>1.2</c:v>
                </c:pt>
                <c:pt idx="3">
                  <c:v>1.2</c:v>
                </c:pt>
                <c:pt idx="4">
                  <c:v>1.2</c:v>
                </c:pt>
                <c:pt idx="5">
                  <c:v>1.2</c:v>
                </c:pt>
                <c:pt idx="6">
                  <c:v>1.2</c:v>
                </c:pt>
                <c:pt idx="7">
                  <c:v>1.2</c:v>
                </c:pt>
                <c:pt idx="8">
                  <c:v>1.2</c:v>
                </c:pt>
                <c:pt idx="9">
                  <c:v>1.2</c:v>
                </c:pt>
                <c:pt idx="10">
                  <c:v>1.2</c:v>
                </c:pt>
                <c:pt idx="11">
                  <c:v>1.2</c:v>
                </c:pt>
                <c:pt idx="12">
                  <c:v>1.2</c:v>
                </c:pt>
                <c:pt idx="13">
                  <c:v>1.2</c:v>
                </c:pt>
                <c:pt idx="14">
                  <c:v>1.2</c:v>
                </c:pt>
                <c:pt idx="15">
                  <c:v>1.2</c:v>
                </c:pt>
                <c:pt idx="16">
                  <c:v>1.2</c:v>
                </c:pt>
                <c:pt idx="17">
                  <c:v>1.2</c:v>
                </c:pt>
                <c:pt idx="18">
                  <c:v>1.2</c:v>
                </c:pt>
                <c:pt idx="19">
                  <c:v>1.2</c:v>
                </c:pt>
                <c:pt idx="20">
                  <c:v>1.2</c:v>
                </c:pt>
                <c:pt idx="21">
                  <c:v>1.2</c:v>
                </c:pt>
                <c:pt idx="22">
                  <c:v>1.2</c:v>
                </c:pt>
                <c:pt idx="23">
                  <c:v>1.2</c:v>
                </c:pt>
                <c:pt idx="24">
                  <c:v>1.2</c:v>
                </c:pt>
                <c:pt idx="25">
                  <c:v>1.2</c:v>
                </c:pt>
                <c:pt idx="26">
                  <c:v>1.2</c:v>
                </c:pt>
                <c:pt idx="27">
                  <c:v>1.2</c:v>
                </c:pt>
                <c:pt idx="28">
                  <c:v>1.2</c:v>
                </c:pt>
                <c:pt idx="29">
                  <c:v>1.2</c:v>
                </c:pt>
                <c:pt idx="30">
                  <c:v>1.2</c:v>
                </c:pt>
                <c:pt idx="31">
                  <c:v>1.2</c:v>
                </c:pt>
                <c:pt idx="32">
                  <c:v>1.2</c:v>
                </c:pt>
                <c:pt idx="33">
                  <c:v>1.2</c:v>
                </c:pt>
                <c:pt idx="34">
                  <c:v>1.2</c:v>
                </c:pt>
                <c:pt idx="35">
                  <c:v>1.2</c:v>
                </c:pt>
                <c:pt idx="36">
                  <c:v>1.2</c:v>
                </c:pt>
                <c:pt idx="37">
                  <c:v>1.2</c:v>
                </c:pt>
                <c:pt idx="38">
                  <c:v>1.2</c:v>
                </c:pt>
                <c:pt idx="39">
                  <c:v>1.2</c:v>
                </c:pt>
                <c:pt idx="40">
                  <c:v>1.2</c:v>
                </c:pt>
                <c:pt idx="41">
                  <c:v>1.2</c:v>
                </c:pt>
                <c:pt idx="42">
                  <c:v>1.2</c:v>
                </c:pt>
                <c:pt idx="43">
                  <c:v>1.2</c:v>
                </c:pt>
                <c:pt idx="44">
                  <c:v>1.2</c:v>
                </c:pt>
                <c:pt idx="45">
                  <c:v>1.2</c:v>
                </c:pt>
                <c:pt idx="46">
                  <c:v>1.2</c:v>
                </c:pt>
                <c:pt idx="47">
                  <c:v>1.2</c:v>
                </c:pt>
                <c:pt idx="48">
                  <c:v>1.2</c:v>
                </c:pt>
                <c:pt idx="49">
                  <c:v>1.2</c:v>
                </c:pt>
                <c:pt idx="50">
                  <c:v>1.2</c:v>
                </c:pt>
                <c:pt idx="51">
                  <c:v>1.2</c:v>
                </c:pt>
                <c:pt idx="52">
                  <c:v>1.2</c:v>
                </c:pt>
                <c:pt idx="53">
                  <c:v>1.2</c:v>
                </c:pt>
                <c:pt idx="54">
                  <c:v>1.2</c:v>
                </c:pt>
                <c:pt idx="55">
                  <c:v>1.2</c:v>
                </c:pt>
                <c:pt idx="56">
                  <c:v>1.2</c:v>
                </c:pt>
                <c:pt idx="57">
                  <c:v>1.2</c:v>
                </c:pt>
                <c:pt idx="58">
                  <c:v>1.2</c:v>
                </c:pt>
                <c:pt idx="59">
                  <c:v>1.2</c:v>
                </c:pt>
                <c:pt idx="60">
                  <c:v>1.2</c:v>
                </c:pt>
                <c:pt idx="61">
                  <c:v>1.2</c:v>
                </c:pt>
                <c:pt idx="62">
                  <c:v>1.2</c:v>
                </c:pt>
                <c:pt idx="63">
                  <c:v>1.2</c:v>
                </c:pt>
                <c:pt idx="64">
                  <c:v>1.2</c:v>
                </c:pt>
                <c:pt idx="65">
                  <c:v>1.2</c:v>
                </c:pt>
                <c:pt idx="66">
                  <c:v>1.2</c:v>
                </c:pt>
                <c:pt idx="67">
                  <c:v>1.2</c:v>
                </c:pt>
                <c:pt idx="68">
                  <c:v>1.2</c:v>
                </c:pt>
                <c:pt idx="69">
                  <c:v>1.2</c:v>
                </c:pt>
                <c:pt idx="70">
                  <c:v>1.2</c:v>
                </c:pt>
                <c:pt idx="71">
                  <c:v>1.2</c:v>
                </c:pt>
                <c:pt idx="72">
                  <c:v>1.2</c:v>
                </c:pt>
                <c:pt idx="73">
                  <c:v>1.2</c:v>
                </c:pt>
                <c:pt idx="74">
                  <c:v>1.2</c:v>
                </c:pt>
                <c:pt idx="75">
                  <c:v>1.2</c:v>
                </c:pt>
                <c:pt idx="76">
                  <c:v>1.2</c:v>
                </c:pt>
                <c:pt idx="77">
                  <c:v>1.2</c:v>
                </c:pt>
                <c:pt idx="78">
                  <c:v>1.2</c:v>
                </c:pt>
                <c:pt idx="79">
                  <c:v>1.2</c:v>
                </c:pt>
                <c:pt idx="80">
                  <c:v>1.2</c:v>
                </c:pt>
                <c:pt idx="81">
                  <c:v>1.2</c:v>
                </c:pt>
                <c:pt idx="82">
                  <c:v>1.2</c:v>
                </c:pt>
                <c:pt idx="83">
                  <c:v>1.2</c:v>
                </c:pt>
                <c:pt idx="84">
                  <c:v>1.2</c:v>
                </c:pt>
                <c:pt idx="85">
                  <c:v>1.2</c:v>
                </c:pt>
                <c:pt idx="86">
                  <c:v>1.2</c:v>
                </c:pt>
                <c:pt idx="87">
                  <c:v>1.2</c:v>
                </c:pt>
                <c:pt idx="88">
                  <c:v>1.2</c:v>
                </c:pt>
                <c:pt idx="89">
                  <c:v>1.2</c:v>
                </c:pt>
                <c:pt idx="90">
                  <c:v>1.2</c:v>
                </c:pt>
                <c:pt idx="91">
                  <c:v>1.2</c:v>
                </c:pt>
                <c:pt idx="92">
                  <c:v>1.2</c:v>
                </c:pt>
                <c:pt idx="93">
                  <c:v>1.2</c:v>
                </c:pt>
                <c:pt idx="94">
                  <c:v>1.2</c:v>
                </c:pt>
                <c:pt idx="95">
                  <c:v>1.2</c:v>
                </c:pt>
                <c:pt idx="96">
                  <c:v>1.2</c:v>
                </c:pt>
                <c:pt idx="97">
                  <c:v>1.2</c:v>
                </c:pt>
                <c:pt idx="98">
                  <c:v>1.2</c:v>
                </c:pt>
                <c:pt idx="99">
                  <c:v>1.2</c:v>
                </c:pt>
                <c:pt idx="100">
                  <c:v>1.2</c:v>
                </c:pt>
                <c:pt idx="101">
                  <c:v>1.2</c:v>
                </c:pt>
                <c:pt idx="102">
                  <c:v>1.2</c:v>
                </c:pt>
                <c:pt idx="103">
                  <c:v>1.2</c:v>
                </c:pt>
                <c:pt idx="104">
                  <c:v>1.2</c:v>
                </c:pt>
                <c:pt idx="105">
                  <c:v>1.2</c:v>
                </c:pt>
                <c:pt idx="106">
                  <c:v>1.2</c:v>
                </c:pt>
                <c:pt idx="107">
                  <c:v>1.2</c:v>
                </c:pt>
                <c:pt idx="108">
                  <c:v>1.2</c:v>
                </c:pt>
                <c:pt idx="109">
                  <c:v>1.2</c:v>
                </c:pt>
                <c:pt idx="110">
                  <c:v>1.2</c:v>
                </c:pt>
                <c:pt idx="111">
                  <c:v>1.2</c:v>
                </c:pt>
                <c:pt idx="112">
                  <c:v>1.2</c:v>
                </c:pt>
                <c:pt idx="113">
                  <c:v>1.2</c:v>
                </c:pt>
                <c:pt idx="114">
                  <c:v>1.2</c:v>
                </c:pt>
                <c:pt idx="115">
                  <c:v>1.2</c:v>
                </c:pt>
                <c:pt idx="116">
                  <c:v>1.2</c:v>
                </c:pt>
                <c:pt idx="117">
                  <c:v>1.2</c:v>
                </c:pt>
                <c:pt idx="118">
                  <c:v>1.2</c:v>
                </c:pt>
                <c:pt idx="119">
                  <c:v>1.2</c:v>
                </c:pt>
                <c:pt idx="120">
                  <c:v>1.2</c:v>
                </c:pt>
                <c:pt idx="121">
                  <c:v>1.2</c:v>
                </c:pt>
              </c:numCache>
            </c:numRef>
          </c:yVal>
          <c:smooth val="0"/>
          <c:extLst>
            <c:ext xmlns:c16="http://schemas.microsoft.com/office/drawing/2014/chart" uri="{C3380CC4-5D6E-409C-BE32-E72D297353CC}">
              <c16:uniqueId val="{00000003-4006-4BEE-A2C2-1403809C0BFC}"/>
            </c:ext>
          </c:extLst>
        </c:ser>
        <c:dLbls>
          <c:showLegendKey val="0"/>
          <c:showVal val="0"/>
          <c:showCatName val="0"/>
          <c:showSerName val="0"/>
          <c:showPercent val="0"/>
          <c:showBubbleSize val="0"/>
        </c:dLbls>
        <c:axId val="280754336"/>
        <c:axId val="280754728"/>
      </c:scatterChart>
      <c:valAx>
        <c:axId val="280754336"/>
        <c:scaling>
          <c:orientation val="minMax"/>
          <c:max val="1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54728"/>
        <c:crosses val="autoZero"/>
        <c:crossBetween val="midCat"/>
      </c:valAx>
      <c:valAx>
        <c:axId val="280754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54336"/>
        <c:crosses val="autoZero"/>
        <c:crossBetween val="midCat"/>
      </c:valAx>
      <c:spPr>
        <a:noFill/>
        <a:ln>
          <a:noFill/>
        </a:ln>
        <a:effectLst/>
      </c:spPr>
    </c:plotArea>
    <c:legend>
      <c:legendPos val="b"/>
      <c:layout>
        <c:manualLayout>
          <c:xMode val="edge"/>
          <c:yMode val="edge"/>
          <c:x val="6.7909473135060808E-2"/>
          <c:y val="0.74257683006143882"/>
          <c:w val="0.86256116913871195"/>
          <c:h val="0.18101876609686085"/>
        </c:manualLayout>
      </c:layout>
      <c:overlay val="0"/>
      <c:spPr>
        <a:noFill/>
        <a:ln>
          <a:noFill/>
        </a:ln>
        <a:effectLst/>
      </c:spPr>
      <c:txPr>
        <a:bodyPr rot="0" spcFirstLastPara="1" vertOverflow="ellipsis" vert="horz" wrap="square" anchor="ctr" anchorCtr="1"/>
        <a:lstStyle/>
        <a:p>
          <a:pPr algn="just">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explosion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A98F-415C-93E4-ADFCCCFF5F59}"/>
              </c:ext>
            </c:extLst>
          </c:dPt>
          <c:dPt>
            <c:idx val="1"/>
            <c:bubble3D val="0"/>
            <c:explosion val="7"/>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A98F-415C-93E4-ADFCCCFF5F59}"/>
              </c:ext>
            </c:extLst>
          </c:dPt>
          <c:dPt>
            <c:idx val="2"/>
            <c:bubble3D val="0"/>
            <c:explosion val="7"/>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5-A98F-415C-93E4-ADFCCCFF5F59}"/>
              </c:ext>
            </c:extLst>
          </c:dPt>
          <c:dPt>
            <c:idx val="3"/>
            <c:bubble3D val="0"/>
            <c:explosion val="6"/>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7-A98F-415C-93E4-ADFCCCFF5F59}"/>
              </c:ext>
            </c:extLst>
          </c:dPt>
          <c:dLbls>
            <c:dLbl>
              <c:idx val="0"/>
              <c:layout>
                <c:manualLayout>
                  <c:x val="-0.13660802822995408"/>
                  <c:y val="-0.1262894688870715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98F-415C-93E4-ADFCCCFF5F59}"/>
                </c:ext>
              </c:extLst>
            </c:dLbl>
            <c:dLbl>
              <c:idx val="1"/>
              <c:layout>
                <c:manualLayout>
                  <c:x val="0.11308749972642131"/>
                  <c:y val="-8.4720924942771919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98F-415C-93E4-ADFCCCFF5F59}"/>
                </c:ext>
              </c:extLst>
            </c:dLbl>
            <c:dLbl>
              <c:idx val="2"/>
              <c:layout>
                <c:manualLayout>
                  <c:x val="0.11161825586426455"/>
                  <c:y val="0.10244738153889334"/>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98F-415C-93E4-ADFCCCFF5F59}"/>
                </c:ext>
              </c:extLst>
            </c:dLbl>
            <c:dLbl>
              <c:idx val="3"/>
              <c:layout>
                <c:manualLayout>
                  <c:x val="4.7669109513972685E-2"/>
                  <c:y val="0.17824216349108807"/>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98F-415C-93E4-ADFCCCFF5F59}"/>
                </c:ext>
              </c:extLst>
            </c:dLbl>
            <c:spPr>
              <a:noFill/>
              <a:ln>
                <a:noFill/>
              </a:ln>
              <a:effectLst/>
            </c:spPr>
            <c:txPr>
              <a:bodyPr rot="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Sheet1!$A$2:$A$5</c:f>
              <c:strCache>
                <c:ptCount val="4"/>
                <c:pt idx="0">
                  <c:v>maksas pakalpojumu cenrāži</c:v>
                </c:pt>
                <c:pt idx="1">
                  <c:v>budžeta nefinansētu iestāžu budžeti</c:v>
                </c:pt>
                <c:pt idx="2">
                  <c:v>uzskaite</c:v>
                </c:pt>
                <c:pt idx="3">
                  <c:v>procedūras</c:v>
                </c:pt>
              </c:strCache>
            </c:strRef>
          </c:cat>
          <c:val>
            <c:numRef>
              <c:f>Sheet1!$B$2:$B$5</c:f>
              <c:numCache>
                <c:formatCode>General</c:formatCode>
                <c:ptCount val="4"/>
                <c:pt idx="0">
                  <c:v>109</c:v>
                </c:pt>
                <c:pt idx="1">
                  <c:v>19</c:v>
                </c:pt>
                <c:pt idx="2">
                  <c:v>28</c:v>
                </c:pt>
                <c:pt idx="3">
                  <c:v>16</c:v>
                </c:pt>
              </c:numCache>
            </c:numRef>
          </c:val>
          <c:extLst>
            <c:ext xmlns:c16="http://schemas.microsoft.com/office/drawing/2014/chart" uri="{C3380CC4-5D6E-409C-BE32-E72D297353CC}">
              <c16:uniqueId val="{00000008-A98F-415C-93E4-ADFCCCFF5F59}"/>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4"/>
          <c:order val="0"/>
          <c:tx>
            <c:strRef>
              <c:f>Sheet6!$I$16</c:f>
              <c:strCache>
                <c:ptCount val="1"/>
                <c:pt idx="0">
                  <c:v>VRAA</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Sheet6!$J$10:$P$10</c:f>
              <c:numCache>
                <c:formatCode>General</c:formatCode>
                <c:ptCount val="7"/>
                <c:pt idx="0">
                  <c:v>2014</c:v>
                </c:pt>
                <c:pt idx="1">
                  <c:v>2015</c:v>
                </c:pt>
                <c:pt idx="2">
                  <c:v>2016</c:v>
                </c:pt>
                <c:pt idx="3">
                  <c:v>2017</c:v>
                </c:pt>
                <c:pt idx="4">
                  <c:v>2018</c:v>
                </c:pt>
                <c:pt idx="5">
                  <c:v>2019</c:v>
                </c:pt>
                <c:pt idx="6">
                  <c:v>2020</c:v>
                </c:pt>
              </c:numCache>
            </c:numRef>
          </c:cat>
          <c:val>
            <c:numRef>
              <c:f>Sheet6!$J$16:$P$16</c:f>
              <c:numCache>
                <c:formatCode>#\ ##0.0</c:formatCode>
                <c:ptCount val="7"/>
                <c:pt idx="0">
                  <c:v>2.4711910000000006</c:v>
                </c:pt>
                <c:pt idx="1">
                  <c:v>3.5128410000000003</c:v>
                </c:pt>
                <c:pt idx="2">
                  <c:v>3.9108401699999997</c:v>
                </c:pt>
                <c:pt idx="3">
                  <c:v>5.1421549999999998</c:v>
                </c:pt>
                <c:pt idx="4">
                  <c:v>5.2625869999999999</c:v>
                </c:pt>
                <c:pt idx="5">
                  <c:v>5.5407149999999996</c:v>
                </c:pt>
                <c:pt idx="6">
                  <c:v>5.5407149999999996</c:v>
                </c:pt>
              </c:numCache>
            </c:numRef>
          </c:val>
          <c:extLst>
            <c:ext xmlns:c16="http://schemas.microsoft.com/office/drawing/2014/chart" uri="{C3380CC4-5D6E-409C-BE32-E72D297353CC}">
              <c16:uniqueId val="{00000000-7740-4AD7-80F7-5E517B62841B}"/>
            </c:ext>
          </c:extLst>
        </c:ser>
        <c:ser>
          <c:idx val="5"/>
          <c:order val="1"/>
          <c:tx>
            <c:strRef>
              <c:f>Sheet6!$I$11</c:f>
              <c:strCache>
                <c:ptCount val="1"/>
                <c:pt idx="0">
                  <c:v>VVD</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Sheet6!$J$10:$P$10</c:f>
              <c:numCache>
                <c:formatCode>General</c:formatCode>
                <c:ptCount val="7"/>
                <c:pt idx="0">
                  <c:v>2014</c:v>
                </c:pt>
                <c:pt idx="1">
                  <c:v>2015</c:v>
                </c:pt>
                <c:pt idx="2">
                  <c:v>2016</c:v>
                </c:pt>
                <c:pt idx="3">
                  <c:v>2017</c:v>
                </c:pt>
                <c:pt idx="4">
                  <c:v>2018</c:v>
                </c:pt>
                <c:pt idx="5">
                  <c:v>2019</c:v>
                </c:pt>
                <c:pt idx="6">
                  <c:v>2020</c:v>
                </c:pt>
              </c:numCache>
            </c:numRef>
          </c:cat>
          <c:val>
            <c:numRef>
              <c:f>Sheet6!$J$11:$P$11</c:f>
              <c:numCache>
                <c:formatCode>#\ ##0.0</c:formatCode>
                <c:ptCount val="7"/>
                <c:pt idx="0">
                  <c:v>5.0599069999999999</c:v>
                </c:pt>
                <c:pt idx="1">
                  <c:v>6.043632999999998</c:v>
                </c:pt>
                <c:pt idx="2">
                  <c:v>5.7556842499999981</c:v>
                </c:pt>
                <c:pt idx="3">
                  <c:v>5.6917010000000001</c:v>
                </c:pt>
                <c:pt idx="4">
                  <c:v>5.713565</c:v>
                </c:pt>
                <c:pt idx="5">
                  <c:v>5.7712349999999999</c:v>
                </c:pt>
                <c:pt idx="6">
                  <c:v>5.7712349999999999</c:v>
                </c:pt>
              </c:numCache>
            </c:numRef>
          </c:val>
          <c:extLst>
            <c:ext xmlns:c16="http://schemas.microsoft.com/office/drawing/2014/chart" uri="{C3380CC4-5D6E-409C-BE32-E72D297353CC}">
              <c16:uniqueId val="{00000001-7740-4AD7-80F7-5E517B62841B}"/>
            </c:ext>
          </c:extLst>
        </c:ser>
        <c:ser>
          <c:idx val="2"/>
          <c:order val="2"/>
          <c:tx>
            <c:strRef>
              <c:f>Sheet6!$I$13</c:f>
              <c:strCache>
                <c:ptCount val="1"/>
                <c:pt idx="0">
                  <c:v>DAP</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Sheet6!$J$10:$P$10</c:f>
              <c:numCache>
                <c:formatCode>General</c:formatCode>
                <c:ptCount val="7"/>
                <c:pt idx="0">
                  <c:v>2014</c:v>
                </c:pt>
                <c:pt idx="1">
                  <c:v>2015</c:v>
                </c:pt>
                <c:pt idx="2">
                  <c:v>2016</c:v>
                </c:pt>
                <c:pt idx="3">
                  <c:v>2017</c:v>
                </c:pt>
                <c:pt idx="4">
                  <c:v>2018</c:v>
                </c:pt>
                <c:pt idx="5">
                  <c:v>2019</c:v>
                </c:pt>
                <c:pt idx="6">
                  <c:v>2020</c:v>
                </c:pt>
              </c:numCache>
            </c:numRef>
          </c:cat>
          <c:val>
            <c:numRef>
              <c:f>Sheet6!$J$13:$P$13</c:f>
              <c:numCache>
                <c:formatCode>#\ ##0.0</c:formatCode>
                <c:ptCount val="7"/>
                <c:pt idx="0">
                  <c:v>3.4042620000000001</c:v>
                </c:pt>
                <c:pt idx="1">
                  <c:v>4.5357849999999988</c:v>
                </c:pt>
                <c:pt idx="2">
                  <c:v>4.5628270099999995</c:v>
                </c:pt>
                <c:pt idx="3">
                  <c:v>4.7786169999999997</c:v>
                </c:pt>
                <c:pt idx="4">
                  <c:v>4.813097</c:v>
                </c:pt>
                <c:pt idx="5">
                  <c:v>4.812811</c:v>
                </c:pt>
                <c:pt idx="6">
                  <c:v>4.8123519999999997</c:v>
                </c:pt>
              </c:numCache>
            </c:numRef>
          </c:val>
          <c:extLst>
            <c:ext xmlns:c16="http://schemas.microsoft.com/office/drawing/2014/chart" uri="{C3380CC4-5D6E-409C-BE32-E72D297353CC}">
              <c16:uniqueId val="{00000002-7740-4AD7-80F7-5E517B62841B}"/>
            </c:ext>
          </c:extLst>
        </c:ser>
        <c:ser>
          <c:idx val="3"/>
          <c:order val="3"/>
          <c:tx>
            <c:strRef>
              <c:f>Sheet6!$I$14</c:f>
              <c:strCache>
                <c:ptCount val="1"/>
                <c:pt idx="0">
                  <c:v>LDM</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Sheet6!$J$10:$P$10</c:f>
              <c:numCache>
                <c:formatCode>General</c:formatCode>
                <c:ptCount val="7"/>
                <c:pt idx="0">
                  <c:v>2014</c:v>
                </c:pt>
                <c:pt idx="1">
                  <c:v>2015</c:v>
                </c:pt>
                <c:pt idx="2">
                  <c:v>2016</c:v>
                </c:pt>
                <c:pt idx="3">
                  <c:v>2017</c:v>
                </c:pt>
                <c:pt idx="4">
                  <c:v>2018</c:v>
                </c:pt>
                <c:pt idx="5">
                  <c:v>2019</c:v>
                </c:pt>
                <c:pt idx="6">
                  <c:v>2020</c:v>
                </c:pt>
              </c:numCache>
            </c:numRef>
          </c:cat>
          <c:val>
            <c:numRef>
              <c:f>Sheet6!$J$14:$P$14</c:f>
              <c:numCache>
                <c:formatCode>#\ ##0.0</c:formatCode>
                <c:ptCount val="7"/>
                <c:pt idx="0">
                  <c:v>0.626247</c:v>
                </c:pt>
                <c:pt idx="1">
                  <c:v>0.75030500000000011</c:v>
                </c:pt>
                <c:pt idx="2">
                  <c:v>0.75482287999999986</c:v>
                </c:pt>
                <c:pt idx="3">
                  <c:v>0.77390999999999999</c:v>
                </c:pt>
                <c:pt idx="4">
                  <c:v>0.77692499999999998</c:v>
                </c:pt>
                <c:pt idx="5">
                  <c:v>0.78125299999999998</c:v>
                </c:pt>
                <c:pt idx="6">
                  <c:v>0.78125299999999998</c:v>
                </c:pt>
              </c:numCache>
            </c:numRef>
          </c:val>
          <c:extLst>
            <c:ext xmlns:c16="http://schemas.microsoft.com/office/drawing/2014/chart" uri="{C3380CC4-5D6E-409C-BE32-E72D297353CC}">
              <c16:uniqueId val="{00000003-7740-4AD7-80F7-5E517B62841B}"/>
            </c:ext>
          </c:extLst>
        </c:ser>
        <c:ser>
          <c:idx val="0"/>
          <c:order val="4"/>
          <c:tx>
            <c:strRef>
              <c:f>Sheet6!$I$12</c:f>
              <c:strCache>
                <c:ptCount val="1"/>
                <c:pt idx="0">
                  <c:v>VPVB</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invertIfNegative val="0"/>
          <c:cat>
            <c:numRef>
              <c:f>Sheet6!$J$10:$P$10</c:f>
              <c:numCache>
                <c:formatCode>General</c:formatCode>
                <c:ptCount val="7"/>
                <c:pt idx="0">
                  <c:v>2014</c:v>
                </c:pt>
                <c:pt idx="1">
                  <c:v>2015</c:v>
                </c:pt>
                <c:pt idx="2">
                  <c:v>2016</c:v>
                </c:pt>
                <c:pt idx="3">
                  <c:v>2017</c:v>
                </c:pt>
                <c:pt idx="4">
                  <c:v>2018</c:v>
                </c:pt>
                <c:pt idx="5">
                  <c:v>2019</c:v>
                </c:pt>
                <c:pt idx="6">
                  <c:v>2020</c:v>
                </c:pt>
              </c:numCache>
            </c:numRef>
          </c:cat>
          <c:val>
            <c:numRef>
              <c:f>Sheet6!$J$12:$P$12</c:f>
              <c:numCache>
                <c:formatCode>#\ ##0.0</c:formatCode>
                <c:ptCount val="7"/>
                <c:pt idx="0">
                  <c:v>0.30896499999999999</c:v>
                </c:pt>
                <c:pt idx="1">
                  <c:v>0.37851899999999999</c:v>
                </c:pt>
                <c:pt idx="2">
                  <c:v>0.40233001000000013</c:v>
                </c:pt>
                <c:pt idx="3">
                  <c:v>0.39777099999999999</c:v>
                </c:pt>
                <c:pt idx="4">
                  <c:v>0.39777099999999999</c:v>
                </c:pt>
                <c:pt idx="5">
                  <c:v>0.39777099999999999</c:v>
                </c:pt>
                <c:pt idx="6">
                  <c:v>0.39777099999999999</c:v>
                </c:pt>
              </c:numCache>
            </c:numRef>
          </c:val>
          <c:extLst>
            <c:ext xmlns:c16="http://schemas.microsoft.com/office/drawing/2014/chart" uri="{C3380CC4-5D6E-409C-BE32-E72D297353CC}">
              <c16:uniqueId val="{00000004-7740-4AD7-80F7-5E517B62841B}"/>
            </c:ext>
          </c:extLst>
        </c:ser>
        <c:ser>
          <c:idx val="1"/>
          <c:order val="5"/>
          <c:tx>
            <c:strRef>
              <c:f>Sheet6!$I$15</c:f>
              <c:strCache>
                <c:ptCount val="1"/>
                <c:pt idx="0">
                  <c:v>LVAFA</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cat>
            <c:numRef>
              <c:f>Sheet6!$J$10:$P$10</c:f>
              <c:numCache>
                <c:formatCode>General</c:formatCode>
                <c:ptCount val="7"/>
                <c:pt idx="0">
                  <c:v>2014</c:v>
                </c:pt>
                <c:pt idx="1">
                  <c:v>2015</c:v>
                </c:pt>
                <c:pt idx="2">
                  <c:v>2016</c:v>
                </c:pt>
                <c:pt idx="3">
                  <c:v>2017</c:v>
                </c:pt>
                <c:pt idx="4">
                  <c:v>2018</c:v>
                </c:pt>
                <c:pt idx="5">
                  <c:v>2019</c:v>
                </c:pt>
                <c:pt idx="6">
                  <c:v>2020</c:v>
                </c:pt>
              </c:numCache>
            </c:numRef>
          </c:cat>
          <c:val>
            <c:numRef>
              <c:f>Sheet6!$J$15:$P$15</c:f>
              <c:numCache>
                <c:formatCode>#\ ##0.0</c:formatCode>
                <c:ptCount val="7"/>
                <c:pt idx="0">
                  <c:v>0.21922200000000006</c:v>
                </c:pt>
                <c:pt idx="1">
                  <c:v>0.24773099999999995</c:v>
                </c:pt>
                <c:pt idx="2">
                  <c:v>0.24656491999999991</c:v>
                </c:pt>
                <c:pt idx="3">
                  <c:v>0.21399699999999999</c:v>
                </c:pt>
                <c:pt idx="4">
                  <c:v>0.21399699999999999</c:v>
                </c:pt>
                <c:pt idx="5">
                  <c:v>0.21399699999999999</c:v>
                </c:pt>
                <c:pt idx="6">
                  <c:v>0.21399699999999999</c:v>
                </c:pt>
              </c:numCache>
            </c:numRef>
          </c:val>
          <c:extLst>
            <c:ext xmlns:c16="http://schemas.microsoft.com/office/drawing/2014/chart" uri="{C3380CC4-5D6E-409C-BE32-E72D297353CC}">
              <c16:uniqueId val="{00000005-7740-4AD7-80F7-5E517B62841B}"/>
            </c:ext>
          </c:extLst>
        </c:ser>
        <c:dLbls>
          <c:showLegendKey val="0"/>
          <c:showVal val="0"/>
          <c:showCatName val="0"/>
          <c:showSerName val="0"/>
          <c:showPercent val="0"/>
          <c:showBubbleSize val="0"/>
        </c:dLbls>
        <c:gapWidth val="150"/>
        <c:overlap val="100"/>
        <c:axId val="279648872"/>
        <c:axId val="279649264"/>
      </c:barChart>
      <c:catAx>
        <c:axId val="279648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49264"/>
        <c:crosses val="autoZero"/>
        <c:auto val="1"/>
        <c:lblAlgn val="ctr"/>
        <c:lblOffset val="100"/>
        <c:noMultiLvlLbl val="0"/>
      </c:catAx>
      <c:valAx>
        <c:axId val="279649264"/>
        <c:scaling>
          <c:orientation val="minMax"/>
          <c:max val="18"/>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48872"/>
        <c:crosses val="autoZero"/>
        <c:crossBetween val="between"/>
        <c:majorUnit val="6"/>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LHEI!$A$2</c:f>
              <c:strCache>
                <c:ptCount val="1"/>
                <c:pt idx="0">
                  <c:v>Bāzes finansējums no IZM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cat>
            <c:numRef>
              <c:f>LHEI!$B$1:$E$1</c:f>
              <c:numCache>
                <c:formatCode>General</c:formatCode>
                <c:ptCount val="4"/>
                <c:pt idx="0">
                  <c:v>2011</c:v>
                </c:pt>
                <c:pt idx="1">
                  <c:v>2012</c:v>
                </c:pt>
                <c:pt idx="2">
                  <c:v>2013</c:v>
                </c:pt>
                <c:pt idx="3">
                  <c:v>2014</c:v>
                </c:pt>
              </c:numCache>
            </c:numRef>
          </c:cat>
          <c:val>
            <c:numRef>
              <c:f>LHEI!$B$2:$E$2</c:f>
              <c:numCache>
                <c:formatCode>#,##0</c:formatCode>
                <c:ptCount val="4"/>
                <c:pt idx="0">
                  <c:v>135177.09062555135</c:v>
                </c:pt>
                <c:pt idx="1">
                  <c:v>117980.26192224291</c:v>
                </c:pt>
                <c:pt idx="2">
                  <c:v>117771.09976607987</c:v>
                </c:pt>
                <c:pt idx="3">
                  <c:v>182376</c:v>
                </c:pt>
              </c:numCache>
            </c:numRef>
          </c:val>
          <c:extLst>
            <c:ext xmlns:c16="http://schemas.microsoft.com/office/drawing/2014/chart" uri="{C3380CC4-5D6E-409C-BE32-E72D297353CC}">
              <c16:uniqueId val="{00000000-B918-44F1-A630-2BAC83996A14}"/>
            </c:ext>
          </c:extLst>
        </c:ser>
        <c:ser>
          <c:idx val="2"/>
          <c:order val="1"/>
          <c:tx>
            <c:strRef>
              <c:f>LHEI!$A$3</c:f>
              <c:strCache>
                <c:ptCount val="1"/>
                <c:pt idx="0">
                  <c:v>Latvijas Zinātnes padomes piešķirtais finansējums grantu un sadarbības projektu izpildei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cat>
            <c:numRef>
              <c:f>LHEI!$B$1:$E$1</c:f>
              <c:numCache>
                <c:formatCode>General</c:formatCode>
                <c:ptCount val="4"/>
                <c:pt idx="0">
                  <c:v>2011</c:v>
                </c:pt>
                <c:pt idx="1">
                  <c:v>2012</c:v>
                </c:pt>
                <c:pt idx="2">
                  <c:v>2013</c:v>
                </c:pt>
                <c:pt idx="3">
                  <c:v>2014</c:v>
                </c:pt>
              </c:numCache>
            </c:numRef>
          </c:cat>
          <c:val>
            <c:numRef>
              <c:f>LHEI!$B$3:$E$3</c:f>
              <c:numCache>
                <c:formatCode>#,##0</c:formatCode>
                <c:ptCount val="4"/>
                <c:pt idx="0">
                  <c:v>42984.957399217994</c:v>
                </c:pt>
                <c:pt idx="1">
                  <c:v>42984.957399217994</c:v>
                </c:pt>
                <c:pt idx="2">
                  <c:v>22916.773382052466</c:v>
                </c:pt>
              </c:numCache>
            </c:numRef>
          </c:val>
          <c:extLst>
            <c:ext xmlns:c16="http://schemas.microsoft.com/office/drawing/2014/chart" uri="{C3380CC4-5D6E-409C-BE32-E72D297353CC}">
              <c16:uniqueId val="{00000001-B918-44F1-A630-2BAC83996A14}"/>
            </c:ext>
          </c:extLst>
        </c:ser>
        <c:ser>
          <c:idx val="3"/>
          <c:order val="2"/>
          <c:tx>
            <c:strRef>
              <c:f>LHEI!$A$4</c:f>
              <c:strCache>
                <c:ptCount val="1"/>
                <c:pt idx="0">
                  <c:v>Latvijas Vides aizsardzības fonda finansējums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cat>
            <c:numRef>
              <c:f>LHEI!$B$1:$E$1</c:f>
              <c:numCache>
                <c:formatCode>General</c:formatCode>
                <c:ptCount val="4"/>
                <c:pt idx="0">
                  <c:v>2011</c:v>
                </c:pt>
                <c:pt idx="1">
                  <c:v>2012</c:v>
                </c:pt>
                <c:pt idx="2">
                  <c:v>2013</c:v>
                </c:pt>
                <c:pt idx="3">
                  <c:v>2014</c:v>
                </c:pt>
              </c:numCache>
            </c:numRef>
          </c:cat>
          <c:val>
            <c:numRef>
              <c:f>LHEI!$B$4:$E$4</c:f>
              <c:numCache>
                <c:formatCode>#,##0</c:formatCode>
                <c:ptCount val="4"/>
                <c:pt idx="0">
                  <c:v>107892.1007848561</c:v>
                </c:pt>
                <c:pt idx="1">
                  <c:v>99601.02674429855</c:v>
                </c:pt>
                <c:pt idx="3">
                  <c:v>69972</c:v>
                </c:pt>
              </c:numCache>
            </c:numRef>
          </c:val>
          <c:extLst>
            <c:ext xmlns:c16="http://schemas.microsoft.com/office/drawing/2014/chart" uri="{C3380CC4-5D6E-409C-BE32-E72D297353CC}">
              <c16:uniqueId val="{00000002-B918-44F1-A630-2BAC83996A14}"/>
            </c:ext>
          </c:extLst>
        </c:ser>
        <c:ser>
          <c:idx val="4"/>
          <c:order val="3"/>
          <c:tx>
            <c:strRef>
              <c:f>LHEI!$A$5</c:f>
              <c:strCache>
                <c:ptCount val="1"/>
                <c:pt idx="0">
                  <c:v>ESF finansējums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invertIfNegative val="0"/>
          <c:cat>
            <c:numRef>
              <c:f>LHEI!$B$1:$E$1</c:f>
              <c:numCache>
                <c:formatCode>General</c:formatCode>
                <c:ptCount val="4"/>
                <c:pt idx="0">
                  <c:v>2011</c:v>
                </c:pt>
                <c:pt idx="1">
                  <c:v>2012</c:v>
                </c:pt>
                <c:pt idx="2">
                  <c:v>2013</c:v>
                </c:pt>
                <c:pt idx="3">
                  <c:v>2014</c:v>
                </c:pt>
              </c:numCache>
            </c:numRef>
          </c:cat>
          <c:val>
            <c:numRef>
              <c:f>LHEI!$B$5:$E$5</c:f>
              <c:numCache>
                <c:formatCode>#,##0</c:formatCode>
                <c:ptCount val="4"/>
                <c:pt idx="0">
                  <c:v>279918.72556217667</c:v>
                </c:pt>
                <c:pt idx="1">
                  <c:v>287512.59241552412</c:v>
                </c:pt>
                <c:pt idx="3">
                  <c:v>12603</c:v>
                </c:pt>
              </c:numCache>
            </c:numRef>
          </c:val>
          <c:extLst>
            <c:ext xmlns:c16="http://schemas.microsoft.com/office/drawing/2014/chart" uri="{C3380CC4-5D6E-409C-BE32-E72D297353CC}">
              <c16:uniqueId val="{00000003-B918-44F1-A630-2BAC83996A14}"/>
            </c:ext>
          </c:extLst>
        </c:ser>
        <c:ser>
          <c:idx val="5"/>
          <c:order val="4"/>
          <c:tx>
            <c:strRef>
              <c:f>LHEI!$A$6</c:f>
              <c:strCache>
                <c:ptCount val="1"/>
                <c:pt idx="0">
                  <c:v>ERAF finansējums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cat>
            <c:numRef>
              <c:f>LHEI!$B$1:$E$1</c:f>
              <c:numCache>
                <c:formatCode>General</c:formatCode>
                <c:ptCount val="4"/>
                <c:pt idx="0">
                  <c:v>2011</c:v>
                </c:pt>
                <c:pt idx="1">
                  <c:v>2012</c:v>
                </c:pt>
                <c:pt idx="2">
                  <c:v>2013</c:v>
                </c:pt>
                <c:pt idx="3">
                  <c:v>2014</c:v>
                </c:pt>
              </c:numCache>
            </c:numRef>
          </c:cat>
          <c:val>
            <c:numRef>
              <c:f>LHEI!$B$6:$E$6</c:f>
              <c:numCache>
                <c:formatCode>#,##0</c:formatCode>
                <c:ptCount val="4"/>
                <c:pt idx="0">
                  <c:v>136951.41177341051</c:v>
                </c:pt>
                <c:pt idx="1">
                  <c:v>188503.48034444882</c:v>
                </c:pt>
                <c:pt idx="2">
                  <c:v>188938.87911850246</c:v>
                </c:pt>
                <c:pt idx="3">
                  <c:v>215843</c:v>
                </c:pt>
              </c:numCache>
            </c:numRef>
          </c:val>
          <c:extLst>
            <c:ext xmlns:c16="http://schemas.microsoft.com/office/drawing/2014/chart" uri="{C3380CC4-5D6E-409C-BE32-E72D297353CC}">
              <c16:uniqueId val="{00000004-B918-44F1-A630-2BAC83996A14}"/>
            </c:ext>
          </c:extLst>
        </c:ser>
        <c:ser>
          <c:idx val="6"/>
          <c:order val="5"/>
          <c:tx>
            <c:strRef>
              <c:f>LHEI!$A$7</c:f>
              <c:strCache>
                <c:ptCount val="1"/>
                <c:pt idx="0">
                  <c:v>citi pētniecības darbi u projekti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cat>
            <c:numRef>
              <c:f>LHEI!$B$1:$E$1</c:f>
              <c:numCache>
                <c:formatCode>General</c:formatCode>
                <c:ptCount val="4"/>
                <c:pt idx="0">
                  <c:v>2011</c:v>
                </c:pt>
                <c:pt idx="1">
                  <c:v>2012</c:v>
                </c:pt>
                <c:pt idx="2">
                  <c:v>2013</c:v>
                </c:pt>
                <c:pt idx="3">
                  <c:v>2014</c:v>
                </c:pt>
              </c:numCache>
            </c:numRef>
          </c:cat>
          <c:val>
            <c:numRef>
              <c:f>LHEI!$B$7:$E$7</c:f>
              <c:numCache>
                <c:formatCode>#,##0</c:formatCode>
                <c:ptCount val="4"/>
                <c:pt idx="0">
                  <c:v>448940.24507544067</c:v>
                </c:pt>
                <c:pt idx="1">
                  <c:v>538507.17981115647</c:v>
                </c:pt>
                <c:pt idx="2">
                  <c:v>746270.65298433136</c:v>
                </c:pt>
                <c:pt idx="3">
                  <c:v>394126</c:v>
                </c:pt>
              </c:numCache>
            </c:numRef>
          </c:val>
          <c:extLst>
            <c:ext xmlns:c16="http://schemas.microsoft.com/office/drawing/2014/chart" uri="{C3380CC4-5D6E-409C-BE32-E72D297353CC}">
              <c16:uniqueId val="{00000005-B918-44F1-A630-2BAC83996A14}"/>
            </c:ext>
          </c:extLst>
        </c:ser>
        <c:ser>
          <c:idx val="7"/>
          <c:order val="6"/>
          <c:tx>
            <c:strRef>
              <c:f>LHEI!$A$8</c:f>
              <c:strCache>
                <c:ptCount val="1"/>
                <c:pt idx="0">
                  <c:v>Valsts pētījumu programmas finansējums</c:v>
                </c:pt>
              </c:strCache>
            </c:strRef>
          </c:tx>
          <c:spPr>
            <a:solidFill>
              <a:srgbClr val="C00000"/>
            </a:solidFill>
            <a:ln w="6350" cap="flat" cmpd="sng" algn="ctr">
              <a:solidFill>
                <a:srgbClr val="C00000"/>
              </a:solidFill>
              <a:prstDash val="solid"/>
              <a:miter lim="800000"/>
            </a:ln>
            <a:effectLst/>
          </c:spPr>
          <c:invertIfNegative val="0"/>
          <c:cat>
            <c:numRef>
              <c:f>LHEI!$B$1:$E$1</c:f>
              <c:numCache>
                <c:formatCode>General</c:formatCode>
                <c:ptCount val="4"/>
                <c:pt idx="0">
                  <c:v>2011</c:v>
                </c:pt>
                <c:pt idx="1">
                  <c:v>2012</c:v>
                </c:pt>
                <c:pt idx="2">
                  <c:v>2013</c:v>
                </c:pt>
                <c:pt idx="3">
                  <c:v>2014</c:v>
                </c:pt>
              </c:numCache>
            </c:numRef>
          </c:cat>
          <c:val>
            <c:numRef>
              <c:f>LHEI!$B$8:$E$8</c:f>
              <c:numCache>
                <c:formatCode>General</c:formatCode>
                <c:ptCount val="4"/>
                <c:pt idx="3" formatCode="#,##0">
                  <c:v>22057</c:v>
                </c:pt>
              </c:numCache>
            </c:numRef>
          </c:val>
          <c:extLst>
            <c:ext xmlns:c16="http://schemas.microsoft.com/office/drawing/2014/chart" uri="{C3380CC4-5D6E-409C-BE32-E72D297353CC}">
              <c16:uniqueId val="{00000006-B918-44F1-A630-2BAC83996A14}"/>
            </c:ext>
          </c:extLst>
        </c:ser>
        <c:ser>
          <c:idx val="8"/>
          <c:order val="7"/>
          <c:tx>
            <c:strRef>
              <c:f>LHEI!$A$9</c:f>
              <c:strCache>
                <c:ptCount val="1"/>
                <c:pt idx="0">
                  <c:v>Vides aizsardzības un reģionālās attīstības ministrijas deleģēšanas līguma „Jūras vides monotoringa programma” izpildei</c:v>
                </c:pt>
              </c:strCache>
            </c:strRef>
          </c:tx>
          <c:spPr>
            <a:solidFill>
              <a:srgbClr val="7030A0"/>
            </a:solidFill>
            <a:ln>
              <a:solidFill>
                <a:srgbClr val="7030A0"/>
              </a:solidFill>
            </a:ln>
            <a:effectLst/>
          </c:spPr>
          <c:invertIfNegative val="0"/>
          <c:cat>
            <c:numRef>
              <c:f>LHEI!$B$1:$E$1</c:f>
              <c:numCache>
                <c:formatCode>General</c:formatCode>
                <c:ptCount val="4"/>
                <c:pt idx="0">
                  <c:v>2011</c:v>
                </c:pt>
                <c:pt idx="1">
                  <c:v>2012</c:v>
                </c:pt>
                <c:pt idx="2">
                  <c:v>2013</c:v>
                </c:pt>
                <c:pt idx="3">
                  <c:v>2014</c:v>
                </c:pt>
              </c:numCache>
            </c:numRef>
          </c:cat>
          <c:val>
            <c:numRef>
              <c:f>LHEI!$B$9:$E$9</c:f>
              <c:numCache>
                <c:formatCode>General</c:formatCode>
                <c:ptCount val="4"/>
                <c:pt idx="2" formatCode="#,##0">
                  <c:v>122936.12443867707</c:v>
                </c:pt>
                <c:pt idx="3" formatCode="#,##0">
                  <c:v>127848</c:v>
                </c:pt>
              </c:numCache>
            </c:numRef>
          </c:val>
          <c:extLst>
            <c:ext xmlns:c16="http://schemas.microsoft.com/office/drawing/2014/chart" uri="{C3380CC4-5D6E-409C-BE32-E72D297353CC}">
              <c16:uniqueId val="{00000007-B918-44F1-A630-2BAC83996A14}"/>
            </c:ext>
          </c:extLst>
        </c:ser>
        <c:dLbls>
          <c:showLegendKey val="0"/>
          <c:showVal val="0"/>
          <c:showCatName val="0"/>
          <c:showSerName val="0"/>
          <c:showPercent val="0"/>
          <c:showBubbleSize val="0"/>
        </c:dLbls>
        <c:gapWidth val="100"/>
        <c:overlap val="100"/>
        <c:axId val="279650440"/>
        <c:axId val="279650832"/>
      </c:barChart>
      <c:catAx>
        <c:axId val="2796504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0832"/>
        <c:crosses val="autoZero"/>
        <c:auto val="1"/>
        <c:lblAlgn val="ctr"/>
        <c:lblOffset val="100"/>
        <c:noMultiLvlLbl val="0"/>
      </c:catAx>
      <c:valAx>
        <c:axId val="279650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0440"/>
        <c:crosses val="autoZero"/>
        <c:crossBetween val="between"/>
      </c:valAx>
      <c:spPr>
        <a:noFill/>
        <a:ln>
          <a:noFill/>
        </a:ln>
        <a:effectLst/>
      </c:spPr>
    </c:plotArea>
    <c:legend>
      <c:legendPos val="tr"/>
      <c:layout>
        <c:manualLayout>
          <c:xMode val="edge"/>
          <c:yMode val="edge"/>
          <c:x val="0.65066671556721389"/>
          <c:y val="9.8643611505728705E-3"/>
          <c:w val="0.33866661925926589"/>
          <c:h val="0.98857088516109404"/>
        </c:manualLayout>
      </c:layout>
      <c:overlay val="0"/>
      <c:spPr>
        <a:noFill/>
        <a:ln>
          <a:noFill/>
        </a:ln>
        <a:effectLst/>
      </c:spPr>
      <c:txPr>
        <a:bodyPr rot="0" spcFirstLastPara="1" vertOverflow="ellipsis" vert="horz" wrap="square" anchor="ctr" anchorCtr="1"/>
        <a:lstStyle/>
        <a:p>
          <a:pPr>
            <a:defRPr sz="8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540000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LHEI!$B$17:$I$17</c:f>
              <c:numCache>
                <c:formatCode>0</c:formatCode>
                <c:ptCount val="8"/>
                <c:pt idx="0">
                  <c:v>2013</c:v>
                </c:pt>
                <c:pt idx="1">
                  <c:v>2014</c:v>
                </c:pt>
                <c:pt idx="2">
                  <c:v>2015</c:v>
                </c:pt>
                <c:pt idx="3">
                  <c:v>2016</c:v>
                </c:pt>
                <c:pt idx="4">
                  <c:v>2017</c:v>
                </c:pt>
                <c:pt idx="5">
                  <c:v>2018</c:v>
                </c:pt>
                <c:pt idx="6">
                  <c:v>2019</c:v>
                </c:pt>
                <c:pt idx="7" formatCode="#,##0">
                  <c:v>2020</c:v>
                </c:pt>
              </c:numCache>
            </c:numRef>
          </c:cat>
          <c:val>
            <c:numRef>
              <c:f>LHEI!$B$18:$I$18</c:f>
              <c:numCache>
                <c:formatCode>#,##0</c:formatCode>
                <c:ptCount val="8"/>
                <c:pt idx="0">
                  <c:v>122936.12443867707</c:v>
                </c:pt>
                <c:pt idx="1">
                  <c:v>127848</c:v>
                </c:pt>
                <c:pt idx="2">
                  <c:v>128144</c:v>
                </c:pt>
                <c:pt idx="3">
                  <c:v>128144</c:v>
                </c:pt>
                <c:pt idx="4">
                  <c:v>128144</c:v>
                </c:pt>
                <c:pt idx="5">
                  <c:v>128144</c:v>
                </c:pt>
                <c:pt idx="6">
                  <c:v>128144</c:v>
                </c:pt>
                <c:pt idx="7">
                  <c:v>128144</c:v>
                </c:pt>
              </c:numCache>
            </c:numRef>
          </c:val>
          <c:extLst>
            <c:ext xmlns:c16="http://schemas.microsoft.com/office/drawing/2014/chart" uri="{C3380CC4-5D6E-409C-BE32-E72D297353CC}">
              <c16:uniqueId val="{00000000-A9DD-43D2-9FD8-BA8CC87EAC2E}"/>
            </c:ext>
          </c:extLst>
        </c:ser>
        <c:dLbls>
          <c:showLegendKey val="0"/>
          <c:showVal val="0"/>
          <c:showCatName val="0"/>
          <c:showSerName val="0"/>
          <c:showPercent val="0"/>
          <c:showBubbleSize val="0"/>
        </c:dLbls>
        <c:gapWidth val="100"/>
        <c:axId val="279651616"/>
        <c:axId val="279652008"/>
      </c:barChart>
      <c:catAx>
        <c:axId val="279651616"/>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2008"/>
        <c:crosses val="autoZero"/>
        <c:auto val="1"/>
        <c:lblAlgn val="ctr"/>
        <c:lblOffset val="100"/>
        <c:noMultiLvlLbl val="0"/>
      </c:catAx>
      <c:valAx>
        <c:axId val="27965200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1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35671983309778"/>
          <c:y val="4.6413502109704644E-2"/>
          <c:w val="0.5298056733292954"/>
          <c:h val="0.85079437855078244"/>
        </c:manualLayout>
      </c:layout>
      <c:barChart>
        <c:barDir val="col"/>
        <c:grouping val="clustered"/>
        <c:varyColors val="0"/>
        <c:ser>
          <c:idx val="0"/>
          <c:order val="0"/>
          <c:tx>
            <c:strRef>
              <c:f>VIF!$A$33</c:f>
              <c:strCache>
                <c:ptCount val="1"/>
                <c:pt idx="0">
                  <c:v>Ieņēmumi (procentu ieņēmumi un pārējie samnieciskās darbības ieņēmumi)</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VIF!$B$2:$D$2</c:f>
              <c:numCache>
                <c:formatCode>0</c:formatCode>
                <c:ptCount val="3"/>
                <c:pt idx="0">
                  <c:v>2014</c:v>
                </c:pt>
                <c:pt idx="1">
                  <c:v>2015</c:v>
                </c:pt>
                <c:pt idx="2">
                  <c:v>2016</c:v>
                </c:pt>
              </c:numCache>
            </c:numRef>
          </c:cat>
          <c:val>
            <c:numRef>
              <c:f>VIF!$B$33:$D$33</c:f>
              <c:numCache>
                <c:formatCode>#,##0</c:formatCode>
                <c:ptCount val="3"/>
                <c:pt idx="0">
                  <c:v>680384</c:v>
                </c:pt>
                <c:pt idx="1">
                  <c:v>534248</c:v>
                </c:pt>
                <c:pt idx="2">
                  <c:v>275094</c:v>
                </c:pt>
              </c:numCache>
            </c:numRef>
          </c:val>
          <c:extLst>
            <c:ext xmlns:c16="http://schemas.microsoft.com/office/drawing/2014/chart" uri="{C3380CC4-5D6E-409C-BE32-E72D297353CC}">
              <c16:uniqueId val="{00000000-F83E-4E8B-917A-BFDA5C60B3F9}"/>
            </c:ext>
          </c:extLst>
        </c:ser>
        <c:ser>
          <c:idx val="2"/>
          <c:order val="1"/>
          <c:tx>
            <c:strRef>
              <c:f>VIF!$A$35</c:f>
              <c:strCache>
                <c:ptCount val="1"/>
                <c:pt idx="0">
                  <c:v>Pārskata gada peļņa/zaudējumi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dLbl>
              <c:idx val="0"/>
              <c:layout>
                <c:manualLayout>
                  <c:x val="-1.9586668320030757E-17"/>
                  <c:y val="8.43881856540082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3E-4E8B-917A-BFDA5C60B3F9}"/>
                </c:ext>
              </c:extLst>
            </c:dLbl>
            <c:dLbl>
              <c:idx val="1"/>
              <c:layout>
                <c:manualLayout>
                  <c:x val="0"/>
                  <c:y val="8.01687763713078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3E-4E8B-917A-BFDA5C60B3F9}"/>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VIF!$B$2:$D$2</c:f>
              <c:numCache>
                <c:formatCode>0</c:formatCode>
                <c:ptCount val="3"/>
                <c:pt idx="0">
                  <c:v>2014</c:v>
                </c:pt>
                <c:pt idx="1">
                  <c:v>2015</c:v>
                </c:pt>
                <c:pt idx="2">
                  <c:v>2016</c:v>
                </c:pt>
              </c:numCache>
            </c:numRef>
          </c:cat>
          <c:val>
            <c:numRef>
              <c:f>VIF!$B$35:$D$35</c:f>
              <c:numCache>
                <c:formatCode>#,##0</c:formatCode>
                <c:ptCount val="3"/>
                <c:pt idx="0">
                  <c:v>10906</c:v>
                </c:pt>
                <c:pt idx="1">
                  <c:v>888</c:v>
                </c:pt>
                <c:pt idx="2">
                  <c:v>-77942</c:v>
                </c:pt>
              </c:numCache>
            </c:numRef>
          </c:val>
          <c:extLst>
            <c:ext xmlns:c16="http://schemas.microsoft.com/office/drawing/2014/chart" uri="{C3380CC4-5D6E-409C-BE32-E72D297353CC}">
              <c16:uniqueId val="{00000003-F83E-4E8B-917A-BFDA5C60B3F9}"/>
            </c:ext>
          </c:extLst>
        </c:ser>
        <c:ser>
          <c:idx val="1"/>
          <c:order val="2"/>
          <c:tx>
            <c:strRef>
              <c:f>VIF!$A$34</c:f>
              <c:strCache>
                <c:ptCount val="1"/>
                <c:pt idx="0">
                  <c:v>Izdevumi (administrācijas izmaksas un uzņēmuma ienākuma nodoklis)</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VIF!$B$2:$D$2</c:f>
              <c:numCache>
                <c:formatCode>0</c:formatCode>
                <c:ptCount val="3"/>
                <c:pt idx="0">
                  <c:v>2014</c:v>
                </c:pt>
                <c:pt idx="1">
                  <c:v>2015</c:v>
                </c:pt>
                <c:pt idx="2">
                  <c:v>2016</c:v>
                </c:pt>
              </c:numCache>
            </c:numRef>
          </c:cat>
          <c:val>
            <c:numRef>
              <c:f>VIF!$B$34:$D$34</c:f>
              <c:numCache>
                <c:formatCode>#,##0</c:formatCode>
                <c:ptCount val="3"/>
                <c:pt idx="0">
                  <c:v>669478</c:v>
                </c:pt>
                <c:pt idx="1">
                  <c:v>533360</c:v>
                </c:pt>
                <c:pt idx="2">
                  <c:v>353036</c:v>
                </c:pt>
              </c:numCache>
            </c:numRef>
          </c:val>
          <c:extLst>
            <c:ext xmlns:c16="http://schemas.microsoft.com/office/drawing/2014/chart" uri="{C3380CC4-5D6E-409C-BE32-E72D297353CC}">
              <c16:uniqueId val="{00000004-F83E-4E8B-917A-BFDA5C60B3F9}"/>
            </c:ext>
          </c:extLst>
        </c:ser>
        <c:dLbls>
          <c:showLegendKey val="0"/>
          <c:showVal val="0"/>
          <c:showCatName val="0"/>
          <c:showSerName val="0"/>
          <c:showPercent val="0"/>
          <c:showBubbleSize val="0"/>
        </c:dLbls>
        <c:gapWidth val="100"/>
        <c:overlap val="50"/>
        <c:axId val="279652792"/>
        <c:axId val="279653184"/>
      </c:barChart>
      <c:catAx>
        <c:axId val="279652792"/>
        <c:scaling>
          <c:orientation val="minMax"/>
        </c:scaling>
        <c:delete val="0"/>
        <c:axPos val="b"/>
        <c:numFmt formatCode="0"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3184"/>
        <c:crosses val="autoZero"/>
        <c:auto val="1"/>
        <c:lblAlgn val="ctr"/>
        <c:lblOffset val="100"/>
        <c:noMultiLvlLbl val="0"/>
      </c:catAx>
      <c:valAx>
        <c:axId val="2796531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2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LVĢMC_rezultati!$B$38:$H$38</c:f>
              <c:numCache>
                <c:formatCode>General</c:formatCode>
                <c:ptCount val="7"/>
                <c:pt idx="0">
                  <c:v>2014</c:v>
                </c:pt>
                <c:pt idx="1">
                  <c:v>2015</c:v>
                </c:pt>
                <c:pt idx="2">
                  <c:v>2016</c:v>
                </c:pt>
                <c:pt idx="3">
                  <c:v>2017</c:v>
                </c:pt>
                <c:pt idx="4">
                  <c:v>2018</c:v>
                </c:pt>
                <c:pt idx="5">
                  <c:v>2019</c:v>
                </c:pt>
                <c:pt idx="6">
                  <c:v>2020</c:v>
                </c:pt>
              </c:numCache>
            </c:numRef>
          </c:cat>
          <c:val>
            <c:numRef>
              <c:f>LVĢMC_rezultati!$B$40:$H$40</c:f>
              <c:numCache>
                <c:formatCode>0.00</c:formatCode>
                <c:ptCount val="7"/>
                <c:pt idx="0">
                  <c:v>2.7610299999999999</c:v>
                </c:pt>
                <c:pt idx="1">
                  <c:v>3.5161910000000001</c:v>
                </c:pt>
                <c:pt idx="2">
                  <c:v>3.2747250000000001</c:v>
                </c:pt>
                <c:pt idx="3">
                  <c:v>5.627205</c:v>
                </c:pt>
                <c:pt idx="4">
                  <c:v>6.6758290000000002</c:v>
                </c:pt>
                <c:pt idx="5">
                  <c:v>4.5131430000000003</c:v>
                </c:pt>
                <c:pt idx="6">
                  <c:v>4.464143</c:v>
                </c:pt>
              </c:numCache>
            </c:numRef>
          </c:val>
          <c:extLst>
            <c:ext xmlns:c16="http://schemas.microsoft.com/office/drawing/2014/chart" uri="{C3380CC4-5D6E-409C-BE32-E72D297353CC}">
              <c16:uniqueId val="{00000000-9F00-48CA-A554-FA34D407F697}"/>
            </c:ext>
          </c:extLst>
        </c:ser>
        <c:dLbls>
          <c:showLegendKey val="0"/>
          <c:showVal val="0"/>
          <c:showCatName val="0"/>
          <c:showSerName val="0"/>
          <c:showPercent val="0"/>
          <c:showBubbleSize val="0"/>
        </c:dLbls>
        <c:gapWidth val="100"/>
        <c:axId val="279653968"/>
        <c:axId val="279654360"/>
      </c:barChart>
      <c:catAx>
        <c:axId val="27965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4360"/>
        <c:crosses val="autoZero"/>
        <c:auto val="1"/>
        <c:lblAlgn val="ctr"/>
        <c:lblOffset val="100"/>
        <c:noMultiLvlLbl val="0"/>
      </c:catAx>
      <c:valAx>
        <c:axId val="279654360"/>
        <c:scaling>
          <c:orientation val="minMax"/>
          <c:max val="7"/>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7965396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Sheet2!$A$4</c:f>
              <c:strCache>
                <c:ptCount val="1"/>
                <c:pt idx="0">
                  <c:v>Deleģēšanas līgums ar LR Satiksmes ministriju</c:v>
                </c:pt>
              </c:strCache>
            </c:strRef>
          </c:tx>
          <c:spPr>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Sheet2!$B$2:$E$3</c:f>
              <c:multiLvlStrCache>
                <c:ptCount val="4"/>
                <c:lvl>
                  <c:pt idx="0">
                    <c:v>Ieņēmumi</c:v>
                  </c:pt>
                  <c:pt idx="1">
                    <c:v>Izmaksas</c:v>
                  </c:pt>
                  <c:pt idx="2">
                    <c:v>Ieņēmumi</c:v>
                  </c:pt>
                  <c:pt idx="3">
                    <c:v>Izmaksas</c:v>
                  </c:pt>
                </c:lvl>
                <c:lvl>
                  <c:pt idx="0">
                    <c:v>2014</c:v>
                  </c:pt>
                  <c:pt idx="2">
                    <c:v>2015</c:v>
                  </c:pt>
                </c:lvl>
              </c:multiLvlStrCache>
            </c:multiLvlStrRef>
          </c:cat>
          <c:val>
            <c:numRef>
              <c:f>Sheet2!$B$4:$E$4</c:f>
              <c:numCache>
                <c:formatCode>General</c:formatCode>
                <c:ptCount val="4"/>
                <c:pt idx="0" formatCode="#,##0.0">
                  <c:v>53.297642000000003</c:v>
                </c:pt>
                <c:pt idx="2" formatCode="#,##0.0">
                  <c:v>53.807616000000003</c:v>
                </c:pt>
              </c:numCache>
            </c:numRef>
          </c:val>
          <c:extLst>
            <c:ext xmlns:c16="http://schemas.microsoft.com/office/drawing/2014/chart" uri="{C3380CC4-5D6E-409C-BE32-E72D297353CC}">
              <c16:uniqueId val="{00000000-D921-4221-BE89-02E86456F64B}"/>
            </c:ext>
          </c:extLst>
        </c:ser>
        <c:ser>
          <c:idx val="1"/>
          <c:order val="1"/>
          <c:tx>
            <c:strRef>
              <c:f>Sheet2!$A$5</c:f>
              <c:strCache>
                <c:ptCount val="1"/>
                <c:pt idx="0">
                  <c:v>Pārējie ieņēmumi</c:v>
                </c:pt>
              </c:strCache>
            </c:strRef>
          </c:tx>
          <c:spPr>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Sheet2!$B$2:$E$3</c:f>
              <c:multiLvlStrCache>
                <c:ptCount val="4"/>
                <c:lvl>
                  <c:pt idx="0">
                    <c:v>Ieņēmumi</c:v>
                  </c:pt>
                  <c:pt idx="1">
                    <c:v>Izmaksas</c:v>
                  </c:pt>
                  <c:pt idx="2">
                    <c:v>Ieņēmumi</c:v>
                  </c:pt>
                  <c:pt idx="3">
                    <c:v>Izmaksas</c:v>
                  </c:pt>
                </c:lvl>
                <c:lvl>
                  <c:pt idx="0">
                    <c:v>2014</c:v>
                  </c:pt>
                  <c:pt idx="2">
                    <c:v>2015</c:v>
                  </c:pt>
                </c:lvl>
              </c:multiLvlStrCache>
            </c:multiLvlStrRef>
          </c:cat>
          <c:val>
            <c:numRef>
              <c:f>Sheet2!$B$5:$E$5</c:f>
              <c:numCache>
                <c:formatCode>General</c:formatCode>
                <c:ptCount val="4"/>
                <c:pt idx="0" formatCode="#,##0.0">
                  <c:v>11.249693000000001</c:v>
                </c:pt>
                <c:pt idx="2" formatCode="#,##0.0">
                  <c:v>8.6189940000000007</c:v>
                </c:pt>
              </c:numCache>
            </c:numRef>
          </c:val>
          <c:extLst>
            <c:ext xmlns:c16="http://schemas.microsoft.com/office/drawing/2014/chart" uri="{C3380CC4-5D6E-409C-BE32-E72D297353CC}">
              <c16:uniqueId val="{00000001-D921-4221-BE89-02E86456F64B}"/>
            </c:ext>
          </c:extLst>
        </c:ser>
        <c:ser>
          <c:idx val="2"/>
          <c:order val="2"/>
          <c:tx>
            <c:strRef>
              <c:f>Sheet2!$A$6</c:f>
              <c:strCache>
                <c:ptCount val="1"/>
                <c:pt idx="0">
                  <c:v>Pārdotās produkcijas ražošanas izmaksas</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Sheet2!$B$2:$E$3</c:f>
              <c:multiLvlStrCache>
                <c:ptCount val="4"/>
                <c:lvl>
                  <c:pt idx="0">
                    <c:v>Ieņēmumi</c:v>
                  </c:pt>
                  <c:pt idx="1">
                    <c:v>Izmaksas</c:v>
                  </c:pt>
                  <c:pt idx="2">
                    <c:v>Ieņēmumi</c:v>
                  </c:pt>
                  <c:pt idx="3">
                    <c:v>Izmaksas</c:v>
                  </c:pt>
                </c:lvl>
                <c:lvl>
                  <c:pt idx="0">
                    <c:v>2014</c:v>
                  </c:pt>
                  <c:pt idx="2">
                    <c:v>2015</c:v>
                  </c:pt>
                </c:lvl>
              </c:multiLvlStrCache>
            </c:multiLvlStrRef>
          </c:cat>
          <c:val>
            <c:numRef>
              <c:f>Sheet2!$B$6:$E$6</c:f>
              <c:numCache>
                <c:formatCode>#,##0.0</c:formatCode>
                <c:ptCount val="4"/>
                <c:pt idx="1">
                  <c:v>58.385733000000002</c:v>
                </c:pt>
                <c:pt idx="3">
                  <c:v>54.458646999999999</c:v>
                </c:pt>
              </c:numCache>
            </c:numRef>
          </c:val>
          <c:extLst>
            <c:ext xmlns:c16="http://schemas.microsoft.com/office/drawing/2014/chart" uri="{C3380CC4-5D6E-409C-BE32-E72D297353CC}">
              <c16:uniqueId val="{00000002-D921-4221-BE89-02E86456F64B}"/>
            </c:ext>
          </c:extLst>
        </c:ser>
        <c:ser>
          <c:idx val="3"/>
          <c:order val="3"/>
          <c:tx>
            <c:strRef>
              <c:f>Sheet2!$A$7</c:f>
              <c:strCache>
                <c:ptCount val="1"/>
                <c:pt idx="0">
                  <c:v>Administrācijas izmaksas</c:v>
                </c:pt>
              </c:strCache>
            </c:strRef>
          </c:tx>
          <c:spPr>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Sheet2!$B$2:$E$3</c:f>
              <c:multiLvlStrCache>
                <c:ptCount val="4"/>
                <c:lvl>
                  <c:pt idx="0">
                    <c:v>Ieņēmumi</c:v>
                  </c:pt>
                  <c:pt idx="1">
                    <c:v>Izmaksas</c:v>
                  </c:pt>
                  <c:pt idx="2">
                    <c:v>Ieņēmumi</c:v>
                  </c:pt>
                  <c:pt idx="3">
                    <c:v>Izmaksas</c:v>
                  </c:pt>
                </c:lvl>
                <c:lvl>
                  <c:pt idx="0">
                    <c:v>2014</c:v>
                  </c:pt>
                  <c:pt idx="2">
                    <c:v>2015</c:v>
                  </c:pt>
                </c:lvl>
              </c:multiLvlStrCache>
            </c:multiLvlStrRef>
          </c:cat>
          <c:val>
            <c:numRef>
              <c:f>Sheet2!$B$7:$E$7</c:f>
              <c:numCache>
                <c:formatCode>#,##0.0</c:formatCode>
                <c:ptCount val="4"/>
                <c:pt idx="1">
                  <c:v>3.879651</c:v>
                </c:pt>
                <c:pt idx="3">
                  <c:v>4.0918070000000002</c:v>
                </c:pt>
              </c:numCache>
            </c:numRef>
          </c:val>
          <c:extLst>
            <c:ext xmlns:c16="http://schemas.microsoft.com/office/drawing/2014/chart" uri="{C3380CC4-5D6E-409C-BE32-E72D297353CC}">
              <c16:uniqueId val="{00000003-D921-4221-BE89-02E86456F64B}"/>
            </c:ext>
          </c:extLst>
        </c:ser>
        <c:ser>
          <c:idx val="4"/>
          <c:order val="4"/>
          <c:tx>
            <c:strRef>
              <c:f>Sheet2!$A$8</c:f>
              <c:strCache>
                <c:ptCount val="1"/>
                <c:pt idx="0">
                  <c:v>Pārējās izmaksas</c:v>
                </c:pt>
              </c:strCache>
            </c:strRef>
          </c:tx>
          <c:spPr>
            <a:solidFill>
              <a:srgbClr val="7030A0"/>
            </a:solidFill>
            <a:ln>
              <a:noFill/>
            </a:ln>
            <a:effectLst/>
          </c:spPr>
          <c:invertIfNegative val="0"/>
          <c:cat>
            <c:multiLvlStrRef>
              <c:f>Sheet2!$B$2:$E$3</c:f>
              <c:multiLvlStrCache>
                <c:ptCount val="4"/>
                <c:lvl>
                  <c:pt idx="0">
                    <c:v>Ieņēmumi</c:v>
                  </c:pt>
                  <c:pt idx="1">
                    <c:v>Izmaksas</c:v>
                  </c:pt>
                  <c:pt idx="2">
                    <c:v>Ieņēmumi</c:v>
                  </c:pt>
                  <c:pt idx="3">
                    <c:v>Izmaksas</c:v>
                  </c:pt>
                </c:lvl>
                <c:lvl>
                  <c:pt idx="0">
                    <c:v>2014</c:v>
                  </c:pt>
                  <c:pt idx="2">
                    <c:v>2015</c:v>
                  </c:pt>
                </c:lvl>
              </c:multiLvlStrCache>
            </c:multiLvlStrRef>
          </c:cat>
          <c:val>
            <c:numRef>
              <c:f>Sheet2!$B$8:$E$8</c:f>
              <c:numCache>
                <c:formatCode>#,##0.0</c:formatCode>
                <c:ptCount val="4"/>
                <c:pt idx="1">
                  <c:v>0.27132299999999998</c:v>
                </c:pt>
                <c:pt idx="3">
                  <c:v>0.165547</c:v>
                </c:pt>
              </c:numCache>
            </c:numRef>
          </c:val>
          <c:extLst>
            <c:ext xmlns:c16="http://schemas.microsoft.com/office/drawing/2014/chart" uri="{C3380CC4-5D6E-409C-BE32-E72D297353CC}">
              <c16:uniqueId val="{00000004-D921-4221-BE89-02E86456F64B}"/>
            </c:ext>
          </c:extLst>
        </c:ser>
        <c:dLbls>
          <c:showLegendKey val="0"/>
          <c:showVal val="0"/>
          <c:showCatName val="0"/>
          <c:showSerName val="0"/>
          <c:showPercent val="0"/>
          <c:showBubbleSize val="0"/>
        </c:dLbls>
        <c:gapWidth val="150"/>
        <c:overlap val="100"/>
        <c:axId val="280125264"/>
        <c:axId val="280125656"/>
      </c:barChart>
      <c:catAx>
        <c:axId val="280125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125656"/>
        <c:crosses val="autoZero"/>
        <c:auto val="1"/>
        <c:lblAlgn val="ctr"/>
        <c:lblOffset val="100"/>
        <c:noMultiLvlLbl val="0"/>
      </c:catAx>
      <c:valAx>
        <c:axId val="2801256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125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Sheet5!$A$5</c:f>
              <c:strCache>
                <c:ptCount val="1"/>
                <c:pt idx="0">
                  <c:v>Deleģēšanas līgums ar LR Satiksmes ministriju</c:v>
                </c:pt>
              </c:strCache>
            </c:strRef>
          </c:tx>
          <c:spPr>
            <a:solidFill>
              <a:srgbClr val="5B9BD5"/>
            </a:soli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Sheet5!$B$3:$G$4</c:f>
              <c:multiLvlStrCache>
                <c:ptCount val="6"/>
                <c:lvl>
                  <c:pt idx="0">
                    <c:v>Ieņēmumi</c:v>
                  </c:pt>
                  <c:pt idx="1">
                    <c:v>Izmaksas</c:v>
                  </c:pt>
                  <c:pt idx="2">
                    <c:v>Ieņēmumi</c:v>
                  </c:pt>
                  <c:pt idx="3">
                    <c:v>Izmaksas</c:v>
                  </c:pt>
                  <c:pt idx="4">
                    <c:v>Ieņēmumi</c:v>
                  </c:pt>
                  <c:pt idx="5">
                    <c:v>Izmaksas</c:v>
                  </c:pt>
                </c:lvl>
                <c:lvl>
                  <c:pt idx="0">
                    <c:v>2014</c:v>
                  </c:pt>
                  <c:pt idx="2">
                    <c:v>2015</c:v>
                  </c:pt>
                  <c:pt idx="4">
                    <c:v>2016</c:v>
                  </c:pt>
                </c:lvl>
              </c:multiLvlStrCache>
            </c:multiLvlStrRef>
          </c:cat>
          <c:val>
            <c:numRef>
              <c:f>Sheet5!$B$5:$G$5</c:f>
              <c:numCache>
                <c:formatCode>General</c:formatCode>
                <c:ptCount val="6"/>
                <c:pt idx="0" formatCode="#,##0.0">
                  <c:v>12.028135000000001</c:v>
                </c:pt>
                <c:pt idx="2" formatCode="#,##0.0">
                  <c:v>13.493656</c:v>
                </c:pt>
                <c:pt idx="4" formatCode="#,##0.0">
                  <c:v>13.104516</c:v>
                </c:pt>
              </c:numCache>
            </c:numRef>
          </c:val>
          <c:extLst>
            <c:ext xmlns:c16="http://schemas.microsoft.com/office/drawing/2014/chart" uri="{C3380CC4-5D6E-409C-BE32-E72D297353CC}">
              <c16:uniqueId val="{00000000-0197-4DD5-B563-C71C1B704758}"/>
            </c:ext>
          </c:extLst>
        </c:ser>
        <c:ser>
          <c:idx val="1"/>
          <c:order val="1"/>
          <c:tx>
            <c:strRef>
              <c:f>Sheet5!$A$6</c:f>
              <c:strCache>
                <c:ptCount val="1"/>
                <c:pt idx="0">
                  <c:v>Pārējie ieņēmumi</c:v>
                </c:pt>
              </c:strCache>
            </c:strRef>
          </c:tx>
          <c:spPr>
            <a:solidFill>
              <a:sysClr val="windowText" lastClr="000000">
                <a:lumMod val="50000"/>
                <a:lumOff val="50000"/>
              </a:sysClr>
            </a:solidFill>
            <a:ln w="6350" cap="flat" cmpd="sng" algn="ctr">
              <a:solidFill>
                <a:sysClr val="windowText" lastClr="000000">
                  <a:lumMod val="50000"/>
                  <a:lumOff val="50000"/>
                </a:sysClr>
              </a:solidFill>
              <a:prstDash val="solid"/>
              <a:miter lim="800000"/>
            </a:ln>
            <a:effectLst/>
          </c:spPr>
          <c:invertIfNegative val="0"/>
          <c:cat>
            <c:multiLvlStrRef>
              <c:f>Sheet5!$B$3:$G$4</c:f>
              <c:multiLvlStrCache>
                <c:ptCount val="6"/>
                <c:lvl>
                  <c:pt idx="0">
                    <c:v>Ieņēmumi</c:v>
                  </c:pt>
                  <c:pt idx="1">
                    <c:v>Izmaksas</c:v>
                  </c:pt>
                  <c:pt idx="2">
                    <c:v>Ieņēmumi</c:v>
                  </c:pt>
                  <c:pt idx="3">
                    <c:v>Izmaksas</c:v>
                  </c:pt>
                  <c:pt idx="4">
                    <c:v>Ieņēmumi</c:v>
                  </c:pt>
                  <c:pt idx="5">
                    <c:v>Izmaksas</c:v>
                  </c:pt>
                </c:lvl>
                <c:lvl>
                  <c:pt idx="0">
                    <c:v>2014</c:v>
                  </c:pt>
                  <c:pt idx="2">
                    <c:v>2015</c:v>
                  </c:pt>
                  <c:pt idx="4">
                    <c:v>2016</c:v>
                  </c:pt>
                </c:lvl>
              </c:multiLvlStrCache>
            </c:multiLvlStrRef>
          </c:cat>
          <c:val>
            <c:numRef>
              <c:f>Sheet5!$B$6:$G$6</c:f>
              <c:numCache>
                <c:formatCode>General</c:formatCode>
                <c:ptCount val="6"/>
                <c:pt idx="0" formatCode="#,##0.0">
                  <c:v>0.15628900000000001</c:v>
                </c:pt>
                <c:pt idx="2" formatCode="#,##0.0">
                  <c:v>0.25387700000000002</c:v>
                </c:pt>
                <c:pt idx="4" formatCode="#,##0.0">
                  <c:v>0.255965</c:v>
                </c:pt>
              </c:numCache>
            </c:numRef>
          </c:val>
          <c:extLst>
            <c:ext xmlns:c16="http://schemas.microsoft.com/office/drawing/2014/chart" uri="{C3380CC4-5D6E-409C-BE32-E72D297353CC}">
              <c16:uniqueId val="{00000001-0197-4DD5-B563-C71C1B704758}"/>
            </c:ext>
          </c:extLst>
        </c:ser>
        <c:ser>
          <c:idx val="2"/>
          <c:order val="2"/>
          <c:tx>
            <c:strRef>
              <c:f>Sheet5!$A$7</c:f>
              <c:strCache>
                <c:ptCount val="1"/>
                <c:pt idx="0">
                  <c:v>Personāla izmaksas</c:v>
                </c:pt>
              </c:strCache>
            </c:strRef>
          </c:tx>
          <c:spPr>
            <a:solidFill>
              <a:srgbClr val="70AD47"/>
            </a:solidFill>
            <a:ln w="6350" cap="flat" cmpd="sng" algn="ctr">
              <a:solidFill>
                <a:srgbClr val="5B9BD5"/>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Sheet5!$B$3:$G$4</c:f>
              <c:multiLvlStrCache>
                <c:ptCount val="6"/>
                <c:lvl>
                  <c:pt idx="0">
                    <c:v>Ieņēmumi</c:v>
                  </c:pt>
                  <c:pt idx="1">
                    <c:v>Izmaksas</c:v>
                  </c:pt>
                  <c:pt idx="2">
                    <c:v>Ieņēmumi</c:v>
                  </c:pt>
                  <c:pt idx="3">
                    <c:v>Izmaksas</c:v>
                  </c:pt>
                  <c:pt idx="4">
                    <c:v>Ieņēmumi</c:v>
                  </c:pt>
                  <c:pt idx="5">
                    <c:v>Izmaksas</c:v>
                  </c:pt>
                </c:lvl>
                <c:lvl>
                  <c:pt idx="0">
                    <c:v>2014</c:v>
                  </c:pt>
                  <c:pt idx="2">
                    <c:v>2015</c:v>
                  </c:pt>
                  <c:pt idx="4">
                    <c:v>2016</c:v>
                  </c:pt>
                </c:lvl>
              </c:multiLvlStrCache>
            </c:multiLvlStrRef>
          </c:cat>
          <c:val>
            <c:numRef>
              <c:f>Sheet5!$B$7:$G$7</c:f>
              <c:numCache>
                <c:formatCode>#,##0.0</c:formatCode>
                <c:ptCount val="6"/>
                <c:pt idx="1">
                  <c:v>9.0346960000000003</c:v>
                </c:pt>
                <c:pt idx="3">
                  <c:v>10.346007</c:v>
                </c:pt>
                <c:pt idx="5">
                  <c:v>10.095174</c:v>
                </c:pt>
              </c:numCache>
            </c:numRef>
          </c:val>
          <c:extLst>
            <c:ext xmlns:c16="http://schemas.microsoft.com/office/drawing/2014/chart" uri="{C3380CC4-5D6E-409C-BE32-E72D297353CC}">
              <c16:uniqueId val="{00000002-0197-4DD5-B563-C71C1B704758}"/>
            </c:ext>
          </c:extLst>
        </c:ser>
        <c:ser>
          <c:idx val="3"/>
          <c:order val="3"/>
          <c:tx>
            <c:strRef>
              <c:f>Sheet5!$A$8</c:f>
              <c:strCache>
                <c:ptCount val="1"/>
                <c:pt idx="0">
                  <c:v>Pārējās izmaksas</c:v>
                </c:pt>
              </c:strCache>
            </c:strRef>
          </c:tx>
          <c:spPr>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Sheet5!$B$3:$G$4</c:f>
              <c:multiLvlStrCache>
                <c:ptCount val="6"/>
                <c:lvl>
                  <c:pt idx="0">
                    <c:v>Ieņēmumi</c:v>
                  </c:pt>
                  <c:pt idx="1">
                    <c:v>Izmaksas</c:v>
                  </c:pt>
                  <c:pt idx="2">
                    <c:v>Ieņēmumi</c:v>
                  </c:pt>
                  <c:pt idx="3">
                    <c:v>Izmaksas</c:v>
                  </c:pt>
                  <c:pt idx="4">
                    <c:v>Ieņēmumi</c:v>
                  </c:pt>
                  <c:pt idx="5">
                    <c:v>Izmaksas</c:v>
                  </c:pt>
                </c:lvl>
                <c:lvl>
                  <c:pt idx="0">
                    <c:v>2014</c:v>
                  </c:pt>
                  <c:pt idx="2">
                    <c:v>2015</c:v>
                  </c:pt>
                  <c:pt idx="4">
                    <c:v>2016</c:v>
                  </c:pt>
                </c:lvl>
              </c:multiLvlStrCache>
            </c:multiLvlStrRef>
          </c:cat>
          <c:val>
            <c:numRef>
              <c:f>Sheet5!$B$8:$G$8</c:f>
              <c:numCache>
                <c:formatCode>#,##0.0</c:formatCode>
                <c:ptCount val="6"/>
                <c:pt idx="1">
                  <c:v>3.0478839999999998</c:v>
                </c:pt>
                <c:pt idx="3">
                  <c:v>3.3235860000000002</c:v>
                </c:pt>
                <c:pt idx="5">
                  <c:v>3.2105389999999998</c:v>
                </c:pt>
              </c:numCache>
            </c:numRef>
          </c:val>
          <c:extLst>
            <c:ext xmlns:c16="http://schemas.microsoft.com/office/drawing/2014/chart" uri="{C3380CC4-5D6E-409C-BE32-E72D297353CC}">
              <c16:uniqueId val="{00000003-0197-4DD5-B563-C71C1B704758}"/>
            </c:ext>
          </c:extLst>
        </c:ser>
        <c:dLbls>
          <c:showLegendKey val="0"/>
          <c:showVal val="0"/>
          <c:showCatName val="0"/>
          <c:showSerName val="0"/>
          <c:showPercent val="0"/>
          <c:showBubbleSize val="0"/>
        </c:dLbls>
        <c:gapWidth val="100"/>
        <c:overlap val="100"/>
        <c:axId val="280128792"/>
        <c:axId val="280129184"/>
      </c:barChart>
      <c:catAx>
        <c:axId val="280128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129184"/>
        <c:crosses val="autoZero"/>
        <c:auto val="1"/>
        <c:lblAlgn val="ctr"/>
        <c:lblOffset val="100"/>
        <c:noMultiLvlLbl val="0"/>
      </c:catAx>
      <c:valAx>
        <c:axId val="280129184"/>
        <c:scaling>
          <c:orientation val="minMax"/>
          <c:max val="14"/>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128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497980568336592E-2"/>
          <c:y val="3.916681502581449E-2"/>
          <c:w val="0.79371728630136751"/>
          <c:h val="0.51507305578257234"/>
        </c:manualLayout>
      </c:layout>
      <c:barChart>
        <c:barDir val="col"/>
        <c:grouping val="clustered"/>
        <c:varyColors val="0"/>
        <c:ser>
          <c:idx val="0"/>
          <c:order val="0"/>
          <c:tx>
            <c:strRef>
              <c:f>Dati!$J$84</c:f>
              <c:strCache>
                <c:ptCount val="1"/>
                <c:pt idx="0">
                  <c:v>Izdevumi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dLbl>
              <c:idx val="7"/>
              <c:layout>
                <c:manualLayout>
                  <c:x val="2.8932060687161501E-3"/>
                  <c:y val="7.12592475423607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0A-4227-9912-CD881C71950C}"/>
                </c:ext>
              </c:extLst>
            </c:dLbl>
            <c:dLbl>
              <c:idx val="10"/>
              <c:layout>
                <c:manualLayout>
                  <c:x val="2.1699083637637021E-2"/>
                  <c:y val="9.99440674330876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0A-4227-9912-CD881C71950C}"/>
                </c:ext>
              </c:extLst>
            </c:dLbl>
            <c:dLbl>
              <c:idx val="11"/>
              <c:layout>
                <c:manualLayout>
                  <c:x val="2.0252442481012944E-2"/>
                  <c:y val="1.34013214286477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0A-4227-9912-CD881C71950C}"/>
                </c:ext>
              </c:extLst>
            </c:dLbl>
            <c:dLbl>
              <c:idx val="12"/>
              <c:layout>
                <c:manualLayout>
                  <c:x val="2.169904551537102E-2"/>
                  <c:y val="6.632366237946833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0A-4227-9912-CD881C719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Dati!$I$85:$I$98</c:f>
              <c:strCache>
                <c:ptCount val="13"/>
                <c:pt idx="0">
                  <c:v>LNMM</c:v>
                </c:pt>
                <c:pt idx="1">
                  <c:v>Rundāles pils muzejs</c:v>
                </c:pt>
                <c:pt idx="2">
                  <c:v>LNVM</c:v>
                </c:pt>
                <c:pt idx="3">
                  <c:v>Turaidas muzejrezervāts</c:v>
                </c:pt>
                <c:pt idx="4">
                  <c:v>LEBM</c:v>
                </c:pt>
                <c:pt idx="5">
                  <c:v>Latvijas Kara muzejs</c:v>
                </c:pt>
                <c:pt idx="6">
                  <c:v>RVKM</c:v>
                </c:pt>
                <c:pt idx="7">
                  <c:v>MMA</c:v>
                </c:pt>
                <c:pt idx="8">
                  <c:v>Latvijas Dabas muzejs</c:v>
                </c:pt>
                <c:pt idx="9">
                  <c:v>PSMVM</c:v>
                </c:pt>
                <c:pt idx="10">
                  <c:v>Latvijas Sporta muzejs </c:v>
                </c:pt>
                <c:pt idx="11">
                  <c:v>Latvijas Lauksaimniecības muzejs
</c:v>
                </c:pt>
                <c:pt idx="12">
                  <c:v>Pikšas</c:v>
                </c:pt>
              </c:strCache>
            </c:strRef>
          </c:cat>
          <c:val>
            <c:numRef>
              <c:f>Dati!$J$85:$J$98</c:f>
              <c:numCache>
                <c:formatCode>0.0</c:formatCode>
                <c:ptCount val="13"/>
                <c:pt idx="0">
                  <c:v>7.7479040000000001</c:v>
                </c:pt>
                <c:pt idx="1">
                  <c:v>3.1424180000000002</c:v>
                </c:pt>
                <c:pt idx="2">
                  <c:v>2.0687199999999999</c:v>
                </c:pt>
                <c:pt idx="3">
                  <c:v>1.734977</c:v>
                </c:pt>
                <c:pt idx="4">
                  <c:v>1.687109</c:v>
                </c:pt>
                <c:pt idx="5">
                  <c:v>1.5277419999999999</c:v>
                </c:pt>
                <c:pt idx="6">
                  <c:v>1.5211380000000001</c:v>
                </c:pt>
                <c:pt idx="7">
                  <c:v>0.83230599999999999</c:v>
                </c:pt>
                <c:pt idx="8">
                  <c:v>0.75482287999999997</c:v>
                </c:pt>
                <c:pt idx="9">
                  <c:v>0.73183600000000004</c:v>
                </c:pt>
                <c:pt idx="10">
                  <c:v>0.100311</c:v>
                </c:pt>
                <c:pt idx="11">
                  <c:v>7.2442999999999994E-2</c:v>
                </c:pt>
                <c:pt idx="12">
                  <c:v>5.3985999999999999E-2</c:v>
                </c:pt>
              </c:numCache>
            </c:numRef>
          </c:val>
          <c:extLst>
            <c:ext xmlns:c16="http://schemas.microsoft.com/office/drawing/2014/chart" uri="{C3380CC4-5D6E-409C-BE32-E72D297353CC}">
              <c16:uniqueId val="{00000004-FA0A-4227-9912-CD881C71950C}"/>
            </c:ext>
          </c:extLst>
        </c:ser>
        <c:dLbls>
          <c:showLegendKey val="0"/>
          <c:showVal val="0"/>
          <c:showCatName val="0"/>
          <c:showSerName val="0"/>
          <c:showPercent val="0"/>
          <c:showBubbleSize val="0"/>
        </c:dLbls>
        <c:gapWidth val="80"/>
        <c:axId val="280129968"/>
        <c:axId val="280130360"/>
      </c:barChart>
      <c:lineChart>
        <c:grouping val="stacked"/>
        <c:varyColors val="0"/>
        <c:ser>
          <c:idx val="1"/>
          <c:order val="1"/>
          <c:tx>
            <c:strRef>
              <c:f>Dati!$K$84</c:f>
              <c:strCache>
                <c:ptCount val="1"/>
                <c:pt idx="0">
                  <c:v>Apmeklējumu skaits</c:v>
                </c:pt>
              </c:strCache>
            </c:strRef>
          </c:tx>
          <c:spPr>
            <a:ln w="28575" cap="rnd">
              <a:noFill/>
              <a:round/>
            </a:ln>
            <a:effectLst/>
          </c:spPr>
          <c:marker>
            <c:symbol val="diamond"/>
            <c:size val="15"/>
            <c:spPr>
              <a:solidFill>
                <a:schemeClr val="accent2"/>
              </a:solidFill>
              <a:ln w="9525">
                <a:solidFill>
                  <a:schemeClr val="accent2"/>
                </a:solidFill>
              </a:ln>
              <a:effectLst/>
            </c:spPr>
          </c:marker>
          <c:dLbls>
            <c:dLbl>
              <c:idx val="1"/>
              <c:layout>
                <c:manualLayout>
                  <c:x val="-3.9058281927668026E-2"/>
                  <c:y val="-4.07201807505766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0A-4227-9912-CD881C71950C}"/>
                </c:ext>
              </c:extLst>
            </c:dLbl>
            <c:dLbl>
              <c:idx val="2"/>
              <c:layout>
                <c:manualLayout>
                  <c:x val="-3.4718472824593803E-2"/>
                  <c:y val="-4.34347676161407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0A-4227-9912-CD881C71950C}"/>
                </c:ext>
              </c:extLst>
            </c:dLbl>
            <c:dLbl>
              <c:idx val="3"/>
              <c:layout>
                <c:manualLayout>
                  <c:x val="-3.9058281927668026E-2"/>
                  <c:y val="-4.07201807505766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0A-4227-9912-CD881C71950C}"/>
                </c:ext>
              </c:extLst>
            </c:dLbl>
            <c:dLbl>
              <c:idx val="4"/>
              <c:layout>
                <c:manualLayout>
                  <c:x val="-4.4844694065100325E-2"/>
                  <c:y val="-4.6149538183986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A0A-4227-9912-CD881C71950C}"/>
                </c:ext>
              </c:extLst>
            </c:dLbl>
            <c:dLbl>
              <c:idx val="5"/>
              <c:layout>
                <c:manualLayout>
                  <c:x val="-3.9058281927668026E-2"/>
                  <c:y val="-4.61495381839868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0A-4227-9912-CD881C71950C}"/>
                </c:ext>
              </c:extLst>
            </c:dLbl>
            <c:dLbl>
              <c:idx val="6"/>
              <c:layout>
                <c:manualLayout>
                  <c:x val="-4.7737900133816527E-2"/>
                  <c:y val="-3.80055020338714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A0A-4227-9912-CD881C71950C}"/>
                </c:ext>
              </c:extLst>
            </c:dLbl>
            <c:dLbl>
              <c:idx val="7"/>
              <c:layout>
                <c:manualLayout>
                  <c:x val="-4.1951487996384179E-2"/>
                  <c:y val="-4.8864216900691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A0A-4227-9912-CD881C71950C}"/>
                </c:ext>
              </c:extLst>
            </c:dLbl>
            <c:dLbl>
              <c:idx val="8"/>
              <c:layout>
                <c:manualLayout>
                  <c:x val="-4.1951487996384283E-2"/>
                  <c:y val="-4.07201807505766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A0A-4227-9912-CD881C71950C}"/>
                </c:ext>
              </c:extLst>
            </c:dLbl>
            <c:dLbl>
              <c:idx val="9"/>
              <c:layout>
                <c:manualLayout>
                  <c:x val="-3.1825199207379383E-2"/>
                  <c:y val="-5.8523408269889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A0A-4227-9912-CD881C71950C}"/>
                </c:ext>
              </c:extLst>
            </c:dLbl>
            <c:dLbl>
              <c:idx val="10"/>
              <c:layout>
                <c:manualLayout>
                  <c:x val="-3.6165083277355077E-2"/>
                  <c:y val="-6.28959612200870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A0A-4227-9912-CD881C71950C}"/>
                </c:ext>
              </c:extLst>
            </c:dLbl>
            <c:dLbl>
              <c:idx val="11"/>
              <c:layout>
                <c:manualLayout>
                  <c:x val="-4.4025967248000508E-2"/>
                  <c:y val="-5.58801388921987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A0A-4227-9912-CD881C71950C}"/>
                </c:ext>
              </c:extLst>
            </c:dLbl>
            <c:dLbl>
              <c:idx val="12"/>
              <c:layout>
                <c:manualLayout>
                  <c:x val="-4.3207419790935529E-2"/>
                  <c:y val="-5.68314130753239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A0A-4227-9912-CD881C71950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accent2">
                        <a:lumMod val="50000"/>
                      </a:schemeClr>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Dati!$I$85:$I$98</c:f>
              <c:strCache>
                <c:ptCount val="13"/>
                <c:pt idx="0">
                  <c:v>LNMM</c:v>
                </c:pt>
                <c:pt idx="1">
                  <c:v>Rundāles pils muzejs</c:v>
                </c:pt>
                <c:pt idx="2">
                  <c:v>LNVM</c:v>
                </c:pt>
                <c:pt idx="3">
                  <c:v>Turaidas muzejrezervāts</c:v>
                </c:pt>
                <c:pt idx="4">
                  <c:v>LEBM</c:v>
                </c:pt>
                <c:pt idx="5">
                  <c:v>Latvijas Kara muzejs</c:v>
                </c:pt>
                <c:pt idx="6">
                  <c:v>RVKM</c:v>
                </c:pt>
                <c:pt idx="7">
                  <c:v>MMA</c:v>
                </c:pt>
                <c:pt idx="8">
                  <c:v>Latvijas Dabas muzejs</c:v>
                </c:pt>
                <c:pt idx="9">
                  <c:v>PSMVM</c:v>
                </c:pt>
                <c:pt idx="10">
                  <c:v>Latvijas Sporta muzejs </c:v>
                </c:pt>
                <c:pt idx="11">
                  <c:v>Latvijas Lauksaimniecības muzejs
</c:v>
                </c:pt>
                <c:pt idx="12">
                  <c:v>Pikšas</c:v>
                </c:pt>
              </c:strCache>
            </c:strRef>
          </c:cat>
          <c:val>
            <c:numRef>
              <c:f>Dati!$K$85:$K$98</c:f>
              <c:numCache>
                <c:formatCode>#,##0</c:formatCode>
                <c:ptCount val="13"/>
                <c:pt idx="0" formatCode="[$-10409]#\ ##0;\-#\ ##0">
                  <c:v>514.03200000000004</c:v>
                </c:pt>
                <c:pt idx="1">
                  <c:v>242.99799999999999</c:v>
                </c:pt>
                <c:pt idx="2" formatCode="[$-10409]#\ ##0;\-#\ ##0">
                  <c:v>71.950999999999993</c:v>
                </c:pt>
                <c:pt idx="3">
                  <c:v>262.20600000000002</c:v>
                </c:pt>
                <c:pt idx="4" formatCode="[$-10409]#\ ##0;\-#\ ##0">
                  <c:v>124.756</c:v>
                </c:pt>
                <c:pt idx="5">
                  <c:v>147.953</c:v>
                </c:pt>
                <c:pt idx="6" formatCode="[$-10409]#\ ##0;\-#\ ##0">
                  <c:v>227.702</c:v>
                </c:pt>
                <c:pt idx="7" formatCode="[$-10409]#\ ##0;\-#\ ##0">
                  <c:v>33.194000000000003</c:v>
                </c:pt>
                <c:pt idx="8" formatCode="General">
                  <c:v>101.148</c:v>
                </c:pt>
                <c:pt idx="9">
                  <c:v>82.837000000000003</c:v>
                </c:pt>
                <c:pt idx="10" formatCode="[$-10409]#\ ##0;\-#\ ##0">
                  <c:v>8.1</c:v>
                </c:pt>
                <c:pt idx="11" formatCode="General">
                  <c:v>2.77</c:v>
                </c:pt>
                <c:pt idx="12" formatCode="General">
                  <c:v>3.46</c:v>
                </c:pt>
              </c:numCache>
            </c:numRef>
          </c:val>
          <c:smooth val="0"/>
          <c:extLst>
            <c:ext xmlns:c16="http://schemas.microsoft.com/office/drawing/2014/chart" uri="{C3380CC4-5D6E-409C-BE32-E72D297353CC}">
              <c16:uniqueId val="{00000011-FA0A-4227-9912-CD881C71950C}"/>
            </c:ext>
          </c:extLst>
        </c:ser>
        <c:dLbls>
          <c:showLegendKey val="0"/>
          <c:showVal val="0"/>
          <c:showCatName val="0"/>
          <c:showSerName val="0"/>
          <c:showPercent val="0"/>
          <c:showBubbleSize val="0"/>
        </c:dLbls>
        <c:marker val="1"/>
        <c:smooth val="0"/>
        <c:axId val="280131144"/>
        <c:axId val="280130752"/>
      </c:lineChart>
      <c:catAx>
        <c:axId val="28012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130360"/>
        <c:crosses val="autoZero"/>
        <c:auto val="1"/>
        <c:lblAlgn val="ctr"/>
        <c:lblOffset val="100"/>
        <c:noMultiLvlLbl val="0"/>
      </c:catAx>
      <c:valAx>
        <c:axId val="280130360"/>
        <c:scaling>
          <c:orientation val="minMax"/>
          <c:max val="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t>Izdevumi, milj, euro</a:t>
                </a:r>
              </a:p>
            </c:rich>
          </c:tx>
          <c:layout>
            <c:manualLayout>
              <c:xMode val="edge"/>
              <c:yMode val="edge"/>
              <c:x val="5.7864121374323002E-3"/>
              <c:y val="0.1873936305514645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129968"/>
        <c:crosses val="autoZero"/>
        <c:crossBetween val="between"/>
      </c:valAx>
      <c:valAx>
        <c:axId val="280130752"/>
        <c:scaling>
          <c:orientation val="minMax"/>
        </c:scaling>
        <c:delete val="0"/>
        <c:axPos val="r"/>
        <c:title>
          <c:tx>
            <c:rich>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100"/>
                  <a:t>Apmeklējumu skaits, tūkst.</a:t>
                </a:r>
              </a:p>
            </c:rich>
          </c:tx>
          <c:layout>
            <c:manualLayout>
              <c:xMode val="edge"/>
              <c:yMode val="edge"/>
              <c:x val="0.95372024936908539"/>
              <c:y val="3.9143395363867815E-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10409]#\ ##0;\-#\ ##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131144"/>
        <c:crosses val="max"/>
        <c:crossBetween val="between"/>
      </c:valAx>
      <c:catAx>
        <c:axId val="280131144"/>
        <c:scaling>
          <c:orientation val="minMax"/>
        </c:scaling>
        <c:delete val="1"/>
        <c:axPos val="b"/>
        <c:numFmt formatCode="General" sourceLinked="1"/>
        <c:majorTickMark val="out"/>
        <c:minorTickMark val="none"/>
        <c:tickLblPos val="nextTo"/>
        <c:crossAx val="280130752"/>
        <c:crosses val="autoZero"/>
        <c:auto val="1"/>
        <c:lblAlgn val="ctr"/>
        <c:lblOffset val="100"/>
        <c:noMultiLvlLbl val="0"/>
      </c:catAx>
      <c:spPr>
        <a:noFill/>
        <a:ln>
          <a:noFill/>
        </a:ln>
        <a:effectLst/>
      </c:spPr>
    </c:plotArea>
    <c:legend>
      <c:legendPos val="b"/>
      <c:layout>
        <c:manualLayout>
          <c:xMode val="edge"/>
          <c:yMode val="edge"/>
          <c:x val="0.12687485584507197"/>
          <c:y val="0.91674633866033017"/>
          <c:w val="0.39559799252162114"/>
          <c:h val="6.4298060303437682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86478814907586E-2"/>
          <c:y val="3.5196133413752842E-2"/>
          <c:w val="0.91734488929743307"/>
          <c:h val="0.56340796324485676"/>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numFmt formatCode="#,##0.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Dati!$I$4:$I$28</c:f>
              <c:strCache>
                <c:ptCount val="13"/>
                <c:pt idx="0">
                  <c:v>LNVM</c:v>
                </c:pt>
                <c:pt idx="1">
                  <c:v>Latvijas Lauksaimniecības muzejs
</c:v>
                </c:pt>
                <c:pt idx="2">
                  <c:v>MMA</c:v>
                </c:pt>
                <c:pt idx="3">
                  <c:v>Pikšas</c:v>
                </c:pt>
                <c:pt idx="4">
                  <c:v>LNMM</c:v>
                </c:pt>
                <c:pt idx="5">
                  <c:v>LEBM</c:v>
                </c:pt>
                <c:pt idx="6">
                  <c:v>Rundāles pils muzejs</c:v>
                </c:pt>
                <c:pt idx="7">
                  <c:v>Latvijas Sporta muzejs </c:v>
                </c:pt>
                <c:pt idx="8">
                  <c:v>Latvijas Kara muzejs</c:v>
                </c:pt>
                <c:pt idx="9">
                  <c:v>PSMVM</c:v>
                </c:pt>
                <c:pt idx="10">
                  <c:v>Latvijas Dabas muzejs</c:v>
                </c:pt>
                <c:pt idx="11">
                  <c:v>RVKM</c:v>
                </c:pt>
                <c:pt idx="12">
                  <c:v>Turaidas muzejrezervāts</c:v>
                </c:pt>
              </c:strCache>
            </c:strRef>
          </c:cat>
          <c:val>
            <c:numRef>
              <c:f>Dati!$J$4:$J$28</c:f>
              <c:numCache>
                <c:formatCode>0.00</c:formatCode>
                <c:ptCount val="13"/>
                <c:pt idx="0">
                  <c:v>28.751789412238885</c:v>
                </c:pt>
                <c:pt idx="1">
                  <c:v>26.152707581227435</c:v>
                </c:pt>
                <c:pt idx="2">
                  <c:v>25.073989275170213</c:v>
                </c:pt>
                <c:pt idx="3">
                  <c:v>15.6</c:v>
                </c:pt>
                <c:pt idx="4">
                  <c:v>15.072804805926479</c:v>
                </c:pt>
                <c:pt idx="5">
                  <c:v>13.523269421911571</c:v>
                </c:pt>
                <c:pt idx="6">
                  <c:v>12.931867751997959</c:v>
                </c:pt>
                <c:pt idx="7">
                  <c:v>12.384074074074075</c:v>
                </c:pt>
                <c:pt idx="8">
                  <c:v>10.325860239400351</c:v>
                </c:pt>
                <c:pt idx="9">
                  <c:v>8.834651182442629</c:v>
                </c:pt>
                <c:pt idx="10">
                  <c:v>7.4625586269624709</c:v>
                </c:pt>
                <c:pt idx="11">
                  <c:v>6.6803892807265637</c:v>
                </c:pt>
                <c:pt idx="12">
                  <c:v>6.6168470591824748</c:v>
                </c:pt>
              </c:numCache>
            </c:numRef>
          </c:val>
          <c:extLst>
            <c:ext xmlns:c16="http://schemas.microsoft.com/office/drawing/2014/chart" uri="{C3380CC4-5D6E-409C-BE32-E72D297353CC}">
              <c16:uniqueId val="{00000000-B10E-4065-AF5F-5E9DDD1A4A26}"/>
            </c:ext>
          </c:extLst>
        </c:ser>
        <c:dLbls>
          <c:showLegendKey val="0"/>
          <c:showVal val="0"/>
          <c:showCatName val="0"/>
          <c:showSerName val="0"/>
          <c:showPercent val="0"/>
          <c:showBubbleSize val="0"/>
        </c:dLbls>
        <c:gapWidth val="100"/>
        <c:overlap val="-27"/>
        <c:axId val="281333280"/>
        <c:axId val="281333672"/>
      </c:barChart>
      <c:catAx>
        <c:axId val="2813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3672"/>
        <c:crosses val="autoZero"/>
        <c:auto val="1"/>
        <c:lblAlgn val="ctr"/>
        <c:lblOffset val="100"/>
        <c:noMultiLvlLbl val="0"/>
      </c:catAx>
      <c:valAx>
        <c:axId val="281333672"/>
        <c:scaling>
          <c:orientation val="minMax"/>
          <c:max val="3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3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525660219241352E-2"/>
          <c:y val="3.3744368893344125E-2"/>
          <c:w val="0.89429882577320829"/>
          <c:h val="0.52813505576034092"/>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Dati!$I$115:$I$141</c:f>
              <c:strCache>
                <c:ptCount val="13"/>
                <c:pt idx="0">
                  <c:v>Turaidas muzejrezervāts</c:v>
                </c:pt>
                <c:pt idx="1">
                  <c:v>Latvijas Kara muzejs</c:v>
                </c:pt>
                <c:pt idx="2">
                  <c:v>Rundāles pils muzejs</c:v>
                </c:pt>
                <c:pt idx="3">
                  <c:v>Latvijas Dabas muzejs</c:v>
                </c:pt>
                <c:pt idx="4">
                  <c:v>RVKM</c:v>
                </c:pt>
                <c:pt idx="5">
                  <c:v>LNMM</c:v>
                </c:pt>
                <c:pt idx="6">
                  <c:v>LEBM</c:v>
                </c:pt>
                <c:pt idx="7">
                  <c:v>Latvijas Sporta muzejs </c:v>
                </c:pt>
                <c:pt idx="8">
                  <c:v>PSMVM</c:v>
                </c:pt>
                <c:pt idx="9">
                  <c:v>Pikšas</c:v>
                </c:pt>
                <c:pt idx="10">
                  <c:v>MMA</c:v>
                </c:pt>
                <c:pt idx="11">
                  <c:v>LNVM</c:v>
                </c:pt>
                <c:pt idx="12">
                  <c:v>Latvijas Lauksaimniecības muzejs
</c:v>
                </c:pt>
              </c:strCache>
            </c:strRef>
          </c:cat>
          <c:val>
            <c:numRef>
              <c:f>Dati!$J$115:$J$141</c:f>
              <c:numCache>
                <c:formatCode>0</c:formatCode>
                <c:ptCount val="13"/>
                <c:pt idx="0">
                  <c:v>3277.5749999999998</c:v>
                </c:pt>
                <c:pt idx="1">
                  <c:v>2175.7794117647059</c:v>
                </c:pt>
                <c:pt idx="2">
                  <c:v>2059.3050847457625</c:v>
                </c:pt>
                <c:pt idx="3">
                  <c:v>1873.1111111111111</c:v>
                </c:pt>
                <c:pt idx="4">
                  <c:v>1807.1587301587301</c:v>
                </c:pt>
                <c:pt idx="5">
                  <c:v>1596.3726708074535</c:v>
                </c:pt>
                <c:pt idx="6">
                  <c:v>1579.1898734177216</c:v>
                </c:pt>
                <c:pt idx="7">
                  <c:v>1012.5</c:v>
                </c:pt>
                <c:pt idx="8">
                  <c:v>1010.2073170731708</c:v>
                </c:pt>
                <c:pt idx="9">
                  <c:v>865</c:v>
                </c:pt>
                <c:pt idx="10">
                  <c:v>553.23333333333335</c:v>
                </c:pt>
                <c:pt idx="11">
                  <c:v>499.65972222222223</c:v>
                </c:pt>
                <c:pt idx="12">
                  <c:v>461.66666666666669</c:v>
                </c:pt>
              </c:numCache>
            </c:numRef>
          </c:val>
          <c:extLst>
            <c:ext xmlns:c16="http://schemas.microsoft.com/office/drawing/2014/chart" uri="{C3380CC4-5D6E-409C-BE32-E72D297353CC}">
              <c16:uniqueId val="{00000000-F9CF-4149-B70E-239868CF8464}"/>
            </c:ext>
          </c:extLst>
        </c:ser>
        <c:dLbls>
          <c:showLegendKey val="0"/>
          <c:showVal val="0"/>
          <c:showCatName val="0"/>
          <c:showSerName val="0"/>
          <c:showPercent val="0"/>
          <c:showBubbleSize val="0"/>
        </c:dLbls>
        <c:gapWidth val="100"/>
        <c:overlap val="-27"/>
        <c:axId val="281334456"/>
        <c:axId val="281334848"/>
      </c:barChart>
      <c:catAx>
        <c:axId val="281334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4848"/>
        <c:crosses val="autoZero"/>
        <c:auto val="1"/>
        <c:lblAlgn val="ctr"/>
        <c:lblOffset val="100"/>
        <c:noMultiLvlLbl val="0"/>
      </c:catAx>
      <c:valAx>
        <c:axId val="281334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4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Kopā!$B$3</c:f>
              <c:strCache>
                <c:ptCount val="1"/>
                <c:pt idx="0">
                  <c:v>Priekšlikumu skaits</c:v>
                </c:pt>
              </c:strCache>
            </c:strRef>
          </c:tx>
          <c:spPr>
            <a:solidFill>
              <a:schemeClr val="accent6"/>
            </a:solidFill>
            <a:ln w="19050" cap="flat" cmpd="sng" algn="ctr">
              <a:solidFill>
                <a:schemeClr val="lt1"/>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Kopā!$A$4:$A$15</c:f>
              <c:strCache>
                <c:ptCount val="12"/>
                <c:pt idx="0">
                  <c:v>MK not.
Nr.523</c:v>
                </c:pt>
                <c:pt idx="1">
                  <c:v>MK instrukcija
Nr.8</c:v>
                </c:pt>
                <c:pt idx="2">
                  <c:v>MK not.
Nr.256</c:v>
                </c:pt>
                <c:pt idx="3">
                  <c:v>MK not.
Nr.464</c:v>
                </c:pt>
                <c:pt idx="4">
                  <c:v>LBFV</c:v>
                </c:pt>
                <c:pt idx="5">
                  <c:v>MK not.
Nr.867</c:v>
                </c:pt>
                <c:pt idx="6">
                  <c:v>Citi ierosinājumi</c:v>
                </c:pt>
                <c:pt idx="7">
                  <c:v>MK not.
Nr.1644</c:v>
                </c:pt>
                <c:pt idx="8">
                  <c:v>MK not. Nr.1220</c:v>
                </c:pt>
                <c:pt idx="9">
                  <c:v>MK instrukcija Nr.2</c:v>
                </c:pt>
                <c:pt idx="10">
                  <c:v>MK not. Nr.1031*</c:v>
                </c:pt>
                <c:pt idx="11">
                  <c:v>MK not. Nr.594</c:v>
                </c:pt>
              </c:strCache>
            </c:strRef>
          </c:cat>
          <c:val>
            <c:numRef>
              <c:f>Kopā!$B$4:$B$15</c:f>
              <c:numCache>
                <c:formatCode>General</c:formatCode>
                <c:ptCount val="12"/>
                <c:pt idx="0">
                  <c:v>30</c:v>
                </c:pt>
                <c:pt idx="1">
                  <c:v>16</c:v>
                </c:pt>
                <c:pt idx="2">
                  <c:v>15</c:v>
                </c:pt>
                <c:pt idx="3">
                  <c:v>13</c:v>
                </c:pt>
                <c:pt idx="4">
                  <c:v>13</c:v>
                </c:pt>
                <c:pt idx="5">
                  <c:v>7</c:v>
                </c:pt>
                <c:pt idx="6">
                  <c:v>5</c:v>
                </c:pt>
                <c:pt idx="7">
                  <c:v>2</c:v>
                </c:pt>
                <c:pt idx="8">
                  <c:v>2</c:v>
                </c:pt>
                <c:pt idx="9">
                  <c:v>3</c:v>
                </c:pt>
                <c:pt idx="10">
                  <c:v>2</c:v>
                </c:pt>
                <c:pt idx="11">
                  <c:v>1</c:v>
                </c:pt>
              </c:numCache>
            </c:numRef>
          </c:val>
          <c:extLst>
            <c:ext xmlns:c16="http://schemas.microsoft.com/office/drawing/2014/chart" uri="{C3380CC4-5D6E-409C-BE32-E72D297353CC}">
              <c16:uniqueId val="{00000000-04A0-4E31-B9BD-E739ED76AE5E}"/>
            </c:ext>
          </c:extLst>
        </c:ser>
        <c:dLbls>
          <c:showLegendKey val="0"/>
          <c:showVal val="0"/>
          <c:showCatName val="0"/>
          <c:showSerName val="0"/>
          <c:showPercent val="0"/>
          <c:showBubbleSize val="0"/>
        </c:dLbls>
        <c:gapWidth val="100"/>
        <c:overlap val="-27"/>
        <c:axId val="188291912"/>
        <c:axId val="188292296"/>
      </c:barChart>
      <c:catAx>
        <c:axId val="188291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292296"/>
        <c:crosses val="autoZero"/>
        <c:auto val="1"/>
        <c:lblAlgn val="ctr"/>
        <c:lblOffset val="100"/>
        <c:noMultiLvlLbl val="0"/>
      </c:catAx>
      <c:valAx>
        <c:axId val="188292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291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51672028809099"/>
          <c:y val="3.8596491228070177E-2"/>
          <c:w val="0.87496392970121839"/>
          <c:h val="0.50470230694847351"/>
        </c:manualLayout>
      </c:layout>
      <c:barChart>
        <c:barDir val="col"/>
        <c:grouping val="percentStacked"/>
        <c:varyColors val="0"/>
        <c:ser>
          <c:idx val="0"/>
          <c:order val="0"/>
          <c:tx>
            <c:strRef>
              <c:f>Dati!$J$35</c:f>
              <c:strCache>
                <c:ptCount val="1"/>
                <c:pt idx="0">
                  <c:v>Dotācija no vispārējiem ieņēmumiem</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Dati!$I$36:$I$49</c:f>
              <c:strCache>
                <c:ptCount val="13"/>
                <c:pt idx="0">
                  <c:v>Rundāles pils muzejs</c:v>
                </c:pt>
                <c:pt idx="1">
                  <c:v>Turaidas muzejrezervāts</c:v>
                </c:pt>
                <c:pt idx="2">
                  <c:v>Latvijas Dabas muzejs</c:v>
                </c:pt>
                <c:pt idx="3">
                  <c:v>LEBM</c:v>
                </c:pt>
                <c:pt idx="4">
                  <c:v>RVKM</c:v>
                </c:pt>
                <c:pt idx="5">
                  <c:v>PSMVM</c:v>
                </c:pt>
                <c:pt idx="6">
                  <c:v>LNMM</c:v>
                </c:pt>
                <c:pt idx="7">
                  <c:v>Pikšas</c:v>
                </c:pt>
                <c:pt idx="8">
                  <c:v>Latvijas Lauksaimniecības muzejs
</c:v>
                </c:pt>
                <c:pt idx="9">
                  <c:v>LNVM</c:v>
                </c:pt>
                <c:pt idx="10">
                  <c:v>MMA</c:v>
                </c:pt>
                <c:pt idx="11">
                  <c:v>Latvijas Kara muzejs</c:v>
                </c:pt>
                <c:pt idx="12">
                  <c:v>Latvijas Sporta muzejs </c:v>
                </c:pt>
              </c:strCache>
            </c:strRef>
          </c:cat>
          <c:val>
            <c:numRef>
              <c:f>Dati!$J$36:$J$49</c:f>
              <c:numCache>
                <c:formatCode>0</c:formatCode>
                <c:ptCount val="13"/>
                <c:pt idx="0">
                  <c:v>41.823175656453088</c:v>
                </c:pt>
                <c:pt idx="1">
                  <c:v>48.500931136262899</c:v>
                </c:pt>
                <c:pt idx="2">
                  <c:v>77.146707582578841</c:v>
                </c:pt>
                <c:pt idx="3">
                  <c:v>78.259614524017124</c:v>
                </c:pt>
                <c:pt idx="4">
                  <c:v>86.335099116582455</c:v>
                </c:pt>
                <c:pt idx="5">
                  <c:v>89.948021141348605</c:v>
                </c:pt>
                <c:pt idx="6">
                  <c:v>89.596166911722193</c:v>
                </c:pt>
                <c:pt idx="7">
                  <c:v>94.06142333197495</c:v>
                </c:pt>
                <c:pt idx="8">
                  <c:v>93.436218820313897</c:v>
                </c:pt>
                <c:pt idx="9">
                  <c:v>95.902297072585952</c:v>
                </c:pt>
                <c:pt idx="10">
                  <c:v>96.189141974225819</c:v>
                </c:pt>
                <c:pt idx="11">
                  <c:v>96.919571498328907</c:v>
                </c:pt>
                <c:pt idx="12">
                  <c:v>98.682098673126575</c:v>
                </c:pt>
              </c:numCache>
            </c:numRef>
          </c:val>
          <c:extLst>
            <c:ext xmlns:c16="http://schemas.microsoft.com/office/drawing/2014/chart" uri="{C3380CC4-5D6E-409C-BE32-E72D297353CC}">
              <c16:uniqueId val="{00000000-4FBF-4968-A90D-117846925CA9}"/>
            </c:ext>
          </c:extLst>
        </c:ser>
        <c:ser>
          <c:idx val="1"/>
          <c:order val="1"/>
          <c:tx>
            <c:strRef>
              <c:f>Dati!$K$35</c:f>
              <c:strCache>
                <c:ptCount val="1"/>
                <c:pt idx="0">
                  <c:v>Ieņēmumi no maksas pakalpojumiem un maksas pakalpojumu atlikumiem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Dati!$I$36:$I$49</c:f>
              <c:strCache>
                <c:ptCount val="13"/>
                <c:pt idx="0">
                  <c:v>Rundāles pils muzejs</c:v>
                </c:pt>
                <c:pt idx="1">
                  <c:v>Turaidas muzejrezervāts</c:v>
                </c:pt>
                <c:pt idx="2">
                  <c:v>Latvijas Dabas muzejs</c:v>
                </c:pt>
                <c:pt idx="3">
                  <c:v>LEBM</c:v>
                </c:pt>
                <c:pt idx="4">
                  <c:v>RVKM</c:v>
                </c:pt>
                <c:pt idx="5">
                  <c:v>PSMVM</c:v>
                </c:pt>
                <c:pt idx="6">
                  <c:v>LNMM</c:v>
                </c:pt>
                <c:pt idx="7">
                  <c:v>Pikšas</c:v>
                </c:pt>
                <c:pt idx="8">
                  <c:v>Latvijas Lauksaimniecības muzejs
</c:v>
                </c:pt>
                <c:pt idx="9">
                  <c:v>LNVM</c:v>
                </c:pt>
                <c:pt idx="10">
                  <c:v>MMA</c:v>
                </c:pt>
                <c:pt idx="11">
                  <c:v>Latvijas Kara muzejs</c:v>
                </c:pt>
                <c:pt idx="12">
                  <c:v>Latvijas Sporta muzejs </c:v>
                </c:pt>
              </c:strCache>
            </c:strRef>
          </c:cat>
          <c:val>
            <c:numRef>
              <c:f>Dati!$K$36:$K$49</c:f>
              <c:numCache>
                <c:formatCode>0</c:formatCode>
                <c:ptCount val="13"/>
                <c:pt idx="0">
                  <c:v>58.010137416473555</c:v>
                </c:pt>
                <c:pt idx="1">
                  <c:v>51.419528904417753</c:v>
                </c:pt>
                <c:pt idx="2">
                  <c:v>22.853292417421159</c:v>
                </c:pt>
                <c:pt idx="3">
                  <c:v>21.74038547598288</c:v>
                </c:pt>
                <c:pt idx="4">
                  <c:v>13.664900883417546</c:v>
                </c:pt>
                <c:pt idx="5">
                  <c:v>9.0271590902879879</c:v>
                </c:pt>
                <c:pt idx="6">
                  <c:v>8.4435739007607733</c:v>
                </c:pt>
                <c:pt idx="7">
                  <c:v>5.9385766680250436</c:v>
                </c:pt>
                <c:pt idx="8">
                  <c:v>5.8735833689935539</c:v>
                </c:pt>
                <c:pt idx="9">
                  <c:v>4.0493638578444644</c:v>
                </c:pt>
                <c:pt idx="10">
                  <c:v>3.8108580257741744</c:v>
                </c:pt>
                <c:pt idx="11">
                  <c:v>3.0272781660777803</c:v>
                </c:pt>
                <c:pt idx="12">
                  <c:v>1.3179013268734237</c:v>
                </c:pt>
              </c:numCache>
            </c:numRef>
          </c:val>
          <c:extLst>
            <c:ext xmlns:c16="http://schemas.microsoft.com/office/drawing/2014/chart" uri="{C3380CC4-5D6E-409C-BE32-E72D297353CC}">
              <c16:uniqueId val="{00000001-4FBF-4968-A90D-117846925CA9}"/>
            </c:ext>
          </c:extLst>
        </c:ser>
        <c:ser>
          <c:idx val="2"/>
          <c:order val="2"/>
          <c:tx>
            <c:strRef>
              <c:f>Dati!$L$35</c:f>
              <c:strCache>
                <c:ptCount val="1"/>
                <c:pt idx="0">
                  <c:v>Transferti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dLbl>
              <c:idx val="5"/>
              <c:layout>
                <c:manualLayout>
                  <c:x val="-5.3355547445439705E-17"/>
                  <c:y val="-1.4306345032994713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BF-4968-A90D-117846925CA9}"/>
                </c:ext>
              </c:extLst>
            </c:dLbl>
            <c:dLbl>
              <c:idx val="6"/>
              <c:layout>
                <c:manualLayout>
                  <c:x val="2.9103362079969165E-3"/>
                  <c:y val="-1.7167614039593656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BF-4968-A90D-117846925CA9}"/>
                </c:ext>
              </c:extLst>
            </c:dLbl>
            <c:dLbl>
              <c:idx val="8"/>
              <c:layout>
                <c:manualLayout>
                  <c:x val="0"/>
                  <c:y val="-1.430634503299471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BF-4968-A90D-117846925CA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Dati!$I$36:$I$49</c:f>
              <c:strCache>
                <c:ptCount val="13"/>
                <c:pt idx="0">
                  <c:v>Rundāles pils muzejs</c:v>
                </c:pt>
                <c:pt idx="1">
                  <c:v>Turaidas muzejrezervāts</c:v>
                </c:pt>
                <c:pt idx="2">
                  <c:v>Latvijas Dabas muzejs</c:v>
                </c:pt>
                <c:pt idx="3">
                  <c:v>LEBM</c:v>
                </c:pt>
                <c:pt idx="4">
                  <c:v>RVKM</c:v>
                </c:pt>
                <c:pt idx="5">
                  <c:v>PSMVM</c:v>
                </c:pt>
                <c:pt idx="6">
                  <c:v>LNMM</c:v>
                </c:pt>
                <c:pt idx="7">
                  <c:v>Pikšas</c:v>
                </c:pt>
                <c:pt idx="8">
                  <c:v>Latvijas Lauksaimniecības muzejs
</c:v>
                </c:pt>
                <c:pt idx="9">
                  <c:v>LNVM</c:v>
                </c:pt>
                <c:pt idx="10">
                  <c:v>MMA</c:v>
                </c:pt>
                <c:pt idx="11">
                  <c:v>Latvijas Kara muzejs</c:v>
                </c:pt>
                <c:pt idx="12">
                  <c:v>Latvijas Sporta muzejs </c:v>
                </c:pt>
              </c:strCache>
            </c:strRef>
          </c:cat>
          <c:val>
            <c:numRef>
              <c:f>Dati!$L$36:$L$49</c:f>
              <c:numCache>
                <c:formatCode>General</c:formatCode>
                <c:ptCount val="13"/>
                <c:pt idx="5" formatCode="0">
                  <c:v>1.0248197683634037</c:v>
                </c:pt>
                <c:pt idx="6" formatCode="0">
                  <c:v>1.9602591875170368</c:v>
                </c:pt>
                <c:pt idx="8" formatCode="0">
                  <c:v>0.69019781069254449</c:v>
                </c:pt>
              </c:numCache>
            </c:numRef>
          </c:val>
          <c:extLst>
            <c:ext xmlns:c16="http://schemas.microsoft.com/office/drawing/2014/chart" uri="{C3380CC4-5D6E-409C-BE32-E72D297353CC}">
              <c16:uniqueId val="{00000005-4FBF-4968-A90D-117846925CA9}"/>
            </c:ext>
          </c:extLst>
        </c:ser>
        <c:dLbls>
          <c:dLblPos val="ctr"/>
          <c:showLegendKey val="0"/>
          <c:showVal val="1"/>
          <c:showCatName val="0"/>
          <c:showSerName val="0"/>
          <c:showPercent val="0"/>
          <c:showBubbleSize val="0"/>
        </c:dLbls>
        <c:gapWidth val="80"/>
        <c:overlap val="100"/>
        <c:axId val="281335632"/>
        <c:axId val="281336024"/>
      </c:barChart>
      <c:catAx>
        <c:axId val="28133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6024"/>
        <c:crosses val="autoZero"/>
        <c:auto val="1"/>
        <c:lblAlgn val="ctr"/>
        <c:lblOffset val="100"/>
        <c:noMultiLvlLbl val="0"/>
      </c:catAx>
      <c:valAx>
        <c:axId val="281336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5632"/>
        <c:crosses val="autoZero"/>
        <c:crossBetween val="between"/>
      </c:valAx>
      <c:spPr>
        <a:noFill/>
        <a:ln>
          <a:noFill/>
        </a:ln>
        <a:effectLst/>
      </c:spPr>
    </c:plotArea>
    <c:legend>
      <c:legendPos val="b"/>
      <c:layout>
        <c:manualLayout>
          <c:xMode val="edge"/>
          <c:yMode val="edge"/>
          <c:x val="2.253278314553208E-2"/>
          <c:y val="0.8596932560463435"/>
          <c:w val="0.96593802607411527"/>
          <c:h val="0.1373780908965326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618863629858965E-2"/>
          <c:y val="3.6525976978050954E-2"/>
          <c:w val="0.9382852302165412"/>
          <c:h val="0.78487170627920932"/>
        </c:manualLayout>
      </c:layout>
      <c:barChart>
        <c:barDir val="col"/>
        <c:grouping val="stacked"/>
        <c:varyColors val="0"/>
        <c:ser>
          <c:idx val="0"/>
          <c:order val="0"/>
          <c:tx>
            <c:strRef>
              <c:f>Sheet1!$B$39</c:f>
              <c:strCache>
                <c:ptCount val="1"/>
                <c:pt idx="0">
                  <c:v>Ministrijas/iestādes veikto ekspertīžu veidi (skaits)</c:v>
                </c:pt>
              </c:strCache>
            </c:strRef>
          </c:tx>
          <c:spPr>
            <a:solidFill>
              <a:schemeClr val="accent1"/>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0-1320-4A2C-96E0-946F72392692}"/>
                </c:ext>
              </c:extLst>
            </c:dLbl>
            <c:dLbl>
              <c:idx val="6"/>
              <c:delete val="1"/>
              <c:extLst>
                <c:ext xmlns:c15="http://schemas.microsoft.com/office/drawing/2012/chart" uri="{CE6537A1-D6FC-4f65-9D91-7224C49458BB}"/>
                <c:ext xmlns:c16="http://schemas.microsoft.com/office/drawing/2014/chart" uri="{C3380CC4-5D6E-409C-BE32-E72D297353CC}">
                  <c16:uniqueId val="{00000001-1320-4A2C-96E0-946F72392692}"/>
                </c:ext>
              </c:extLst>
            </c:dLbl>
            <c:dLbl>
              <c:idx val="7"/>
              <c:delete val="1"/>
              <c:extLst>
                <c:ext xmlns:c15="http://schemas.microsoft.com/office/drawing/2012/chart" uri="{CE6537A1-D6FC-4f65-9D91-7224C49458BB}"/>
                <c:ext xmlns:c16="http://schemas.microsoft.com/office/drawing/2014/chart" uri="{C3380CC4-5D6E-409C-BE32-E72D297353CC}">
                  <c16:uniqueId val="{00000002-1320-4A2C-96E0-946F7239269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Sheet1!$A$40:$A$50</c:f>
              <c:strCache>
                <c:ptCount val="11"/>
                <c:pt idx="0">
                  <c:v>TM</c:v>
                </c:pt>
                <c:pt idx="1">
                  <c:v>ZM</c:v>
                </c:pt>
                <c:pt idx="2">
                  <c:v>IeM</c:v>
                </c:pt>
                <c:pt idx="3">
                  <c:v>VM</c:v>
                </c:pt>
                <c:pt idx="4">
                  <c:v>EM</c:v>
                </c:pt>
                <c:pt idx="5">
                  <c:v>FM</c:v>
                </c:pt>
                <c:pt idx="6">
                  <c:v>VARAM</c:v>
                </c:pt>
                <c:pt idx="7">
                  <c:v>Prokuratūra</c:v>
                </c:pt>
                <c:pt idx="8">
                  <c:v>KM</c:v>
                </c:pt>
                <c:pt idx="9">
                  <c:v>IZM</c:v>
                </c:pt>
                <c:pt idx="10">
                  <c:v>LM</c:v>
                </c:pt>
              </c:strCache>
            </c:strRef>
          </c:cat>
          <c:val>
            <c:numRef>
              <c:f>Sheet1!$B$40:$B$50</c:f>
              <c:numCache>
                <c:formatCode>General</c:formatCode>
                <c:ptCount val="11"/>
                <c:pt idx="0">
                  <c:v>19</c:v>
                </c:pt>
                <c:pt idx="1">
                  <c:v>1</c:v>
                </c:pt>
                <c:pt idx="2">
                  <c:v>25</c:v>
                </c:pt>
                <c:pt idx="3">
                  <c:v>15</c:v>
                </c:pt>
                <c:pt idx="4">
                  <c:v>0</c:v>
                </c:pt>
                <c:pt idx="5">
                  <c:v>2</c:v>
                </c:pt>
                <c:pt idx="6">
                  <c:v>0</c:v>
                </c:pt>
                <c:pt idx="7">
                  <c:v>0</c:v>
                </c:pt>
                <c:pt idx="8">
                  <c:v>1</c:v>
                </c:pt>
                <c:pt idx="9">
                  <c:v>1</c:v>
                </c:pt>
                <c:pt idx="10">
                  <c:v>1</c:v>
                </c:pt>
              </c:numCache>
            </c:numRef>
          </c:val>
          <c:extLst>
            <c:ext xmlns:c16="http://schemas.microsoft.com/office/drawing/2014/chart" uri="{C3380CC4-5D6E-409C-BE32-E72D297353CC}">
              <c16:uniqueId val="{00000000-91C9-47CC-9FBA-337CD091B9DF}"/>
            </c:ext>
          </c:extLst>
        </c:ser>
        <c:ser>
          <c:idx val="1"/>
          <c:order val="1"/>
          <c:tx>
            <c:strRef>
              <c:f>Sheet1!$C$39</c:f>
              <c:strCache>
                <c:ptCount val="1"/>
                <c:pt idx="0">
                  <c:v>Ministrijas/iestādes ekspertīžu veidi, kas pirkti kā ārpakalpojums vai deleģēti izpildei citai pilnvarotai personai (skaits)</c:v>
                </c:pt>
              </c:strCache>
            </c:strRef>
          </c:tx>
          <c:spPr>
            <a:solidFill>
              <a:schemeClr val="accent2"/>
            </a:solidFill>
            <a:ln>
              <a:noFill/>
            </a:ln>
            <a:effectLst/>
          </c:spPr>
          <c:invertIfNegative val="0"/>
          <c:dLbls>
            <c:dLbl>
              <c:idx val="8"/>
              <c:layout>
                <c:manualLayout>
                  <c:x val="-1.5679385544193963E-16"/>
                  <c:y val="-3.52941176470588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02-4E2E-9C33-003D817F8738}"/>
                </c:ext>
              </c:extLst>
            </c:dLbl>
            <c:dLbl>
              <c:idx val="9"/>
              <c:delete val="1"/>
              <c:extLst>
                <c:ext xmlns:c15="http://schemas.microsoft.com/office/drawing/2012/chart" uri="{CE6537A1-D6FC-4f65-9D91-7224C49458BB}"/>
                <c:ext xmlns:c16="http://schemas.microsoft.com/office/drawing/2014/chart" uri="{C3380CC4-5D6E-409C-BE32-E72D297353CC}">
                  <c16:uniqueId val="{00000003-1320-4A2C-96E0-946F72392692}"/>
                </c:ext>
              </c:extLst>
            </c:dLbl>
            <c:dLbl>
              <c:idx val="10"/>
              <c:delete val="1"/>
              <c:extLst>
                <c:ext xmlns:c15="http://schemas.microsoft.com/office/drawing/2012/chart" uri="{CE6537A1-D6FC-4f65-9D91-7224C49458BB}"/>
                <c:ext xmlns:c16="http://schemas.microsoft.com/office/drawing/2014/chart" uri="{C3380CC4-5D6E-409C-BE32-E72D297353CC}">
                  <c16:uniqueId val="{00000004-1320-4A2C-96E0-946F72392692}"/>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Sheet1!$A$40:$A$50</c:f>
              <c:strCache>
                <c:ptCount val="11"/>
                <c:pt idx="0">
                  <c:v>TM</c:v>
                </c:pt>
                <c:pt idx="1">
                  <c:v>ZM</c:v>
                </c:pt>
                <c:pt idx="2">
                  <c:v>IeM</c:v>
                </c:pt>
                <c:pt idx="3">
                  <c:v>VM</c:v>
                </c:pt>
                <c:pt idx="4">
                  <c:v>EM</c:v>
                </c:pt>
                <c:pt idx="5">
                  <c:v>FM</c:v>
                </c:pt>
                <c:pt idx="6">
                  <c:v>VARAM</c:v>
                </c:pt>
                <c:pt idx="7">
                  <c:v>Prokuratūra</c:v>
                </c:pt>
                <c:pt idx="8">
                  <c:v>KM</c:v>
                </c:pt>
                <c:pt idx="9">
                  <c:v>IZM</c:v>
                </c:pt>
                <c:pt idx="10">
                  <c:v>LM</c:v>
                </c:pt>
              </c:strCache>
            </c:strRef>
          </c:cat>
          <c:val>
            <c:numRef>
              <c:f>Sheet1!$C$40:$C$50</c:f>
              <c:numCache>
                <c:formatCode>General</c:formatCode>
                <c:ptCount val="11"/>
                <c:pt idx="0">
                  <c:v>20</c:v>
                </c:pt>
                <c:pt idx="1">
                  <c:v>37</c:v>
                </c:pt>
                <c:pt idx="2">
                  <c:v>10</c:v>
                </c:pt>
                <c:pt idx="3">
                  <c:v>1</c:v>
                </c:pt>
                <c:pt idx="4">
                  <c:v>11</c:v>
                </c:pt>
                <c:pt idx="5">
                  <c:v>7</c:v>
                </c:pt>
                <c:pt idx="6">
                  <c:v>6</c:v>
                </c:pt>
                <c:pt idx="7">
                  <c:v>3</c:v>
                </c:pt>
                <c:pt idx="8">
                  <c:v>1</c:v>
                </c:pt>
                <c:pt idx="9">
                  <c:v>0</c:v>
                </c:pt>
                <c:pt idx="10">
                  <c:v>0</c:v>
                </c:pt>
              </c:numCache>
            </c:numRef>
          </c:val>
          <c:extLst>
            <c:ext xmlns:c16="http://schemas.microsoft.com/office/drawing/2014/chart" uri="{C3380CC4-5D6E-409C-BE32-E72D297353CC}">
              <c16:uniqueId val="{00000001-91C9-47CC-9FBA-337CD091B9DF}"/>
            </c:ext>
          </c:extLst>
        </c:ser>
        <c:dLbls>
          <c:showLegendKey val="0"/>
          <c:showVal val="0"/>
          <c:showCatName val="0"/>
          <c:showSerName val="0"/>
          <c:showPercent val="0"/>
          <c:showBubbleSize val="0"/>
        </c:dLbls>
        <c:gapWidth val="150"/>
        <c:overlap val="100"/>
        <c:axId val="281336808"/>
        <c:axId val="281337200"/>
      </c:barChart>
      <c:catAx>
        <c:axId val="281336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7200"/>
        <c:crosses val="autoZero"/>
        <c:auto val="1"/>
        <c:lblAlgn val="ctr"/>
        <c:lblOffset val="100"/>
        <c:noMultiLvlLbl val="0"/>
      </c:catAx>
      <c:valAx>
        <c:axId val="281337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6808"/>
        <c:crosses val="autoZero"/>
        <c:crossBetween val="between"/>
      </c:valAx>
      <c:spPr>
        <a:noFill/>
        <a:ln>
          <a:noFill/>
        </a:ln>
        <a:effectLst/>
      </c:spPr>
    </c:plotArea>
    <c:legend>
      <c:legendPos val="r"/>
      <c:layout>
        <c:manualLayout>
          <c:xMode val="edge"/>
          <c:yMode val="edge"/>
          <c:x val="0.38248237732310403"/>
          <c:y val="4.2644311493395891E-2"/>
          <c:w val="0.60468888630742834"/>
          <c:h val="0.2803770313930158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Sheet1!$B$87</c:f>
              <c:strCache>
                <c:ptCount val="1"/>
                <c:pt idx="0">
                  <c:v>Faktiskie izdevumi uz 1 ekspertīzi 2016.gadā (vidēji)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Sheet1!$A$88:$A$98</c:f>
              <c:strCache>
                <c:ptCount val="11"/>
                <c:pt idx="0">
                  <c:v>VARAM</c:v>
                </c:pt>
                <c:pt idx="1">
                  <c:v>EM</c:v>
                </c:pt>
                <c:pt idx="2">
                  <c:v>Prokuratūra</c:v>
                </c:pt>
                <c:pt idx="3">
                  <c:v>TM</c:v>
                </c:pt>
                <c:pt idx="4">
                  <c:v>VM</c:v>
                </c:pt>
                <c:pt idx="5">
                  <c:v>IeM</c:v>
                </c:pt>
                <c:pt idx="6">
                  <c:v>FM</c:v>
                </c:pt>
                <c:pt idx="7">
                  <c:v>KM</c:v>
                </c:pt>
                <c:pt idx="8">
                  <c:v>IZM</c:v>
                </c:pt>
                <c:pt idx="9">
                  <c:v>ZM</c:v>
                </c:pt>
                <c:pt idx="10">
                  <c:v>LM</c:v>
                </c:pt>
              </c:strCache>
            </c:strRef>
          </c:cat>
          <c:val>
            <c:numRef>
              <c:f>Sheet1!$B$88:$B$98</c:f>
              <c:numCache>
                <c:formatCode>#\ ##0.0</c:formatCode>
                <c:ptCount val="11"/>
                <c:pt idx="0">
                  <c:v>7987.2692307692305</c:v>
                </c:pt>
                <c:pt idx="1">
                  <c:v>703.93859649122805</c:v>
                </c:pt>
                <c:pt idx="2">
                  <c:v>374.03625</c:v>
                </c:pt>
                <c:pt idx="3">
                  <c:v>363.06619899785255</c:v>
                </c:pt>
                <c:pt idx="4">
                  <c:v>197.91449555469657</c:v>
                </c:pt>
                <c:pt idx="5">
                  <c:v>179.05080873075957</c:v>
                </c:pt>
                <c:pt idx="6">
                  <c:v>70.483260123541527</c:v>
                </c:pt>
                <c:pt idx="7">
                  <c:v>68.132751615881816</c:v>
                </c:pt>
                <c:pt idx="8">
                  <c:v>34.83898305084746</c:v>
                </c:pt>
                <c:pt idx="9">
                  <c:v>34.602590001793629</c:v>
                </c:pt>
                <c:pt idx="10">
                  <c:v>21.461868765934607</c:v>
                </c:pt>
              </c:numCache>
            </c:numRef>
          </c:val>
          <c:extLst>
            <c:ext xmlns:c16="http://schemas.microsoft.com/office/drawing/2014/chart" uri="{C3380CC4-5D6E-409C-BE32-E72D297353CC}">
              <c16:uniqueId val="{00000000-3410-4C5E-9125-D702E352CC53}"/>
            </c:ext>
          </c:extLst>
        </c:ser>
        <c:dLbls>
          <c:showLegendKey val="0"/>
          <c:showVal val="0"/>
          <c:showCatName val="0"/>
          <c:showSerName val="0"/>
          <c:showPercent val="0"/>
          <c:showBubbleSize val="0"/>
        </c:dLbls>
        <c:gapWidth val="219"/>
        <c:overlap val="-27"/>
        <c:axId val="281337984"/>
        <c:axId val="281338376"/>
      </c:barChart>
      <c:catAx>
        <c:axId val="281337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8376"/>
        <c:crosses val="autoZero"/>
        <c:auto val="1"/>
        <c:lblAlgn val="ctr"/>
        <c:lblOffset val="100"/>
        <c:noMultiLvlLbl val="0"/>
      </c:catAx>
      <c:valAx>
        <c:axId val="28133837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7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93542004250503E-2"/>
          <c:y val="0.12905553472482606"/>
          <c:w val="0.91762277065190168"/>
          <c:h val="0.62418779422009241"/>
        </c:manualLayout>
      </c:layout>
      <c:barChart>
        <c:barDir val="col"/>
        <c:grouping val="stacked"/>
        <c:varyColors val="0"/>
        <c:ser>
          <c:idx val="0"/>
          <c:order val="0"/>
          <c:tx>
            <c:strRef>
              <c:f>Sheet3!$C$63</c:f>
              <c:strCache>
                <c:ptCount val="1"/>
                <c:pt idx="0">
                  <c:v>Veikto tiesu ekspertīžu veidi, kas pārklājās</c:v>
                </c:pt>
              </c:strCache>
            </c:strRef>
          </c:tx>
          <c:spPr>
            <a:solidFill>
              <a:schemeClr val="accent1"/>
            </a:solidFill>
            <a:ln>
              <a:noFill/>
            </a:ln>
            <a:effectLst/>
          </c:spPr>
          <c:invertIfNegative val="0"/>
          <c:dLbls>
            <c:dLbl>
              <c:idx val="4"/>
              <c:delete val="1"/>
              <c:extLst>
                <c:ext xmlns:c15="http://schemas.microsoft.com/office/drawing/2012/chart" uri="{CE6537A1-D6FC-4f65-9D91-7224C49458BB}"/>
                <c:ext xmlns:c16="http://schemas.microsoft.com/office/drawing/2014/chart" uri="{C3380CC4-5D6E-409C-BE32-E72D297353CC}">
                  <c16:uniqueId val="{00000000-775B-4315-9260-27DA3FBFAFF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Sheet3!$B$64:$B$68</c:f>
              <c:strCache>
                <c:ptCount val="5"/>
                <c:pt idx="0">
                  <c:v>VTEB</c:v>
                </c:pt>
                <c:pt idx="1">
                  <c:v>VPKP</c:v>
                </c:pt>
                <c:pt idx="2">
                  <c:v>VRGPED</c:v>
                </c:pt>
                <c:pt idx="3">
                  <c:v>VTMEC</c:v>
                </c:pt>
                <c:pt idx="4">
                  <c:v>VID</c:v>
                </c:pt>
              </c:strCache>
            </c:strRef>
          </c:cat>
          <c:val>
            <c:numRef>
              <c:f>Sheet3!$C$64:$C$68</c:f>
              <c:numCache>
                <c:formatCode>General</c:formatCode>
                <c:ptCount val="5"/>
                <c:pt idx="0">
                  <c:v>11</c:v>
                </c:pt>
                <c:pt idx="1">
                  <c:v>12</c:v>
                </c:pt>
                <c:pt idx="2">
                  <c:v>2</c:v>
                </c:pt>
                <c:pt idx="3">
                  <c:v>1</c:v>
                </c:pt>
                <c:pt idx="4">
                  <c:v>0</c:v>
                </c:pt>
              </c:numCache>
            </c:numRef>
          </c:val>
          <c:extLst>
            <c:ext xmlns:c16="http://schemas.microsoft.com/office/drawing/2014/chart" uri="{C3380CC4-5D6E-409C-BE32-E72D297353CC}">
              <c16:uniqueId val="{00000000-0A09-4DC7-ABB9-229C561DC51F}"/>
            </c:ext>
          </c:extLst>
        </c:ser>
        <c:ser>
          <c:idx val="1"/>
          <c:order val="1"/>
          <c:tx>
            <c:strRef>
              <c:f>Sheet3!$D$63</c:f>
              <c:strCache>
                <c:ptCount val="1"/>
                <c:pt idx="0">
                  <c:v>Veikto tiesu ekspertīžu veidi, kas nepārklājās</c:v>
                </c:pt>
              </c:strCache>
            </c:strRef>
          </c:tx>
          <c:spPr>
            <a:solidFill>
              <a:schemeClr val="accent2"/>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1-775B-4315-9260-27DA3FBFAFFE}"/>
                </c:ext>
              </c:extLst>
            </c:dLbl>
            <c:dLbl>
              <c:idx val="4"/>
              <c:delete val="1"/>
              <c:extLst>
                <c:ext xmlns:c15="http://schemas.microsoft.com/office/drawing/2012/chart" uri="{CE6537A1-D6FC-4f65-9D91-7224C49458BB}"/>
                <c:ext xmlns:c16="http://schemas.microsoft.com/office/drawing/2014/chart" uri="{C3380CC4-5D6E-409C-BE32-E72D297353CC}">
                  <c16:uniqueId val="{00000002-775B-4315-9260-27DA3FBFAFF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Sheet3!$B$64:$B$68</c:f>
              <c:strCache>
                <c:ptCount val="5"/>
                <c:pt idx="0">
                  <c:v>VTEB</c:v>
                </c:pt>
                <c:pt idx="1">
                  <c:v>VPKP</c:v>
                </c:pt>
                <c:pt idx="2">
                  <c:v>VRGPED</c:v>
                </c:pt>
                <c:pt idx="3">
                  <c:v>VTMEC</c:v>
                </c:pt>
                <c:pt idx="4">
                  <c:v>VID</c:v>
                </c:pt>
              </c:strCache>
            </c:strRef>
          </c:cat>
          <c:val>
            <c:numRef>
              <c:f>Sheet3!$D$64:$D$68</c:f>
              <c:numCache>
                <c:formatCode>General</c:formatCode>
                <c:ptCount val="5"/>
                <c:pt idx="0">
                  <c:v>8</c:v>
                </c:pt>
                <c:pt idx="1">
                  <c:v>11</c:v>
                </c:pt>
                <c:pt idx="2">
                  <c:v>0</c:v>
                </c:pt>
                <c:pt idx="3">
                  <c:v>13</c:v>
                </c:pt>
                <c:pt idx="4">
                  <c:v>1</c:v>
                </c:pt>
              </c:numCache>
            </c:numRef>
          </c:val>
          <c:extLst>
            <c:ext xmlns:c16="http://schemas.microsoft.com/office/drawing/2014/chart" uri="{C3380CC4-5D6E-409C-BE32-E72D297353CC}">
              <c16:uniqueId val="{00000001-0A09-4DC7-ABB9-229C561DC51F}"/>
            </c:ext>
          </c:extLst>
        </c:ser>
        <c:dLbls>
          <c:showLegendKey val="0"/>
          <c:showVal val="0"/>
          <c:showCatName val="0"/>
          <c:showSerName val="0"/>
          <c:showPercent val="0"/>
          <c:showBubbleSize val="0"/>
        </c:dLbls>
        <c:gapWidth val="150"/>
        <c:overlap val="100"/>
        <c:axId val="281339160"/>
        <c:axId val="281339552"/>
      </c:barChart>
      <c:catAx>
        <c:axId val="281339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9552"/>
        <c:crosses val="autoZero"/>
        <c:auto val="1"/>
        <c:lblAlgn val="ctr"/>
        <c:lblOffset val="100"/>
        <c:noMultiLvlLbl val="0"/>
      </c:catAx>
      <c:valAx>
        <c:axId val="281339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39160"/>
        <c:crosses val="autoZero"/>
        <c:crossBetween val="between"/>
      </c:valAx>
      <c:spPr>
        <a:noFill/>
        <a:ln>
          <a:solidFill>
            <a:schemeClr val="bg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58872615581637"/>
          <c:y val="0.1335356388171629"/>
          <c:w val="0.84678211284704286"/>
          <c:h val="0.67275484245917139"/>
        </c:manualLayout>
      </c:layout>
      <c:barChart>
        <c:barDir val="col"/>
        <c:grouping val="clustered"/>
        <c:varyColors val="0"/>
        <c:ser>
          <c:idx val="0"/>
          <c:order val="0"/>
          <c:tx>
            <c:strRef>
              <c:f>Sheet1!$B$28</c:f>
              <c:strCache>
                <c:ptCount val="1"/>
                <c:pt idx="0">
                  <c:v>2016</c:v>
                </c:pt>
              </c:strCache>
            </c:strRef>
          </c:tx>
          <c:spPr>
            <a:solidFill>
              <a:schemeClr val="accent5"/>
            </a:solidFill>
            <a:ln>
              <a:noFill/>
            </a:ln>
            <a:effectLst/>
          </c:spPr>
          <c:invertIfNegative val="0"/>
          <c:dLbls>
            <c:spPr>
              <a:noFill/>
              <a:ln>
                <a:noFill/>
              </a:ln>
              <a:effectLst/>
            </c:spPr>
            <c:txPr>
              <a:bodyPr rot="-540000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Sheet1!$A$29:$A$32</c:f>
              <c:strCache>
                <c:ptCount val="4"/>
                <c:pt idx="0">
                  <c:v>VTEB</c:v>
                </c:pt>
                <c:pt idx="1">
                  <c:v>VPKP</c:v>
                </c:pt>
                <c:pt idx="2">
                  <c:v>VTMEC</c:v>
                </c:pt>
                <c:pt idx="3">
                  <c:v>VID</c:v>
                </c:pt>
              </c:strCache>
            </c:strRef>
          </c:cat>
          <c:val>
            <c:numRef>
              <c:f>Sheet1!$B$29:$B$32</c:f>
              <c:numCache>
                <c:formatCode>#,##0</c:formatCode>
                <c:ptCount val="4"/>
                <c:pt idx="0">
                  <c:v>931254</c:v>
                </c:pt>
                <c:pt idx="1">
                  <c:v>3951119</c:v>
                </c:pt>
                <c:pt idx="2">
                  <c:v>2340928</c:v>
                </c:pt>
                <c:pt idx="3">
                  <c:v>49050</c:v>
                </c:pt>
              </c:numCache>
            </c:numRef>
          </c:val>
          <c:extLst>
            <c:ext xmlns:c16="http://schemas.microsoft.com/office/drawing/2014/chart" uri="{C3380CC4-5D6E-409C-BE32-E72D297353CC}">
              <c16:uniqueId val="{00000000-B225-423F-909D-C6B62723E55A}"/>
            </c:ext>
          </c:extLst>
        </c:ser>
        <c:ser>
          <c:idx val="1"/>
          <c:order val="1"/>
          <c:tx>
            <c:strRef>
              <c:f>Sheet1!$C$28</c:f>
              <c:strCache>
                <c:ptCount val="1"/>
                <c:pt idx="0">
                  <c:v>2017</c:v>
                </c:pt>
              </c:strCache>
            </c:strRef>
          </c:tx>
          <c:spPr>
            <a:solidFill>
              <a:schemeClr val="accent2"/>
            </a:solidFill>
            <a:ln>
              <a:noFill/>
            </a:ln>
            <a:effectLst/>
          </c:spPr>
          <c:invertIfNegative val="0"/>
          <c:dLbls>
            <c:spPr>
              <a:noFill/>
              <a:ln>
                <a:noFill/>
              </a:ln>
              <a:effectLst/>
            </c:spPr>
            <c:txPr>
              <a:bodyPr rot="-540000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Sheet1!$A$29:$A$32</c:f>
              <c:strCache>
                <c:ptCount val="4"/>
                <c:pt idx="0">
                  <c:v>VTEB</c:v>
                </c:pt>
                <c:pt idx="1">
                  <c:v>VPKP</c:v>
                </c:pt>
                <c:pt idx="2">
                  <c:v>VTMEC</c:v>
                </c:pt>
                <c:pt idx="3">
                  <c:v>VID</c:v>
                </c:pt>
              </c:strCache>
            </c:strRef>
          </c:cat>
          <c:val>
            <c:numRef>
              <c:f>Sheet1!$C$29:$C$32</c:f>
              <c:numCache>
                <c:formatCode>#,##0</c:formatCode>
                <c:ptCount val="4"/>
                <c:pt idx="0">
                  <c:v>1046403</c:v>
                </c:pt>
                <c:pt idx="1">
                  <c:v>5363260</c:v>
                </c:pt>
                <c:pt idx="2">
                  <c:v>2380174</c:v>
                </c:pt>
                <c:pt idx="3">
                  <c:v>47820</c:v>
                </c:pt>
              </c:numCache>
            </c:numRef>
          </c:val>
          <c:extLst>
            <c:ext xmlns:c16="http://schemas.microsoft.com/office/drawing/2014/chart" uri="{C3380CC4-5D6E-409C-BE32-E72D297353CC}">
              <c16:uniqueId val="{00000001-B225-423F-909D-C6B62723E55A}"/>
            </c:ext>
          </c:extLst>
        </c:ser>
        <c:ser>
          <c:idx val="2"/>
          <c:order val="2"/>
          <c:tx>
            <c:strRef>
              <c:f>Sheet1!$D$28</c:f>
              <c:strCache>
                <c:ptCount val="1"/>
                <c:pt idx="0">
                  <c:v>2018</c:v>
                </c:pt>
              </c:strCache>
            </c:strRef>
          </c:tx>
          <c:spPr>
            <a:solidFill>
              <a:schemeClr val="accent6"/>
            </a:solidFill>
            <a:ln>
              <a:noFill/>
            </a:ln>
            <a:effectLst/>
          </c:spPr>
          <c:invertIfNegative val="0"/>
          <c:dLbls>
            <c:spPr>
              <a:noFill/>
              <a:ln>
                <a:noFill/>
              </a:ln>
              <a:effectLst/>
            </c:spPr>
            <c:txPr>
              <a:bodyPr rot="-540000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Sheet1!$A$29:$A$32</c:f>
              <c:strCache>
                <c:ptCount val="4"/>
                <c:pt idx="0">
                  <c:v>VTEB</c:v>
                </c:pt>
                <c:pt idx="1">
                  <c:v>VPKP</c:v>
                </c:pt>
                <c:pt idx="2">
                  <c:v>VTMEC</c:v>
                </c:pt>
                <c:pt idx="3">
                  <c:v>VID</c:v>
                </c:pt>
              </c:strCache>
            </c:strRef>
          </c:cat>
          <c:val>
            <c:numRef>
              <c:f>Sheet1!$D$29:$D$32</c:f>
              <c:numCache>
                <c:formatCode>#,##0</c:formatCode>
                <c:ptCount val="4"/>
                <c:pt idx="0">
                  <c:v>1046403</c:v>
                </c:pt>
                <c:pt idx="1">
                  <c:v>5414080</c:v>
                </c:pt>
                <c:pt idx="2">
                  <c:v>2380174</c:v>
                </c:pt>
                <c:pt idx="3">
                  <c:v>47820</c:v>
                </c:pt>
              </c:numCache>
            </c:numRef>
          </c:val>
          <c:extLst>
            <c:ext xmlns:c16="http://schemas.microsoft.com/office/drawing/2014/chart" uri="{C3380CC4-5D6E-409C-BE32-E72D297353CC}">
              <c16:uniqueId val="{00000002-B225-423F-909D-C6B62723E55A}"/>
            </c:ext>
          </c:extLst>
        </c:ser>
        <c:dLbls>
          <c:showLegendKey val="0"/>
          <c:showVal val="0"/>
          <c:showCatName val="0"/>
          <c:showSerName val="0"/>
          <c:showPercent val="0"/>
          <c:showBubbleSize val="0"/>
        </c:dLbls>
        <c:gapWidth val="219"/>
        <c:overlap val="-27"/>
        <c:axId val="281340336"/>
        <c:axId val="281340728"/>
      </c:barChart>
      <c:catAx>
        <c:axId val="28134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40728"/>
        <c:crosses val="autoZero"/>
        <c:auto val="1"/>
        <c:lblAlgn val="ctr"/>
        <c:lblOffset val="100"/>
        <c:noMultiLvlLbl val="0"/>
      </c:catAx>
      <c:valAx>
        <c:axId val="281340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1340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43989501312335"/>
          <c:y val="0.12500014856633498"/>
          <c:w val="0.86167104111986115"/>
          <c:h val="0.7000360577930953"/>
        </c:manualLayout>
      </c:layout>
      <c:barChart>
        <c:barDir val="col"/>
        <c:grouping val="stacked"/>
        <c:varyColors val="0"/>
        <c:ser>
          <c:idx val="0"/>
          <c:order val="0"/>
          <c:tx>
            <c:strRef>
              <c:f>'atlikumi uz gada sākumu'!$H$8</c:f>
              <c:strCache>
                <c:ptCount val="1"/>
                <c:pt idx="0">
                  <c:v>Ministrijas</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'atlikumi uz gada sākumu'!$I$7:$L$7</c:f>
              <c:strCache>
                <c:ptCount val="4"/>
                <c:pt idx="0">
                  <c:v>2014</c:v>
                </c:pt>
                <c:pt idx="1">
                  <c:v>2015</c:v>
                </c:pt>
                <c:pt idx="2">
                  <c:v>2016</c:v>
                </c:pt>
                <c:pt idx="3">
                  <c:v>2017</c:v>
                </c:pt>
              </c:strCache>
            </c:strRef>
          </c:cat>
          <c:val>
            <c:numRef>
              <c:f>'atlikumi uz gada sākumu'!$I$8:$L$8</c:f>
              <c:numCache>
                <c:formatCode>0.0</c:formatCode>
                <c:ptCount val="4"/>
                <c:pt idx="0">
                  <c:v>31.096912</c:v>
                </c:pt>
                <c:pt idx="1">
                  <c:v>33.740291999999997</c:v>
                </c:pt>
                <c:pt idx="2">
                  <c:v>38.152324999999998</c:v>
                </c:pt>
                <c:pt idx="3">
                  <c:v>37.217709570000011</c:v>
                </c:pt>
              </c:numCache>
            </c:numRef>
          </c:val>
          <c:extLst>
            <c:ext xmlns:c16="http://schemas.microsoft.com/office/drawing/2014/chart" uri="{C3380CC4-5D6E-409C-BE32-E72D297353CC}">
              <c16:uniqueId val="{00000000-FFF2-43A2-A7AD-788532CEA49A}"/>
            </c:ext>
          </c:extLst>
        </c:ser>
        <c:ser>
          <c:idx val="1"/>
          <c:order val="1"/>
          <c:tx>
            <c:strRef>
              <c:f>'atlikumi uz gada sākumu'!$H$9</c:f>
              <c:strCache>
                <c:ptCount val="1"/>
                <c:pt idx="0">
                  <c:v>BNI</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'atlikumi uz gada sākumu'!$I$7:$L$7</c:f>
              <c:strCache>
                <c:ptCount val="4"/>
                <c:pt idx="0">
                  <c:v>2014</c:v>
                </c:pt>
                <c:pt idx="1">
                  <c:v>2015</c:v>
                </c:pt>
                <c:pt idx="2">
                  <c:v>2016</c:v>
                </c:pt>
                <c:pt idx="3">
                  <c:v>2017</c:v>
                </c:pt>
              </c:strCache>
            </c:strRef>
          </c:cat>
          <c:val>
            <c:numRef>
              <c:f>'atlikumi uz gada sākumu'!$I$9:$L$9</c:f>
              <c:numCache>
                <c:formatCode>0.0</c:formatCode>
                <c:ptCount val="4"/>
                <c:pt idx="0">
                  <c:v>2.5135408200000002</c:v>
                </c:pt>
                <c:pt idx="1">
                  <c:v>3.0176001400000003</c:v>
                </c:pt>
                <c:pt idx="2">
                  <c:v>4.4073298300000001</c:v>
                </c:pt>
                <c:pt idx="3">
                  <c:v>5.0322016100000004</c:v>
                </c:pt>
              </c:numCache>
            </c:numRef>
          </c:val>
          <c:extLst>
            <c:ext xmlns:c16="http://schemas.microsoft.com/office/drawing/2014/chart" uri="{C3380CC4-5D6E-409C-BE32-E72D297353CC}">
              <c16:uniqueId val="{00000001-FFF2-43A2-A7AD-788532CEA49A}"/>
            </c:ext>
          </c:extLst>
        </c:ser>
        <c:dLbls>
          <c:showLegendKey val="0"/>
          <c:showVal val="0"/>
          <c:showCatName val="0"/>
          <c:showSerName val="0"/>
          <c:showPercent val="0"/>
          <c:showBubbleSize val="0"/>
        </c:dLbls>
        <c:gapWidth val="50"/>
        <c:overlap val="100"/>
        <c:axId val="280764840"/>
        <c:axId val="280765232"/>
      </c:barChart>
      <c:catAx>
        <c:axId val="280764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5232"/>
        <c:crosses val="autoZero"/>
        <c:auto val="1"/>
        <c:lblAlgn val="ctr"/>
        <c:lblOffset val="100"/>
        <c:noMultiLvlLbl val="0"/>
      </c:catAx>
      <c:valAx>
        <c:axId val="2807652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4840"/>
        <c:crosses val="autoZero"/>
        <c:crossBetween val="between"/>
        <c:majorUnit val="10"/>
      </c:valAx>
      <c:spPr>
        <a:noFill/>
        <a:ln>
          <a:noFill/>
        </a:ln>
        <a:effectLst/>
      </c:spPr>
    </c:plotArea>
    <c:legend>
      <c:legendPos val="b"/>
      <c:layout>
        <c:manualLayout>
          <c:xMode val="edge"/>
          <c:yMode val="edge"/>
          <c:x val="0.20947849318477407"/>
          <c:y val="0.90576673123527296"/>
          <c:w val="0.55957545931758634"/>
          <c:h val="7.3450714494021699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userShapes r:id="rId3"/>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311961249861786E-2"/>
          <c:y val="5.4864475273924095E-2"/>
          <c:w val="0.91113243317633319"/>
          <c:h val="0.6328218972628421"/>
        </c:manualLayout>
      </c:layout>
      <c:barChart>
        <c:barDir val="col"/>
        <c:grouping val="clustered"/>
        <c:varyColors val="0"/>
        <c:ser>
          <c:idx val="0"/>
          <c:order val="0"/>
          <c:tx>
            <c:strRef>
              <c:f>Sheet1!$C$50</c:f>
              <c:strCache>
                <c:ptCount val="1"/>
                <c:pt idx="0">
                  <c:v>Atlikums uz gada sākumu</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Sheet1!$B$51:$B$54</c:f>
              <c:numCache>
                <c:formatCode>General</c:formatCode>
                <c:ptCount val="4"/>
                <c:pt idx="0">
                  <c:v>2014</c:v>
                </c:pt>
                <c:pt idx="1">
                  <c:v>2015</c:v>
                </c:pt>
                <c:pt idx="2">
                  <c:v>2016</c:v>
                </c:pt>
                <c:pt idx="3">
                  <c:v>2017</c:v>
                </c:pt>
              </c:numCache>
            </c:numRef>
          </c:cat>
          <c:val>
            <c:numRef>
              <c:f>Sheet1!$C$51:$C$54</c:f>
              <c:numCache>
                <c:formatCode>#\ ##0.0</c:formatCode>
                <c:ptCount val="4"/>
                <c:pt idx="0">
                  <c:v>31.096912</c:v>
                </c:pt>
                <c:pt idx="1">
                  <c:v>33.740291999999997</c:v>
                </c:pt>
                <c:pt idx="2">
                  <c:v>38.152324999999998</c:v>
                </c:pt>
                <c:pt idx="3">
                  <c:v>37.217709570000011</c:v>
                </c:pt>
              </c:numCache>
            </c:numRef>
          </c:val>
          <c:extLst>
            <c:ext xmlns:c16="http://schemas.microsoft.com/office/drawing/2014/chart" uri="{C3380CC4-5D6E-409C-BE32-E72D297353CC}">
              <c16:uniqueId val="{00000000-6634-4B52-89B6-C115F0954884}"/>
            </c:ext>
          </c:extLst>
        </c:ser>
        <c:ser>
          <c:idx val="1"/>
          <c:order val="1"/>
          <c:tx>
            <c:strRef>
              <c:f>Sheet1!$D$50</c:f>
              <c:strCache>
                <c:ptCount val="1"/>
                <c:pt idx="0">
                  <c:v>Budžetā iestrādātie atlikumi</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Sheet1!$B$51:$B$54</c:f>
              <c:numCache>
                <c:formatCode>General</c:formatCode>
                <c:ptCount val="4"/>
                <c:pt idx="0">
                  <c:v>2014</c:v>
                </c:pt>
                <c:pt idx="1">
                  <c:v>2015</c:v>
                </c:pt>
                <c:pt idx="2">
                  <c:v>2016</c:v>
                </c:pt>
                <c:pt idx="3">
                  <c:v>2017</c:v>
                </c:pt>
              </c:numCache>
            </c:numRef>
          </c:cat>
          <c:val>
            <c:numRef>
              <c:f>Sheet1!$D$51:$D$54</c:f>
              <c:numCache>
                <c:formatCode>#\ ##0.0</c:formatCode>
                <c:ptCount val="4"/>
                <c:pt idx="0">
                  <c:v>3.6816420000000001</c:v>
                </c:pt>
                <c:pt idx="1">
                  <c:v>2.6708219999999998</c:v>
                </c:pt>
                <c:pt idx="2">
                  <c:v>2.4551970000000001</c:v>
                </c:pt>
                <c:pt idx="3">
                  <c:v>5.4211989999999997</c:v>
                </c:pt>
              </c:numCache>
            </c:numRef>
          </c:val>
          <c:extLst>
            <c:ext xmlns:c16="http://schemas.microsoft.com/office/drawing/2014/chart" uri="{C3380CC4-5D6E-409C-BE32-E72D297353CC}">
              <c16:uniqueId val="{00000001-6634-4B52-89B6-C115F0954884}"/>
            </c:ext>
          </c:extLst>
        </c:ser>
        <c:ser>
          <c:idx val="2"/>
          <c:order val="2"/>
          <c:tx>
            <c:strRef>
              <c:f>Sheet1!$E$50</c:f>
              <c:strCache>
                <c:ptCount val="1"/>
                <c:pt idx="0">
                  <c:v>Ar rīkojumiem iestrādātie atlikumi 
(2017.gadam līdz 15.06.2017.)</c:v>
                </c:pt>
              </c:strCache>
            </c:strRef>
          </c:tx>
          <c:spPr>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Sheet1!$B$51:$B$54</c:f>
              <c:numCache>
                <c:formatCode>General</c:formatCode>
                <c:ptCount val="4"/>
                <c:pt idx="0">
                  <c:v>2014</c:v>
                </c:pt>
                <c:pt idx="1">
                  <c:v>2015</c:v>
                </c:pt>
                <c:pt idx="2">
                  <c:v>2016</c:v>
                </c:pt>
                <c:pt idx="3">
                  <c:v>2017</c:v>
                </c:pt>
              </c:numCache>
            </c:numRef>
          </c:cat>
          <c:val>
            <c:numRef>
              <c:f>Sheet1!$E$51:$E$54</c:f>
              <c:numCache>
                <c:formatCode>0.0</c:formatCode>
                <c:ptCount val="4"/>
                <c:pt idx="0">
                  <c:v>8.4152520000000006</c:v>
                </c:pt>
                <c:pt idx="1">
                  <c:v>8.3267290000000003</c:v>
                </c:pt>
                <c:pt idx="2">
                  <c:v>13.283289</c:v>
                </c:pt>
                <c:pt idx="3">
                  <c:v>4.8495210000000002</c:v>
                </c:pt>
              </c:numCache>
            </c:numRef>
          </c:val>
          <c:extLst>
            <c:ext xmlns:c16="http://schemas.microsoft.com/office/drawing/2014/chart" uri="{C3380CC4-5D6E-409C-BE32-E72D297353CC}">
              <c16:uniqueId val="{00000002-6634-4B52-89B6-C115F0954884}"/>
            </c:ext>
          </c:extLst>
        </c:ser>
        <c:dLbls>
          <c:showLegendKey val="0"/>
          <c:showVal val="0"/>
          <c:showCatName val="0"/>
          <c:showSerName val="0"/>
          <c:showPercent val="0"/>
          <c:showBubbleSize val="0"/>
        </c:dLbls>
        <c:gapWidth val="70"/>
        <c:overlap val="-7"/>
        <c:axId val="280766016"/>
        <c:axId val="280766408"/>
      </c:barChart>
      <c:lineChart>
        <c:grouping val="standard"/>
        <c:varyColors val="0"/>
        <c:ser>
          <c:idx val="3"/>
          <c:order val="3"/>
          <c:tx>
            <c:strRef>
              <c:f>Sheet1!$F$50</c:f>
              <c:strCache>
                <c:ptCount val="1"/>
                <c:pt idx="0">
                  <c:v>Budžetā neiestrādātie atlikumi</c:v>
                </c:pt>
              </c:strCache>
            </c:strRef>
          </c:tx>
          <c:spPr>
            <a:ln w="28575" cap="rnd">
              <a:solidFill>
                <a:srgbClr val="002060"/>
              </a:solidFill>
              <a:prstDash val="dash"/>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Sheet1!$B$51:$B$54</c:f>
              <c:numCache>
                <c:formatCode>General</c:formatCode>
                <c:ptCount val="4"/>
                <c:pt idx="0">
                  <c:v>2014</c:v>
                </c:pt>
                <c:pt idx="1">
                  <c:v>2015</c:v>
                </c:pt>
                <c:pt idx="2">
                  <c:v>2016</c:v>
                </c:pt>
                <c:pt idx="3">
                  <c:v>2017</c:v>
                </c:pt>
              </c:numCache>
            </c:numRef>
          </c:cat>
          <c:val>
            <c:numRef>
              <c:f>Sheet1!$F$51:$F$54</c:f>
              <c:numCache>
                <c:formatCode>#\ ##0.0</c:formatCode>
                <c:ptCount val="4"/>
                <c:pt idx="0">
                  <c:v>19.000017999999997</c:v>
                </c:pt>
                <c:pt idx="1">
                  <c:v>22.742740999999995</c:v>
                </c:pt>
                <c:pt idx="2">
                  <c:v>22.413838999999996</c:v>
                </c:pt>
                <c:pt idx="3">
                  <c:v>26.94698957000001</c:v>
                </c:pt>
              </c:numCache>
            </c:numRef>
          </c:val>
          <c:smooth val="0"/>
          <c:extLst>
            <c:ext xmlns:c16="http://schemas.microsoft.com/office/drawing/2014/chart" uri="{C3380CC4-5D6E-409C-BE32-E72D297353CC}">
              <c16:uniqueId val="{00000003-6634-4B52-89B6-C115F0954884}"/>
            </c:ext>
          </c:extLst>
        </c:ser>
        <c:dLbls>
          <c:showLegendKey val="0"/>
          <c:showVal val="0"/>
          <c:showCatName val="0"/>
          <c:showSerName val="0"/>
          <c:showPercent val="0"/>
          <c:showBubbleSize val="0"/>
        </c:dLbls>
        <c:marker val="1"/>
        <c:smooth val="0"/>
        <c:axId val="280766016"/>
        <c:axId val="280766408"/>
      </c:lineChart>
      <c:catAx>
        <c:axId val="28076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6408"/>
        <c:crosses val="autoZero"/>
        <c:auto val="1"/>
        <c:lblAlgn val="ctr"/>
        <c:lblOffset val="100"/>
        <c:noMultiLvlLbl val="0"/>
      </c:catAx>
      <c:valAx>
        <c:axId val="280766408"/>
        <c:scaling>
          <c:orientation val="minMax"/>
          <c:max val="4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6016"/>
        <c:crosses val="autoZero"/>
        <c:crossBetween val="between"/>
        <c:majorUnit val="10"/>
      </c:valAx>
      <c:spPr>
        <a:noFill/>
        <a:ln>
          <a:noFill/>
        </a:ln>
        <a:effectLst/>
      </c:spPr>
    </c:plotArea>
    <c:legend>
      <c:legendPos val="b"/>
      <c:layout>
        <c:manualLayout>
          <c:xMode val="edge"/>
          <c:yMode val="edge"/>
          <c:x val="7.8703405948235324E-3"/>
          <c:y val="0.78610340374119902"/>
          <c:w val="0.96516506031845206"/>
          <c:h val="0.1792945881764779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965142377290022E-2"/>
          <c:y val="5.8085748202231544E-2"/>
          <c:w val="0.91373251114713516"/>
          <c:h val="0.69335491942011918"/>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'tabulas 24.05.17'!$AO$2:$AW$3</c:f>
              <c:multiLvlStrCache>
                <c:ptCount val="9"/>
                <c:lvl>
                  <c:pt idx="0">
                    <c:v>Atlikums uz 01.01.2017.</c:v>
                  </c:pt>
                  <c:pt idx="1">
                    <c:v>Budžetā iestrādātais atlikums</c:v>
                  </c:pt>
                  <c:pt idx="2">
                    <c:v>Plānotais atlikums uz 01.01.2018.</c:v>
                  </c:pt>
                  <c:pt idx="3">
                    <c:v>Bāzē iestrādātais atlikums</c:v>
                  </c:pt>
                  <c:pt idx="4">
                    <c:v>Plānotais atlikums uz 01.01.2019.</c:v>
                  </c:pt>
                  <c:pt idx="5">
                    <c:v>Bāzē iestrādātais atlikums</c:v>
                  </c:pt>
                  <c:pt idx="6">
                    <c:v>Plānotais atlikums uz 01.01.2020.</c:v>
                  </c:pt>
                  <c:pt idx="7">
                    <c:v>Bāzē iestrādātais atlikums</c:v>
                  </c:pt>
                  <c:pt idx="8">
                    <c:v>Plānotais atlikums uz 01.01.2021.</c:v>
                  </c:pt>
                </c:lvl>
                <c:lvl>
                  <c:pt idx="0">
                    <c:v>2017</c:v>
                  </c:pt>
                  <c:pt idx="2">
                    <c:v>2018</c:v>
                  </c:pt>
                  <c:pt idx="4">
                    <c:v>2019</c:v>
                  </c:pt>
                  <c:pt idx="6">
                    <c:v>2020</c:v>
                  </c:pt>
                  <c:pt idx="8">
                    <c:v>2021</c:v>
                  </c:pt>
                </c:lvl>
              </c:multiLvlStrCache>
            </c:multiLvlStrRef>
          </c:cat>
          <c:val>
            <c:numRef>
              <c:f>'tabulas 24.05.17'!$AO$4:$AW$4</c:f>
              <c:numCache>
                <c:formatCode>0.0</c:formatCode>
                <c:ptCount val="9"/>
                <c:pt idx="0">
                  <c:v>37.217709570000011</c:v>
                </c:pt>
                <c:pt idx="1">
                  <c:v>10.270720000000001</c:v>
                </c:pt>
                <c:pt idx="2">
                  <c:v>26.947708930000008</c:v>
                </c:pt>
                <c:pt idx="3">
                  <c:v>4.4152810000000002</c:v>
                </c:pt>
                <c:pt idx="4">
                  <c:v>23.73823487000001</c:v>
                </c:pt>
                <c:pt idx="5">
                  <c:v>3.358174</c:v>
                </c:pt>
                <c:pt idx="6">
                  <c:v>21.595432870000007</c:v>
                </c:pt>
                <c:pt idx="7">
                  <c:v>2.3495900000000001</c:v>
                </c:pt>
                <c:pt idx="8">
                  <c:v>20.925528500000006</c:v>
                </c:pt>
              </c:numCache>
            </c:numRef>
          </c:val>
          <c:extLst>
            <c:ext xmlns:c16="http://schemas.microsoft.com/office/drawing/2014/chart" uri="{C3380CC4-5D6E-409C-BE32-E72D297353CC}">
              <c16:uniqueId val="{00000000-BFD6-4859-AE20-4CF7E7EC3266}"/>
            </c:ext>
          </c:extLst>
        </c:ser>
        <c:dLbls>
          <c:dLblPos val="ctr"/>
          <c:showLegendKey val="0"/>
          <c:showVal val="1"/>
          <c:showCatName val="0"/>
          <c:showSerName val="0"/>
          <c:showPercent val="0"/>
          <c:showBubbleSize val="0"/>
        </c:dLbls>
        <c:gapWidth val="70"/>
        <c:overlap val="-7"/>
        <c:axId val="280767192"/>
        <c:axId val="280767584"/>
      </c:barChart>
      <c:catAx>
        <c:axId val="280767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7584"/>
        <c:crosses val="autoZero"/>
        <c:auto val="1"/>
        <c:lblAlgn val="ctr"/>
        <c:lblOffset val="100"/>
        <c:noMultiLvlLbl val="0"/>
      </c:catAx>
      <c:valAx>
        <c:axId val="2807675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7192"/>
        <c:crossesAt val="1"/>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167408421773403E-2"/>
          <c:y val="9.6425602660016652E-2"/>
          <c:w val="0.83007098025790249"/>
          <c:h val="0.61362132725927998"/>
        </c:manualLayout>
      </c:layout>
      <c:barChart>
        <c:barDir val="col"/>
        <c:grouping val="clustered"/>
        <c:varyColors val="0"/>
        <c:ser>
          <c:idx val="0"/>
          <c:order val="0"/>
          <c:tx>
            <c:v>Programmu skaits</c:v>
          </c:tx>
          <c:spPr>
            <a:solidFill>
              <a:srgbClr val="679E2A"/>
            </a:solidFill>
            <a:ln>
              <a:solidFill>
                <a:schemeClr val="bg1">
                  <a:lumMod val="65000"/>
                </a:schemeClr>
              </a:solidFill>
            </a:ln>
            <a:effectLst/>
          </c:spPr>
          <c:invertIfNegative val="0"/>
          <c:dLbls>
            <c:numFmt formatCode="#,##0" sourceLinked="0"/>
            <c:spPr>
              <a:noFill/>
              <a:ln>
                <a:noFill/>
              </a:ln>
              <a:effectLst/>
            </c:spPr>
            <c:txPr>
              <a:bodyPr/>
              <a:lstStyle/>
              <a:p>
                <a:pPr>
                  <a:defRPr b="1"/>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Sheet3!$O$2:$O$33</c:f>
              <c:numCache>
                <c:formatCode>0%</c:formatCode>
                <c:ptCount val="31"/>
                <c:pt idx="0">
                  <c:v>0.01</c:v>
                </c:pt>
                <c:pt idx="1">
                  <c:v>0.02</c:v>
                </c:pt>
                <c:pt idx="2">
                  <c:v>0.03</c:v>
                </c:pt>
                <c:pt idx="3">
                  <c:v>0.04</c:v>
                </c:pt>
                <c:pt idx="4">
                  <c:v>0.06</c:v>
                </c:pt>
                <c:pt idx="5">
                  <c:v>7.0000000000000007E-2</c:v>
                </c:pt>
                <c:pt idx="6">
                  <c:v>0.08</c:v>
                </c:pt>
                <c:pt idx="7">
                  <c:v>0.09</c:v>
                </c:pt>
                <c:pt idx="8">
                  <c:v>0.1</c:v>
                </c:pt>
                <c:pt idx="9">
                  <c:v>0.11</c:v>
                </c:pt>
                <c:pt idx="10">
                  <c:v>0.13</c:v>
                </c:pt>
                <c:pt idx="11">
                  <c:v>0.14000000000000001</c:v>
                </c:pt>
                <c:pt idx="12">
                  <c:v>0.15</c:v>
                </c:pt>
                <c:pt idx="13">
                  <c:v>0.16</c:v>
                </c:pt>
                <c:pt idx="14">
                  <c:v>0.18</c:v>
                </c:pt>
                <c:pt idx="15">
                  <c:v>0.21</c:v>
                </c:pt>
                <c:pt idx="16">
                  <c:v>0.22</c:v>
                </c:pt>
                <c:pt idx="17">
                  <c:v>0.24</c:v>
                </c:pt>
                <c:pt idx="18">
                  <c:v>0.25</c:v>
                </c:pt>
                <c:pt idx="19">
                  <c:v>0.31</c:v>
                </c:pt>
                <c:pt idx="20">
                  <c:v>0.41</c:v>
                </c:pt>
                <c:pt idx="21">
                  <c:v>0.42</c:v>
                </c:pt>
                <c:pt idx="22">
                  <c:v>0.51</c:v>
                </c:pt>
                <c:pt idx="23">
                  <c:v>0.61</c:v>
                </c:pt>
                <c:pt idx="24">
                  <c:v>0.62</c:v>
                </c:pt>
                <c:pt idx="25">
                  <c:v>0.63</c:v>
                </c:pt>
                <c:pt idx="26">
                  <c:v>0.67</c:v>
                </c:pt>
                <c:pt idx="27">
                  <c:v>0.74</c:v>
                </c:pt>
                <c:pt idx="28">
                  <c:v>0.78</c:v>
                </c:pt>
                <c:pt idx="29">
                  <c:v>0.83</c:v>
                </c:pt>
                <c:pt idx="30">
                  <c:v>1</c:v>
                </c:pt>
              </c:numCache>
            </c:numRef>
          </c:cat>
          <c:val>
            <c:numRef>
              <c:f>Sheet3!$P$2:$P$33</c:f>
              <c:numCache>
                <c:formatCode>General</c:formatCode>
                <c:ptCount val="31"/>
                <c:pt idx="0">
                  <c:v>15</c:v>
                </c:pt>
                <c:pt idx="1">
                  <c:v>8</c:v>
                </c:pt>
                <c:pt idx="2">
                  <c:v>6</c:v>
                </c:pt>
                <c:pt idx="3">
                  <c:v>6</c:v>
                </c:pt>
                <c:pt idx="4">
                  <c:v>3</c:v>
                </c:pt>
                <c:pt idx="5">
                  <c:v>3</c:v>
                </c:pt>
                <c:pt idx="6">
                  <c:v>1</c:v>
                </c:pt>
                <c:pt idx="7">
                  <c:v>1</c:v>
                </c:pt>
                <c:pt idx="8">
                  <c:v>1</c:v>
                </c:pt>
                <c:pt idx="9">
                  <c:v>1</c:v>
                </c:pt>
                <c:pt idx="10">
                  <c:v>2</c:v>
                </c:pt>
                <c:pt idx="11">
                  <c:v>1</c:v>
                </c:pt>
                <c:pt idx="12">
                  <c:v>1</c:v>
                </c:pt>
                <c:pt idx="13">
                  <c:v>1</c:v>
                </c:pt>
                <c:pt idx="14">
                  <c:v>1</c:v>
                </c:pt>
                <c:pt idx="15">
                  <c:v>1</c:v>
                </c:pt>
                <c:pt idx="16">
                  <c:v>1</c:v>
                </c:pt>
                <c:pt idx="17">
                  <c:v>2</c:v>
                </c:pt>
                <c:pt idx="18">
                  <c:v>1</c:v>
                </c:pt>
                <c:pt idx="19">
                  <c:v>1</c:v>
                </c:pt>
                <c:pt idx="20">
                  <c:v>1</c:v>
                </c:pt>
                <c:pt idx="21">
                  <c:v>1</c:v>
                </c:pt>
                <c:pt idx="22">
                  <c:v>1</c:v>
                </c:pt>
                <c:pt idx="23">
                  <c:v>1</c:v>
                </c:pt>
                <c:pt idx="24">
                  <c:v>1</c:v>
                </c:pt>
                <c:pt idx="25">
                  <c:v>1</c:v>
                </c:pt>
                <c:pt idx="26">
                  <c:v>1</c:v>
                </c:pt>
                <c:pt idx="27">
                  <c:v>1</c:v>
                </c:pt>
                <c:pt idx="28">
                  <c:v>1</c:v>
                </c:pt>
                <c:pt idx="29">
                  <c:v>1</c:v>
                </c:pt>
                <c:pt idx="30">
                  <c:v>6</c:v>
                </c:pt>
              </c:numCache>
            </c:numRef>
          </c:val>
          <c:extLst>
            <c:ext xmlns:c16="http://schemas.microsoft.com/office/drawing/2014/chart" uri="{C3380CC4-5D6E-409C-BE32-E72D297353CC}">
              <c16:uniqueId val="{00000000-D145-4E5C-818A-75D1A205F7B6}"/>
            </c:ext>
          </c:extLst>
        </c:ser>
        <c:dLbls>
          <c:showLegendKey val="0"/>
          <c:showVal val="0"/>
          <c:showCatName val="0"/>
          <c:showSerName val="0"/>
          <c:showPercent val="0"/>
          <c:showBubbleSize val="0"/>
        </c:dLbls>
        <c:gapWidth val="55"/>
        <c:axId val="280768368"/>
        <c:axId val="280768760"/>
      </c:barChart>
      <c:lineChart>
        <c:grouping val="standard"/>
        <c:varyColors val="0"/>
        <c:ser>
          <c:idx val="1"/>
          <c:order val="1"/>
          <c:tx>
            <c:v>Pašu ieņēmumi</c:v>
          </c:tx>
          <c:spPr>
            <a:ln>
              <a:solidFill>
                <a:srgbClr val="ED7D31">
                  <a:lumMod val="50000"/>
                </a:srgbClr>
              </a:solidFill>
              <a:prstDash val="dash"/>
            </a:ln>
            <a:effectLst/>
          </c:spPr>
          <c:marker>
            <c:symbol val="circle"/>
            <c:size val="5"/>
            <c:spPr>
              <a:solidFill>
                <a:srgbClr val="C0504D">
                  <a:lumMod val="75000"/>
                </a:srgbClr>
              </a:solidFill>
              <a:ln>
                <a:solidFill>
                  <a:srgbClr val="ED7D31">
                    <a:lumMod val="50000"/>
                  </a:srgbClr>
                </a:solidFill>
              </a:ln>
            </c:spPr>
          </c:marker>
          <c:cat>
            <c:numRef>
              <c:f>Sheet3!$O$2:$O$33</c:f>
              <c:numCache>
                <c:formatCode>0%</c:formatCode>
                <c:ptCount val="31"/>
                <c:pt idx="0">
                  <c:v>0.01</c:v>
                </c:pt>
                <c:pt idx="1">
                  <c:v>0.02</c:v>
                </c:pt>
                <c:pt idx="2">
                  <c:v>0.03</c:v>
                </c:pt>
                <c:pt idx="3">
                  <c:v>0.04</c:v>
                </c:pt>
                <c:pt idx="4">
                  <c:v>0.06</c:v>
                </c:pt>
                <c:pt idx="5">
                  <c:v>7.0000000000000007E-2</c:v>
                </c:pt>
                <c:pt idx="6">
                  <c:v>0.08</c:v>
                </c:pt>
                <c:pt idx="7">
                  <c:v>0.09</c:v>
                </c:pt>
                <c:pt idx="8">
                  <c:v>0.1</c:v>
                </c:pt>
                <c:pt idx="9">
                  <c:v>0.11</c:v>
                </c:pt>
                <c:pt idx="10">
                  <c:v>0.13</c:v>
                </c:pt>
                <c:pt idx="11">
                  <c:v>0.14000000000000001</c:v>
                </c:pt>
                <c:pt idx="12">
                  <c:v>0.15</c:v>
                </c:pt>
                <c:pt idx="13">
                  <c:v>0.16</c:v>
                </c:pt>
                <c:pt idx="14">
                  <c:v>0.18</c:v>
                </c:pt>
                <c:pt idx="15">
                  <c:v>0.21</c:v>
                </c:pt>
                <c:pt idx="16">
                  <c:v>0.22</c:v>
                </c:pt>
                <c:pt idx="17">
                  <c:v>0.24</c:v>
                </c:pt>
                <c:pt idx="18">
                  <c:v>0.25</c:v>
                </c:pt>
                <c:pt idx="19">
                  <c:v>0.31</c:v>
                </c:pt>
                <c:pt idx="20">
                  <c:v>0.41</c:v>
                </c:pt>
                <c:pt idx="21">
                  <c:v>0.42</c:v>
                </c:pt>
                <c:pt idx="22">
                  <c:v>0.51</c:v>
                </c:pt>
                <c:pt idx="23">
                  <c:v>0.61</c:v>
                </c:pt>
                <c:pt idx="24">
                  <c:v>0.62</c:v>
                </c:pt>
                <c:pt idx="25">
                  <c:v>0.63</c:v>
                </c:pt>
                <c:pt idx="26">
                  <c:v>0.67</c:v>
                </c:pt>
                <c:pt idx="27">
                  <c:v>0.74</c:v>
                </c:pt>
                <c:pt idx="28">
                  <c:v>0.78</c:v>
                </c:pt>
                <c:pt idx="29">
                  <c:v>0.83</c:v>
                </c:pt>
                <c:pt idx="30">
                  <c:v>1</c:v>
                </c:pt>
              </c:numCache>
            </c:numRef>
          </c:cat>
          <c:val>
            <c:numRef>
              <c:f>Sheet3!$Q$2:$Q$33</c:f>
              <c:numCache>
                <c:formatCode>General</c:formatCode>
                <c:ptCount val="31"/>
                <c:pt idx="0">
                  <c:v>9.5149670000000004</c:v>
                </c:pt>
                <c:pt idx="1">
                  <c:v>1.1200159999999999</c:v>
                </c:pt>
                <c:pt idx="2">
                  <c:v>1.547131</c:v>
                </c:pt>
                <c:pt idx="3">
                  <c:v>6.6570729999999996</c:v>
                </c:pt>
                <c:pt idx="4">
                  <c:v>4.55823</c:v>
                </c:pt>
                <c:pt idx="5">
                  <c:v>2.9630230000000002</c:v>
                </c:pt>
                <c:pt idx="6">
                  <c:v>0.33859699999999998</c:v>
                </c:pt>
                <c:pt idx="7">
                  <c:v>6.4915E-2</c:v>
                </c:pt>
                <c:pt idx="8">
                  <c:v>0.35</c:v>
                </c:pt>
                <c:pt idx="9">
                  <c:v>0.68100400000000005</c:v>
                </c:pt>
                <c:pt idx="10">
                  <c:v>1.5994390000000001</c:v>
                </c:pt>
                <c:pt idx="11">
                  <c:v>5.4997499999999997</c:v>
                </c:pt>
                <c:pt idx="12">
                  <c:v>0.13678799999999999</c:v>
                </c:pt>
                <c:pt idx="13">
                  <c:v>2.7490869999999998</c:v>
                </c:pt>
                <c:pt idx="14">
                  <c:v>6.7431210000000004</c:v>
                </c:pt>
                <c:pt idx="15">
                  <c:v>0.216276</c:v>
                </c:pt>
                <c:pt idx="16">
                  <c:v>0.173875</c:v>
                </c:pt>
                <c:pt idx="17">
                  <c:v>1.9270659999999999</c:v>
                </c:pt>
                <c:pt idx="18">
                  <c:v>1.5197290000000001</c:v>
                </c:pt>
                <c:pt idx="19">
                  <c:v>3.340595</c:v>
                </c:pt>
                <c:pt idx="20">
                  <c:v>0.49947799999999998</c:v>
                </c:pt>
                <c:pt idx="21">
                  <c:v>1.8525419999999999</c:v>
                </c:pt>
                <c:pt idx="22">
                  <c:v>3</c:v>
                </c:pt>
                <c:pt idx="23">
                  <c:v>8.2777270000000005</c:v>
                </c:pt>
                <c:pt idx="24">
                  <c:v>3.7314189999999998</c:v>
                </c:pt>
                <c:pt idx="25">
                  <c:v>2.3089930000000001</c:v>
                </c:pt>
                <c:pt idx="26">
                  <c:v>0.832399</c:v>
                </c:pt>
                <c:pt idx="27">
                  <c:v>2.637858</c:v>
                </c:pt>
                <c:pt idx="28">
                  <c:v>0.359402</c:v>
                </c:pt>
                <c:pt idx="29">
                  <c:v>0.433058</c:v>
                </c:pt>
                <c:pt idx="30">
                  <c:v>9.1763060000000003</c:v>
                </c:pt>
              </c:numCache>
            </c:numRef>
          </c:val>
          <c:smooth val="0"/>
          <c:extLst>
            <c:ext xmlns:c16="http://schemas.microsoft.com/office/drawing/2014/chart" uri="{C3380CC4-5D6E-409C-BE32-E72D297353CC}">
              <c16:uniqueId val="{00000001-D145-4E5C-818A-75D1A205F7B6}"/>
            </c:ext>
          </c:extLst>
        </c:ser>
        <c:dLbls>
          <c:showLegendKey val="0"/>
          <c:showVal val="0"/>
          <c:showCatName val="0"/>
          <c:showSerName val="0"/>
          <c:showPercent val="0"/>
          <c:showBubbleSize val="0"/>
        </c:dLbls>
        <c:marker val="1"/>
        <c:smooth val="0"/>
        <c:axId val="280769544"/>
        <c:axId val="280769152"/>
      </c:lineChart>
      <c:catAx>
        <c:axId val="2807683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t>Pašu ieņēmumu procentuālais īpatsvars pret resursiem izdevumu segšanai</a:t>
                </a:r>
              </a:p>
            </c:rich>
          </c:tx>
          <c:overlay val="0"/>
          <c:spPr>
            <a:noFill/>
            <a:ln>
              <a:noFill/>
            </a:ln>
            <a:effectLst/>
          </c:sp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8760"/>
        <c:crosses val="autoZero"/>
        <c:auto val="1"/>
        <c:lblAlgn val="ctr"/>
        <c:lblOffset val="100"/>
        <c:noMultiLvlLbl val="0"/>
      </c:catAx>
      <c:valAx>
        <c:axId val="28076876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a:t>Programmas</a:t>
                </a:r>
                <a:r>
                  <a:rPr lang="lv-LV" sz="1000"/>
                  <a:t>,</a:t>
                </a:r>
                <a:r>
                  <a:rPr lang="lv-LV" sz="1000" baseline="0"/>
                  <a:t> skaits</a:t>
                </a:r>
                <a:endParaRPr lang="en-US" sz="1000"/>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8368"/>
        <c:crosses val="autoZero"/>
        <c:crossBetween val="between"/>
      </c:valAx>
      <c:valAx>
        <c:axId val="280769152"/>
        <c:scaling>
          <c:orientation val="minMax"/>
        </c:scaling>
        <c:delete val="0"/>
        <c:axPos val="r"/>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00"/>
                  <a:t>Pašu ieņēmumi, milj. </a:t>
                </a:r>
                <a:r>
                  <a:rPr lang="lv-LV" sz="1000" i="1"/>
                  <a:t>euro</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69544"/>
        <c:crosses val="max"/>
        <c:crossBetween val="between"/>
      </c:valAx>
      <c:catAx>
        <c:axId val="280769544"/>
        <c:scaling>
          <c:orientation val="minMax"/>
        </c:scaling>
        <c:delete val="1"/>
        <c:axPos val="b"/>
        <c:numFmt formatCode="0%" sourceLinked="1"/>
        <c:majorTickMark val="out"/>
        <c:minorTickMark val="none"/>
        <c:tickLblPos val="nextTo"/>
        <c:crossAx val="280769152"/>
        <c:crosses val="autoZero"/>
        <c:auto val="1"/>
        <c:lblAlgn val="ctr"/>
        <c:lblOffset val="100"/>
        <c:noMultiLvlLbl val="0"/>
      </c:catAx>
      <c:spPr>
        <a:noFill/>
        <a:ln>
          <a:noFill/>
        </a:ln>
        <a:effectLst/>
      </c:spPr>
    </c:plotArea>
    <c:legend>
      <c:legendPos val="b"/>
      <c:layout>
        <c:manualLayout>
          <c:xMode val="edge"/>
          <c:yMode val="edge"/>
          <c:x val="4.9999923922553181E-2"/>
          <c:y val="0.93058979846970513"/>
          <c:w val="0.9"/>
          <c:h val="4.9460076842015734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616252603947501E-2"/>
          <c:y val="5.9108006448146157E-2"/>
          <c:w val="0.91796366813581476"/>
          <c:h val="0.67401779989227728"/>
        </c:manualLayout>
      </c:layout>
      <c:barChart>
        <c:barDir val="col"/>
        <c:grouping val="clustered"/>
        <c:varyColors val="0"/>
        <c:ser>
          <c:idx val="0"/>
          <c:order val="0"/>
          <c:tx>
            <c:strRef>
              <c:f>'100%max'!$D$14</c:f>
              <c:strCache>
                <c:ptCount val="1"/>
                <c:pt idx="0">
                  <c:v>Atlikums uz 2017</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'100%max'!$C$15:$C$18</c:f>
              <c:strCache>
                <c:ptCount val="4"/>
                <c:pt idx="0">
                  <c:v>40.04.00
IeM</c:v>
                </c:pt>
                <c:pt idx="1">
                  <c:v>06.04.00
TM</c:v>
                </c:pt>
                <c:pt idx="2">
                  <c:v>06.05.00
TM</c:v>
                </c:pt>
                <c:pt idx="3">
                  <c:v>45.02.00
VM</c:v>
                </c:pt>
              </c:strCache>
            </c:strRef>
          </c:cat>
          <c:val>
            <c:numRef>
              <c:f>'100%max'!$D$15:$D$18</c:f>
              <c:numCache>
                <c:formatCode>0.0</c:formatCode>
                <c:ptCount val="4"/>
                <c:pt idx="0">
                  <c:v>0.87136464000000002</c:v>
                </c:pt>
                <c:pt idx="1">
                  <c:v>9.2056615500000003</c:v>
                </c:pt>
                <c:pt idx="2">
                  <c:v>0.86600543000000008</c:v>
                </c:pt>
                <c:pt idx="3">
                  <c:v>1.6176829399999999</c:v>
                </c:pt>
              </c:numCache>
            </c:numRef>
          </c:val>
          <c:extLst>
            <c:ext xmlns:c16="http://schemas.microsoft.com/office/drawing/2014/chart" uri="{C3380CC4-5D6E-409C-BE32-E72D297353CC}">
              <c16:uniqueId val="{00000000-16CE-462E-9487-E04EBC3852B5}"/>
            </c:ext>
          </c:extLst>
        </c:ser>
        <c:ser>
          <c:idx val="3"/>
          <c:order val="3"/>
          <c:tx>
            <c:strRef>
              <c:f>'100%max'!$G$14</c:f>
              <c:strCache>
                <c:ptCount val="1"/>
                <c:pt idx="0">
                  <c:v>Atlikums uz 2018</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'100%max'!$C$15:$C$18</c:f>
              <c:strCache>
                <c:ptCount val="4"/>
                <c:pt idx="0">
                  <c:v>40.04.00
IeM</c:v>
                </c:pt>
                <c:pt idx="1">
                  <c:v>06.04.00
TM</c:v>
                </c:pt>
                <c:pt idx="2">
                  <c:v>06.05.00
TM</c:v>
                </c:pt>
                <c:pt idx="3">
                  <c:v>45.02.00
VM</c:v>
                </c:pt>
              </c:strCache>
            </c:strRef>
          </c:cat>
          <c:val>
            <c:numRef>
              <c:f>'100%max'!$G$15:$G$18</c:f>
              <c:numCache>
                <c:formatCode>0.0</c:formatCode>
                <c:ptCount val="4"/>
                <c:pt idx="0">
                  <c:v>0.47279764000000002</c:v>
                </c:pt>
                <c:pt idx="1">
                  <c:v>10.430505550000001</c:v>
                </c:pt>
                <c:pt idx="2">
                  <c:v>0.83896043000000009</c:v>
                </c:pt>
                <c:pt idx="3">
                  <c:v>1.0904579399999998</c:v>
                </c:pt>
              </c:numCache>
            </c:numRef>
          </c:val>
          <c:extLst>
            <c:ext xmlns:c16="http://schemas.microsoft.com/office/drawing/2014/chart" uri="{C3380CC4-5D6E-409C-BE32-E72D297353CC}">
              <c16:uniqueId val="{00000001-16CE-462E-9487-E04EBC3852B5}"/>
            </c:ext>
          </c:extLst>
        </c:ser>
        <c:ser>
          <c:idx val="4"/>
          <c:order val="4"/>
          <c:tx>
            <c:strRef>
              <c:f>'100%max'!$H$14</c:f>
              <c:strCache>
                <c:ptCount val="1"/>
                <c:pt idx="0">
                  <c:v>Atlikums uz 2019</c:v>
                </c:pt>
              </c:strCache>
            </c:strRef>
          </c:tx>
          <c:spPr>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'100%max'!$C$15:$C$18</c:f>
              <c:strCache>
                <c:ptCount val="4"/>
                <c:pt idx="0">
                  <c:v>40.04.00
IeM</c:v>
                </c:pt>
                <c:pt idx="1">
                  <c:v>06.04.00
TM</c:v>
                </c:pt>
                <c:pt idx="2">
                  <c:v>06.05.00
TM</c:v>
                </c:pt>
                <c:pt idx="3">
                  <c:v>45.02.00
VM</c:v>
                </c:pt>
              </c:strCache>
            </c:strRef>
          </c:cat>
          <c:val>
            <c:numRef>
              <c:f>'100%max'!$H$15:$H$18</c:f>
              <c:numCache>
                <c:formatCode>0.0</c:formatCode>
                <c:ptCount val="4"/>
                <c:pt idx="0">
                  <c:v>0.10479764000000001</c:v>
                </c:pt>
                <c:pt idx="1">
                  <c:v>11.45722355</c:v>
                </c:pt>
                <c:pt idx="2">
                  <c:v>0.81883443</c:v>
                </c:pt>
                <c:pt idx="3">
                  <c:v>1.0904579399999998</c:v>
                </c:pt>
              </c:numCache>
            </c:numRef>
          </c:val>
          <c:extLst>
            <c:ext xmlns:c16="http://schemas.microsoft.com/office/drawing/2014/chart" uri="{C3380CC4-5D6E-409C-BE32-E72D297353CC}">
              <c16:uniqueId val="{00000002-16CE-462E-9487-E04EBC3852B5}"/>
            </c:ext>
          </c:extLst>
        </c:ser>
        <c:ser>
          <c:idx val="5"/>
          <c:order val="5"/>
          <c:tx>
            <c:strRef>
              <c:f>'100%max'!$I$14</c:f>
              <c:strCache>
                <c:ptCount val="1"/>
                <c:pt idx="0">
                  <c:v>Atlikums uz 2020</c:v>
                </c:pt>
              </c:strCache>
            </c:strRef>
          </c:tx>
          <c:spPr>
            <a:gradFill rotWithShape="1">
              <a:gsLst>
                <a:gs pos="0">
                  <a:srgbClr val="A5A5A5">
                    <a:satMod val="103000"/>
                    <a:lumMod val="102000"/>
                    <a:tint val="94000"/>
                  </a:srgbClr>
                </a:gs>
                <a:gs pos="50000">
                  <a:srgbClr val="A5A5A5">
                    <a:satMod val="110000"/>
                    <a:lumMod val="100000"/>
                    <a:shade val="100000"/>
                  </a:srgbClr>
                </a:gs>
                <a:gs pos="100000">
                  <a:srgbClr val="A5A5A5">
                    <a:lumMod val="99000"/>
                    <a:satMod val="120000"/>
                    <a:shade val="78000"/>
                  </a:srgbClr>
                </a:gs>
              </a:gsLst>
              <a:lin ang="5400000" scaled="0"/>
            </a:gradFill>
            <a:ln w="6350" cap="flat" cmpd="sng" algn="ctr">
              <a:solidFill>
                <a:srgbClr val="A5A5A5"/>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'100%max'!$C$15:$C$18</c:f>
              <c:strCache>
                <c:ptCount val="4"/>
                <c:pt idx="0">
                  <c:v>40.04.00
IeM</c:v>
                </c:pt>
                <c:pt idx="1">
                  <c:v>06.04.00
TM</c:v>
                </c:pt>
                <c:pt idx="2">
                  <c:v>06.05.00
TM</c:v>
                </c:pt>
                <c:pt idx="3">
                  <c:v>45.02.00
VM</c:v>
                </c:pt>
              </c:strCache>
            </c:strRef>
          </c:cat>
          <c:val>
            <c:numRef>
              <c:f>'100%max'!$I$15:$I$18</c:f>
              <c:numCache>
                <c:formatCode>0.0</c:formatCode>
                <c:ptCount val="4"/>
                <c:pt idx="0">
                  <c:v>0.10479764000000001</c:v>
                </c:pt>
                <c:pt idx="1">
                  <c:v>12.241711550000002</c:v>
                </c:pt>
                <c:pt idx="2">
                  <c:v>0.80278243000000005</c:v>
                </c:pt>
                <c:pt idx="3">
                  <c:v>1.0904579399999998</c:v>
                </c:pt>
              </c:numCache>
            </c:numRef>
          </c:val>
          <c:extLst>
            <c:ext xmlns:c16="http://schemas.microsoft.com/office/drawing/2014/chart" uri="{C3380CC4-5D6E-409C-BE32-E72D297353CC}">
              <c16:uniqueId val="{00000003-16CE-462E-9487-E04EBC3852B5}"/>
            </c:ext>
          </c:extLst>
        </c:ser>
        <c:ser>
          <c:idx val="6"/>
          <c:order val="6"/>
          <c:tx>
            <c:strRef>
              <c:f>'100%max'!$J$14</c:f>
              <c:strCache>
                <c:ptCount val="1"/>
                <c:pt idx="0">
                  <c:v>Atlikums uz 2021</c:v>
                </c:pt>
              </c:strCache>
            </c:strRef>
          </c:tx>
          <c:spPr>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w="6350" cap="flat" cmpd="sng" algn="ctr">
              <a:solidFill>
                <a:srgbClr val="FFC000"/>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'100%max'!$C$15:$C$18</c:f>
              <c:strCache>
                <c:ptCount val="4"/>
                <c:pt idx="0">
                  <c:v>40.04.00
IeM</c:v>
                </c:pt>
                <c:pt idx="1">
                  <c:v>06.04.00
TM</c:v>
                </c:pt>
                <c:pt idx="2">
                  <c:v>06.05.00
TM</c:v>
                </c:pt>
                <c:pt idx="3">
                  <c:v>45.02.00
VM</c:v>
                </c:pt>
              </c:strCache>
            </c:strRef>
          </c:cat>
          <c:val>
            <c:numRef>
              <c:f>'100%max'!$J$15:$J$18</c:f>
              <c:numCache>
                <c:formatCode>0.0</c:formatCode>
                <c:ptCount val="4"/>
                <c:pt idx="0">
                  <c:v>0.10479764000000001</c:v>
                </c:pt>
                <c:pt idx="1">
                  <c:v>13.026199550000001</c:v>
                </c:pt>
                <c:pt idx="2">
                  <c:v>0.78673043000000009</c:v>
                </c:pt>
                <c:pt idx="3">
                  <c:v>1.0904579399999998</c:v>
                </c:pt>
              </c:numCache>
            </c:numRef>
          </c:val>
          <c:extLst>
            <c:ext xmlns:c16="http://schemas.microsoft.com/office/drawing/2014/chart" uri="{C3380CC4-5D6E-409C-BE32-E72D297353CC}">
              <c16:uniqueId val="{00000004-16CE-462E-9487-E04EBC3852B5}"/>
            </c:ext>
          </c:extLst>
        </c:ser>
        <c:dLbls>
          <c:dLblPos val="outEnd"/>
          <c:showLegendKey val="0"/>
          <c:showVal val="1"/>
          <c:showCatName val="0"/>
          <c:showSerName val="0"/>
          <c:showPercent val="0"/>
          <c:showBubbleSize val="0"/>
        </c:dLbls>
        <c:gapWidth val="70"/>
        <c:overlap val="-7"/>
        <c:axId val="280770328"/>
        <c:axId val="280770720"/>
        <c:extLst>
          <c:ext xmlns:c15="http://schemas.microsoft.com/office/drawing/2012/chart" uri="{02D57815-91ED-43cb-92C2-25804820EDAC}">
            <c15:filteredBarSeries>
              <c15:ser>
                <c:idx val="1"/>
                <c:order val="1"/>
                <c:tx>
                  <c:strRef>
                    <c:extLst>
                      <c:ext uri="{02D57815-91ED-43cb-92C2-25804820EDAC}">
                        <c15:formulaRef>
                          <c15:sqref>'100%max'!$E$14</c15:sqref>
                        </c15:formulaRef>
                      </c:ext>
                    </c:extLst>
                    <c:strCache>
                      <c:ptCount val="1"/>
                      <c:pt idx="0">
                        <c:v>Apstiprinātajā budžetā iestrādātie atlikumi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'100%max'!$C$15:$C$18</c15:sqref>
                        </c15:formulaRef>
                      </c:ext>
                    </c:extLst>
                    <c:strCache>
                      <c:ptCount val="4"/>
                      <c:pt idx="0">
                        <c:v>40.04.00
IeM</c:v>
                      </c:pt>
                      <c:pt idx="1">
                        <c:v>06.04.00
TM</c:v>
                      </c:pt>
                      <c:pt idx="2">
                        <c:v>06.05.00
TM</c:v>
                      </c:pt>
                      <c:pt idx="3">
                        <c:v>45.02.00
VM</c:v>
                      </c:pt>
                    </c:strCache>
                  </c:strRef>
                </c:cat>
                <c:val>
                  <c:numRef>
                    <c:extLst>
                      <c:ext uri="{02D57815-91ED-43cb-92C2-25804820EDAC}">
                        <c15:formulaRef>
                          <c15:sqref>'100%max'!$E$15:$E$18</c15:sqref>
                        </c15:formulaRef>
                      </c:ext>
                    </c:extLst>
                    <c:numCache>
                      <c:formatCode>0.0</c:formatCode>
                      <c:ptCount val="4"/>
                      <c:pt idx="0">
                        <c:v>0</c:v>
                      </c:pt>
                      <c:pt idx="1">
                        <c:v>-1.224844</c:v>
                      </c:pt>
                      <c:pt idx="2">
                        <c:v>2.7045E-2</c:v>
                      </c:pt>
                      <c:pt idx="3">
                        <c:v>0.52722500000000005</c:v>
                      </c:pt>
                    </c:numCache>
                  </c:numRef>
                </c:val>
                <c:extLst>
                  <c:ext xmlns:c16="http://schemas.microsoft.com/office/drawing/2014/chart" uri="{C3380CC4-5D6E-409C-BE32-E72D297353CC}">
                    <c16:uniqueId val="{00000005-16CE-462E-9487-E04EBC3852B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'100%max'!$F$14</c15:sqref>
                        </c15:formulaRef>
                      </c:ext>
                    </c:extLst>
                    <c:strCache>
                      <c:ptCount val="1"/>
                      <c:pt idx="0">
                        <c:v>Ar rīkojumiem iestrādātie atlikumi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'100%max'!$C$15:$C$18</c15:sqref>
                        </c15:formulaRef>
                      </c:ext>
                    </c:extLst>
                    <c:strCache>
                      <c:ptCount val="4"/>
                      <c:pt idx="0">
                        <c:v>40.04.00
IeM</c:v>
                      </c:pt>
                      <c:pt idx="1">
                        <c:v>06.04.00
TM</c:v>
                      </c:pt>
                      <c:pt idx="2">
                        <c:v>06.05.00
TM</c:v>
                      </c:pt>
                      <c:pt idx="3">
                        <c:v>45.02.00
VM</c:v>
                      </c:pt>
                    </c:strCache>
                  </c:strRef>
                </c:cat>
                <c:val>
                  <c:numRef>
                    <c:extLst xmlns:c15="http://schemas.microsoft.com/office/drawing/2012/chart">
                      <c:ext xmlns:c15="http://schemas.microsoft.com/office/drawing/2012/chart" uri="{02D57815-91ED-43cb-92C2-25804820EDAC}">
                        <c15:formulaRef>
                          <c15:sqref>'100%max'!$F$15:$F$18</c15:sqref>
                        </c15:formulaRef>
                      </c:ext>
                    </c:extLst>
                    <c:numCache>
                      <c:formatCode>0.0</c:formatCode>
                      <c:ptCount val="4"/>
                      <c:pt idx="0">
                        <c:v>0.398567</c:v>
                      </c:pt>
                      <c:pt idx="1">
                        <c:v>0</c:v>
                      </c:pt>
                      <c:pt idx="2">
                        <c:v>0</c:v>
                      </c:pt>
                      <c:pt idx="3">
                        <c:v>0</c:v>
                      </c:pt>
                    </c:numCache>
                  </c:numRef>
                </c:val>
                <c:extLst xmlns:c15="http://schemas.microsoft.com/office/drawing/2012/chart">
                  <c:ext xmlns:c16="http://schemas.microsoft.com/office/drawing/2014/chart" uri="{C3380CC4-5D6E-409C-BE32-E72D297353CC}">
                    <c16:uniqueId val="{00000006-16CE-462E-9487-E04EBC3852B5}"/>
                  </c:ext>
                </c:extLst>
              </c15:ser>
            </c15:filteredBarSeries>
          </c:ext>
        </c:extLst>
      </c:barChart>
      <c:catAx>
        <c:axId val="28077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70720"/>
        <c:crosses val="autoZero"/>
        <c:auto val="1"/>
        <c:lblAlgn val="ctr"/>
        <c:lblOffset val="100"/>
        <c:noMultiLvlLbl val="0"/>
      </c:catAx>
      <c:valAx>
        <c:axId val="280770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70328"/>
        <c:crosses val="autoZero"/>
        <c:crossBetween val="between"/>
      </c:valAx>
      <c:spPr>
        <a:noFill/>
        <a:ln>
          <a:noFill/>
        </a:ln>
        <a:effectLst/>
      </c:spPr>
    </c:plotArea>
    <c:legend>
      <c:legendPos val="b"/>
      <c:layout>
        <c:manualLayout>
          <c:xMode val="edge"/>
          <c:yMode val="edge"/>
          <c:x val="8.2447474553485708E-2"/>
          <c:y val="0.86177639847136389"/>
          <c:w val="0.85238532465776351"/>
          <c:h val="0.1320416869715389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326394500452749E-2"/>
          <c:y val="3.3957636029441268E-2"/>
          <c:w val="0.49198587481877332"/>
          <c:h val="0.94023967187587787"/>
        </c:manualLayout>
      </c:layout>
      <c:pieChart>
        <c:varyColors val="1"/>
        <c:ser>
          <c:idx val="0"/>
          <c:order val="0"/>
          <c:tx>
            <c:strRef>
              <c:f>'523'!$B$4</c:f>
              <c:strCache>
                <c:ptCount val="1"/>
                <c:pt idx="0">
                  <c:v>Priekšlikumu skaits</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4EFA-4CA5-94B3-D115C63FC35B}"/>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4EFA-4CA5-94B3-D115C63FC35B}"/>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4EFA-4CA5-94B3-D115C63FC35B}"/>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4EFA-4CA5-94B3-D115C63FC35B}"/>
              </c:ext>
            </c:extLst>
          </c:dPt>
          <c:dPt>
            <c:idx val="4"/>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09-4EFA-4CA5-94B3-D115C63FC35B}"/>
              </c:ext>
            </c:extLst>
          </c:dPt>
          <c:dLbls>
            <c:dLbl>
              <c:idx val="0"/>
              <c:layout>
                <c:manualLayout>
                  <c:x val="-0.11669809365934508"/>
                  <c:y val="4.953935152697189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EFA-4CA5-94B3-D115C63FC35B}"/>
                </c:ext>
              </c:extLst>
            </c:dLbl>
            <c:dLbl>
              <c:idx val="1"/>
              <c:layout>
                <c:manualLayout>
                  <c:x val="-3.4831641110650652E-2"/>
                  <c:y val="-0.20774883164189636"/>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EFA-4CA5-94B3-D115C63FC35B}"/>
                </c:ext>
              </c:extLst>
            </c:dLbl>
            <c:dLbl>
              <c:idx val="4"/>
              <c:layout>
                <c:manualLayout>
                  <c:x val="6.6427424368006707E-2"/>
                  <c:y val="0.15393031310545338"/>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4EFA-4CA5-94B3-D115C63FC35B}"/>
                </c:ext>
              </c:extLst>
            </c:dLbl>
            <c:spPr>
              <a:noFill/>
              <a:ln>
                <a:noFill/>
              </a:ln>
              <a:effectLst/>
            </c:spPr>
            <c:txPr>
              <a:bodyPr rot="0" spcFirstLastPara="1" vertOverflow="ellipsis" vert="horz" wrap="square" anchor="ctr" anchorCtr="1"/>
              <a:lstStyle/>
              <a:p>
                <a:pPr>
                  <a:defRPr sz="1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'523'!$A$5:$A$9</c:f>
              <c:strCache>
                <c:ptCount val="5"/>
                <c:pt idx="0">
                  <c:v>Budžeta pieprasījuma detalizācijas pakāpe</c:v>
                </c:pt>
                <c:pt idx="1">
                  <c:v>Atteikšanās no atsevišķām veidlapām</c:v>
                </c:pt>
                <c:pt idx="2">
                  <c:v>SAP apstiprināto veidlapu iesniegšana FM</c:v>
                </c:pt>
                <c:pt idx="3">
                  <c:v>Veidlapu satura precizēšana</c:v>
                </c:pt>
                <c:pt idx="4">
                  <c:v>Noteikumu normu precizēšana</c:v>
                </c:pt>
              </c:strCache>
            </c:strRef>
          </c:cat>
          <c:val>
            <c:numRef>
              <c:f>'523'!$B$5:$B$9</c:f>
              <c:numCache>
                <c:formatCode>General</c:formatCode>
                <c:ptCount val="5"/>
                <c:pt idx="0">
                  <c:v>10</c:v>
                </c:pt>
                <c:pt idx="1">
                  <c:v>8</c:v>
                </c:pt>
                <c:pt idx="2">
                  <c:v>4</c:v>
                </c:pt>
                <c:pt idx="3">
                  <c:v>4</c:v>
                </c:pt>
                <c:pt idx="4">
                  <c:v>4</c:v>
                </c:pt>
              </c:numCache>
            </c:numRef>
          </c:val>
          <c:extLst>
            <c:ext xmlns:c16="http://schemas.microsoft.com/office/drawing/2014/chart" uri="{C3380CC4-5D6E-409C-BE32-E72D297353CC}">
              <c16:uniqueId val="{0000000A-4EFA-4CA5-94B3-D115C63FC35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8781333525969803"/>
          <c:y val="0.23641954098085621"/>
          <c:w val="0.39867215232616937"/>
          <c:h val="0.60871005803173683"/>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21741032370955E-2"/>
          <c:y val="5.0925925925925923E-2"/>
          <c:w val="0.90512270341207346"/>
          <c:h val="0.81074751777024312"/>
        </c:manualLayout>
      </c:layout>
      <c:bar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'viss bez 100%max'!$M$2:$Q$2</c:f>
              <c:strCache>
                <c:ptCount val="5"/>
                <c:pt idx="0">
                  <c:v>Atlikums uz 2017</c:v>
                </c:pt>
                <c:pt idx="1">
                  <c:v>Atlikums uz 2018</c:v>
                </c:pt>
                <c:pt idx="2">
                  <c:v>Atlikums uz 2019</c:v>
                </c:pt>
                <c:pt idx="3">
                  <c:v>Atlikums uz 2020</c:v>
                </c:pt>
                <c:pt idx="4">
                  <c:v>Atlikums uz 2021</c:v>
                </c:pt>
              </c:strCache>
            </c:strRef>
          </c:cat>
          <c:val>
            <c:numRef>
              <c:f>'viss bez 100%max'!$M$3:$Q$3</c:f>
              <c:numCache>
                <c:formatCode>0.0</c:formatCode>
                <c:ptCount val="5"/>
                <c:pt idx="0">
                  <c:v>24.063970180000002</c:v>
                </c:pt>
                <c:pt idx="1">
                  <c:v>14.114987620000001</c:v>
                </c:pt>
                <c:pt idx="2">
                  <c:v>10.266921560000002</c:v>
                </c:pt>
                <c:pt idx="3">
                  <c:v>7.3556835599999983</c:v>
                </c:pt>
                <c:pt idx="4">
                  <c:v>5.9173431899999986</c:v>
                </c:pt>
              </c:numCache>
            </c:numRef>
          </c:val>
          <c:extLst>
            <c:ext xmlns:c16="http://schemas.microsoft.com/office/drawing/2014/chart" uri="{C3380CC4-5D6E-409C-BE32-E72D297353CC}">
              <c16:uniqueId val="{00000000-5425-4581-8F84-8D62235DD01B}"/>
            </c:ext>
          </c:extLst>
        </c:ser>
        <c:dLbls>
          <c:showLegendKey val="0"/>
          <c:showVal val="0"/>
          <c:showCatName val="0"/>
          <c:showSerName val="0"/>
          <c:showPercent val="0"/>
          <c:showBubbleSize val="0"/>
        </c:dLbls>
        <c:gapWidth val="70"/>
        <c:overlap val="-7"/>
        <c:axId val="280771504"/>
        <c:axId val="280771896"/>
      </c:barChart>
      <c:catAx>
        <c:axId val="280771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71896"/>
        <c:crosses val="autoZero"/>
        <c:auto val="1"/>
        <c:lblAlgn val="ctr"/>
        <c:lblOffset val="100"/>
        <c:noMultiLvlLbl val="0"/>
      </c:catAx>
      <c:valAx>
        <c:axId val="280771896"/>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771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Sheet2!$B$48</c:f>
              <c:strCache>
                <c:ptCount val="1"/>
                <c:pt idx="0">
                  <c:v>Atlikums</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Sheet2!$C$47:$F$47</c:f>
              <c:numCache>
                <c:formatCode>General</c:formatCode>
                <c:ptCount val="4"/>
                <c:pt idx="0">
                  <c:v>2014</c:v>
                </c:pt>
                <c:pt idx="1">
                  <c:v>2015</c:v>
                </c:pt>
                <c:pt idx="2">
                  <c:v>2016</c:v>
                </c:pt>
                <c:pt idx="3">
                  <c:v>2017</c:v>
                </c:pt>
              </c:numCache>
            </c:numRef>
          </c:cat>
          <c:val>
            <c:numRef>
              <c:f>Sheet2!$C$48:$F$48</c:f>
              <c:numCache>
                <c:formatCode>0.0</c:formatCode>
                <c:ptCount val="4"/>
                <c:pt idx="0">
                  <c:v>2.5135408200000002</c:v>
                </c:pt>
                <c:pt idx="1">
                  <c:v>3.0176001400000003</c:v>
                </c:pt>
                <c:pt idx="2">
                  <c:v>4.4073298300000001</c:v>
                </c:pt>
                <c:pt idx="3">
                  <c:v>5.0322016100000004</c:v>
                </c:pt>
              </c:numCache>
            </c:numRef>
          </c:val>
          <c:extLst>
            <c:ext xmlns:c16="http://schemas.microsoft.com/office/drawing/2014/chart" uri="{C3380CC4-5D6E-409C-BE32-E72D297353CC}">
              <c16:uniqueId val="{00000000-28F6-4FE2-9402-6B7FDC847CAA}"/>
            </c:ext>
          </c:extLst>
        </c:ser>
        <c:ser>
          <c:idx val="1"/>
          <c:order val="1"/>
          <c:tx>
            <c:strRef>
              <c:f>Sheet2!$B$49</c:f>
              <c:strCache>
                <c:ptCount val="1"/>
                <c:pt idx="0">
                  <c:v>Iestrādāts budžetā</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Sheet2!$C$47:$F$47</c:f>
              <c:numCache>
                <c:formatCode>General</c:formatCode>
                <c:ptCount val="4"/>
                <c:pt idx="0">
                  <c:v>2014</c:v>
                </c:pt>
                <c:pt idx="1">
                  <c:v>2015</c:v>
                </c:pt>
                <c:pt idx="2">
                  <c:v>2016</c:v>
                </c:pt>
                <c:pt idx="3">
                  <c:v>2017</c:v>
                </c:pt>
              </c:numCache>
            </c:numRef>
          </c:cat>
          <c:val>
            <c:numRef>
              <c:f>Sheet2!$C$49:$F$49</c:f>
              <c:numCache>
                <c:formatCode>0.0</c:formatCode>
                <c:ptCount val="4"/>
                <c:pt idx="0">
                  <c:v>1.74011</c:v>
                </c:pt>
                <c:pt idx="1">
                  <c:v>0.75364100000000001</c:v>
                </c:pt>
                <c:pt idx="2">
                  <c:v>2.633578</c:v>
                </c:pt>
                <c:pt idx="3">
                  <c:v>1.4809110000000001</c:v>
                </c:pt>
              </c:numCache>
            </c:numRef>
          </c:val>
          <c:extLst>
            <c:ext xmlns:c16="http://schemas.microsoft.com/office/drawing/2014/chart" uri="{C3380CC4-5D6E-409C-BE32-E72D297353CC}">
              <c16:uniqueId val="{00000001-28F6-4FE2-9402-6B7FDC847CAA}"/>
            </c:ext>
          </c:extLst>
        </c:ser>
        <c:dLbls>
          <c:dLblPos val="ctr"/>
          <c:showLegendKey val="0"/>
          <c:showVal val="1"/>
          <c:showCatName val="0"/>
          <c:showSerName val="0"/>
          <c:showPercent val="0"/>
          <c:showBubbleSize val="0"/>
        </c:dLbls>
        <c:gapWidth val="70"/>
        <c:overlap val="-7"/>
        <c:axId val="292217712"/>
        <c:axId val="292218496"/>
      </c:barChart>
      <c:lineChart>
        <c:grouping val="standard"/>
        <c:varyColors val="0"/>
        <c:ser>
          <c:idx val="2"/>
          <c:order val="2"/>
          <c:tx>
            <c:strRef>
              <c:f>Sheet2!$B$50</c:f>
              <c:strCache>
                <c:ptCount val="1"/>
                <c:pt idx="0">
                  <c:v>Neiestrādātais atlikums</c:v>
                </c:pt>
              </c:strCache>
            </c:strRef>
          </c:tx>
          <c:spPr>
            <a:ln w="28575" cap="rnd">
              <a:solidFill>
                <a:srgbClr val="002060"/>
              </a:solidFill>
              <a:prstDash val="dash"/>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Sheet2!$C$47:$F$47</c:f>
              <c:numCache>
                <c:formatCode>General</c:formatCode>
                <c:ptCount val="4"/>
                <c:pt idx="0">
                  <c:v>2014</c:v>
                </c:pt>
                <c:pt idx="1">
                  <c:v>2015</c:v>
                </c:pt>
                <c:pt idx="2">
                  <c:v>2016</c:v>
                </c:pt>
                <c:pt idx="3">
                  <c:v>2017</c:v>
                </c:pt>
              </c:numCache>
            </c:numRef>
          </c:cat>
          <c:val>
            <c:numRef>
              <c:f>Sheet2!$C$50:$F$50</c:f>
              <c:numCache>
                <c:formatCode>0.0</c:formatCode>
                <c:ptCount val="4"/>
                <c:pt idx="0">
                  <c:v>0.77343082000000019</c:v>
                </c:pt>
                <c:pt idx="1">
                  <c:v>2.2639591400000003</c:v>
                </c:pt>
                <c:pt idx="2">
                  <c:v>1.7737518300000001</c:v>
                </c:pt>
                <c:pt idx="3">
                  <c:v>3.5512906100000006</c:v>
                </c:pt>
              </c:numCache>
            </c:numRef>
          </c:val>
          <c:smooth val="0"/>
          <c:extLst>
            <c:ext xmlns:c16="http://schemas.microsoft.com/office/drawing/2014/chart" uri="{C3380CC4-5D6E-409C-BE32-E72D297353CC}">
              <c16:uniqueId val="{00000002-28F6-4FE2-9402-6B7FDC847CAA}"/>
            </c:ext>
          </c:extLst>
        </c:ser>
        <c:dLbls>
          <c:showLegendKey val="0"/>
          <c:showVal val="0"/>
          <c:showCatName val="0"/>
          <c:showSerName val="0"/>
          <c:showPercent val="0"/>
          <c:showBubbleSize val="0"/>
        </c:dLbls>
        <c:marker val="1"/>
        <c:smooth val="0"/>
        <c:axId val="292217712"/>
        <c:axId val="292218496"/>
      </c:lineChart>
      <c:catAx>
        <c:axId val="292217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18496"/>
        <c:crosses val="autoZero"/>
        <c:auto val="1"/>
        <c:lblAlgn val="ctr"/>
        <c:lblOffset val="100"/>
        <c:noMultiLvlLbl val="0"/>
      </c:catAx>
      <c:valAx>
        <c:axId val="292218496"/>
        <c:scaling>
          <c:orientation val="minMax"/>
          <c:max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1771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Sheet2!$V$38</c:f>
              <c:strCache>
                <c:ptCount val="1"/>
                <c:pt idx="0">
                  <c:v>Atlikums uz 2017</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Sheet2!$U$39:$U$44</c:f>
              <c:strCache>
                <c:ptCount val="6"/>
                <c:pt idx="0">
                  <c:v>LRPV</c:v>
                </c:pt>
                <c:pt idx="1">
                  <c:v>CAA</c:v>
                </c:pt>
                <c:pt idx="2">
                  <c:v>ZVA</c:v>
                </c:pt>
                <c:pt idx="3">
                  <c:v>TAIIB</c:v>
                </c:pt>
                <c:pt idx="4">
                  <c:v>VDA</c:v>
                </c:pt>
                <c:pt idx="5">
                  <c:v>VDZTI</c:v>
                </c:pt>
              </c:strCache>
            </c:strRef>
          </c:cat>
          <c:val>
            <c:numRef>
              <c:f>Sheet2!$V$39:$V$44</c:f>
              <c:numCache>
                <c:formatCode>#\ ##0.0</c:formatCode>
                <c:ptCount val="6"/>
                <c:pt idx="0">
                  <c:v>2.0823126200000002</c:v>
                </c:pt>
                <c:pt idx="1">
                  <c:v>1.5846867099999999</c:v>
                </c:pt>
                <c:pt idx="2">
                  <c:v>0.96862016000000006</c:v>
                </c:pt>
                <c:pt idx="3">
                  <c:v>0.17581653</c:v>
                </c:pt>
                <c:pt idx="4">
                  <c:v>0.15515366</c:v>
                </c:pt>
                <c:pt idx="5">
                  <c:v>6.5611929999999999E-2</c:v>
                </c:pt>
              </c:numCache>
            </c:numRef>
          </c:val>
          <c:extLst>
            <c:ext xmlns:c16="http://schemas.microsoft.com/office/drawing/2014/chart" uri="{C3380CC4-5D6E-409C-BE32-E72D297353CC}">
              <c16:uniqueId val="{00000000-1719-470A-9D73-C0264A397821}"/>
            </c:ext>
          </c:extLst>
        </c:ser>
        <c:ser>
          <c:idx val="1"/>
          <c:order val="1"/>
          <c:tx>
            <c:strRef>
              <c:f>Sheet2!$W$38</c:f>
              <c:strCache>
                <c:ptCount val="1"/>
                <c:pt idx="0">
                  <c:v>Iestrādāts budžetā 2017</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Sheet2!$U$39:$U$44</c:f>
              <c:strCache>
                <c:ptCount val="6"/>
                <c:pt idx="0">
                  <c:v>LRPV</c:v>
                </c:pt>
                <c:pt idx="1">
                  <c:v>CAA</c:v>
                </c:pt>
                <c:pt idx="2">
                  <c:v>ZVA</c:v>
                </c:pt>
                <c:pt idx="3">
                  <c:v>TAIIB</c:v>
                </c:pt>
                <c:pt idx="4">
                  <c:v>VDA</c:v>
                </c:pt>
                <c:pt idx="5">
                  <c:v>VDZTI</c:v>
                </c:pt>
              </c:strCache>
            </c:strRef>
          </c:cat>
          <c:val>
            <c:numRef>
              <c:f>Sheet2!$W$39:$W$44</c:f>
              <c:numCache>
                <c:formatCode>General</c:formatCode>
                <c:ptCount val="6"/>
                <c:pt idx="0" formatCode="#\ ##0.0">
                  <c:v>0.70121500000000003</c:v>
                </c:pt>
                <c:pt idx="2" formatCode="#\ ##0.0">
                  <c:v>0.60387900000000005</c:v>
                </c:pt>
                <c:pt idx="3" formatCode="#\ ##0.0">
                  <c:v>0.175817</c:v>
                </c:pt>
              </c:numCache>
            </c:numRef>
          </c:val>
          <c:extLst>
            <c:ext xmlns:c16="http://schemas.microsoft.com/office/drawing/2014/chart" uri="{C3380CC4-5D6E-409C-BE32-E72D297353CC}">
              <c16:uniqueId val="{00000001-1719-470A-9D73-C0264A397821}"/>
            </c:ext>
          </c:extLst>
        </c:ser>
        <c:ser>
          <c:idx val="2"/>
          <c:order val="2"/>
          <c:tx>
            <c:strRef>
              <c:f>Sheet2!$X$38</c:f>
              <c:strCache>
                <c:ptCount val="1"/>
                <c:pt idx="0">
                  <c:v>Atlikums uz 2018</c:v>
                </c:pt>
              </c:strCache>
            </c:strRef>
          </c:tx>
          <c:spPr>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Sheet2!$U$39:$U$44</c:f>
              <c:strCache>
                <c:ptCount val="6"/>
                <c:pt idx="0">
                  <c:v>LRPV</c:v>
                </c:pt>
                <c:pt idx="1">
                  <c:v>CAA</c:v>
                </c:pt>
                <c:pt idx="2">
                  <c:v>ZVA</c:v>
                </c:pt>
                <c:pt idx="3">
                  <c:v>TAIIB</c:v>
                </c:pt>
                <c:pt idx="4">
                  <c:v>VDA</c:v>
                </c:pt>
                <c:pt idx="5">
                  <c:v>VDZTI</c:v>
                </c:pt>
              </c:strCache>
            </c:strRef>
          </c:cat>
          <c:val>
            <c:numRef>
              <c:f>Sheet2!$X$39:$X$44</c:f>
              <c:numCache>
                <c:formatCode>#\ ##0.0</c:formatCode>
                <c:ptCount val="6"/>
                <c:pt idx="0">
                  <c:v>1.3810976200000002</c:v>
                </c:pt>
                <c:pt idx="1">
                  <c:v>1.5846867099999999</c:v>
                </c:pt>
                <c:pt idx="2">
                  <c:v>0.36474116000000001</c:v>
                </c:pt>
                <c:pt idx="4">
                  <c:v>0.15515366</c:v>
                </c:pt>
                <c:pt idx="5">
                  <c:v>6.5611929999999999E-2</c:v>
                </c:pt>
              </c:numCache>
            </c:numRef>
          </c:val>
          <c:extLst>
            <c:ext xmlns:c16="http://schemas.microsoft.com/office/drawing/2014/chart" uri="{C3380CC4-5D6E-409C-BE32-E72D297353CC}">
              <c16:uniqueId val="{00000002-1719-470A-9D73-C0264A397821}"/>
            </c:ext>
          </c:extLst>
        </c:ser>
        <c:dLbls>
          <c:dLblPos val="ctr"/>
          <c:showLegendKey val="0"/>
          <c:showVal val="1"/>
          <c:showCatName val="0"/>
          <c:showSerName val="0"/>
          <c:showPercent val="0"/>
          <c:showBubbleSize val="0"/>
        </c:dLbls>
        <c:gapWidth val="70"/>
        <c:overlap val="-7"/>
        <c:axId val="292219280"/>
        <c:axId val="292219672"/>
      </c:barChart>
      <c:catAx>
        <c:axId val="292219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19672"/>
        <c:crosses val="autoZero"/>
        <c:auto val="1"/>
        <c:lblAlgn val="ctr"/>
        <c:lblOffset val="100"/>
        <c:noMultiLvlLbl val="0"/>
      </c:catAx>
      <c:valAx>
        <c:axId val="2922196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19280"/>
        <c:crosses val="autoZero"/>
        <c:crossBetween val="between"/>
        <c:majorUnit val="0.5"/>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0710629921259958E-2"/>
          <c:y val="4.1100017137033124E-2"/>
          <c:w val="0.87873381452318622"/>
          <c:h val="0.77365983891188861"/>
        </c:manualLayout>
      </c:layout>
      <c:barChart>
        <c:barDir val="col"/>
        <c:grouping val="clustered"/>
        <c:varyColors val="0"/>
        <c:ser>
          <c:idx val="0"/>
          <c:order val="0"/>
          <c:tx>
            <c:strRef>
              <c:f>Sheet1!$B$25</c:f>
              <c:strCache>
                <c:ptCount val="1"/>
                <c:pt idx="0">
                  <c:v>Atlikums uz 01.01.2017.</c:v>
                </c:pt>
              </c:strCache>
            </c:strRef>
          </c:tx>
          <c:spPr>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w="6350" cap="flat" cmpd="sng" algn="ctr">
              <a:solidFill>
                <a:srgbClr val="70AD47"/>
              </a:solidFill>
              <a:prstDash val="solid"/>
              <a:miter lim="800000"/>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Sheet1!$C$24:$E$24</c:f>
              <c:strCache>
                <c:ptCount val="3"/>
                <c:pt idx="0">
                  <c:v>SM</c:v>
                </c:pt>
                <c:pt idx="1">
                  <c:v>TM</c:v>
                </c:pt>
                <c:pt idx="2">
                  <c:v>VM</c:v>
                </c:pt>
              </c:strCache>
            </c:strRef>
          </c:cat>
          <c:val>
            <c:numRef>
              <c:f>Sheet1!$C$25:$E$25</c:f>
              <c:numCache>
                <c:formatCode>#\ ##0.0</c:formatCode>
                <c:ptCount val="3"/>
                <c:pt idx="0">
                  <c:v>1.9812688299999999</c:v>
                </c:pt>
                <c:pt idx="1">
                  <c:v>2.0823126200000002</c:v>
                </c:pt>
                <c:pt idx="2">
                  <c:v>0.96862016000000006</c:v>
                </c:pt>
              </c:numCache>
            </c:numRef>
          </c:val>
          <c:extLst>
            <c:ext xmlns:c16="http://schemas.microsoft.com/office/drawing/2014/chart" uri="{C3380CC4-5D6E-409C-BE32-E72D297353CC}">
              <c16:uniqueId val="{00000000-546A-49CB-B1D8-93455288B5A1}"/>
            </c:ext>
          </c:extLst>
        </c:ser>
        <c:ser>
          <c:idx val="1"/>
          <c:order val="1"/>
          <c:tx>
            <c:strRef>
              <c:f>Sheet1!$B$26</c:f>
              <c:strCache>
                <c:ptCount val="1"/>
                <c:pt idx="0">
                  <c:v>2017.gada apstiprinātajā budžetā iestrādātie atlikumi</c:v>
                </c:pt>
              </c:strCache>
            </c:strRef>
          </c:tx>
          <c:spPr>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w="6350" cap="flat" cmpd="sng" algn="ctr">
              <a:solidFill>
                <a:srgbClr val="ED7D31"/>
              </a:solidFill>
              <a:prstDash val="solid"/>
              <a:miter lim="800000"/>
            </a:ln>
            <a:effectLst/>
          </c:spPr>
          <c:invertIfNegative val="0"/>
          <c:dLbls>
            <c:dLbl>
              <c:idx val="0"/>
              <c:layout>
                <c:manualLayout>
                  <c:x val="-2.2072618916234412E-3"/>
                  <c:y val="6.81548827015179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AB-4C8E-B3D7-135D69A86826}"/>
                </c:ext>
              </c:extLst>
            </c:dLbl>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Sheet1!$C$24:$E$24</c:f>
              <c:strCache>
                <c:ptCount val="3"/>
                <c:pt idx="0">
                  <c:v>SM</c:v>
                </c:pt>
                <c:pt idx="1">
                  <c:v>TM</c:v>
                </c:pt>
                <c:pt idx="2">
                  <c:v>VM</c:v>
                </c:pt>
              </c:strCache>
            </c:strRef>
          </c:cat>
          <c:val>
            <c:numRef>
              <c:f>Sheet1!$C$26:$E$26</c:f>
              <c:numCache>
                <c:formatCode>#\ ##0.0</c:formatCode>
                <c:ptCount val="3"/>
                <c:pt idx="0">
                  <c:v>0.175817</c:v>
                </c:pt>
                <c:pt idx="1">
                  <c:v>0.70121500000000003</c:v>
                </c:pt>
                <c:pt idx="2">
                  <c:v>0.60387900000000005</c:v>
                </c:pt>
              </c:numCache>
            </c:numRef>
          </c:val>
          <c:extLst>
            <c:ext xmlns:c16="http://schemas.microsoft.com/office/drawing/2014/chart" uri="{C3380CC4-5D6E-409C-BE32-E72D297353CC}">
              <c16:uniqueId val="{00000001-546A-49CB-B1D8-93455288B5A1}"/>
            </c:ext>
          </c:extLst>
        </c:ser>
        <c:ser>
          <c:idx val="2"/>
          <c:order val="2"/>
          <c:tx>
            <c:strRef>
              <c:f>Sheet1!$B$27</c:f>
              <c:strCache>
                <c:ptCount val="1"/>
                <c:pt idx="0">
                  <c:v>Neiestrādātais atlikums</c:v>
                </c:pt>
              </c:strCache>
            </c:strRef>
          </c:tx>
          <c:spPr>
            <a:gradFill rotWithShape="1">
              <a:gsLst>
                <a:gs pos="0">
                  <a:srgbClr val="4472C4">
                    <a:satMod val="103000"/>
                    <a:lumMod val="102000"/>
                    <a:tint val="94000"/>
                  </a:srgbClr>
                </a:gs>
                <a:gs pos="50000">
                  <a:srgbClr val="4472C4">
                    <a:satMod val="110000"/>
                    <a:lumMod val="100000"/>
                    <a:shade val="100000"/>
                  </a:srgbClr>
                </a:gs>
                <a:gs pos="100000">
                  <a:srgbClr val="4472C4">
                    <a:lumMod val="99000"/>
                    <a:satMod val="120000"/>
                    <a:shade val="78000"/>
                  </a:srgbClr>
                </a:gs>
              </a:gsLst>
              <a:lin ang="5400000" scaled="0"/>
            </a:gradFill>
            <a:ln w="6350" cap="flat" cmpd="sng" algn="ctr">
              <a:solidFill>
                <a:srgbClr val="4472C4"/>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Sheet1!$C$24:$E$24</c:f>
              <c:strCache>
                <c:ptCount val="3"/>
                <c:pt idx="0">
                  <c:v>SM</c:v>
                </c:pt>
                <c:pt idx="1">
                  <c:v>TM</c:v>
                </c:pt>
                <c:pt idx="2">
                  <c:v>VM</c:v>
                </c:pt>
              </c:strCache>
            </c:strRef>
          </c:cat>
          <c:val>
            <c:numRef>
              <c:f>Sheet1!$C$27:$E$27</c:f>
              <c:numCache>
                <c:formatCode>0.0</c:formatCode>
                <c:ptCount val="3"/>
                <c:pt idx="0">
                  <c:v>1.80545183</c:v>
                </c:pt>
                <c:pt idx="1">
                  <c:v>1.3810976200000002</c:v>
                </c:pt>
                <c:pt idx="2">
                  <c:v>0.36474116000000001</c:v>
                </c:pt>
              </c:numCache>
            </c:numRef>
          </c:val>
          <c:extLst>
            <c:ext xmlns:c16="http://schemas.microsoft.com/office/drawing/2014/chart" uri="{C3380CC4-5D6E-409C-BE32-E72D297353CC}">
              <c16:uniqueId val="{00000002-546A-49CB-B1D8-93455288B5A1}"/>
            </c:ext>
          </c:extLst>
        </c:ser>
        <c:dLbls>
          <c:showLegendKey val="0"/>
          <c:showVal val="0"/>
          <c:showCatName val="0"/>
          <c:showSerName val="0"/>
          <c:showPercent val="0"/>
          <c:showBubbleSize val="0"/>
        </c:dLbls>
        <c:gapWidth val="50"/>
        <c:overlap val="-7"/>
        <c:axId val="292220456"/>
        <c:axId val="292220848"/>
      </c:barChart>
      <c:catAx>
        <c:axId val="292220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20848"/>
        <c:crosses val="autoZero"/>
        <c:auto val="1"/>
        <c:lblAlgn val="ctr"/>
        <c:lblOffset val="100"/>
        <c:noMultiLvlLbl val="0"/>
      </c:catAx>
      <c:valAx>
        <c:axId val="292220848"/>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20456"/>
        <c:crosses val="autoZero"/>
        <c:crossBetween val="between"/>
      </c:valAx>
      <c:spPr>
        <a:noFill/>
        <a:ln>
          <a:noFill/>
        </a:ln>
        <a:effectLst/>
      </c:spPr>
    </c:plotArea>
    <c:legend>
      <c:legendPos val="b"/>
      <c:layout>
        <c:manualLayout>
          <c:xMode val="edge"/>
          <c:yMode val="edge"/>
          <c:x val="1.0868592314383611E-2"/>
          <c:y val="0.88714271540799672"/>
          <c:w val="0.97588779527559111"/>
          <c:h val="0.1000247134056696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2">
    <c:autoUpdate val="0"/>
  </c:externalData>
  <c:userShapes r:id="rId3"/>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97517589978594"/>
          <c:y val="2.3954625534821847E-2"/>
          <c:w val="0.50652009457161218"/>
          <c:h val="0.96053787797073309"/>
        </c:manualLayout>
      </c:layout>
      <c:pieChart>
        <c:varyColors val="1"/>
        <c:ser>
          <c:idx val="0"/>
          <c:order val="0"/>
          <c:tx>
            <c:strRef>
              <c:f>Sheet1!$B$1</c:f>
              <c:strCache>
                <c:ptCount val="1"/>
                <c:pt idx="0">
                  <c:v>Gadi kopš MPK cenrāžu aktualizācijas</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5C5-44AC-A915-90AB51127C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5C5-44AC-A915-90AB51127C4D}"/>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55C5-44AC-A915-90AB51127C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5C5-44AC-A915-90AB51127C4D}"/>
              </c:ext>
            </c:extLst>
          </c:dPt>
          <c:dLbls>
            <c:dLbl>
              <c:idx val="0"/>
              <c:layout>
                <c:manualLayout>
                  <c:x val="-0.15732986874112442"/>
                  <c:y val="4.9661263932917393E-2"/>
                </c:manualLayout>
              </c:layout>
              <c:tx>
                <c:rich>
                  <a:bodyPr/>
                  <a:lstStyle/>
                  <a:p>
                    <a:fld id="{5676D1D7-49C8-4FB0-BC01-51F013365996}" type="PERCENTAGE">
                      <a:rPr lang="en-US" sz="1100" u="none" baseline="0" dirty="0">
                        <a:solidFill>
                          <a:schemeClr val="tx1"/>
                        </a:solidFill>
                      </a:rPr>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5C5-44AC-A915-90AB51127C4D}"/>
                </c:ext>
              </c:extLst>
            </c:dLbl>
            <c:dLbl>
              <c:idx val="1"/>
              <c:layout>
                <c:manualLayout>
                  <c:x val="0.11394501403578486"/>
                  <c:y val="-0.18120095499593009"/>
                </c:manualLayout>
              </c:layout>
              <c:tx>
                <c:rich>
                  <a:bodyPr/>
                  <a:lstStyle/>
                  <a:p>
                    <a:fld id="{523B1579-F264-4F31-B171-C37AECE41823}" type="PERCENTAGE">
                      <a:rPr lang="en-US" sz="1100" u="none" baseline="0">
                        <a:solidFill>
                          <a:schemeClr val="tx1"/>
                        </a:solidFill>
                        <a:uFill>
                          <a:solidFill>
                            <a:srgbClr val="FFFF00"/>
                          </a:solidFill>
                        </a:uFill>
                      </a:rPr>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5C5-44AC-A915-90AB51127C4D}"/>
                </c:ext>
              </c:extLst>
            </c:dLbl>
            <c:dLbl>
              <c:idx val="2"/>
              <c:layout>
                <c:manualLayout>
                  <c:x val="9.1314670131484074E-2"/>
                  <c:y val="0.1256159982936816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5C5-44AC-A915-90AB51127C4D}"/>
                </c:ext>
              </c:extLst>
            </c:dLbl>
            <c:dLbl>
              <c:idx val="3"/>
              <c:layout>
                <c:manualLayout>
                  <c:x val="1.5758459400376498E-2"/>
                  <c:y val="6.0032358968827519E-2"/>
                </c:manualLayout>
              </c:layout>
              <c:tx>
                <c:rich>
                  <a:bodyPr/>
                  <a:lstStyle/>
                  <a:p>
                    <a:fld id="{DB72D87B-100F-40CB-8795-573BD9528BEA}" type="PERCENTAGE">
                      <a:rPr lang="en-US"/>
                      <a:pPr/>
                      <a:t>[PERCENTAGE]</a:t>
                    </a:fld>
                    <a:endParaRPr lang="lv-LV"/>
                  </a:p>
                </c:rich>
              </c:tx>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5C5-44AC-A915-90AB51127C4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0 - 2 gadi</c:v>
                </c:pt>
                <c:pt idx="1">
                  <c:v>2 - 5 gadi</c:v>
                </c:pt>
                <c:pt idx="2">
                  <c:v>5 - 10 gadi</c:v>
                </c:pt>
                <c:pt idx="3">
                  <c:v>10 gadi un vairāk</c:v>
                </c:pt>
              </c:strCache>
            </c:strRef>
          </c:cat>
          <c:val>
            <c:numRef>
              <c:f>Sheet1!$B$2:$B$5</c:f>
              <c:numCache>
                <c:formatCode>General</c:formatCode>
                <c:ptCount val="4"/>
                <c:pt idx="0">
                  <c:v>39</c:v>
                </c:pt>
                <c:pt idx="1">
                  <c:v>39</c:v>
                </c:pt>
                <c:pt idx="2">
                  <c:v>13</c:v>
                </c:pt>
                <c:pt idx="3">
                  <c:v>3</c:v>
                </c:pt>
              </c:numCache>
            </c:numRef>
          </c:val>
          <c:extLst>
            <c:ext xmlns:c16="http://schemas.microsoft.com/office/drawing/2014/chart" uri="{C3380CC4-5D6E-409C-BE32-E72D297353CC}">
              <c16:uniqueId val="{00000008-55C5-44AC-A915-90AB51127C4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6694117334779337"/>
          <c:y val="0.11929169812677524"/>
          <c:w val="0.26555871763320699"/>
          <c:h val="0.7482882105490239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859826360952428E-2"/>
          <c:y val="4.309070521114438E-2"/>
          <c:w val="0.92776996024278491"/>
          <c:h val="0.73280692026172789"/>
        </c:manualLayout>
      </c:layout>
      <c:barChart>
        <c:barDir val="col"/>
        <c:grouping val="clustered"/>
        <c:varyColors val="0"/>
        <c:ser>
          <c:idx val="2"/>
          <c:order val="2"/>
          <c:tx>
            <c:strRef>
              <c:f>Admin_izdev_pret_amata_vietām!$D$1</c:f>
              <c:strCache>
                <c:ptCount val="1"/>
                <c:pt idx="0">
                  <c:v>2015.gads izpilde</c:v>
                </c:pt>
              </c:strCache>
            </c:strRef>
          </c:tx>
          <c:spPr>
            <a:solidFill>
              <a:schemeClr val="accent3"/>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Admin_izdev_pret_amata_vietām!$D$4:$D$30</c:f>
              <c:numCache>
                <c:formatCode>#,##0</c:formatCode>
                <c:ptCount val="27"/>
                <c:pt idx="0">
                  <c:v>3038.8</c:v>
                </c:pt>
                <c:pt idx="1">
                  <c:v>2613.1044776119402</c:v>
                </c:pt>
                <c:pt idx="2">
                  <c:v>1257.8636363636363</c:v>
                </c:pt>
                <c:pt idx="3">
                  <c:v>1036.1956521739128</c:v>
                </c:pt>
                <c:pt idx="4">
                  <c:v>741.00000000000011</c:v>
                </c:pt>
                <c:pt idx="5">
                  <c:v>753.4</c:v>
                </c:pt>
                <c:pt idx="6">
                  <c:v>271.14285714285717</c:v>
                </c:pt>
                <c:pt idx="7">
                  <c:v>588.82068965517237</c:v>
                </c:pt>
                <c:pt idx="8">
                  <c:v>588.2743902439023</c:v>
                </c:pt>
                <c:pt idx="9">
                  <c:v>603.69999999999993</c:v>
                </c:pt>
                <c:pt idx="10">
                  <c:v>484.30294396961062</c:v>
                </c:pt>
                <c:pt idx="11">
                  <c:v>334.12203791469193</c:v>
                </c:pt>
                <c:pt idx="12">
                  <c:v>380.53513347652654</c:v>
                </c:pt>
                <c:pt idx="13">
                  <c:v>284.19047619047615</c:v>
                </c:pt>
                <c:pt idx="14">
                  <c:v>166.32571428571427</c:v>
                </c:pt>
                <c:pt idx="15">
                  <c:v>159.93108048021344</c:v>
                </c:pt>
                <c:pt idx="16">
                  <c:v>114.45852187028657</c:v>
                </c:pt>
                <c:pt idx="17">
                  <c:v>103.32666666666667</c:v>
                </c:pt>
                <c:pt idx="18">
                  <c:v>100.93548387096774</c:v>
                </c:pt>
                <c:pt idx="19">
                  <c:v>76.116960320870916</c:v>
                </c:pt>
                <c:pt idx="20">
                  <c:v>94.706782464846981</c:v>
                </c:pt>
                <c:pt idx="21">
                  <c:v>104.57475374662722</c:v>
                </c:pt>
                <c:pt idx="22">
                  <c:v>53.056306306306304</c:v>
                </c:pt>
                <c:pt idx="23">
                  <c:v>46.247844404182395</c:v>
                </c:pt>
                <c:pt idx="24">
                  <c:v>39.325112739571587</c:v>
                </c:pt>
                <c:pt idx="25">
                  <c:v>15.686708700938972</c:v>
                </c:pt>
                <c:pt idx="26">
                  <c:v>12.796610169491524</c:v>
                </c:pt>
              </c:numCache>
            </c:numRef>
          </c:val>
          <c:extLst>
            <c:ext xmlns:c16="http://schemas.microsoft.com/office/drawing/2014/chart" uri="{C3380CC4-5D6E-409C-BE32-E72D297353CC}">
              <c16:uniqueId val="{00000000-909D-4D15-9C58-C5208D09CC04}"/>
            </c:ext>
          </c:extLst>
        </c:ser>
        <c:ser>
          <c:idx val="5"/>
          <c:order val="5"/>
          <c:tx>
            <c:strRef>
              <c:f>Admin_izdev_pret_amata_vietām!$G$1</c:f>
              <c:strCache>
                <c:ptCount val="1"/>
                <c:pt idx="0">
                  <c:v>2016.gads izpilde</c:v>
                </c:pt>
              </c:strCache>
            </c:strRef>
          </c:tx>
          <c:spPr>
            <a:solidFill>
              <a:schemeClr val="accent6"/>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Admin_izdev_pret_amata_vietām!$G$4:$G$30</c:f>
              <c:numCache>
                <c:formatCode>#,##0</c:formatCode>
                <c:ptCount val="27"/>
                <c:pt idx="0">
                  <c:v>2889.8953448275861</c:v>
                </c:pt>
                <c:pt idx="1">
                  <c:v>1626.6704347826089</c:v>
                </c:pt>
                <c:pt idx="2">
                  <c:v>987.17189393939407</c:v>
                </c:pt>
                <c:pt idx="3">
                  <c:v>976.10928057553963</c:v>
                </c:pt>
                <c:pt idx="4">
                  <c:v>706.6722222222221</c:v>
                </c:pt>
                <c:pt idx="5">
                  <c:v>720.03130434782611</c:v>
                </c:pt>
                <c:pt idx="6">
                  <c:v>333.00230769230768</c:v>
                </c:pt>
                <c:pt idx="7">
                  <c:v>643.93731034482767</c:v>
                </c:pt>
                <c:pt idx="8">
                  <c:v>555.27682852807288</c:v>
                </c:pt>
                <c:pt idx="9">
                  <c:v>494.897619047619</c:v>
                </c:pt>
                <c:pt idx="10">
                  <c:v>552.22924369747898</c:v>
                </c:pt>
                <c:pt idx="11">
                  <c:v>367.28902247191007</c:v>
                </c:pt>
                <c:pt idx="12">
                  <c:v>357.0595439302482</c:v>
                </c:pt>
                <c:pt idx="13">
                  <c:v>241.37348837209305</c:v>
                </c:pt>
                <c:pt idx="14">
                  <c:v>154.60827777777777</c:v>
                </c:pt>
                <c:pt idx="15">
                  <c:v>173.59697189097105</c:v>
                </c:pt>
                <c:pt idx="16">
                  <c:v>130.55221134638433</c:v>
                </c:pt>
                <c:pt idx="17">
                  <c:v>60.205600000000004</c:v>
                </c:pt>
                <c:pt idx="18">
                  <c:v>79.773271604938273</c:v>
                </c:pt>
                <c:pt idx="19">
                  <c:v>106.36546362134597</c:v>
                </c:pt>
                <c:pt idx="20">
                  <c:v>81.4974715909091</c:v>
                </c:pt>
                <c:pt idx="21">
                  <c:v>115.44747737849016</c:v>
                </c:pt>
                <c:pt idx="22">
                  <c:v>45.269665226781868</c:v>
                </c:pt>
                <c:pt idx="23">
                  <c:v>40.601108549874262</c:v>
                </c:pt>
                <c:pt idx="24">
                  <c:v>33.854723839273035</c:v>
                </c:pt>
                <c:pt idx="25">
                  <c:v>21.724289198800896</c:v>
                </c:pt>
                <c:pt idx="26">
                  <c:v>6.3997014925373179</c:v>
                </c:pt>
              </c:numCache>
            </c:numRef>
          </c:val>
          <c:extLst>
            <c:ext xmlns:c16="http://schemas.microsoft.com/office/drawing/2014/chart" uri="{C3380CC4-5D6E-409C-BE32-E72D297353CC}">
              <c16:uniqueId val="{00000001-909D-4D15-9C58-C5208D09CC04}"/>
            </c:ext>
          </c:extLst>
        </c:ser>
        <c:ser>
          <c:idx val="8"/>
          <c:order val="8"/>
          <c:tx>
            <c:strRef>
              <c:f>Admin_izdev_pret_amata_vietām!$J$1</c:f>
              <c:strCache>
                <c:ptCount val="1"/>
                <c:pt idx="0">
                  <c:v>2017.gads plāns</c:v>
                </c:pt>
              </c:strCache>
            </c:strRef>
          </c:tx>
          <c:spPr>
            <a:solidFill>
              <a:schemeClr val="accent3">
                <a:lumMod val="6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Admin_izdev_pret_amata_vietām!$J$4:$J$30</c:f>
              <c:numCache>
                <c:formatCode>#,##0</c:formatCode>
                <c:ptCount val="27"/>
                <c:pt idx="0">
                  <c:v>3597.84406779661</c:v>
                </c:pt>
                <c:pt idx="1">
                  <c:v>3854.3478260869565</c:v>
                </c:pt>
                <c:pt idx="2">
                  <c:v>1393.1034482758621</c:v>
                </c:pt>
                <c:pt idx="3">
                  <c:v>1163.1205673758866</c:v>
                </c:pt>
                <c:pt idx="4">
                  <c:v>1111.1111111111111</c:v>
                </c:pt>
                <c:pt idx="5">
                  <c:v>960</c:v>
                </c:pt>
                <c:pt idx="6">
                  <c:v>964.30769230769226</c:v>
                </c:pt>
                <c:pt idx="7">
                  <c:v>681.78014184397159</c:v>
                </c:pt>
                <c:pt idx="8">
                  <c:v>696.28593040847204</c:v>
                </c:pt>
                <c:pt idx="9">
                  <c:v>533.33333333333337</c:v>
                </c:pt>
                <c:pt idx="10">
                  <c:v>530.75231910946195</c:v>
                </c:pt>
                <c:pt idx="11">
                  <c:v>369.92152466367713</c:v>
                </c:pt>
                <c:pt idx="12">
                  <c:v>334.28275947485758</c:v>
                </c:pt>
                <c:pt idx="13">
                  <c:v>270.90909090909093</c:v>
                </c:pt>
                <c:pt idx="14">
                  <c:v>212.77777777777777</c:v>
                </c:pt>
                <c:pt idx="15">
                  <c:v>178.96635434412266</c:v>
                </c:pt>
                <c:pt idx="16">
                  <c:v>177.60038281582305</c:v>
                </c:pt>
                <c:pt idx="17">
                  <c:v>133.33333333333334</c:v>
                </c:pt>
                <c:pt idx="18">
                  <c:v>123.28767123287672</c:v>
                </c:pt>
                <c:pt idx="19">
                  <c:v>94.749275362318841</c:v>
                </c:pt>
                <c:pt idx="20">
                  <c:v>83.780388978930304</c:v>
                </c:pt>
                <c:pt idx="21">
                  <c:v>38.498105631294322</c:v>
                </c:pt>
                <c:pt idx="22">
                  <c:v>47.580993520518362</c:v>
                </c:pt>
                <c:pt idx="23">
                  <c:v>44.594090528080471</c:v>
                </c:pt>
                <c:pt idx="24">
                  <c:v>41.55279591257451</c:v>
                </c:pt>
                <c:pt idx="25">
                  <c:v>21.039565265939629</c:v>
                </c:pt>
                <c:pt idx="26">
                  <c:v>0</c:v>
                </c:pt>
              </c:numCache>
            </c:numRef>
          </c:val>
          <c:extLst>
            <c:ext xmlns:c16="http://schemas.microsoft.com/office/drawing/2014/chart" uri="{C3380CC4-5D6E-409C-BE32-E72D297353CC}">
              <c16:uniqueId val="{00000002-909D-4D15-9C58-C5208D09CC04}"/>
            </c:ext>
          </c:extLst>
        </c:ser>
        <c:ser>
          <c:idx val="11"/>
          <c:order val="11"/>
          <c:tx>
            <c:strRef>
              <c:f>Admin_izdev_pret_amata_vietām!$M$1</c:f>
              <c:strCache>
                <c:ptCount val="1"/>
                <c:pt idx="0">
                  <c:v>2018.gads plāns</c:v>
                </c:pt>
              </c:strCache>
            </c:strRef>
          </c:tx>
          <c:spPr>
            <a:solidFill>
              <a:schemeClr val="accent6">
                <a:lumMod val="6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Admin_izdev_pret_amata_vietām!$M$4:$M$30</c:f>
              <c:numCache>
                <c:formatCode>#,##0</c:formatCode>
                <c:ptCount val="27"/>
                <c:pt idx="0">
                  <c:v>3460.7288135593221</c:v>
                </c:pt>
                <c:pt idx="1">
                  <c:v>3854.3478260869565</c:v>
                </c:pt>
                <c:pt idx="2">
                  <c:v>1393.1034482758621</c:v>
                </c:pt>
                <c:pt idx="3">
                  <c:v>1163.1205673758866</c:v>
                </c:pt>
                <c:pt idx="4">
                  <c:v>1111.1111111111111</c:v>
                </c:pt>
                <c:pt idx="5">
                  <c:v>960</c:v>
                </c:pt>
                <c:pt idx="6">
                  <c:v>964.30769230769226</c:v>
                </c:pt>
                <c:pt idx="7">
                  <c:v>681.78014184397159</c:v>
                </c:pt>
                <c:pt idx="8">
                  <c:v>635.77155824508316</c:v>
                </c:pt>
                <c:pt idx="9">
                  <c:v>533.33333333333337</c:v>
                </c:pt>
                <c:pt idx="10">
                  <c:v>529.10185185185185</c:v>
                </c:pt>
                <c:pt idx="11">
                  <c:v>374.81011235955054</c:v>
                </c:pt>
                <c:pt idx="12">
                  <c:v>284.99438717067585</c:v>
                </c:pt>
                <c:pt idx="13">
                  <c:v>270.90909090909093</c:v>
                </c:pt>
                <c:pt idx="14">
                  <c:v>212.77777777777777</c:v>
                </c:pt>
                <c:pt idx="15">
                  <c:v>177.45481418918919</c:v>
                </c:pt>
                <c:pt idx="16">
                  <c:v>149.47324826505485</c:v>
                </c:pt>
                <c:pt idx="17">
                  <c:v>133.33333333333334</c:v>
                </c:pt>
                <c:pt idx="18">
                  <c:v>123.28767123287672</c:v>
                </c:pt>
                <c:pt idx="19">
                  <c:v>94.714958348424489</c:v>
                </c:pt>
                <c:pt idx="20">
                  <c:v>85.435751925415488</c:v>
                </c:pt>
                <c:pt idx="21">
                  <c:v>38.225813765182188</c:v>
                </c:pt>
                <c:pt idx="22">
                  <c:v>47.580993520518362</c:v>
                </c:pt>
                <c:pt idx="23">
                  <c:v>44.758591785414922</c:v>
                </c:pt>
                <c:pt idx="24">
                  <c:v>41.535111363313945</c:v>
                </c:pt>
                <c:pt idx="25">
                  <c:v>21.078793302755717</c:v>
                </c:pt>
                <c:pt idx="26">
                  <c:v>0</c:v>
                </c:pt>
              </c:numCache>
            </c:numRef>
          </c:val>
          <c:extLst>
            <c:ext xmlns:c16="http://schemas.microsoft.com/office/drawing/2014/chart" uri="{C3380CC4-5D6E-409C-BE32-E72D297353CC}">
              <c16:uniqueId val="{00000003-909D-4D15-9C58-C5208D09CC04}"/>
            </c:ext>
          </c:extLst>
        </c:ser>
        <c:ser>
          <c:idx val="14"/>
          <c:order val="14"/>
          <c:tx>
            <c:strRef>
              <c:f>Admin_izdev_pret_amata_vietām!$P$1</c:f>
              <c:strCache>
                <c:ptCount val="1"/>
                <c:pt idx="0">
                  <c:v>2019.gads plāns</c:v>
                </c:pt>
              </c:strCache>
            </c:strRef>
          </c:tx>
          <c:spPr>
            <a:solidFill>
              <a:srgbClr val="00B0F0"/>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Admin_izdev_pret_amata_vietām!$P$4:$P$30</c:f>
              <c:numCache>
                <c:formatCode>#,##0</c:formatCode>
                <c:ptCount val="27"/>
                <c:pt idx="0">
                  <c:v>3460.7288135593221</c:v>
                </c:pt>
                <c:pt idx="1">
                  <c:v>3854.3478260869565</c:v>
                </c:pt>
                <c:pt idx="2">
                  <c:v>1393.1034482758621</c:v>
                </c:pt>
                <c:pt idx="3">
                  <c:v>1163.1205673758866</c:v>
                </c:pt>
                <c:pt idx="4">
                  <c:v>1111.1111111111111</c:v>
                </c:pt>
                <c:pt idx="5">
                  <c:v>960</c:v>
                </c:pt>
                <c:pt idx="6">
                  <c:v>964.30769230769226</c:v>
                </c:pt>
                <c:pt idx="7">
                  <c:v>681.78014184397159</c:v>
                </c:pt>
                <c:pt idx="8">
                  <c:v>696.28593040847204</c:v>
                </c:pt>
                <c:pt idx="9">
                  <c:v>533.33333333333337</c:v>
                </c:pt>
                <c:pt idx="10">
                  <c:v>530.9537037037037</c:v>
                </c:pt>
                <c:pt idx="11">
                  <c:v>374.81011235955054</c:v>
                </c:pt>
                <c:pt idx="12">
                  <c:v>277.3889009556907</c:v>
                </c:pt>
                <c:pt idx="13">
                  <c:v>270.90909090909093</c:v>
                </c:pt>
                <c:pt idx="14">
                  <c:v>212.77777777777777</c:v>
                </c:pt>
                <c:pt idx="15">
                  <c:v>175.67433110367892</c:v>
                </c:pt>
                <c:pt idx="16">
                  <c:v>149.0605721949039</c:v>
                </c:pt>
                <c:pt idx="17">
                  <c:v>133.33333333333334</c:v>
                </c:pt>
                <c:pt idx="18">
                  <c:v>123.28767123287672</c:v>
                </c:pt>
                <c:pt idx="19">
                  <c:v>94.085476276711333</c:v>
                </c:pt>
                <c:pt idx="20">
                  <c:v>80.774219700040533</c:v>
                </c:pt>
                <c:pt idx="21">
                  <c:v>33.057036437246964</c:v>
                </c:pt>
                <c:pt idx="22">
                  <c:v>47.580993520518362</c:v>
                </c:pt>
                <c:pt idx="23">
                  <c:v>44.758591785414922</c:v>
                </c:pt>
                <c:pt idx="24">
                  <c:v>41.535111363313945</c:v>
                </c:pt>
                <c:pt idx="25">
                  <c:v>21.078793302755717</c:v>
                </c:pt>
                <c:pt idx="26">
                  <c:v>0</c:v>
                </c:pt>
              </c:numCache>
            </c:numRef>
          </c:val>
          <c:extLst>
            <c:ext xmlns:c16="http://schemas.microsoft.com/office/drawing/2014/chart" uri="{C3380CC4-5D6E-409C-BE32-E72D297353CC}">
              <c16:uniqueId val="{00000004-909D-4D15-9C58-C5208D09CC04}"/>
            </c:ext>
          </c:extLst>
        </c:ser>
        <c:dLbls>
          <c:showLegendKey val="0"/>
          <c:showVal val="0"/>
          <c:showCatName val="0"/>
          <c:showSerName val="0"/>
          <c:showPercent val="0"/>
          <c:showBubbleSize val="0"/>
        </c:dLbls>
        <c:gapWidth val="219"/>
        <c:axId val="292222024"/>
        <c:axId val="292222416"/>
      </c:barChart>
      <c:barChart>
        <c:barDir val="col"/>
        <c:grouping val="clustered"/>
        <c:varyColors val="0"/>
        <c:ser>
          <c:idx val="0"/>
          <c:order val="0"/>
          <c:tx>
            <c:strRef>
              <c:f>Admin_izdev_pret_amata_vietām!$B$1</c:f>
              <c:strCache>
                <c:ptCount val="1"/>
                <c:pt idx="0">
                  <c:v>2015.gada izpilde</c:v>
                </c:pt>
              </c:strCache>
            </c:strRef>
          </c:tx>
          <c:spPr>
            <a:solidFill>
              <a:schemeClr val="accent1"/>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Admin_izdev_pret_amata_vietām!$B$4:$B$30</c:f>
            </c:numRef>
          </c:val>
          <c:extLst>
            <c:ext xmlns:c16="http://schemas.microsoft.com/office/drawing/2014/chart" uri="{C3380CC4-5D6E-409C-BE32-E72D297353CC}">
              <c16:uniqueId val="{00000005-909D-4D15-9C58-C5208D09CC04}"/>
            </c:ext>
          </c:extLst>
        </c:ser>
        <c:ser>
          <c:idx val="1"/>
          <c:order val="1"/>
          <c:tx>
            <c:strRef>
              <c:f>Admin_izdev_pret_amata_vietām!$C$1</c:f>
              <c:strCache>
                <c:ptCount val="1"/>
                <c:pt idx="0">
                  <c:v>2015.gada Amata vieta/slodze</c:v>
                </c:pt>
              </c:strCache>
            </c:strRef>
          </c:tx>
          <c:spPr>
            <a:solidFill>
              <a:schemeClr val="accent2"/>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Admin_izdev_pret_amata_vietām!$C$4:$C$30</c:f>
            </c:numRef>
          </c:val>
          <c:extLst>
            <c:ext xmlns:c16="http://schemas.microsoft.com/office/drawing/2014/chart" uri="{C3380CC4-5D6E-409C-BE32-E72D297353CC}">
              <c16:uniqueId val="{00000006-909D-4D15-9C58-C5208D09CC04}"/>
            </c:ext>
          </c:extLst>
        </c:ser>
        <c:ser>
          <c:idx val="3"/>
          <c:order val="3"/>
          <c:tx>
            <c:strRef>
              <c:f>Admin_izdev_pret_amata_vietām!$E$1</c:f>
              <c:strCache>
                <c:ptCount val="1"/>
                <c:pt idx="0">
                  <c:v>2016.gada izpilde</c:v>
                </c:pt>
              </c:strCache>
            </c:strRef>
          </c:tx>
          <c:spPr>
            <a:solidFill>
              <a:schemeClr val="accent4"/>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Admin_izdev_pret_amata_vietām!$E$4:$E$30</c:f>
            </c:numRef>
          </c:val>
          <c:extLst>
            <c:ext xmlns:c16="http://schemas.microsoft.com/office/drawing/2014/chart" uri="{C3380CC4-5D6E-409C-BE32-E72D297353CC}">
              <c16:uniqueId val="{00000007-909D-4D15-9C58-C5208D09CC04}"/>
            </c:ext>
          </c:extLst>
        </c:ser>
        <c:ser>
          <c:idx val="4"/>
          <c:order val="4"/>
          <c:tx>
            <c:strRef>
              <c:f>Admin_izdev_pret_amata_vietām!$F$1</c:f>
              <c:strCache>
                <c:ptCount val="1"/>
                <c:pt idx="0">
                  <c:v>2016.gada Amata vieta/slodze</c:v>
                </c:pt>
              </c:strCache>
            </c:strRef>
          </c:tx>
          <c:spPr>
            <a:solidFill>
              <a:schemeClr val="accent5"/>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Admin_izdev_pret_amata_vietām!$F$4:$F$30</c:f>
            </c:numRef>
          </c:val>
          <c:extLst>
            <c:ext xmlns:c16="http://schemas.microsoft.com/office/drawing/2014/chart" uri="{C3380CC4-5D6E-409C-BE32-E72D297353CC}">
              <c16:uniqueId val="{00000008-909D-4D15-9C58-C5208D09CC04}"/>
            </c:ext>
          </c:extLst>
        </c:ser>
        <c:ser>
          <c:idx val="6"/>
          <c:order val="6"/>
          <c:tx>
            <c:strRef>
              <c:f>Admin_izdev_pret_amata_vietām!$H$1</c:f>
              <c:strCache>
                <c:ptCount val="1"/>
                <c:pt idx="0">
                  <c:v>2017.gada plāns</c:v>
                </c:pt>
              </c:strCache>
            </c:strRef>
          </c:tx>
          <c:spPr>
            <a:solidFill>
              <a:schemeClr val="accent1">
                <a:lumMod val="6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Admin_izdev_pret_amata_vietām!$H$4:$H$30</c:f>
            </c:numRef>
          </c:val>
          <c:extLst>
            <c:ext xmlns:c16="http://schemas.microsoft.com/office/drawing/2014/chart" uri="{C3380CC4-5D6E-409C-BE32-E72D297353CC}">
              <c16:uniqueId val="{00000009-909D-4D15-9C58-C5208D09CC04}"/>
            </c:ext>
          </c:extLst>
        </c:ser>
        <c:ser>
          <c:idx val="7"/>
          <c:order val="7"/>
          <c:tx>
            <c:strRef>
              <c:f>Admin_izdev_pret_amata_vietām!$I$1</c:f>
              <c:strCache>
                <c:ptCount val="1"/>
                <c:pt idx="0">
                  <c:v>2017.gada Amata vieta/slodze</c:v>
                </c:pt>
              </c:strCache>
            </c:strRef>
          </c:tx>
          <c:spPr>
            <a:solidFill>
              <a:schemeClr val="accent2">
                <a:lumMod val="6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Admin_izdev_pret_amata_vietām!$I$4:$I$30</c:f>
            </c:numRef>
          </c:val>
          <c:extLst>
            <c:ext xmlns:c16="http://schemas.microsoft.com/office/drawing/2014/chart" uri="{C3380CC4-5D6E-409C-BE32-E72D297353CC}">
              <c16:uniqueId val="{0000000A-909D-4D15-9C58-C5208D09CC04}"/>
            </c:ext>
          </c:extLst>
        </c:ser>
        <c:ser>
          <c:idx val="9"/>
          <c:order val="9"/>
          <c:tx>
            <c:strRef>
              <c:f>Admin_izdev_pret_amata_vietām!$K$1</c:f>
              <c:strCache>
                <c:ptCount val="1"/>
                <c:pt idx="0">
                  <c:v>2018.gada plāns</c:v>
                </c:pt>
              </c:strCache>
            </c:strRef>
          </c:tx>
          <c:spPr>
            <a:solidFill>
              <a:schemeClr val="accent4">
                <a:lumMod val="6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Admin_izdev_pret_amata_vietām!$K$4:$K$30</c:f>
            </c:numRef>
          </c:val>
          <c:extLst>
            <c:ext xmlns:c16="http://schemas.microsoft.com/office/drawing/2014/chart" uri="{C3380CC4-5D6E-409C-BE32-E72D297353CC}">
              <c16:uniqueId val="{0000000B-909D-4D15-9C58-C5208D09CC04}"/>
            </c:ext>
          </c:extLst>
        </c:ser>
        <c:ser>
          <c:idx val="10"/>
          <c:order val="10"/>
          <c:tx>
            <c:strRef>
              <c:f>Admin_izdev_pret_amata_vietām!$L$1</c:f>
              <c:strCache>
                <c:ptCount val="1"/>
                <c:pt idx="0">
                  <c:v>2018.gada Amata vieta/slodze</c:v>
                </c:pt>
              </c:strCache>
            </c:strRef>
          </c:tx>
          <c:spPr>
            <a:solidFill>
              <a:schemeClr val="accent5">
                <a:lumMod val="6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Admin_izdev_pret_amata_vietām!$L$4:$L$30</c:f>
            </c:numRef>
          </c:val>
          <c:extLst>
            <c:ext xmlns:c16="http://schemas.microsoft.com/office/drawing/2014/chart" uri="{C3380CC4-5D6E-409C-BE32-E72D297353CC}">
              <c16:uniqueId val="{0000000C-909D-4D15-9C58-C5208D09CC04}"/>
            </c:ext>
          </c:extLst>
        </c:ser>
        <c:ser>
          <c:idx val="12"/>
          <c:order val="12"/>
          <c:tx>
            <c:strRef>
              <c:f>Admin_izdev_pret_amata_vietām!$N$1</c:f>
              <c:strCache>
                <c:ptCount val="1"/>
                <c:pt idx="0">
                  <c:v>2019.gada plāns</c:v>
                </c:pt>
              </c:strCache>
            </c:strRef>
          </c:tx>
          <c:spPr>
            <a:solidFill>
              <a:schemeClr val="accent1">
                <a:lumMod val="80000"/>
                <a:lumOff val="2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Admin_izdev_pret_amata_vietām!$N$4:$N$30</c:f>
            </c:numRef>
          </c:val>
          <c:extLst>
            <c:ext xmlns:c16="http://schemas.microsoft.com/office/drawing/2014/chart" uri="{C3380CC4-5D6E-409C-BE32-E72D297353CC}">
              <c16:uniqueId val="{0000000D-909D-4D15-9C58-C5208D09CC04}"/>
            </c:ext>
          </c:extLst>
        </c:ser>
        <c:ser>
          <c:idx val="13"/>
          <c:order val="13"/>
          <c:tx>
            <c:strRef>
              <c:f>Admin_izdev_pret_amata_vietām!$O$1</c:f>
              <c:strCache>
                <c:ptCount val="1"/>
                <c:pt idx="0">
                  <c:v>2019.gada Amata vieta/slodze</c:v>
                </c:pt>
              </c:strCache>
            </c:strRef>
          </c:tx>
          <c:spPr>
            <a:solidFill>
              <a:schemeClr val="accent2">
                <a:lumMod val="80000"/>
                <a:lumOff val="20000"/>
              </a:schemeClr>
            </a:solidFill>
            <a:ln>
              <a:noFill/>
            </a:ln>
            <a:effectLst/>
          </c:spPr>
          <c:invertIfNegative val="0"/>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Admin_izdev_pret_amata_vietām!$O$4:$O$30</c:f>
            </c:numRef>
          </c:val>
          <c:extLst>
            <c:ext xmlns:c16="http://schemas.microsoft.com/office/drawing/2014/chart" uri="{C3380CC4-5D6E-409C-BE32-E72D297353CC}">
              <c16:uniqueId val="{0000000E-909D-4D15-9C58-C5208D09CC04}"/>
            </c:ext>
          </c:extLst>
        </c:ser>
        <c:dLbls>
          <c:showLegendKey val="0"/>
          <c:showVal val="0"/>
          <c:showCatName val="0"/>
          <c:showSerName val="0"/>
          <c:showPercent val="0"/>
          <c:showBubbleSize val="0"/>
        </c:dLbls>
        <c:gapWidth val="219"/>
        <c:axId val="292222024"/>
        <c:axId val="292222416"/>
      </c:barChart>
      <c:lineChart>
        <c:grouping val="standard"/>
        <c:varyColors val="0"/>
        <c:ser>
          <c:idx val="15"/>
          <c:order val="15"/>
          <c:tx>
            <c:strRef>
              <c:f>Admin_izdev_pret_amata_vietām!$Q$1</c:f>
              <c:strCache>
                <c:ptCount val="1"/>
                <c:pt idx="0">
                  <c:v>Vidēji uz 1 amata vietu resoram</c:v>
                </c:pt>
              </c:strCache>
            </c:strRef>
          </c:tx>
          <c:spPr>
            <a:ln w="28575" cap="rnd">
              <a:noFill/>
              <a:round/>
            </a:ln>
            <a:effectLst/>
          </c:spPr>
          <c:marker>
            <c:symbol val="dash"/>
            <c:size val="13"/>
            <c:spPr>
              <a:solidFill>
                <a:srgbClr val="7030A0"/>
              </a:solidFill>
              <a:ln w="9525">
                <a:solidFill>
                  <a:srgbClr val="7030A0"/>
                </a:solidFill>
              </a:ln>
              <a:effectLst/>
            </c:spPr>
          </c:marker>
          <c:dPt>
            <c:idx val="19"/>
            <c:marker>
              <c:symbol val="dash"/>
              <c:size val="13"/>
              <c:spPr>
                <a:solidFill>
                  <a:srgbClr val="7030A0"/>
                </a:solidFill>
                <a:ln w="9525">
                  <a:solidFill>
                    <a:srgbClr val="7030A0"/>
                  </a:solidFill>
                </a:ln>
                <a:effectLst/>
              </c:spPr>
            </c:marker>
            <c:bubble3D val="0"/>
            <c:extLst>
              <c:ext xmlns:c16="http://schemas.microsoft.com/office/drawing/2014/chart" uri="{C3380CC4-5D6E-409C-BE32-E72D297353CC}">
                <c16:uniqueId val="{0000000F-909D-4D15-9C58-C5208D09CC04}"/>
              </c:ext>
            </c:extLst>
          </c:dPt>
          <c:dPt>
            <c:idx val="26"/>
            <c:marker>
              <c:symbol val="dash"/>
              <c:size val="10"/>
              <c:spPr>
                <a:solidFill>
                  <a:srgbClr val="7030A0"/>
                </a:solidFill>
                <a:ln w="9525">
                  <a:solidFill>
                    <a:srgbClr val="7030A0"/>
                  </a:solidFill>
                </a:ln>
                <a:effectLst/>
              </c:spPr>
            </c:marker>
            <c:bubble3D val="0"/>
            <c:extLst>
              <c:ext xmlns:c16="http://schemas.microsoft.com/office/drawing/2014/chart" uri="{C3380CC4-5D6E-409C-BE32-E72D297353CC}">
                <c16:uniqueId val="{00000010-909D-4D15-9C58-C5208D09CC04}"/>
              </c:ext>
            </c:extLst>
          </c:dPt>
          <c:dLbls>
            <c:dLbl>
              <c:idx val="0"/>
              <c:layout>
                <c:manualLayout>
                  <c:x val="-4.1264858459601483E-2"/>
                  <c:y val="-7.56657798727539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09D-4D15-9C58-C5208D09CC04}"/>
                </c:ext>
              </c:extLst>
            </c:dLbl>
            <c:dLbl>
              <c:idx val="1"/>
              <c:layout>
                <c:manualLayout>
                  <c:x val="-2.087910238240314E-2"/>
                  <c:y val="-3.3470112010646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09D-4D15-9C58-C5208D09CC04}"/>
                </c:ext>
              </c:extLst>
            </c:dLbl>
            <c:dLbl>
              <c:idx val="2"/>
              <c:layout>
                <c:manualLayout>
                  <c:x val="-4.4540368217119507E-2"/>
                  <c:y val="-3.4458861656377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09D-4D15-9C58-C5208D09CC04}"/>
                </c:ext>
              </c:extLst>
            </c:dLbl>
            <c:dLbl>
              <c:idx val="3"/>
              <c:layout>
                <c:manualLayout>
                  <c:x val="-3.2174393121766148E-2"/>
                  <c:y val="-3.9453378186881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09D-4D15-9C58-C5208D09CC04}"/>
                </c:ext>
              </c:extLst>
            </c:dLbl>
            <c:dLbl>
              <c:idx val="4"/>
              <c:layout>
                <c:manualLayout>
                  <c:x val="-2.9927319367250963E-2"/>
                  <c:y val="-4.72613458528952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09D-4D15-9C58-C5208D09CC04}"/>
                </c:ext>
              </c:extLst>
            </c:dLbl>
            <c:dLbl>
              <c:idx val="5"/>
              <c:layout>
                <c:manualLayout>
                  <c:x val="-3.1530568619067979E-2"/>
                  <c:y val="-4.2793488842063868E-2"/>
                </c:manualLayout>
              </c:layout>
              <c:tx>
                <c:rich>
                  <a:bodyPr/>
                  <a:lstStyle/>
                  <a:p>
                    <a:fld id="{3291C219-C3B2-4DD8-9C4A-1AD5BB321E41}" type="VALUE">
                      <a:rPr lang="en-US" b="1"/>
                      <a:pPr/>
                      <a:t>[VALUE]</a:t>
                    </a:fld>
                    <a:endParaRPr lang="lv-LV"/>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6-909D-4D15-9C58-C5208D09CC04}"/>
                </c:ext>
              </c:extLst>
            </c:dLbl>
            <c:dLbl>
              <c:idx val="6"/>
              <c:layout>
                <c:manualLayout>
                  <c:x val="-2.7114016690624194E-2"/>
                  <c:y val="-7.371828521434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09D-4D15-9C58-C5208D09CC04}"/>
                </c:ext>
              </c:extLst>
            </c:dLbl>
            <c:dLbl>
              <c:idx val="7"/>
              <c:layout>
                <c:manualLayout>
                  <c:x val="-4.1698956078544909E-2"/>
                  <c:y val="-2.7269478639113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09D-4D15-9C58-C5208D09CC04}"/>
                </c:ext>
              </c:extLst>
            </c:dLbl>
            <c:dLbl>
              <c:idx val="8"/>
              <c:layout>
                <c:manualLayout>
                  <c:x val="-4.0860048543525901E-2"/>
                  <c:y val="-2.7269478639113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909D-4D15-9C58-C5208D09CC04}"/>
                </c:ext>
              </c:extLst>
            </c:dLbl>
            <c:dLbl>
              <c:idx val="9"/>
              <c:layout>
                <c:manualLayout>
                  <c:x val="-3.9561290409455552E-2"/>
                  <c:y val="-4.13207151922911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09D-4D15-9C58-C5208D09CC04}"/>
                </c:ext>
              </c:extLst>
            </c:dLbl>
            <c:dLbl>
              <c:idx val="10"/>
              <c:layout>
                <c:manualLayout>
                  <c:x val="-4.2537695293432487E-2"/>
                  <c:y val="-2.8035192784000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909D-4D15-9C58-C5208D09CC04}"/>
                </c:ext>
              </c:extLst>
            </c:dLbl>
            <c:dLbl>
              <c:idx val="11"/>
              <c:layout>
                <c:manualLayout>
                  <c:x val="-3.6963437501052E-2"/>
                  <c:y val="-2.7269478639113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09D-4D15-9C58-C5208D09CC04}"/>
                </c:ext>
              </c:extLst>
            </c:dLbl>
            <c:dLbl>
              <c:idx val="12"/>
              <c:layout>
                <c:manualLayout>
                  <c:x val="-3.7423624740366278E-2"/>
                  <c:y val="-2.7269478639113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909D-4D15-9C58-C5208D09CC04}"/>
                </c:ext>
              </c:extLst>
            </c:dLbl>
            <c:dLbl>
              <c:idx val="13"/>
              <c:layout>
                <c:manualLayout>
                  <c:x val="-3.9561290409455552E-2"/>
                  <c:y val="-3.0292880056659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909D-4D15-9C58-C5208D09CC04}"/>
                </c:ext>
              </c:extLst>
            </c:dLbl>
            <c:dLbl>
              <c:idx val="14"/>
              <c:layout>
                <c:manualLayout>
                  <c:x val="-3.9561290409455628E-2"/>
                  <c:y val="-2.18817885859505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909D-4D15-9C58-C5208D09CC04}"/>
                </c:ext>
              </c:extLst>
            </c:dLbl>
            <c:dLbl>
              <c:idx val="15"/>
              <c:layout>
                <c:manualLayout>
                  <c:x val="-4.2537695293432487E-2"/>
                  <c:y val="-2.18817885859505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909D-4D15-9C58-C5208D09CC04}"/>
                </c:ext>
              </c:extLst>
            </c:dLbl>
            <c:dLbl>
              <c:idx val="16"/>
              <c:layout>
                <c:manualLayout>
                  <c:x val="-4.5974287416723617E-2"/>
                  <c:y val="-2.7236208150037584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3.8477982043608382E-2"/>
                      <c:h val="3.5054773082942095E-2"/>
                    </c:manualLayout>
                  </c15:layout>
                </c:ext>
                <c:ext xmlns:c16="http://schemas.microsoft.com/office/drawing/2014/chart" uri="{C3380CC4-5D6E-409C-BE32-E72D297353CC}">
                  <c16:uniqueId val="{00000021-909D-4D15-9C58-C5208D09CC04}"/>
                </c:ext>
              </c:extLst>
            </c:dLbl>
            <c:dLbl>
              <c:idx val="17"/>
              <c:layout>
                <c:manualLayout>
                  <c:x val="-4.3836621747634259E-2"/>
                  <c:y val="-2.41395881852796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909D-4D15-9C58-C5208D09CC04}"/>
                </c:ext>
              </c:extLst>
            </c:dLbl>
            <c:dLbl>
              <c:idx val="18"/>
              <c:layout>
                <c:manualLayout>
                  <c:x val="-4.2997714212615411E-2"/>
                  <c:y val="-2.7269478639113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909D-4D15-9C58-C5208D09CC04}"/>
                </c:ext>
              </c:extLst>
            </c:dLbl>
            <c:dLbl>
              <c:idx val="19"/>
              <c:layout>
                <c:manualLayout>
                  <c:x val="-3.8289295176281671E-2"/>
                  <c:y val="-2.7269355415080156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2.9927319367250963E-2"/>
                      <c:h val="3.8184663536776207E-2"/>
                    </c:manualLayout>
                  </c15:layout>
                </c:ext>
                <c:ext xmlns:c16="http://schemas.microsoft.com/office/drawing/2014/chart" uri="{C3380CC4-5D6E-409C-BE32-E72D297353CC}">
                  <c16:uniqueId val="{0000000F-909D-4D15-9C58-C5208D09CC04}"/>
                </c:ext>
              </c:extLst>
            </c:dLbl>
            <c:dLbl>
              <c:idx val="20"/>
              <c:layout>
                <c:manualLayout>
                  <c:x val="-3.8289295176281671E-2"/>
                  <c:y val="-2.57377351640568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909D-4D15-9C58-C5208D09CC04}"/>
                </c:ext>
              </c:extLst>
            </c:dLbl>
            <c:dLbl>
              <c:idx val="21"/>
              <c:layout>
                <c:manualLayout>
                  <c:x val="-3.78292762570989E-2"/>
                  <c:y val="-2.81017253795656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909D-4D15-9C58-C5208D09CC04}"/>
                </c:ext>
              </c:extLst>
            </c:dLbl>
            <c:dLbl>
              <c:idx val="22"/>
              <c:layout>
                <c:manualLayout>
                  <c:x val="-3.8289295176281671E-2"/>
                  <c:y val="-2.7995310110045767E-2"/>
                </c:manualLayout>
              </c:layout>
              <c:tx>
                <c:rich>
                  <a:bodyPr/>
                  <a:lstStyle/>
                  <a:p>
                    <a:r>
                      <a:rPr lang="en-US"/>
                      <a:t>48</a:t>
                    </a:r>
                  </a:p>
                </c:rich>
              </c:tx>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909D-4D15-9C58-C5208D09CC04}"/>
                </c:ext>
              </c:extLst>
            </c:dLbl>
            <c:dLbl>
              <c:idx val="23"/>
              <c:layout>
                <c:manualLayout>
                  <c:x val="-3.9588221630483603E-2"/>
                  <c:y val="-2.5737803901272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909D-4D15-9C58-C5208D09CC04}"/>
                </c:ext>
              </c:extLst>
            </c:dLbl>
            <c:dLbl>
              <c:idx val="24"/>
              <c:layout>
                <c:manualLayout>
                  <c:x val="-3.8289295176281671E-2"/>
                  <c:y val="-2.57378039012729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909D-4D15-9C58-C5208D09CC04}"/>
                </c:ext>
              </c:extLst>
            </c:dLbl>
            <c:dLbl>
              <c:idx val="25"/>
              <c:layout>
                <c:manualLayout>
                  <c:x val="-3.4013963838103123E-2"/>
                  <c:y val="-2.72694786391137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909D-4D15-9C58-C5208D09CC04}"/>
                </c:ext>
              </c:extLst>
            </c:dLbl>
            <c:dLbl>
              <c:idx val="26"/>
              <c:layout>
                <c:manualLayout>
                  <c:x val="-1.5640811572345675E-2"/>
                  <c:y val="-2.8101733762153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09D-4D15-9C58-C5208D09CC0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Admin_izdev_pret_amata_vietām!$Q$4:$Q$30</c:f>
              <c:numCache>
                <c:formatCode>#,##0</c:formatCode>
                <c:ptCount val="27"/>
                <c:pt idx="0">
                  <c:v>3289.5994079485681</c:v>
                </c:pt>
                <c:pt idx="1">
                  <c:v>3160.5636781310832</c:v>
                </c:pt>
                <c:pt idx="2">
                  <c:v>1284.8691750261235</c:v>
                </c:pt>
                <c:pt idx="3">
                  <c:v>1100.3333269754226</c:v>
                </c:pt>
                <c:pt idx="4">
                  <c:v>956.20111111111112</c:v>
                </c:pt>
                <c:pt idx="5">
                  <c:v>870.68626086956522</c:v>
                </c:pt>
                <c:pt idx="6">
                  <c:v>699.41364835164836</c:v>
                </c:pt>
                <c:pt idx="7">
                  <c:v>655.61968510638303</c:v>
                </c:pt>
                <c:pt idx="8">
                  <c:v>634.37892756680048</c:v>
                </c:pt>
                <c:pt idx="9">
                  <c:v>539.71952380952393</c:v>
                </c:pt>
                <c:pt idx="10">
                  <c:v>525.46801246642133</c:v>
                </c:pt>
                <c:pt idx="11">
                  <c:v>364.19056195387611</c:v>
                </c:pt>
                <c:pt idx="12">
                  <c:v>326.85214500159975</c:v>
                </c:pt>
                <c:pt idx="13">
                  <c:v>267.65824745796846</c:v>
                </c:pt>
                <c:pt idx="14">
                  <c:v>191.85346507936509</c:v>
                </c:pt>
                <c:pt idx="15">
                  <c:v>173.12471040163504</c:v>
                </c:pt>
                <c:pt idx="16">
                  <c:v>144.22898729849052</c:v>
                </c:pt>
                <c:pt idx="17">
                  <c:v>112.70645333333334</c:v>
                </c:pt>
                <c:pt idx="18">
                  <c:v>110.11435383490723</c:v>
                </c:pt>
                <c:pt idx="19">
                  <c:v>93.206426785934312</c:v>
                </c:pt>
                <c:pt idx="20">
                  <c:v>85.238922932028487</c:v>
                </c:pt>
                <c:pt idx="21">
                  <c:v>65.960637391768174</c:v>
                </c:pt>
                <c:pt idx="22">
                  <c:v>48.213790418928646</c:v>
                </c:pt>
                <c:pt idx="23">
                  <c:v>44.192045410593394</c:v>
                </c:pt>
                <c:pt idx="24">
                  <c:v>39.560571043609407</c:v>
                </c:pt>
                <c:pt idx="25">
                  <c:v>20.121629954238184</c:v>
                </c:pt>
                <c:pt idx="26">
                  <c:v>3.839262332405768</c:v>
                </c:pt>
              </c:numCache>
            </c:numRef>
          </c:val>
          <c:smooth val="0"/>
          <c:extLst>
            <c:ext xmlns:c16="http://schemas.microsoft.com/office/drawing/2014/chart" uri="{C3380CC4-5D6E-409C-BE32-E72D297353CC}">
              <c16:uniqueId val="{0000002A-909D-4D15-9C58-C5208D09CC04}"/>
            </c:ext>
          </c:extLst>
        </c:ser>
        <c:ser>
          <c:idx val="16"/>
          <c:order val="16"/>
          <c:tx>
            <c:strRef>
              <c:f>Admin_izdev_pret_amata_vietām!$R$1</c:f>
              <c:strCache>
                <c:ptCount val="1"/>
                <c:pt idx="0">
                  <c:v>Vidēji uz 1 amata vietu kopā</c:v>
                </c:pt>
              </c:strCache>
            </c:strRef>
          </c:tx>
          <c:spPr>
            <a:ln w="28575" cap="rnd">
              <a:solidFill>
                <a:srgbClr val="FF0000"/>
              </a:solidFill>
              <a:prstDash val="dash"/>
              <a:round/>
            </a:ln>
            <a:effectLst/>
          </c:spPr>
          <c:marker>
            <c:symbol val="none"/>
          </c:marker>
          <c:cat>
            <c:strRef>
              <c:f>Admin_izdev_pret_amata_vietām!$A$4:$A$30</c:f>
              <c:strCache>
                <c:ptCount val="27"/>
                <c:pt idx="0">
                  <c:v>ĀM</c:v>
                </c:pt>
                <c:pt idx="1">
                  <c:v>VPK</c:v>
                </c:pt>
                <c:pt idx="2">
                  <c:v>SPRK</c:v>
                </c:pt>
                <c:pt idx="3">
                  <c:v>SM</c:v>
                </c:pt>
                <c:pt idx="4">
                  <c:v>RTV</c:v>
                </c:pt>
                <c:pt idx="5">
                  <c:v>TB</c:v>
                </c:pt>
                <c:pt idx="6">
                  <c:v>PKC</c:v>
                </c:pt>
                <c:pt idx="7">
                  <c:v>MK</c:v>
                </c:pt>
                <c:pt idx="8">
                  <c:v>Saeima</c:v>
                </c:pt>
                <c:pt idx="9">
                  <c:v>CVK</c:v>
                </c:pt>
                <c:pt idx="10">
                  <c:v>EM</c:v>
                </c:pt>
                <c:pt idx="11">
                  <c:v>VARAM</c:v>
                </c:pt>
                <c:pt idx="12">
                  <c:v>AiM</c:v>
                </c:pt>
                <c:pt idx="13">
                  <c:v>ST</c:v>
                </c:pt>
                <c:pt idx="14">
                  <c:v>VKo</c:v>
                </c:pt>
                <c:pt idx="15">
                  <c:v>ZM</c:v>
                </c:pt>
                <c:pt idx="16">
                  <c:v>FM</c:v>
                </c:pt>
                <c:pt idx="17">
                  <c:v>KNAB</c:v>
                </c:pt>
                <c:pt idx="18">
                  <c:v>AT</c:v>
                </c:pt>
                <c:pt idx="19">
                  <c:v>IZM</c:v>
                </c:pt>
                <c:pt idx="20">
                  <c:v>KM</c:v>
                </c:pt>
                <c:pt idx="21">
                  <c:v>IeM</c:v>
                </c:pt>
                <c:pt idx="22">
                  <c:v>Prokuratūra</c:v>
                </c:pt>
                <c:pt idx="23">
                  <c:v>VM</c:v>
                </c:pt>
                <c:pt idx="24">
                  <c:v>TM</c:v>
                </c:pt>
                <c:pt idx="25">
                  <c:v>LM</c:v>
                </c:pt>
                <c:pt idx="26">
                  <c:v>SIF</c:v>
                </c:pt>
              </c:strCache>
            </c:strRef>
          </c:cat>
          <c:val>
            <c:numRef>
              <c:f>Admin_izdev_pret_amata_vietām!$R$4:$R$30</c:f>
              <c:numCache>
                <c:formatCode>General</c:formatCode>
                <c:ptCount val="27"/>
                <c:pt idx="0">
                  <c:v>374</c:v>
                </c:pt>
                <c:pt idx="1">
                  <c:v>374</c:v>
                </c:pt>
                <c:pt idx="2" formatCode="0">
                  <c:v>374.31007527654737</c:v>
                </c:pt>
                <c:pt idx="3" formatCode="0">
                  <c:v>374</c:v>
                </c:pt>
                <c:pt idx="4" formatCode="0">
                  <c:v>374</c:v>
                </c:pt>
                <c:pt idx="5" formatCode="0">
                  <c:v>374</c:v>
                </c:pt>
                <c:pt idx="6" formatCode="0">
                  <c:v>374</c:v>
                </c:pt>
                <c:pt idx="7" formatCode="0">
                  <c:v>374</c:v>
                </c:pt>
                <c:pt idx="8" formatCode="0">
                  <c:v>374</c:v>
                </c:pt>
                <c:pt idx="9" formatCode="0">
                  <c:v>374</c:v>
                </c:pt>
                <c:pt idx="10" formatCode="0">
                  <c:v>374</c:v>
                </c:pt>
                <c:pt idx="11" formatCode="0">
                  <c:v>374</c:v>
                </c:pt>
                <c:pt idx="12" formatCode="0">
                  <c:v>374</c:v>
                </c:pt>
                <c:pt idx="13" formatCode="0">
                  <c:v>374</c:v>
                </c:pt>
                <c:pt idx="14" formatCode="0">
                  <c:v>374</c:v>
                </c:pt>
                <c:pt idx="15" formatCode="0">
                  <c:v>374</c:v>
                </c:pt>
                <c:pt idx="16" formatCode="0">
                  <c:v>374</c:v>
                </c:pt>
                <c:pt idx="17" formatCode="0">
                  <c:v>374</c:v>
                </c:pt>
                <c:pt idx="18" formatCode="0">
                  <c:v>374</c:v>
                </c:pt>
                <c:pt idx="19" formatCode="0">
                  <c:v>374</c:v>
                </c:pt>
                <c:pt idx="20" formatCode="0">
                  <c:v>374</c:v>
                </c:pt>
                <c:pt idx="21" formatCode="0">
                  <c:v>374</c:v>
                </c:pt>
                <c:pt idx="22" formatCode="0">
                  <c:v>374</c:v>
                </c:pt>
                <c:pt idx="23" formatCode="0">
                  <c:v>374</c:v>
                </c:pt>
                <c:pt idx="24" formatCode="0">
                  <c:v>374</c:v>
                </c:pt>
                <c:pt idx="25" formatCode="0">
                  <c:v>374</c:v>
                </c:pt>
                <c:pt idx="26" formatCode="0">
                  <c:v>374</c:v>
                </c:pt>
              </c:numCache>
            </c:numRef>
          </c:val>
          <c:smooth val="0"/>
          <c:extLst>
            <c:ext xmlns:c16="http://schemas.microsoft.com/office/drawing/2014/chart" uri="{C3380CC4-5D6E-409C-BE32-E72D297353CC}">
              <c16:uniqueId val="{0000002B-909D-4D15-9C58-C5208D09CC04}"/>
            </c:ext>
          </c:extLst>
        </c:ser>
        <c:dLbls>
          <c:showLegendKey val="0"/>
          <c:showVal val="0"/>
          <c:showCatName val="0"/>
          <c:showSerName val="0"/>
          <c:showPercent val="0"/>
          <c:showBubbleSize val="0"/>
        </c:dLbls>
        <c:marker val="1"/>
        <c:smooth val="0"/>
        <c:axId val="292222024"/>
        <c:axId val="292222416"/>
      </c:lineChart>
      <c:catAx>
        <c:axId val="292222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22416"/>
        <c:crosses val="autoZero"/>
        <c:auto val="1"/>
        <c:lblAlgn val="ctr"/>
        <c:lblOffset val="100"/>
        <c:noMultiLvlLbl val="0"/>
      </c:catAx>
      <c:valAx>
        <c:axId val="292222416"/>
        <c:scaling>
          <c:orientation val="minMax"/>
          <c:max val="39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22024"/>
        <c:crosses val="autoZero"/>
        <c:crossBetween val="between"/>
        <c:majorUnit val="200"/>
      </c:valAx>
      <c:spPr>
        <a:noFill/>
        <a:ln>
          <a:noFill/>
        </a:ln>
        <a:effectLst/>
      </c:spPr>
    </c:plotArea>
    <c:legend>
      <c:legendPos val="b"/>
      <c:legendEntry>
        <c:idx val="6"/>
        <c:delete val="1"/>
      </c:legendEntry>
      <c:layout>
        <c:manualLayout>
          <c:xMode val="edge"/>
          <c:yMode val="edge"/>
          <c:x val="1.9951321817992074E-2"/>
          <c:y val="0.88115411629884288"/>
          <c:w val="0.95154669368765843"/>
          <c:h val="0.1000665409781523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2859826360952428E-2"/>
          <c:y val="3.4795364562480537E-2"/>
          <c:w val="0.92710863044641867"/>
          <c:h val="0.72086147070599227"/>
        </c:manualLayout>
      </c:layout>
      <c:barChart>
        <c:barDir val="col"/>
        <c:grouping val="clustered"/>
        <c:varyColors val="0"/>
        <c:ser>
          <c:idx val="0"/>
          <c:order val="0"/>
          <c:tx>
            <c:strRef>
              <c:f>Admin_izdev_pret_amata_vietām!$B$1</c:f>
              <c:strCache>
                <c:ptCount val="1"/>
                <c:pt idx="0">
                  <c:v>2015.gada izpilde</c:v>
                </c:pt>
              </c:strCache>
            </c:strRef>
          </c:tx>
          <c:spPr>
            <a:solidFill>
              <a:schemeClr val="accent1"/>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Admin_izdev_pret_amata_vietām!$B$34:$B$61</c:f>
            </c:numRef>
          </c:val>
          <c:extLst>
            <c:ext xmlns:c16="http://schemas.microsoft.com/office/drawing/2014/chart" uri="{C3380CC4-5D6E-409C-BE32-E72D297353CC}">
              <c16:uniqueId val="{00000000-3BDB-4213-AF84-EB8F285FE4AD}"/>
            </c:ext>
          </c:extLst>
        </c:ser>
        <c:ser>
          <c:idx val="1"/>
          <c:order val="1"/>
          <c:tx>
            <c:strRef>
              <c:f>Admin_izdev_pret_amata_vietām!$C$1</c:f>
              <c:strCache>
                <c:ptCount val="1"/>
                <c:pt idx="0">
                  <c:v>2015.gada Amata vieta/slodze</c:v>
                </c:pt>
              </c:strCache>
            </c:strRef>
          </c:tx>
          <c:spPr>
            <a:solidFill>
              <a:schemeClr val="accent2"/>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Admin_izdev_pret_amata_vietām!$C$34:$C$61</c:f>
            </c:numRef>
          </c:val>
          <c:extLst>
            <c:ext xmlns:c16="http://schemas.microsoft.com/office/drawing/2014/chart" uri="{C3380CC4-5D6E-409C-BE32-E72D297353CC}">
              <c16:uniqueId val="{00000001-3BDB-4213-AF84-EB8F285FE4AD}"/>
            </c:ext>
          </c:extLst>
        </c:ser>
        <c:ser>
          <c:idx val="2"/>
          <c:order val="2"/>
          <c:tx>
            <c:strRef>
              <c:f>Admin_izdev_pret_amata_vietām!$D$1</c:f>
              <c:strCache>
                <c:ptCount val="1"/>
                <c:pt idx="0">
                  <c:v>2015.gads izpilde</c:v>
                </c:pt>
              </c:strCache>
            </c:strRef>
          </c:tx>
          <c:spPr>
            <a:solidFill>
              <a:schemeClr val="accent3"/>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Admin_izdev_pret_amata_vietām!$D$34:$D$61</c:f>
              <c:numCache>
                <c:formatCode>#,##0</c:formatCode>
                <c:ptCount val="28"/>
                <c:pt idx="0">
                  <c:v>2966.1252173913044</c:v>
                </c:pt>
                <c:pt idx="1">
                  <c:v>1143.5797101449275</c:v>
                </c:pt>
                <c:pt idx="2">
                  <c:v>775.2476303317535</c:v>
                </c:pt>
                <c:pt idx="3">
                  <c:v>257.62711864406776</c:v>
                </c:pt>
                <c:pt idx="4">
                  <c:v>496.53603603603597</c:v>
                </c:pt>
                <c:pt idx="5">
                  <c:v>378.33333333333337</c:v>
                </c:pt>
                <c:pt idx="6">
                  <c:v>410.8805970149254</c:v>
                </c:pt>
                <c:pt idx="7">
                  <c:v>452.5</c:v>
                </c:pt>
                <c:pt idx="8">
                  <c:v>393.59230552423901</c:v>
                </c:pt>
                <c:pt idx="9">
                  <c:v>318.57142857142856</c:v>
                </c:pt>
                <c:pt idx="10">
                  <c:v>357.07158737216542</c:v>
                </c:pt>
                <c:pt idx="11">
                  <c:v>385.68569065343257</c:v>
                </c:pt>
                <c:pt idx="12">
                  <c:v>314.30294396961062</c:v>
                </c:pt>
                <c:pt idx="13">
                  <c:v>265.2</c:v>
                </c:pt>
                <c:pt idx="14">
                  <c:v>295.14999999999998</c:v>
                </c:pt>
                <c:pt idx="15">
                  <c:v>244.88888888888889</c:v>
                </c:pt>
                <c:pt idx="16">
                  <c:v>245</c:v>
                </c:pt>
                <c:pt idx="17">
                  <c:v>201.35333333333335</c:v>
                </c:pt>
                <c:pt idx="18">
                  <c:v>265.85517241379313</c:v>
                </c:pt>
                <c:pt idx="19">
                  <c:v>226.52896341463415</c:v>
                </c:pt>
                <c:pt idx="20">
                  <c:v>150.11161387631975</c:v>
                </c:pt>
                <c:pt idx="21">
                  <c:v>186.48557839828169</c:v>
                </c:pt>
                <c:pt idx="22">
                  <c:v>146.38929514745365</c:v>
                </c:pt>
                <c:pt idx="23">
                  <c:v>122.74745738432888</c:v>
                </c:pt>
                <c:pt idx="24">
                  <c:v>122.49396874235165</c:v>
                </c:pt>
                <c:pt idx="25">
                  <c:v>102.36390234387699</c:v>
                </c:pt>
                <c:pt idx="26">
                  <c:v>60.514285714285712</c:v>
                </c:pt>
                <c:pt idx="27">
                  <c:v>51.61904761904762</c:v>
                </c:pt>
              </c:numCache>
            </c:numRef>
          </c:val>
          <c:extLst>
            <c:ext xmlns:c16="http://schemas.microsoft.com/office/drawing/2014/chart" uri="{C3380CC4-5D6E-409C-BE32-E72D297353CC}">
              <c16:uniqueId val="{00000002-3BDB-4213-AF84-EB8F285FE4AD}"/>
            </c:ext>
          </c:extLst>
        </c:ser>
        <c:ser>
          <c:idx val="3"/>
          <c:order val="3"/>
          <c:tx>
            <c:strRef>
              <c:f>Admin_izdev_pret_amata_vietām!$E$1</c:f>
              <c:strCache>
                <c:ptCount val="1"/>
                <c:pt idx="0">
                  <c:v>2016.gada izpilde</c:v>
                </c:pt>
              </c:strCache>
            </c:strRef>
          </c:tx>
          <c:spPr>
            <a:solidFill>
              <a:schemeClr val="accent4"/>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Admin_izdev_pret_amata_vietām!$E$34:$E$61</c:f>
            </c:numRef>
          </c:val>
          <c:extLst>
            <c:ext xmlns:c16="http://schemas.microsoft.com/office/drawing/2014/chart" uri="{C3380CC4-5D6E-409C-BE32-E72D297353CC}">
              <c16:uniqueId val="{00000003-3BDB-4213-AF84-EB8F285FE4AD}"/>
            </c:ext>
          </c:extLst>
        </c:ser>
        <c:ser>
          <c:idx val="4"/>
          <c:order val="4"/>
          <c:tx>
            <c:strRef>
              <c:f>Admin_izdev_pret_amata_vietām!$F$1</c:f>
              <c:strCache>
                <c:ptCount val="1"/>
                <c:pt idx="0">
                  <c:v>2016.gada Amata vieta/slodze</c:v>
                </c:pt>
              </c:strCache>
            </c:strRef>
          </c:tx>
          <c:spPr>
            <a:solidFill>
              <a:schemeClr val="accent5"/>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Admin_izdev_pret_amata_vietām!$F$34:$F$61</c:f>
            </c:numRef>
          </c:val>
          <c:extLst>
            <c:ext xmlns:c16="http://schemas.microsoft.com/office/drawing/2014/chart" uri="{C3380CC4-5D6E-409C-BE32-E72D297353CC}">
              <c16:uniqueId val="{00000004-3BDB-4213-AF84-EB8F285FE4AD}"/>
            </c:ext>
          </c:extLst>
        </c:ser>
        <c:ser>
          <c:idx val="5"/>
          <c:order val="5"/>
          <c:tx>
            <c:strRef>
              <c:f>Admin_izdev_pret_amata_vietām!$G$1</c:f>
              <c:strCache>
                <c:ptCount val="1"/>
                <c:pt idx="0">
                  <c:v>2016.gads izpilde</c:v>
                </c:pt>
              </c:strCache>
            </c:strRef>
          </c:tx>
          <c:spPr>
            <a:solidFill>
              <a:schemeClr val="accent6"/>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Admin_izdev_pret_amata_vietām!$G$34:$G$61</c:f>
              <c:numCache>
                <c:formatCode>#,##0</c:formatCode>
                <c:ptCount val="28"/>
                <c:pt idx="0">
                  <c:v>2907.8682068965518</c:v>
                </c:pt>
                <c:pt idx="1">
                  <c:v>843.5739568345324</c:v>
                </c:pt>
                <c:pt idx="2">
                  <c:v>711.76852808988747</c:v>
                </c:pt>
                <c:pt idx="3">
                  <c:v>471.98746268656714</c:v>
                </c:pt>
                <c:pt idx="4">
                  <c:v>461.14625269978399</c:v>
                </c:pt>
                <c:pt idx="5">
                  <c:v>351.93053030303037</c:v>
                </c:pt>
                <c:pt idx="6">
                  <c:v>440.92927536231878</c:v>
                </c:pt>
                <c:pt idx="7">
                  <c:v>392.17111111111114</c:v>
                </c:pt>
                <c:pt idx="8">
                  <c:v>405.38339627999432</c:v>
                </c:pt>
                <c:pt idx="9">
                  <c:v>291.20999999999998</c:v>
                </c:pt>
                <c:pt idx="10">
                  <c:v>352.45313458262353</c:v>
                </c:pt>
                <c:pt idx="11">
                  <c:v>355.74614853896105</c:v>
                </c:pt>
                <c:pt idx="12">
                  <c:v>309.76952380952389</c:v>
                </c:pt>
                <c:pt idx="13">
                  <c:v>242.91555555555556</c:v>
                </c:pt>
                <c:pt idx="14">
                  <c:v>254.94190476190474</c:v>
                </c:pt>
                <c:pt idx="15">
                  <c:v>245.09304347826091</c:v>
                </c:pt>
                <c:pt idx="16">
                  <c:v>242.60651162790694</c:v>
                </c:pt>
                <c:pt idx="17">
                  <c:v>179.12839999999997</c:v>
                </c:pt>
                <c:pt idx="18">
                  <c:v>251.09689655172417</c:v>
                </c:pt>
                <c:pt idx="19">
                  <c:v>186.67789074355082</c:v>
                </c:pt>
                <c:pt idx="20">
                  <c:v>129.60246304434676</c:v>
                </c:pt>
                <c:pt idx="21">
                  <c:v>169.01129040912139</c:v>
                </c:pt>
                <c:pt idx="22">
                  <c:v>138.00343671416599</c:v>
                </c:pt>
                <c:pt idx="23">
                  <c:v>111.99117647058821</c:v>
                </c:pt>
                <c:pt idx="24">
                  <c:v>118.84749101606864</c:v>
                </c:pt>
                <c:pt idx="25">
                  <c:v>103.46188986556359</c:v>
                </c:pt>
                <c:pt idx="26">
                  <c:v>54.629166666666677</c:v>
                </c:pt>
                <c:pt idx="27">
                  <c:v>27.034230769230767</c:v>
                </c:pt>
              </c:numCache>
            </c:numRef>
          </c:val>
          <c:extLst>
            <c:ext xmlns:c16="http://schemas.microsoft.com/office/drawing/2014/chart" uri="{C3380CC4-5D6E-409C-BE32-E72D297353CC}">
              <c16:uniqueId val="{00000005-3BDB-4213-AF84-EB8F285FE4AD}"/>
            </c:ext>
          </c:extLst>
        </c:ser>
        <c:ser>
          <c:idx val="6"/>
          <c:order val="6"/>
          <c:tx>
            <c:strRef>
              <c:f>Admin_izdev_pret_amata_vietām!$H$1</c:f>
              <c:strCache>
                <c:ptCount val="1"/>
                <c:pt idx="0">
                  <c:v>2017.gada plāns</c:v>
                </c:pt>
              </c:strCache>
            </c:strRef>
          </c:tx>
          <c:spPr>
            <a:solidFill>
              <a:schemeClr val="accent1">
                <a:lumMod val="6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Admin_izdev_pret_amata_vietām!$H$34:$H$61</c:f>
            </c:numRef>
          </c:val>
          <c:extLst>
            <c:ext xmlns:c16="http://schemas.microsoft.com/office/drawing/2014/chart" uri="{C3380CC4-5D6E-409C-BE32-E72D297353CC}">
              <c16:uniqueId val="{00000006-3BDB-4213-AF84-EB8F285FE4AD}"/>
            </c:ext>
          </c:extLst>
        </c:ser>
        <c:ser>
          <c:idx val="7"/>
          <c:order val="7"/>
          <c:tx>
            <c:strRef>
              <c:f>Admin_izdev_pret_amata_vietām!$I$1</c:f>
              <c:strCache>
                <c:ptCount val="1"/>
                <c:pt idx="0">
                  <c:v>2017.gada Amata vieta/slodze</c:v>
                </c:pt>
              </c:strCache>
            </c:strRef>
          </c:tx>
          <c:spPr>
            <a:solidFill>
              <a:schemeClr val="accent2">
                <a:lumMod val="6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Admin_izdev_pret_amata_vietām!$I$34:$I$61</c:f>
            </c:numRef>
          </c:val>
          <c:extLst>
            <c:ext xmlns:c16="http://schemas.microsoft.com/office/drawing/2014/chart" uri="{C3380CC4-5D6E-409C-BE32-E72D297353CC}">
              <c16:uniqueId val="{00000007-3BDB-4213-AF84-EB8F285FE4AD}"/>
            </c:ext>
          </c:extLst>
        </c:ser>
        <c:ser>
          <c:idx val="8"/>
          <c:order val="8"/>
          <c:tx>
            <c:strRef>
              <c:f>Admin_izdev_pret_amata_vietām!$J$1</c:f>
              <c:strCache>
                <c:ptCount val="1"/>
                <c:pt idx="0">
                  <c:v>2017.gads plāns</c:v>
                </c:pt>
              </c:strCache>
            </c:strRef>
          </c:tx>
          <c:spPr>
            <a:solidFill>
              <a:schemeClr val="accent3">
                <a:lumMod val="6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Admin_izdev_pret_amata_vietām!$J$34:$J$61</c:f>
              <c:numCache>
                <c:formatCode>#,##0</c:formatCode>
                <c:ptCount val="28"/>
                <c:pt idx="0">
                  <c:v>3050.9491525423728</c:v>
                </c:pt>
                <c:pt idx="1">
                  <c:v>1009.9290780141844</c:v>
                </c:pt>
                <c:pt idx="2">
                  <c:v>716.48654708520178</c:v>
                </c:pt>
                <c:pt idx="3">
                  <c:v>625.45851528384276</c:v>
                </c:pt>
                <c:pt idx="4">
                  <c:v>492.56371490280776</c:v>
                </c:pt>
                <c:pt idx="5">
                  <c:v>474.65517241379308</c:v>
                </c:pt>
                <c:pt idx="6">
                  <c:v>414.49275362318838</c:v>
                </c:pt>
                <c:pt idx="7">
                  <c:v>405.55555555555554</c:v>
                </c:pt>
                <c:pt idx="8">
                  <c:v>373.46338347998864</c:v>
                </c:pt>
                <c:pt idx="9">
                  <c:v>380.5</c:v>
                </c:pt>
                <c:pt idx="10">
                  <c:v>324.56005110732536</c:v>
                </c:pt>
                <c:pt idx="11">
                  <c:v>278.12236628849269</c:v>
                </c:pt>
                <c:pt idx="12">
                  <c:v>314.45640074211502</c:v>
                </c:pt>
                <c:pt idx="13">
                  <c:v>343.94520547945206</c:v>
                </c:pt>
                <c:pt idx="14">
                  <c:v>285.71428571428572</c:v>
                </c:pt>
                <c:pt idx="15">
                  <c:v>269.56521739130437</c:v>
                </c:pt>
                <c:pt idx="16">
                  <c:v>245.45454545454547</c:v>
                </c:pt>
                <c:pt idx="17">
                  <c:v>265.60666666666668</c:v>
                </c:pt>
                <c:pt idx="18">
                  <c:v>218.70921985815602</c:v>
                </c:pt>
                <c:pt idx="19">
                  <c:v>212.07715582450831</c:v>
                </c:pt>
                <c:pt idx="20">
                  <c:v>204.23925988940877</c:v>
                </c:pt>
                <c:pt idx="21">
                  <c:v>163.18640079266783</c:v>
                </c:pt>
                <c:pt idx="22">
                  <c:v>144.12615255658005</c:v>
                </c:pt>
                <c:pt idx="23">
                  <c:v>130.03043478260869</c:v>
                </c:pt>
                <c:pt idx="24">
                  <c:v>127.17497301522315</c:v>
                </c:pt>
                <c:pt idx="25">
                  <c:v>135.38628930410286</c:v>
                </c:pt>
                <c:pt idx="26">
                  <c:v>81.788888888888891</c:v>
                </c:pt>
                <c:pt idx="27">
                  <c:v>50</c:v>
                </c:pt>
              </c:numCache>
            </c:numRef>
          </c:val>
          <c:extLst>
            <c:ext xmlns:c16="http://schemas.microsoft.com/office/drawing/2014/chart" uri="{C3380CC4-5D6E-409C-BE32-E72D297353CC}">
              <c16:uniqueId val="{00000008-3BDB-4213-AF84-EB8F285FE4AD}"/>
            </c:ext>
          </c:extLst>
        </c:ser>
        <c:ser>
          <c:idx val="9"/>
          <c:order val="9"/>
          <c:tx>
            <c:strRef>
              <c:f>Admin_izdev_pret_amata_vietām!$K$1</c:f>
              <c:strCache>
                <c:ptCount val="1"/>
                <c:pt idx="0">
                  <c:v>2018.gada plāns</c:v>
                </c:pt>
              </c:strCache>
            </c:strRef>
          </c:tx>
          <c:spPr>
            <a:solidFill>
              <a:schemeClr val="accent4">
                <a:lumMod val="6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Admin_izdev_pret_amata_vietām!$K$34:$K$61</c:f>
            </c:numRef>
          </c:val>
          <c:extLst>
            <c:ext xmlns:c16="http://schemas.microsoft.com/office/drawing/2014/chart" uri="{C3380CC4-5D6E-409C-BE32-E72D297353CC}">
              <c16:uniqueId val="{00000009-3BDB-4213-AF84-EB8F285FE4AD}"/>
            </c:ext>
          </c:extLst>
        </c:ser>
        <c:ser>
          <c:idx val="10"/>
          <c:order val="10"/>
          <c:tx>
            <c:strRef>
              <c:f>Admin_izdev_pret_amata_vietām!$L$1</c:f>
              <c:strCache>
                <c:ptCount val="1"/>
                <c:pt idx="0">
                  <c:v>2018.gada Amata vieta/slodze</c:v>
                </c:pt>
              </c:strCache>
            </c:strRef>
          </c:tx>
          <c:spPr>
            <a:solidFill>
              <a:schemeClr val="accent5">
                <a:lumMod val="6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Admin_izdev_pret_amata_vietām!$L$34:$L$61</c:f>
            </c:numRef>
          </c:val>
          <c:extLst>
            <c:ext xmlns:c16="http://schemas.microsoft.com/office/drawing/2014/chart" uri="{C3380CC4-5D6E-409C-BE32-E72D297353CC}">
              <c16:uniqueId val="{0000000A-3BDB-4213-AF84-EB8F285FE4AD}"/>
            </c:ext>
          </c:extLst>
        </c:ser>
        <c:ser>
          <c:idx val="11"/>
          <c:order val="11"/>
          <c:tx>
            <c:strRef>
              <c:f>Admin_izdev_pret_amata_vietām!$M$1</c:f>
              <c:strCache>
                <c:ptCount val="1"/>
                <c:pt idx="0">
                  <c:v>2018.gads plāns</c:v>
                </c:pt>
              </c:strCache>
            </c:strRef>
          </c:tx>
          <c:spPr>
            <a:solidFill>
              <a:schemeClr val="accent6">
                <a:lumMod val="6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Admin_izdev_pret_amata_vietām!$M$34:$M$61</c:f>
              <c:numCache>
                <c:formatCode>#,##0</c:formatCode>
                <c:ptCount val="28"/>
                <c:pt idx="0">
                  <c:v>3047.8118644067795</c:v>
                </c:pt>
                <c:pt idx="1">
                  <c:v>1009.9290780141844</c:v>
                </c:pt>
                <c:pt idx="2">
                  <c:v>717.95505617977528</c:v>
                </c:pt>
                <c:pt idx="3">
                  <c:v>630.58252427184459</c:v>
                </c:pt>
                <c:pt idx="4">
                  <c:v>492.56371490280776</c:v>
                </c:pt>
                <c:pt idx="5">
                  <c:v>474.65517241379308</c:v>
                </c:pt>
                <c:pt idx="6">
                  <c:v>414.49275362318838</c:v>
                </c:pt>
                <c:pt idx="7">
                  <c:v>405.55555555555554</c:v>
                </c:pt>
                <c:pt idx="8">
                  <c:v>374.08767201021419</c:v>
                </c:pt>
                <c:pt idx="9">
                  <c:v>380.5</c:v>
                </c:pt>
                <c:pt idx="10">
                  <c:v>321.81883445945948</c:v>
                </c:pt>
                <c:pt idx="11">
                  <c:v>283.22091609241994</c:v>
                </c:pt>
                <c:pt idx="12">
                  <c:v>313.75555555555553</c:v>
                </c:pt>
                <c:pt idx="13">
                  <c:v>343.94520547945206</c:v>
                </c:pt>
                <c:pt idx="14">
                  <c:v>285.71428571428572</c:v>
                </c:pt>
                <c:pt idx="15">
                  <c:v>269.56521739130437</c:v>
                </c:pt>
                <c:pt idx="16">
                  <c:v>245.45454545454547</c:v>
                </c:pt>
                <c:pt idx="17">
                  <c:v>265.60666666666668</c:v>
                </c:pt>
                <c:pt idx="18">
                  <c:v>218.70921985815602</c:v>
                </c:pt>
                <c:pt idx="19">
                  <c:v>218.12859304084719</c:v>
                </c:pt>
                <c:pt idx="20">
                  <c:v>214.8663532572196</c:v>
                </c:pt>
                <c:pt idx="21">
                  <c:v>165.6200458190149</c:v>
                </c:pt>
                <c:pt idx="22">
                  <c:v>144.12615255658005</c:v>
                </c:pt>
                <c:pt idx="23">
                  <c:v>133.28649040202825</c:v>
                </c:pt>
                <c:pt idx="24">
                  <c:v>129.45221314837605</c:v>
                </c:pt>
                <c:pt idx="25">
                  <c:v>132.46834008097167</c:v>
                </c:pt>
                <c:pt idx="26">
                  <c:v>131.78888888888889</c:v>
                </c:pt>
                <c:pt idx="27">
                  <c:v>50</c:v>
                </c:pt>
              </c:numCache>
            </c:numRef>
          </c:val>
          <c:extLst>
            <c:ext xmlns:c16="http://schemas.microsoft.com/office/drawing/2014/chart" uri="{C3380CC4-5D6E-409C-BE32-E72D297353CC}">
              <c16:uniqueId val="{0000000B-3BDB-4213-AF84-EB8F285FE4AD}"/>
            </c:ext>
          </c:extLst>
        </c:ser>
        <c:ser>
          <c:idx val="12"/>
          <c:order val="12"/>
          <c:tx>
            <c:strRef>
              <c:f>Admin_izdev_pret_amata_vietām!$N$1</c:f>
              <c:strCache>
                <c:ptCount val="1"/>
                <c:pt idx="0">
                  <c:v>2019.gada plāns</c:v>
                </c:pt>
              </c:strCache>
            </c:strRef>
          </c:tx>
          <c:spPr>
            <a:solidFill>
              <a:schemeClr val="accent1">
                <a:lumMod val="80000"/>
                <a:lumOff val="2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Admin_izdev_pret_amata_vietām!$N$34:$N$61</c:f>
            </c:numRef>
          </c:val>
          <c:extLst>
            <c:ext xmlns:c16="http://schemas.microsoft.com/office/drawing/2014/chart" uri="{C3380CC4-5D6E-409C-BE32-E72D297353CC}">
              <c16:uniqueId val="{0000000C-3BDB-4213-AF84-EB8F285FE4AD}"/>
            </c:ext>
          </c:extLst>
        </c:ser>
        <c:ser>
          <c:idx val="13"/>
          <c:order val="13"/>
          <c:tx>
            <c:strRef>
              <c:f>Admin_izdev_pret_amata_vietām!$O$1</c:f>
              <c:strCache>
                <c:ptCount val="1"/>
                <c:pt idx="0">
                  <c:v>2019.gada Amata vieta/slodze</c:v>
                </c:pt>
              </c:strCache>
            </c:strRef>
          </c:tx>
          <c:spPr>
            <a:solidFill>
              <a:schemeClr val="accent2">
                <a:lumMod val="80000"/>
                <a:lumOff val="20000"/>
              </a:schemeClr>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Admin_izdev_pret_amata_vietām!$O$34:$O$61</c:f>
            </c:numRef>
          </c:val>
          <c:extLst>
            <c:ext xmlns:c16="http://schemas.microsoft.com/office/drawing/2014/chart" uri="{C3380CC4-5D6E-409C-BE32-E72D297353CC}">
              <c16:uniqueId val="{0000000D-3BDB-4213-AF84-EB8F285FE4AD}"/>
            </c:ext>
          </c:extLst>
        </c:ser>
        <c:ser>
          <c:idx val="14"/>
          <c:order val="14"/>
          <c:tx>
            <c:strRef>
              <c:f>Admin_izdev_pret_amata_vietām!$P$1</c:f>
              <c:strCache>
                <c:ptCount val="1"/>
                <c:pt idx="0">
                  <c:v>2019.gads plāns</c:v>
                </c:pt>
              </c:strCache>
            </c:strRef>
          </c:tx>
          <c:spPr>
            <a:solidFill>
              <a:srgbClr val="00B0F0"/>
            </a:solidFill>
            <a:ln>
              <a:noFill/>
            </a:ln>
            <a:effectLst/>
          </c:spPr>
          <c:invertIfNegative val="0"/>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Admin_izdev_pret_amata_vietām!$P$34:$P$61</c:f>
              <c:numCache>
                <c:formatCode>#,##0</c:formatCode>
                <c:ptCount val="28"/>
                <c:pt idx="0">
                  <c:v>3047.8118644067795</c:v>
                </c:pt>
                <c:pt idx="1">
                  <c:v>1009.9290780141844</c:v>
                </c:pt>
                <c:pt idx="2">
                  <c:v>717.95505617977528</c:v>
                </c:pt>
                <c:pt idx="3">
                  <c:v>640.04975124378109</c:v>
                </c:pt>
                <c:pt idx="4">
                  <c:v>492.56371490280776</c:v>
                </c:pt>
                <c:pt idx="5">
                  <c:v>474.65517241379308</c:v>
                </c:pt>
                <c:pt idx="6">
                  <c:v>414.49275362318838</c:v>
                </c:pt>
                <c:pt idx="7">
                  <c:v>405.55555555555554</c:v>
                </c:pt>
                <c:pt idx="8">
                  <c:v>373.85061710880979</c:v>
                </c:pt>
                <c:pt idx="9">
                  <c:v>380.5</c:v>
                </c:pt>
                <c:pt idx="10">
                  <c:v>318.58988294314383</c:v>
                </c:pt>
                <c:pt idx="11">
                  <c:v>277.20145926226184</c:v>
                </c:pt>
                <c:pt idx="12">
                  <c:v>313.75555555555553</c:v>
                </c:pt>
                <c:pt idx="13">
                  <c:v>343.94520547945206</c:v>
                </c:pt>
                <c:pt idx="14">
                  <c:v>285.71428571428572</c:v>
                </c:pt>
                <c:pt idx="15">
                  <c:v>269.56521739130437</c:v>
                </c:pt>
                <c:pt idx="16">
                  <c:v>245.45454545454547</c:v>
                </c:pt>
                <c:pt idx="17">
                  <c:v>265.60666666666668</c:v>
                </c:pt>
                <c:pt idx="18">
                  <c:v>218.70921985815602</c:v>
                </c:pt>
                <c:pt idx="19">
                  <c:v>215.10287443267777</c:v>
                </c:pt>
                <c:pt idx="20">
                  <c:v>214.97496647295486</c:v>
                </c:pt>
                <c:pt idx="21">
                  <c:v>157.57352302345785</c:v>
                </c:pt>
                <c:pt idx="22">
                  <c:v>144.12615255658005</c:v>
                </c:pt>
                <c:pt idx="23">
                  <c:v>132.75950742484608</c:v>
                </c:pt>
                <c:pt idx="24">
                  <c:v>130.94790617891636</c:v>
                </c:pt>
                <c:pt idx="25">
                  <c:v>106.55611336032389</c:v>
                </c:pt>
                <c:pt idx="26">
                  <c:v>131.78888888888889</c:v>
                </c:pt>
                <c:pt idx="27">
                  <c:v>50</c:v>
                </c:pt>
              </c:numCache>
            </c:numRef>
          </c:val>
          <c:extLst>
            <c:ext xmlns:c16="http://schemas.microsoft.com/office/drawing/2014/chart" uri="{C3380CC4-5D6E-409C-BE32-E72D297353CC}">
              <c16:uniqueId val="{0000000E-3BDB-4213-AF84-EB8F285FE4AD}"/>
            </c:ext>
          </c:extLst>
        </c:ser>
        <c:dLbls>
          <c:showLegendKey val="0"/>
          <c:showVal val="0"/>
          <c:showCatName val="0"/>
          <c:showSerName val="0"/>
          <c:showPercent val="0"/>
          <c:showBubbleSize val="0"/>
        </c:dLbls>
        <c:gapWidth val="219"/>
        <c:overlap val="-27"/>
        <c:axId val="292223200"/>
        <c:axId val="292223592"/>
      </c:barChart>
      <c:lineChart>
        <c:grouping val="stacked"/>
        <c:varyColors val="0"/>
        <c:ser>
          <c:idx val="15"/>
          <c:order val="15"/>
          <c:tx>
            <c:strRef>
              <c:f>Admin_izdev_pret_amata_vietām!$Q$1</c:f>
              <c:strCache>
                <c:ptCount val="1"/>
                <c:pt idx="0">
                  <c:v>Vidēji uz 1 amata vietu resoram</c:v>
                </c:pt>
              </c:strCache>
            </c:strRef>
          </c:tx>
          <c:spPr>
            <a:ln w="28575" cap="rnd">
              <a:noFill/>
              <a:round/>
            </a:ln>
            <a:effectLst/>
          </c:spPr>
          <c:marker>
            <c:symbol val="dash"/>
            <c:size val="12"/>
            <c:spPr>
              <a:solidFill>
                <a:srgbClr val="7030A0"/>
              </a:solidFill>
              <a:ln w="12700">
                <a:solidFill>
                  <a:srgbClr val="7030A0"/>
                </a:solidFill>
              </a:ln>
              <a:effectLst/>
            </c:spPr>
          </c:marker>
          <c:dLbls>
            <c:dLbl>
              <c:idx val="0"/>
              <c:layout>
                <c:manualLayout>
                  <c:x val="-4.2645083537281234E-2"/>
                  <c:y val="-2.4660170903294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BDB-4213-AF84-EB8F285FE4AD}"/>
                </c:ext>
              </c:extLst>
            </c:dLbl>
            <c:dLbl>
              <c:idx val="1"/>
              <c:layout>
                <c:manualLayout>
                  <c:x val="-4.4890979050876439E-2"/>
                  <c:y val="-2.7701314732918716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1303976058144504E-2"/>
                      <c:h val="3.7138508371385076E-2"/>
                    </c:manualLayout>
                  </c15:layout>
                </c:ext>
                <c:ext xmlns:c16="http://schemas.microsoft.com/office/drawing/2014/chart" uri="{C3380CC4-5D6E-409C-BE32-E72D297353CC}">
                  <c16:uniqueId val="{00000010-3BDB-4213-AF84-EB8F285FE4AD}"/>
                </c:ext>
              </c:extLst>
            </c:dLbl>
            <c:dLbl>
              <c:idx val="2"/>
              <c:layout>
                <c:manualLayout>
                  <c:x val="-4.0615647712697732E-2"/>
                  <c:y val="-2.46575342465754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3BDB-4213-AF84-EB8F285FE4AD}"/>
                </c:ext>
              </c:extLst>
            </c:dLbl>
            <c:dLbl>
              <c:idx val="3"/>
              <c:layout>
                <c:manualLayout>
                  <c:x val="-3.8477982043608361E-2"/>
                  <c:y val="-4.2922374429223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3BDB-4213-AF84-EB8F285FE4AD}"/>
                </c:ext>
              </c:extLst>
            </c:dLbl>
            <c:dLbl>
              <c:idx val="4"/>
              <c:layout>
                <c:manualLayout>
                  <c:x val="-3.6340316374519024E-2"/>
                  <c:y val="-2.770167427701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3BDB-4213-AF84-EB8F285FE4AD}"/>
                </c:ext>
              </c:extLst>
            </c:dLbl>
            <c:dLbl>
              <c:idx val="5"/>
              <c:layout>
                <c:manualLayout>
                  <c:x val="-3.8477982043608416E-2"/>
                  <c:y val="-3.0745814307458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3BDB-4213-AF84-EB8F285FE4AD}"/>
                </c:ext>
              </c:extLst>
            </c:dLbl>
            <c:dLbl>
              <c:idx val="6"/>
              <c:layout>
                <c:manualLayout>
                  <c:x val="-3.8477982043608382E-2"/>
                  <c:y val="-2.770167427701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3BDB-4213-AF84-EB8F285FE4AD}"/>
                </c:ext>
              </c:extLst>
            </c:dLbl>
            <c:dLbl>
              <c:idx val="7"/>
              <c:layout>
                <c:manualLayout>
                  <c:x val="-3.8477982043608382E-2"/>
                  <c:y val="-2.770167427701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3BDB-4213-AF84-EB8F285FE4AD}"/>
                </c:ext>
              </c:extLst>
            </c:dLbl>
            <c:dLbl>
              <c:idx val="8"/>
              <c:layout>
                <c:manualLayout>
                  <c:x val="-3.847798204360834E-2"/>
                  <c:y val="-3.0745814307458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3BDB-4213-AF84-EB8F285FE4AD}"/>
                </c:ext>
              </c:extLst>
            </c:dLbl>
            <c:dLbl>
              <c:idx val="9"/>
              <c:layout>
                <c:manualLayout>
                  <c:x val="-3.8477982043608382E-2"/>
                  <c:y val="-3.0745814307458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3BDB-4213-AF84-EB8F285FE4AD}"/>
                </c:ext>
              </c:extLst>
            </c:dLbl>
            <c:dLbl>
              <c:idx val="10"/>
              <c:layout>
                <c:manualLayout>
                  <c:x val="-3.6340316374519024E-2"/>
                  <c:y val="-3.37899543378995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3BDB-4213-AF84-EB8F285FE4AD}"/>
                </c:ext>
              </c:extLst>
            </c:dLbl>
            <c:dLbl>
              <c:idx val="11"/>
              <c:layout>
                <c:manualLayout>
                  <c:x val="-3.8477982043608382E-2"/>
                  <c:y val="-3.0745814307458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3BDB-4213-AF84-EB8F285FE4AD}"/>
                </c:ext>
              </c:extLst>
            </c:dLbl>
            <c:dLbl>
              <c:idx val="12"/>
              <c:layout>
                <c:manualLayout>
                  <c:x val="-3.8477982043608458E-2"/>
                  <c:y val="-3.07458143074581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3BDB-4213-AF84-EB8F285FE4AD}"/>
                </c:ext>
              </c:extLst>
            </c:dLbl>
            <c:dLbl>
              <c:idx val="13"/>
              <c:layout>
                <c:manualLayout>
                  <c:x val="-3.8477982043608382E-2"/>
                  <c:y val="-2.770167427701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3BDB-4213-AF84-EB8F285FE4AD}"/>
                </c:ext>
              </c:extLst>
            </c:dLbl>
            <c:dLbl>
              <c:idx val="14"/>
              <c:layout>
                <c:manualLayout>
                  <c:x val="-3.8477982043608458E-2"/>
                  <c:y val="-2.77016742770167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3BDB-4213-AF84-EB8F285FE4AD}"/>
                </c:ext>
              </c:extLst>
            </c:dLbl>
            <c:dLbl>
              <c:idx val="15"/>
              <c:layout>
                <c:manualLayout>
                  <c:x val="-3.8477982043608382E-2"/>
                  <c:y val="-2.46575342465753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3BDB-4213-AF84-EB8F285FE4AD}"/>
                </c:ext>
              </c:extLst>
            </c:dLbl>
            <c:dLbl>
              <c:idx val="16"/>
              <c:layout>
                <c:manualLayout>
                  <c:x val="-4.0615647712697815E-2"/>
                  <c:y val="-2.76672413690952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3BDB-4213-AF84-EB8F285FE4AD}"/>
                </c:ext>
              </c:extLst>
            </c:dLbl>
            <c:dLbl>
              <c:idx val="17"/>
              <c:layout>
                <c:manualLayout>
                  <c:x val="-3.8477982043608382E-2"/>
                  <c:y val="-2.913776861413768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3.8477982043608382E-2"/>
                      <c:h val="3.3709556057185855E-2"/>
                    </c:manualLayout>
                  </c15:layout>
                </c:ext>
                <c:ext xmlns:c16="http://schemas.microsoft.com/office/drawing/2014/chart" uri="{C3380CC4-5D6E-409C-BE32-E72D297353CC}">
                  <c16:uniqueId val="{00000020-3BDB-4213-AF84-EB8F285FE4AD}"/>
                </c:ext>
              </c:extLst>
            </c:dLbl>
            <c:dLbl>
              <c:idx val="18"/>
              <c:layout>
                <c:manualLayout>
                  <c:x val="-4.0615647712697732E-2"/>
                  <c:y val="-2.7632885381244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3BDB-4213-AF84-EB8F285FE4AD}"/>
                </c:ext>
              </c:extLst>
            </c:dLbl>
            <c:dLbl>
              <c:idx val="19"/>
              <c:layout>
                <c:manualLayout>
                  <c:x val="-3.8477982043608382E-2"/>
                  <c:y val="-1.85683717941723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3BDB-4213-AF84-EB8F285FE4AD}"/>
                </c:ext>
              </c:extLst>
            </c:dLbl>
            <c:dLbl>
              <c:idx val="20"/>
              <c:layout>
                <c:manualLayout>
                  <c:x val="-3.6340316374519024E-2"/>
                  <c:y val="-1.86044989180048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3BDB-4213-AF84-EB8F285FE4AD}"/>
                </c:ext>
              </c:extLst>
            </c:dLbl>
            <c:dLbl>
              <c:idx val="21"/>
              <c:layout>
                <c:manualLayout>
                  <c:x val="-3.6340316374519024E-2"/>
                  <c:y val="-1.8569254185692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3BDB-4213-AF84-EB8F285FE4AD}"/>
                </c:ext>
              </c:extLst>
            </c:dLbl>
            <c:dLbl>
              <c:idx val="22"/>
              <c:layout>
                <c:manualLayout>
                  <c:x val="-3.8477982043608534E-2"/>
                  <c:y val="-2.16133942161340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3BDB-4213-AF84-EB8F285FE4AD}"/>
                </c:ext>
              </c:extLst>
            </c:dLbl>
            <c:dLbl>
              <c:idx val="23"/>
              <c:layout>
                <c:manualLayout>
                  <c:x val="-3.6340316374519024E-2"/>
                  <c:y val="-1.85692541856925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3BDB-4213-AF84-EB8F285FE4AD}"/>
                </c:ext>
              </c:extLst>
            </c:dLbl>
            <c:dLbl>
              <c:idx val="24"/>
              <c:layout>
                <c:manualLayout>
                  <c:x val="-3.6340316374519024E-2"/>
                  <c:y val="-2.16133942161340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3BDB-4213-AF84-EB8F285FE4AD}"/>
                </c:ext>
              </c:extLst>
            </c:dLbl>
            <c:dLbl>
              <c:idx val="25"/>
              <c:layout>
                <c:manualLayout>
                  <c:x val="-3.8477982043608382E-2"/>
                  <c:y val="-2.1613394216133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8-3BDB-4213-AF84-EB8F285FE4AD}"/>
                </c:ext>
              </c:extLst>
            </c:dLbl>
            <c:dLbl>
              <c:idx val="26"/>
              <c:layout>
                <c:manualLayout>
                  <c:x val="-3.4202650705429674E-2"/>
                  <c:y val="-2.16133942161339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3BDB-4213-AF84-EB8F285FE4AD}"/>
                </c:ext>
              </c:extLst>
            </c:dLbl>
            <c:dLbl>
              <c:idx val="27"/>
              <c:layout>
                <c:manualLayout>
                  <c:x val="-1.4396252520594125E-2"/>
                  <c:y val="-2.97043349033425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3BDB-4213-AF84-EB8F285FE4AD}"/>
                </c:ext>
              </c:extLst>
            </c:dLbl>
            <c:spPr>
              <a:noFill/>
              <a:ln>
                <a:no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Admin_izdev_pret_amata_vietām!$Q$34:$Q$61</c:f>
              <c:numCache>
                <c:formatCode>#,##0</c:formatCode>
                <c:ptCount val="28"/>
                <c:pt idx="0">
                  <c:v>3004.1132611287576</c:v>
                </c:pt>
                <c:pt idx="1">
                  <c:v>1003.3881802044027</c:v>
                </c:pt>
                <c:pt idx="2">
                  <c:v>727.88256357327862</c:v>
                </c:pt>
                <c:pt idx="3">
                  <c:v>525.14107442602062</c:v>
                </c:pt>
                <c:pt idx="4">
                  <c:v>487.07468668884866</c:v>
                </c:pt>
                <c:pt idx="5">
                  <c:v>430.8458761755486</c:v>
                </c:pt>
                <c:pt idx="6">
                  <c:v>419.05762664936191</c:v>
                </c:pt>
                <c:pt idx="7">
                  <c:v>412.26755555555553</c:v>
                </c:pt>
                <c:pt idx="8">
                  <c:v>384.07547488064915</c:v>
                </c:pt>
                <c:pt idx="9">
                  <c:v>350.2562857142857</c:v>
                </c:pt>
                <c:pt idx="10">
                  <c:v>334.8986980929435</c:v>
                </c:pt>
                <c:pt idx="11">
                  <c:v>315.99531616711363</c:v>
                </c:pt>
                <c:pt idx="12">
                  <c:v>313.20799592647211</c:v>
                </c:pt>
                <c:pt idx="13">
                  <c:v>307.99023439878226</c:v>
                </c:pt>
                <c:pt idx="14">
                  <c:v>281.44695238095244</c:v>
                </c:pt>
                <c:pt idx="15">
                  <c:v>259.73551690821262</c:v>
                </c:pt>
                <c:pt idx="16">
                  <c:v>244.79402959830867</c:v>
                </c:pt>
                <c:pt idx="17">
                  <c:v>235.46034666666665</c:v>
                </c:pt>
                <c:pt idx="18">
                  <c:v>234.61594570799713</c:v>
                </c:pt>
                <c:pt idx="19">
                  <c:v>211.70309549124363</c:v>
                </c:pt>
                <c:pt idx="20">
                  <c:v>182.75893130804997</c:v>
                </c:pt>
                <c:pt idx="21">
                  <c:v>168.3753676885087</c:v>
                </c:pt>
                <c:pt idx="22">
                  <c:v>143.35423790627198</c:v>
                </c:pt>
                <c:pt idx="23">
                  <c:v>126.16301329288004</c:v>
                </c:pt>
                <c:pt idx="24">
                  <c:v>125.78331042018718</c:v>
                </c:pt>
                <c:pt idx="25">
                  <c:v>116.04730699096781</c:v>
                </c:pt>
                <c:pt idx="26">
                  <c:v>92.102023809523814</c:v>
                </c:pt>
                <c:pt idx="27">
                  <c:v>45.730655677655676</c:v>
                </c:pt>
              </c:numCache>
            </c:numRef>
          </c:val>
          <c:smooth val="0"/>
          <c:extLst>
            <c:ext xmlns:c16="http://schemas.microsoft.com/office/drawing/2014/chart" uri="{C3380CC4-5D6E-409C-BE32-E72D297353CC}">
              <c16:uniqueId val="{0000002B-3BDB-4213-AF84-EB8F285FE4AD}"/>
            </c:ext>
          </c:extLst>
        </c:ser>
        <c:dLbls>
          <c:showLegendKey val="0"/>
          <c:showVal val="0"/>
          <c:showCatName val="0"/>
          <c:showSerName val="0"/>
          <c:showPercent val="0"/>
          <c:showBubbleSize val="0"/>
        </c:dLbls>
        <c:marker val="1"/>
        <c:smooth val="0"/>
        <c:axId val="292223200"/>
        <c:axId val="292223592"/>
      </c:lineChart>
      <c:lineChart>
        <c:grouping val="standard"/>
        <c:varyColors val="0"/>
        <c:ser>
          <c:idx val="16"/>
          <c:order val="16"/>
          <c:tx>
            <c:strRef>
              <c:f>Admin_izdev_pret_amata_vietām!$R$1</c:f>
              <c:strCache>
                <c:ptCount val="1"/>
                <c:pt idx="0">
                  <c:v>Vidēji uz 1 amata vietu kopā</c:v>
                </c:pt>
              </c:strCache>
            </c:strRef>
          </c:tx>
          <c:spPr>
            <a:ln w="28575" cap="rnd">
              <a:solidFill>
                <a:srgbClr val="FF0000"/>
              </a:solidFill>
              <a:prstDash val="dash"/>
              <a:round/>
            </a:ln>
            <a:effectLst/>
          </c:spPr>
          <c:marker>
            <c:symbol val="none"/>
          </c:marker>
          <c:cat>
            <c:strRef>
              <c:f>Admin_izdev_pret_amata_vietām!$A$34:$A$61</c:f>
              <c:strCache>
                <c:ptCount val="28"/>
                <c:pt idx="0">
                  <c:v>ĀM</c:v>
                </c:pt>
                <c:pt idx="1">
                  <c:v>SM</c:v>
                </c:pt>
                <c:pt idx="2">
                  <c:v>VARAM</c:v>
                </c:pt>
                <c:pt idx="3">
                  <c:v>SIF</c:v>
                </c:pt>
                <c:pt idx="4">
                  <c:v>Prokuratūra</c:v>
                </c:pt>
                <c:pt idx="5">
                  <c:v>SPRK</c:v>
                </c:pt>
                <c:pt idx="6">
                  <c:v>VPK</c:v>
                </c:pt>
                <c:pt idx="7">
                  <c:v>RTV</c:v>
                </c:pt>
                <c:pt idx="8">
                  <c:v>TM</c:v>
                </c:pt>
                <c:pt idx="9">
                  <c:v>CZK</c:v>
                </c:pt>
                <c:pt idx="10">
                  <c:v>ZM</c:v>
                </c:pt>
                <c:pt idx="11">
                  <c:v>KM</c:v>
                </c:pt>
                <c:pt idx="12">
                  <c:v>EM</c:v>
                </c:pt>
                <c:pt idx="13">
                  <c:v>AT</c:v>
                </c:pt>
                <c:pt idx="14">
                  <c:v>CVK</c:v>
                </c:pt>
                <c:pt idx="15">
                  <c:v>TB</c:v>
                </c:pt>
                <c:pt idx="16">
                  <c:v>ST</c:v>
                </c:pt>
                <c:pt idx="17">
                  <c:v>KNAB</c:v>
                </c:pt>
                <c:pt idx="18">
                  <c:v>MK</c:v>
                </c:pt>
                <c:pt idx="19">
                  <c:v>Saeima</c:v>
                </c:pt>
                <c:pt idx="20">
                  <c:v>FM</c:v>
                </c:pt>
                <c:pt idx="21">
                  <c:v>AiM</c:v>
                </c:pt>
                <c:pt idx="22">
                  <c:v>VM</c:v>
                </c:pt>
                <c:pt idx="23">
                  <c:v>IZM</c:v>
                </c:pt>
                <c:pt idx="24">
                  <c:v>LM</c:v>
                </c:pt>
                <c:pt idx="25">
                  <c:v>IeM</c:v>
                </c:pt>
                <c:pt idx="26">
                  <c:v>VKo</c:v>
                </c:pt>
                <c:pt idx="27">
                  <c:v>PKC</c:v>
                </c:pt>
              </c:strCache>
            </c:strRef>
          </c:cat>
          <c:val>
            <c:numRef>
              <c:f>Admin_izdev_pret_amata_vietām!$R$34:$R$61</c:f>
              <c:numCache>
                <c:formatCode>#,##0</c:formatCode>
                <c:ptCount val="28"/>
                <c:pt idx="0" formatCode="General">
                  <c:v>314</c:v>
                </c:pt>
                <c:pt idx="1">
                  <c:v>314.07971490002552</c:v>
                </c:pt>
                <c:pt idx="2" formatCode="General">
                  <c:v>314</c:v>
                </c:pt>
                <c:pt idx="3" formatCode="General">
                  <c:v>314</c:v>
                </c:pt>
                <c:pt idx="4" formatCode="General">
                  <c:v>314</c:v>
                </c:pt>
                <c:pt idx="5" formatCode="General">
                  <c:v>314</c:v>
                </c:pt>
                <c:pt idx="6" formatCode="General">
                  <c:v>314</c:v>
                </c:pt>
                <c:pt idx="7" formatCode="General">
                  <c:v>314</c:v>
                </c:pt>
                <c:pt idx="8" formatCode="General">
                  <c:v>314</c:v>
                </c:pt>
                <c:pt idx="9" formatCode="General">
                  <c:v>314</c:v>
                </c:pt>
                <c:pt idx="10" formatCode="General">
                  <c:v>314</c:v>
                </c:pt>
                <c:pt idx="11" formatCode="General">
                  <c:v>314</c:v>
                </c:pt>
                <c:pt idx="12" formatCode="General">
                  <c:v>314</c:v>
                </c:pt>
                <c:pt idx="13" formatCode="General">
                  <c:v>314</c:v>
                </c:pt>
                <c:pt idx="14" formatCode="General">
                  <c:v>314</c:v>
                </c:pt>
                <c:pt idx="15" formatCode="General">
                  <c:v>314</c:v>
                </c:pt>
                <c:pt idx="16" formatCode="General">
                  <c:v>314</c:v>
                </c:pt>
                <c:pt idx="17" formatCode="General">
                  <c:v>314</c:v>
                </c:pt>
                <c:pt idx="18" formatCode="General">
                  <c:v>314</c:v>
                </c:pt>
                <c:pt idx="19" formatCode="General">
                  <c:v>314</c:v>
                </c:pt>
                <c:pt idx="20" formatCode="General">
                  <c:v>314</c:v>
                </c:pt>
                <c:pt idx="21" formatCode="General">
                  <c:v>314</c:v>
                </c:pt>
                <c:pt idx="22" formatCode="General">
                  <c:v>314</c:v>
                </c:pt>
                <c:pt idx="23" formatCode="General">
                  <c:v>314</c:v>
                </c:pt>
                <c:pt idx="24" formatCode="General">
                  <c:v>314</c:v>
                </c:pt>
                <c:pt idx="25" formatCode="General">
                  <c:v>314</c:v>
                </c:pt>
                <c:pt idx="26" formatCode="General">
                  <c:v>314</c:v>
                </c:pt>
                <c:pt idx="27" formatCode="General">
                  <c:v>314</c:v>
                </c:pt>
              </c:numCache>
            </c:numRef>
          </c:val>
          <c:smooth val="0"/>
          <c:extLst>
            <c:ext xmlns:c16="http://schemas.microsoft.com/office/drawing/2014/chart" uri="{C3380CC4-5D6E-409C-BE32-E72D297353CC}">
              <c16:uniqueId val="{0000002C-3BDB-4213-AF84-EB8F285FE4AD}"/>
            </c:ext>
          </c:extLst>
        </c:ser>
        <c:dLbls>
          <c:showLegendKey val="0"/>
          <c:showVal val="0"/>
          <c:showCatName val="0"/>
          <c:showSerName val="0"/>
          <c:showPercent val="0"/>
          <c:showBubbleSize val="0"/>
        </c:dLbls>
        <c:marker val="1"/>
        <c:smooth val="0"/>
        <c:axId val="292224376"/>
        <c:axId val="292223984"/>
      </c:lineChart>
      <c:catAx>
        <c:axId val="29222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23592"/>
        <c:crosses val="autoZero"/>
        <c:auto val="1"/>
        <c:lblAlgn val="ctr"/>
        <c:lblOffset val="100"/>
        <c:noMultiLvlLbl val="0"/>
      </c:catAx>
      <c:valAx>
        <c:axId val="292223592"/>
        <c:scaling>
          <c:orientation val="minMax"/>
          <c:max val="32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2223200"/>
        <c:crosses val="autoZero"/>
        <c:crossBetween val="between"/>
        <c:majorUnit val="200"/>
      </c:valAx>
      <c:valAx>
        <c:axId val="292223984"/>
        <c:scaling>
          <c:orientation val="minMax"/>
          <c:max val="3200"/>
          <c:min val="0"/>
        </c:scaling>
        <c:delete val="1"/>
        <c:axPos val="r"/>
        <c:numFmt formatCode="General" sourceLinked="1"/>
        <c:majorTickMark val="out"/>
        <c:minorTickMark val="none"/>
        <c:tickLblPos val="nextTo"/>
        <c:crossAx val="292224376"/>
        <c:crosses val="max"/>
        <c:crossBetween val="between"/>
        <c:majorUnit val="200"/>
      </c:valAx>
      <c:catAx>
        <c:axId val="292224376"/>
        <c:scaling>
          <c:orientation val="minMax"/>
        </c:scaling>
        <c:delete val="1"/>
        <c:axPos val="b"/>
        <c:numFmt formatCode="General" sourceLinked="1"/>
        <c:majorTickMark val="out"/>
        <c:minorTickMark val="none"/>
        <c:tickLblPos val="nextTo"/>
        <c:crossAx val="292223984"/>
        <c:crosses val="autoZero"/>
        <c:auto val="1"/>
        <c:lblAlgn val="ctr"/>
        <c:lblOffset val="100"/>
        <c:noMultiLvlLbl val="0"/>
      </c:catAx>
      <c:spPr>
        <a:noFill/>
        <a:ln>
          <a:noFill/>
        </a:ln>
        <a:effectLst/>
      </c:spPr>
    </c:plotArea>
    <c:legend>
      <c:legendPos val="b"/>
      <c:legendEntry>
        <c:idx val="6"/>
        <c:delete val="1"/>
      </c:legendEntry>
      <c:layout>
        <c:manualLayout>
          <c:xMode val="edge"/>
          <c:yMode val="edge"/>
          <c:x val="1.7813656148902721E-2"/>
          <c:y val="0.87027180924418335"/>
          <c:w val="0.97292335037855193"/>
          <c:h val="0.1005968432028188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457632139719172E-2"/>
          <c:y val="0.11866916456552054"/>
          <c:w val="0.93535614856608085"/>
          <c:h val="0.68070373135379547"/>
        </c:manualLayout>
      </c:layout>
      <c:barChart>
        <c:barDir val="col"/>
        <c:grouping val="clustered"/>
        <c:varyColors val="0"/>
        <c:ser>
          <c:idx val="2"/>
          <c:order val="2"/>
          <c:tx>
            <c:strRef>
              <c:f>Admin_izdev_pret_amata_vietām!$D$1</c:f>
              <c:strCache>
                <c:ptCount val="1"/>
                <c:pt idx="0">
                  <c:v>2015.gads izpilde</c:v>
                </c:pt>
              </c:strCache>
            </c:strRef>
          </c:tx>
          <c:spPr>
            <a:solidFill>
              <a:schemeClr val="accent3"/>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Admin_izdev_pret_amata_vietām!$D$96:$D$123</c:f>
              <c:numCache>
                <c:formatCode>#,##0</c:formatCode>
                <c:ptCount val="28"/>
                <c:pt idx="0">
                  <c:v>247.7686956521739</c:v>
                </c:pt>
                <c:pt idx="1">
                  <c:v>301.8125</c:v>
                </c:pt>
                <c:pt idx="2">
                  <c:v>195.36231884057972</c:v>
                </c:pt>
                <c:pt idx="3">
                  <c:v>384.95522388059709</c:v>
                </c:pt>
                <c:pt idx="4">
                  <c:v>219.88387096774198</c:v>
                </c:pt>
                <c:pt idx="5">
                  <c:v>224.66666666666666</c:v>
                </c:pt>
                <c:pt idx="6">
                  <c:v>202.92857142857142</c:v>
                </c:pt>
                <c:pt idx="7">
                  <c:v>245.8551724137931</c:v>
                </c:pt>
                <c:pt idx="8">
                  <c:v>113.66666666666667</c:v>
                </c:pt>
                <c:pt idx="9">
                  <c:v>167.70121951219511</c:v>
                </c:pt>
                <c:pt idx="10">
                  <c:v>161.76535229476409</c:v>
                </c:pt>
                <c:pt idx="11">
                  <c:v>167.55935971542908</c:v>
                </c:pt>
                <c:pt idx="12">
                  <c:v>175.57345971563981</c:v>
                </c:pt>
                <c:pt idx="13">
                  <c:v>53.305084745762706</c:v>
                </c:pt>
                <c:pt idx="14">
                  <c:v>135.02274607113316</c:v>
                </c:pt>
                <c:pt idx="15">
                  <c:v>149.58333333333334</c:v>
                </c:pt>
                <c:pt idx="16">
                  <c:v>155.81142857142856</c:v>
                </c:pt>
                <c:pt idx="17">
                  <c:v>93</c:v>
                </c:pt>
                <c:pt idx="18">
                  <c:v>160.73333333333329</c:v>
                </c:pt>
                <c:pt idx="19">
                  <c:v>122.14162908680947</c:v>
                </c:pt>
                <c:pt idx="20">
                  <c:v>97.1</c:v>
                </c:pt>
                <c:pt idx="21">
                  <c:v>113.41025641025641</c:v>
                </c:pt>
                <c:pt idx="22">
                  <c:v>111.54383326171035</c:v>
                </c:pt>
                <c:pt idx="23">
                  <c:v>92.732577338010714</c:v>
                </c:pt>
                <c:pt idx="24">
                  <c:v>79.766339367904266</c:v>
                </c:pt>
                <c:pt idx="25">
                  <c:v>51.060000000000009</c:v>
                </c:pt>
                <c:pt idx="26">
                  <c:v>60.605767042683915</c:v>
                </c:pt>
                <c:pt idx="27">
                  <c:v>72.321713125668495</c:v>
                </c:pt>
              </c:numCache>
            </c:numRef>
          </c:val>
          <c:extLst>
            <c:ext xmlns:c16="http://schemas.microsoft.com/office/drawing/2014/chart" uri="{C3380CC4-5D6E-409C-BE32-E72D297353CC}">
              <c16:uniqueId val="{00000000-6F71-4A74-A4E2-6C4EE7609FAB}"/>
            </c:ext>
          </c:extLst>
        </c:ser>
        <c:ser>
          <c:idx val="5"/>
          <c:order val="5"/>
          <c:tx>
            <c:strRef>
              <c:f>Admin_izdev_pret_amata_vietām!$G$1</c:f>
              <c:strCache>
                <c:ptCount val="1"/>
                <c:pt idx="0">
                  <c:v>2016.gads izpilde</c:v>
                </c:pt>
              </c:strCache>
            </c:strRef>
          </c:tx>
          <c:spPr>
            <a:solidFill>
              <a:schemeClr val="accent6"/>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Admin_izdev_pret_amata_vietām!$G$96:$G$123</c:f>
              <c:numCache>
                <c:formatCode>#,##0</c:formatCode>
                <c:ptCount val="28"/>
                <c:pt idx="0">
                  <c:v>252.21050000000005</c:v>
                </c:pt>
                <c:pt idx="1">
                  <c:v>268.95722222222219</c:v>
                </c:pt>
                <c:pt idx="2">
                  <c:v>275.87733812949642</c:v>
                </c:pt>
                <c:pt idx="3">
                  <c:v>285.94333333333333</c:v>
                </c:pt>
                <c:pt idx="4">
                  <c:v>182.44487654320989</c:v>
                </c:pt>
                <c:pt idx="5">
                  <c:v>177.50827213822893</c:v>
                </c:pt>
                <c:pt idx="6">
                  <c:v>236.12395348837214</c:v>
                </c:pt>
                <c:pt idx="7">
                  <c:v>188.83144827586207</c:v>
                </c:pt>
                <c:pt idx="8">
                  <c:v>91.068076923076916</c:v>
                </c:pt>
                <c:pt idx="9">
                  <c:v>147.72212443095597</c:v>
                </c:pt>
                <c:pt idx="10">
                  <c:v>138.09511785856969</c:v>
                </c:pt>
                <c:pt idx="11">
                  <c:v>136.89852640545143</c:v>
                </c:pt>
                <c:pt idx="12">
                  <c:v>147.00537078651686</c:v>
                </c:pt>
                <c:pt idx="13">
                  <c:v>150.28477611940295</c:v>
                </c:pt>
                <c:pt idx="14">
                  <c:v>122.23638798701299</c:v>
                </c:pt>
                <c:pt idx="15">
                  <c:v>92.271818181818176</c:v>
                </c:pt>
                <c:pt idx="16">
                  <c:v>81.994166666666658</c:v>
                </c:pt>
                <c:pt idx="17">
                  <c:v>113.03</c:v>
                </c:pt>
                <c:pt idx="18">
                  <c:v>84.938695652173905</c:v>
                </c:pt>
                <c:pt idx="19">
                  <c:v>103.93336930285389</c:v>
                </c:pt>
                <c:pt idx="20">
                  <c:v>214.27476190476187</c:v>
                </c:pt>
                <c:pt idx="21">
                  <c:v>118.66306255835664</c:v>
                </c:pt>
                <c:pt idx="22">
                  <c:v>104.96604898369607</c:v>
                </c:pt>
                <c:pt idx="23">
                  <c:v>76.521516748282338</c:v>
                </c:pt>
                <c:pt idx="24">
                  <c:v>67.927550637156287</c:v>
                </c:pt>
                <c:pt idx="25">
                  <c:v>63.633200000000009</c:v>
                </c:pt>
                <c:pt idx="26">
                  <c:v>60.146458764219226</c:v>
                </c:pt>
                <c:pt idx="27">
                  <c:v>36.339788348700758</c:v>
                </c:pt>
              </c:numCache>
            </c:numRef>
          </c:val>
          <c:extLst>
            <c:ext xmlns:c16="http://schemas.microsoft.com/office/drawing/2014/chart" uri="{C3380CC4-5D6E-409C-BE32-E72D297353CC}">
              <c16:uniqueId val="{00000001-6F71-4A74-A4E2-6C4EE7609FAB}"/>
            </c:ext>
          </c:extLst>
        </c:ser>
        <c:ser>
          <c:idx val="8"/>
          <c:order val="8"/>
          <c:tx>
            <c:strRef>
              <c:f>Admin_izdev_pret_amata_vietām!$J$1</c:f>
              <c:strCache>
                <c:ptCount val="1"/>
                <c:pt idx="0">
                  <c:v>2017.gads plāns</c:v>
                </c:pt>
              </c:strCache>
            </c:strRef>
          </c:tx>
          <c:spPr>
            <a:solidFill>
              <a:schemeClr val="accent3">
                <a:lumMod val="6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Admin_izdev_pret_amata_vietām!$J$96:$J$123</c:f>
              <c:numCache>
                <c:formatCode>#,##0</c:formatCode>
                <c:ptCount val="28"/>
                <c:pt idx="0">
                  <c:v>271.92711864406778</c:v>
                </c:pt>
                <c:pt idx="1">
                  <c:v>222.22222222222223</c:v>
                </c:pt>
                <c:pt idx="2">
                  <c:v>251.9078014184397</c:v>
                </c:pt>
                <c:pt idx="3">
                  <c:v>175.36231884057972</c:v>
                </c:pt>
                <c:pt idx="4">
                  <c:v>245.43835616438355</c:v>
                </c:pt>
                <c:pt idx="5">
                  <c:v>217.03347732181425</c:v>
                </c:pt>
                <c:pt idx="6">
                  <c:v>190.90909090909091</c:v>
                </c:pt>
                <c:pt idx="7">
                  <c:v>165.51063829787233</c:v>
                </c:pt>
                <c:pt idx="8">
                  <c:v>228.07692307692307</c:v>
                </c:pt>
                <c:pt idx="9">
                  <c:v>183.19969742813919</c:v>
                </c:pt>
                <c:pt idx="10">
                  <c:v>160.73670778392173</c:v>
                </c:pt>
                <c:pt idx="11">
                  <c:v>149.88798977853492</c:v>
                </c:pt>
                <c:pt idx="12">
                  <c:v>136.01345291479819</c:v>
                </c:pt>
                <c:pt idx="13">
                  <c:v>178.68995633187771</c:v>
                </c:pt>
                <c:pt idx="14">
                  <c:v>133.24473257698543</c:v>
                </c:pt>
                <c:pt idx="15">
                  <c:v>136.0344827586207</c:v>
                </c:pt>
                <c:pt idx="16">
                  <c:v>113.88888888888889</c:v>
                </c:pt>
                <c:pt idx="17">
                  <c:v>123</c:v>
                </c:pt>
                <c:pt idx="18">
                  <c:v>108.69565217391305</c:v>
                </c:pt>
                <c:pt idx="19">
                  <c:v>113.6074368435992</c:v>
                </c:pt>
                <c:pt idx="20">
                  <c:v>79.428571428571431</c:v>
                </c:pt>
                <c:pt idx="21">
                  <c:v>97.061224489795919</c:v>
                </c:pt>
                <c:pt idx="22">
                  <c:v>86.389855072463774</c:v>
                </c:pt>
                <c:pt idx="23">
                  <c:v>71.397067033907774</c:v>
                </c:pt>
                <c:pt idx="24">
                  <c:v>71.378746594005449</c:v>
                </c:pt>
                <c:pt idx="25">
                  <c:v>66.666666666666671</c:v>
                </c:pt>
                <c:pt idx="26">
                  <c:v>54.735727469965347</c:v>
                </c:pt>
                <c:pt idx="27">
                  <c:v>55.047150041911145</c:v>
                </c:pt>
              </c:numCache>
            </c:numRef>
          </c:val>
          <c:extLst>
            <c:ext xmlns:c16="http://schemas.microsoft.com/office/drawing/2014/chart" uri="{C3380CC4-5D6E-409C-BE32-E72D297353CC}">
              <c16:uniqueId val="{00000002-6F71-4A74-A4E2-6C4EE7609FAB}"/>
            </c:ext>
          </c:extLst>
        </c:ser>
        <c:ser>
          <c:idx val="11"/>
          <c:order val="11"/>
          <c:tx>
            <c:strRef>
              <c:f>Admin_izdev_pret_amata_vietām!$M$1</c:f>
              <c:strCache>
                <c:ptCount val="1"/>
                <c:pt idx="0">
                  <c:v>2018.gads plāns</c:v>
                </c:pt>
              </c:strCache>
            </c:strRef>
          </c:tx>
          <c:spPr>
            <a:solidFill>
              <a:schemeClr val="accent6">
                <a:lumMod val="6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Admin_izdev_pret_amata_vietām!$M$96:$M$123</c:f>
              <c:numCache>
                <c:formatCode>#,##0</c:formatCode>
                <c:ptCount val="28"/>
                <c:pt idx="0">
                  <c:v>271.49152542372883</c:v>
                </c:pt>
                <c:pt idx="1">
                  <c:v>222.22222222222223</c:v>
                </c:pt>
                <c:pt idx="2">
                  <c:v>251.9078014184397</c:v>
                </c:pt>
                <c:pt idx="3">
                  <c:v>175.36231884057972</c:v>
                </c:pt>
                <c:pt idx="4">
                  <c:v>245.43835616438355</c:v>
                </c:pt>
                <c:pt idx="5">
                  <c:v>217.03347732181425</c:v>
                </c:pt>
                <c:pt idx="6">
                  <c:v>190.90909090909091</c:v>
                </c:pt>
                <c:pt idx="7">
                  <c:v>165.51063829787233</c:v>
                </c:pt>
                <c:pt idx="8">
                  <c:v>228.07692307692307</c:v>
                </c:pt>
                <c:pt idx="9">
                  <c:v>185.20423600605145</c:v>
                </c:pt>
                <c:pt idx="10">
                  <c:v>169.01365569733602</c:v>
                </c:pt>
                <c:pt idx="11">
                  <c:v>148.62204391891891</c:v>
                </c:pt>
                <c:pt idx="12">
                  <c:v>137.53820224719101</c:v>
                </c:pt>
                <c:pt idx="13">
                  <c:v>158.44660194174756</c:v>
                </c:pt>
                <c:pt idx="14">
                  <c:v>136.54154843940009</c:v>
                </c:pt>
                <c:pt idx="15">
                  <c:v>136.0344827586207</c:v>
                </c:pt>
                <c:pt idx="16">
                  <c:v>113.88888888888889</c:v>
                </c:pt>
                <c:pt idx="17">
                  <c:v>123</c:v>
                </c:pt>
                <c:pt idx="18">
                  <c:v>108.69565217391305</c:v>
                </c:pt>
                <c:pt idx="19">
                  <c:v>112.98538799829763</c:v>
                </c:pt>
                <c:pt idx="20">
                  <c:v>79.428571428571431</c:v>
                </c:pt>
                <c:pt idx="21">
                  <c:v>97.88333333333334</c:v>
                </c:pt>
                <c:pt idx="22">
                  <c:v>101.3495110467222</c:v>
                </c:pt>
                <c:pt idx="23">
                  <c:v>72.213148376030134</c:v>
                </c:pt>
                <c:pt idx="24">
                  <c:v>65.978808705612835</c:v>
                </c:pt>
                <c:pt idx="25">
                  <c:v>66.666666666666671</c:v>
                </c:pt>
                <c:pt idx="26">
                  <c:v>58.362947368421054</c:v>
                </c:pt>
                <c:pt idx="27">
                  <c:v>55.047150041911145</c:v>
                </c:pt>
              </c:numCache>
            </c:numRef>
          </c:val>
          <c:extLst>
            <c:ext xmlns:c16="http://schemas.microsoft.com/office/drawing/2014/chart" uri="{C3380CC4-5D6E-409C-BE32-E72D297353CC}">
              <c16:uniqueId val="{00000003-6F71-4A74-A4E2-6C4EE7609FAB}"/>
            </c:ext>
          </c:extLst>
        </c:ser>
        <c:ser>
          <c:idx val="14"/>
          <c:order val="14"/>
          <c:tx>
            <c:strRef>
              <c:f>Admin_izdev_pret_amata_vietām!$P$1</c:f>
              <c:strCache>
                <c:ptCount val="1"/>
                <c:pt idx="0">
                  <c:v>2019.gads plāns</c:v>
                </c:pt>
              </c:strCache>
            </c:strRef>
          </c:tx>
          <c:spPr>
            <a:solidFill>
              <a:srgbClr val="00B0F0"/>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Admin_izdev_pret_amata_vietām!$P$96:$P$123</c:f>
              <c:numCache>
                <c:formatCode>#,##0</c:formatCode>
                <c:ptCount val="28"/>
                <c:pt idx="0">
                  <c:v>271.49152542372883</c:v>
                </c:pt>
                <c:pt idx="1">
                  <c:v>222.22222222222223</c:v>
                </c:pt>
                <c:pt idx="2">
                  <c:v>251.9078014184397</c:v>
                </c:pt>
                <c:pt idx="3">
                  <c:v>175.36231884057972</c:v>
                </c:pt>
                <c:pt idx="4">
                  <c:v>245.43835616438355</c:v>
                </c:pt>
                <c:pt idx="5">
                  <c:v>217.03347732181425</c:v>
                </c:pt>
                <c:pt idx="6">
                  <c:v>190.90909090909091</c:v>
                </c:pt>
                <c:pt idx="7">
                  <c:v>165.51063829787233</c:v>
                </c:pt>
                <c:pt idx="8">
                  <c:v>228.07692307692307</c:v>
                </c:pt>
                <c:pt idx="9">
                  <c:v>189.62934947049925</c:v>
                </c:pt>
                <c:pt idx="10">
                  <c:v>166.5140813589629</c:v>
                </c:pt>
                <c:pt idx="11">
                  <c:v>147.13085284280936</c:v>
                </c:pt>
                <c:pt idx="12">
                  <c:v>137.53820224719101</c:v>
                </c:pt>
                <c:pt idx="13">
                  <c:v>148.25870646766168</c:v>
                </c:pt>
                <c:pt idx="14">
                  <c:v>133.29874341305228</c:v>
                </c:pt>
                <c:pt idx="15">
                  <c:v>136.0344827586207</c:v>
                </c:pt>
                <c:pt idx="16">
                  <c:v>113.88888888888889</c:v>
                </c:pt>
                <c:pt idx="17">
                  <c:v>123</c:v>
                </c:pt>
                <c:pt idx="18">
                  <c:v>108.69565217391305</c:v>
                </c:pt>
                <c:pt idx="19">
                  <c:v>112.74833309689318</c:v>
                </c:pt>
                <c:pt idx="20">
                  <c:v>79.428571428571431</c:v>
                </c:pt>
                <c:pt idx="21">
                  <c:v>98.809259259259264</c:v>
                </c:pt>
                <c:pt idx="22">
                  <c:v>101.3495110467222</c:v>
                </c:pt>
                <c:pt idx="23">
                  <c:v>72.213148376030134</c:v>
                </c:pt>
                <c:pt idx="24">
                  <c:v>62.87956125108601</c:v>
                </c:pt>
                <c:pt idx="25">
                  <c:v>66.666666666666671</c:v>
                </c:pt>
                <c:pt idx="26">
                  <c:v>59.987433198380565</c:v>
                </c:pt>
                <c:pt idx="27">
                  <c:v>55.047150041911145</c:v>
                </c:pt>
              </c:numCache>
            </c:numRef>
          </c:val>
          <c:extLst>
            <c:ext xmlns:c16="http://schemas.microsoft.com/office/drawing/2014/chart" uri="{C3380CC4-5D6E-409C-BE32-E72D297353CC}">
              <c16:uniqueId val="{00000004-6F71-4A74-A4E2-6C4EE7609FAB}"/>
            </c:ext>
          </c:extLst>
        </c:ser>
        <c:dLbls>
          <c:showLegendKey val="0"/>
          <c:showVal val="0"/>
          <c:showCatName val="0"/>
          <c:showSerName val="0"/>
          <c:showPercent val="0"/>
          <c:showBubbleSize val="0"/>
        </c:dLbls>
        <c:gapWidth val="219"/>
        <c:axId val="294268112"/>
        <c:axId val="294268504"/>
      </c:barChart>
      <c:barChart>
        <c:barDir val="col"/>
        <c:grouping val="clustered"/>
        <c:varyColors val="0"/>
        <c:ser>
          <c:idx val="0"/>
          <c:order val="0"/>
          <c:tx>
            <c:strRef>
              <c:f>Admin_izdev_pret_amata_vietām!$B$1</c:f>
              <c:strCache>
                <c:ptCount val="1"/>
                <c:pt idx="0">
                  <c:v>2015.gada izpilde</c:v>
                </c:pt>
              </c:strCache>
            </c:strRef>
          </c:tx>
          <c:spPr>
            <a:solidFill>
              <a:schemeClr val="accent1"/>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Admin_izdev_pret_amata_vietām!$B$96:$B$123</c:f>
            </c:numRef>
          </c:val>
          <c:extLst>
            <c:ext xmlns:c16="http://schemas.microsoft.com/office/drawing/2014/chart" uri="{C3380CC4-5D6E-409C-BE32-E72D297353CC}">
              <c16:uniqueId val="{00000005-6F71-4A74-A4E2-6C4EE7609FAB}"/>
            </c:ext>
          </c:extLst>
        </c:ser>
        <c:ser>
          <c:idx val="1"/>
          <c:order val="1"/>
          <c:tx>
            <c:strRef>
              <c:f>Admin_izdev_pret_amata_vietām!$C$1</c:f>
              <c:strCache>
                <c:ptCount val="1"/>
                <c:pt idx="0">
                  <c:v>2015.gada Amata vieta/slodze</c:v>
                </c:pt>
              </c:strCache>
            </c:strRef>
          </c:tx>
          <c:spPr>
            <a:solidFill>
              <a:schemeClr val="accent2"/>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Admin_izdev_pret_amata_vietām!$C$96:$C$123</c:f>
            </c:numRef>
          </c:val>
          <c:extLst>
            <c:ext xmlns:c16="http://schemas.microsoft.com/office/drawing/2014/chart" uri="{C3380CC4-5D6E-409C-BE32-E72D297353CC}">
              <c16:uniqueId val="{00000006-6F71-4A74-A4E2-6C4EE7609FAB}"/>
            </c:ext>
          </c:extLst>
        </c:ser>
        <c:ser>
          <c:idx val="3"/>
          <c:order val="3"/>
          <c:tx>
            <c:strRef>
              <c:f>Admin_izdev_pret_amata_vietām!$E$1</c:f>
              <c:strCache>
                <c:ptCount val="1"/>
                <c:pt idx="0">
                  <c:v>2016.gada izpilde</c:v>
                </c:pt>
              </c:strCache>
            </c:strRef>
          </c:tx>
          <c:spPr>
            <a:solidFill>
              <a:schemeClr val="accent4"/>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Admin_izdev_pret_amata_vietām!$E$96:$E$123</c:f>
            </c:numRef>
          </c:val>
          <c:extLst>
            <c:ext xmlns:c16="http://schemas.microsoft.com/office/drawing/2014/chart" uri="{C3380CC4-5D6E-409C-BE32-E72D297353CC}">
              <c16:uniqueId val="{00000007-6F71-4A74-A4E2-6C4EE7609FAB}"/>
            </c:ext>
          </c:extLst>
        </c:ser>
        <c:ser>
          <c:idx val="4"/>
          <c:order val="4"/>
          <c:tx>
            <c:strRef>
              <c:f>Admin_izdev_pret_amata_vietām!$F$1</c:f>
              <c:strCache>
                <c:ptCount val="1"/>
                <c:pt idx="0">
                  <c:v>2016.gada Amata vieta/slodze</c:v>
                </c:pt>
              </c:strCache>
            </c:strRef>
          </c:tx>
          <c:spPr>
            <a:solidFill>
              <a:schemeClr val="accent5"/>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Admin_izdev_pret_amata_vietām!$F$96:$F$123</c:f>
            </c:numRef>
          </c:val>
          <c:extLst>
            <c:ext xmlns:c16="http://schemas.microsoft.com/office/drawing/2014/chart" uri="{C3380CC4-5D6E-409C-BE32-E72D297353CC}">
              <c16:uniqueId val="{00000008-6F71-4A74-A4E2-6C4EE7609FAB}"/>
            </c:ext>
          </c:extLst>
        </c:ser>
        <c:ser>
          <c:idx val="6"/>
          <c:order val="6"/>
          <c:tx>
            <c:strRef>
              <c:f>Admin_izdev_pret_amata_vietām!$H$1</c:f>
              <c:strCache>
                <c:ptCount val="1"/>
                <c:pt idx="0">
                  <c:v>2017.gada plāns</c:v>
                </c:pt>
              </c:strCache>
            </c:strRef>
          </c:tx>
          <c:spPr>
            <a:solidFill>
              <a:schemeClr val="accent1">
                <a:lumMod val="6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Admin_izdev_pret_amata_vietām!$H$96:$H$123</c:f>
            </c:numRef>
          </c:val>
          <c:extLst>
            <c:ext xmlns:c16="http://schemas.microsoft.com/office/drawing/2014/chart" uri="{C3380CC4-5D6E-409C-BE32-E72D297353CC}">
              <c16:uniqueId val="{00000009-6F71-4A74-A4E2-6C4EE7609FAB}"/>
            </c:ext>
          </c:extLst>
        </c:ser>
        <c:ser>
          <c:idx val="7"/>
          <c:order val="7"/>
          <c:tx>
            <c:strRef>
              <c:f>Admin_izdev_pret_amata_vietām!$I$1</c:f>
              <c:strCache>
                <c:ptCount val="1"/>
                <c:pt idx="0">
                  <c:v>2017.gada Amata vieta/slodze</c:v>
                </c:pt>
              </c:strCache>
            </c:strRef>
          </c:tx>
          <c:spPr>
            <a:solidFill>
              <a:schemeClr val="accent2">
                <a:lumMod val="6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Admin_izdev_pret_amata_vietām!$I$96:$I$123</c:f>
            </c:numRef>
          </c:val>
          <c:extLst>
            <c:ext xmlns:c16="http://schemas.microsoft.com/office/drawing/2014/chart" uri="{C3380CC4-5D6E-409C-BE32-E72D297353CC}">
              <c16:uniqueId val="{0000000A-6F71-4A74-A4E2-6C4EE7609FAB}"/>
            </c:ext>
          </c:extLst>
        </c:ser>
        <c:ser>
          <c:idx val="9"/>
          <c:order val="9"/>
          <c:tx>
            <c:strRef>
              <c:f>Admin_izdev_pret_amata_vietām!$K$1</c:f>
              <c:strCache>
                <c:ptCount val="1"/>
                <c:pt idx="0">
                  <c:v>2018.gada plāns</c:v>
                </c:pt>
              </c:strCache>
            </c:strRef>
          </c:tx>
          <c:spPr>
            <a:solidFill>
              <a:schemeClr val="accent4">
                <a:lumMod val="6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Admin_izdev_pret_amata_vietām!$K$96:$K$123</c:f>
            </c:numRef>
          </c:val>
          <c:extLst>
            <c:ext xmlns:c16="http://schemas.microsoft.com/office/drawing/2014/chart" uri="{C3380CC4-5D6E-409C-BE32-E72D297353CC}">
              <c16:uniqueId val="{0000000B-6F71-4A74-A4E2-6C4EE7609FAB}"/>
            </c:ext>
          </c:extLst>
        </c:ser>
        <c:ser>
          <c:idx val="10"/>
          <c:order val="10"/>
          <c:tx>
            <c:strRef>
              <c:f>Admin_izdev_pret_amata_vietām!$L$1</c:f>
              <c:strCache>
                <c:ptCount val="1"/>
                <c:pt idx="0">
                  <c:v>2018.gada Amata vieta/slodze</c:v>
                </c:pt>
              </c:strCache>
            </c:strRef>
          </c:tx>
          <c:spPr>
            <a:solidFill>
              <a:schemeClr val="accent5">
                <a:lumMod val="6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Admin_izdev_pret_amata_vietām!$L$96:$L$123</c:f>
            </c:numRef>
          </c:val>
          <c:extLst>
            <c:ext xmlns:c16="http://schemas.microsoft.com/office/drawing/2014/chart" uri="{C3380CC4-5D6E-409C-BE32-E72D297353CC}">
              <c16:uniqueId val="{0000000C-6F71-4A74-A4E2-6C4EE7609FAB}"/>
            </c:ext>
          </c:extLst>
        </c:ser>
        <c:ser>
          <c:idx val="12"/>
          <c:order val="12"/>
          <c:tx>
            <c:strRef>
              <c:f>Admin_izdev_pret_amata_vietām!$N$1</c:f>
              <c:strCache>
                <c:ptCount val="1"/>
                <c:pt idx="0">
                  <c:v>2019.gada plāns</c:v>
                </c:pt>
              </c:strCache>
            </c:strRef>
          </c:tx>
          <c:spPr>
            <a:solidFill>
              <a:schemeClr val="accent1">
                <a:lumMod val="80000"/>
                <a:lumOff val="2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Admin_izdev_pret_amata_vietām!$N$96:$N$123</c:f>
            </c:numRef>
          </c:val>
          <c:extLst>
            <c:ext xmlns:c16="http://schemas.microsoft.com/office/drawing/2014/chart" uri="{C3380CC4-5D6E-409C-BE32-E72D297353CC}">
              <c16:uniqueId val="{0000000D-6F71-4A74-A4E2-6C4EE7609FAB}"/>
            </c:ext>
          </c:extLst>
        </c:ser>
        <c:ser>
          <c:idx val="13"/>
          <c:order val="13"/>
          <c:tx>
            <c:strRef>
              <c:f>Admin_izdev_pret_amata_vietām!$O$1</c:f>
              <c:strCache>
                <c:ptCount val="1"/>
                <c:pt idx="0">
                  <c:v>2019.gada Amata vieta/slodze</c:v>
                </c:pt>
              </c:strCache>
            </c:strRef>
          </c:tx>
          <c:spPr>
            <a:solidFill>
              <a:schemeClr val="accent2">
                <a:lumMod val="80000"/>
                <a:lumOff val="20000"/>
              </a:schemeClr>
            </a:solidFill>
            <a:ln>
              <a:noFill/>
            </a:ln>
            <a:effectLst/>
          </c:spPr>
          <c:invertIfNegative val="0"/>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Admin_izdev_pret_amata_vietām!$O$96:$O$123</c:f>
            </c:numRef>
          </c:val>
          <c:extLst>
            <c:ext xmlns:c16="http://schemas.microsoft.com/office/drawing/2014/chart" uri="{C3380CC4-5D6E-409C-BE32-E72D297353CC}">
              <c16:uniqueId val="{0000000E-6F71-4A74-A4E2-6C4EE7609FAB}"/>
            </c:ext>
          </c:extLst>
        </c:ser>
        <c:dLbls>
          <c:showLegendKey val="0"/>
          <c:showVal val="0"/>
          <c:showCatName val="0"/>
          <c:showSerName val="0"/>
          <c:showPercent val="0"/>
          <c:showBubbleSize val="0"/>
        </c:dLbls>
        <c:gapWidth val="219"/>
        <c:axId val="294268112"/>
        <c:axId val="294268504"/>
      </c:barChart>
      <c:lineChart>
        <c:grouping val="standard"/>
        <c:varyColors val="0"/>
        <c:ser>
          <c:idx val="15"/>
          <c:order val="15"/>
          <c:tx>
            <c:strRef>
              <c:f>Admin_izdev_pret_amata_vietām!$Q$1</c:f>
              <c:strCache>
                <c:ptCount val="1"/>
                <c:pt idx="0">
                  <c:v>Vidēji uz 1 amata vietu resoram</c:v>
                </c:pt>
              </c:strCache>
            </c:strRef>
          </c:tx>
          <c:spPr>
            <a:ln w="28575" cap="rnd">
              <a:noFill/>
              <a:round/>
            </a:ln>
            <a:effectLst/>
          </c:spPr>
          <c:marker>
            <c:symbol val="dash"/>
            <c:size val="12"/>
            <c:spPr>
              <a:solidFill>
                <a:srgbClr val="7030A0"/>
              </a:solidFill>
              <a:ln w="31750">
                <a:solidFill>
                  <a:srgbClr val="7030A0"/>
                </a:solidFill>
              </a:ln>
              <a:effectLst/>
            </c:spPr>
          </c:marker>
          <c:dLbls>
            <c:dLbl>
              <c:idx val="0"/>
              <c:layout>
                <c:manualLayout>
                  <c:x val="-4.2753313381787089E-2"/>
                  <c:y val="-2.88610614192009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F71-4A74-A4E2-6C4EE7609FAB}"/>
                </c:ext>
              </c:extLst>
            </c:dLbl>
            <c:dLbl>
              <c:idx val="1"/>
              <c:layout>
                <c:manualLayout>
                  <c:x val="-2.9874009611637876E-2"/>
                  <c:y val="-7.8396169958108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F71-4A74-A4E2-6C4EE7609FAB}"/>
                </c:ext>
              </c:extLst>
            </c:dLbl>
            <c:dLbl>
              <c:idx val="2"/>
              <c:layout>
                <c:manualLayout>
                  <c:x val="-3.3770619560981971E-2"/>
                  <c:y val="-6.88210652304009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F71-4A74-A4E2-6C4EE7609FAB}"/>
                </c:ext>
              </c:extLst>
            </c:dLbl>
            <c:dLbl>
              <c:idx val="3"/>
              <c:layout>
                <c:manualLayout>
                  <c:x val="-2.5977350843115539E-2"/>
                  <c:y val="-4.508876461998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F71-4A74-A4E2-6C4EE7609FAB}"/>
                </c:ext>
              </c:extLst>
            </c:dLbl>
            <c:dLbl>
              <c:idx val="4"/>
              <c:layout>
                <c:manualLayout>
                  <c:x val="-1.496365968362552E-2"/>
                  <c:y val="-2.64758497316636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F71-4A74-A4E2-6C4EE7609FAB}"/>
                </c:ext>
              </c:extLst>
            </c:dLbl>
            <c:dLbl>
              <c:idx val="5"/>
              <c:layout>
                <c:manualLayout>
                  <c:x val="-3.4202650705429674E-2"/>
                  <c:y val="-2.4090638044126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F71-4A74-A4E2-6C4EE7609FAB}"/>
                </c:ext>
              </c:extLst>
            </c:dLbl>
            <c:dLbl>
              <c:idx val="6"/>
              <c:layout>
                <c:manualLayout>
                  <c:x val="-2.7276277297317315E-2"/>
                  <c:y val="-3.16365463261636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F71-4A74-A4E2-6C4EE7609FAB}"/>
                </c:ext>
              </c:extLst>
            </c:dLbl>
            <c:dLbl>
              <c:idx val="7"/>
              <c:layout>
                <c:manualLayout>
                  <c:x val="-2.9780712532780345E-2"/>
                  <c:y val="-2.067678033984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F71-4A74-A4E2-6C4EE7609FAB}"/>
                </c:ext>
              </c:extLst>
            </c:dLbl>
            <c:dLbl>
              <c:idx val="8"/>
              <c:layout>
                <c:manualLayout>
                  <c:x val="-2.9285949325436E-2"/>
                  <c:y val="-0.1029956715072904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F71-4A74-A4E2-6C4EE7609FAB}"/>
                </c:ext>
              </c:extLst>
            </c:dLbl>
            <c:dLbl>
              <c:idx val="9"/>
              <c:layout>
                <c:manualLayout>
                  <c:x val="-3.9290816989219428E-2"/>
                  <c:y val="-3.7875570760118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F71-4A74-A4E2-6C4EE7609FAB}"/>
                </c:ext>
              </c:extLst>
            </c:dLbl>
            <c:dLbl>
              <c:idx val="10"/>
              <c:layout>
                <c:manualLayout>
                  <c:x val="-4.0589686972334116E-2"/>
                  <c:y val="-3.06942422143372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F71-4A74-A4E2-6C4EE7609FAB}"/>
                </c:ext>
              </c:extLst>
            </c:dLbl>
            <c:dLbl>
              <c:idx val="11"/>
              <c:layout>
                <c:manualLayout>
                  <c:x val="-3.6693077022989996E-2"/>
                  <c:y val="-3.30880183962641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F71-4A74-A4E2-6C4EE7609FAB}"/>
                </c:ext>
              </c:extLst>
            </c:dLbl>
            <c:dLbl>
              <c:idx val="12"/>
              <c:layout>
                <c:manualLayout>
                  <c:x val="-4.286270944278487E-2"/>
                  <c:y val="-7.60023937761819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F71-4A74-A4E2-6C4EE7609FAB}"/>
                </c:ext>
              </c:extLst>
            </c:dLbl>
            <c:dLbl>
              <c:idx val="13"/>
              <c:layout>
                <c:manualLayout>
                  <c:x val="-3.5069489544096638E-2"/>
                  <c:y val="-9.036505086774386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F71-4A74-A4E2-6C4EE7609FAB}"/>
                </c:ext>
              </c:extLst>
            </c:dLbl>
            <c:dLbl>
              <c:idx val="14"/>
              <c:layout>
                <c:manualLayout>
                  <c:x val="-4.3187426938563547E-2"/>
                  <c:y val="-4.7450675487826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F71-4A74-A4E2-6C4EE7609FAB}"/>
                </c:ext>
              </c:extLst>
            </c:dLbl>
            <c:dLbl>
              <c:idx val="15"/>
              <c:layout>
                <c:manualLayout>
                  <c:x val="-4.1888484546528736E-2"/>
                  <c:y val="-4.49798336925236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6F71-4A74-A4E2-6C4EE7609FAB}"/>
                </c:ext>
              </c:extLst>
            </c:dLbl>
            <c:dLbl>
              <c:idx val="16"/>
              <c:layout>
                <c:manualLayout>
                  <c:x val="-3.5448219677970003E-2"/>
                  <c:y val="-3.29057794430436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6F71-4A74-A4E2-6C4EE7609FAB}"/>
                </c:ext>
              </c:extLst>
            </c:dLbl>
            <c:dLbl>
              <c:idx val="17"/>
              <c:layout>
                <c:manualLayout>
                  <c:x val="-3.3770572928063423E-2"/>
                  <c:y val="-3.53167213668953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6F71-4A74-A4E2-6C4EE7609FAB}"/>
                </c:ext>
              </c:extLst>
            </c:dLbl>
            <c:dLbl>
              <c:idx val="18"/>
              <c:layout>
                <c:manualLayout>
                  <c:x val="-3.2011627554678797E-2"/>
                  <c:y val="-3.0520567755506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6F71-4A74-A4E2-6C4EE7609FAB}"/>
                </c:ext>
              </c:extLst>
            </c:dLbl>
            <c:dLbl>
              <c:idx val="19"/>
              <c:layout>
                <c:manualLayout>
                  <c:x val="-3.3770619560981943E-2"/>
                  <c:y val="-3.29144225014961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6F71-4A74-A4E2-6C4EE7609FAB}"/>
                </c:ext>
              </c:extLst>
            </c:dLbl>
            <c:dLbl>
              <c:idx val="20"/>
              <c:layout>
                <c:manualLayout>
                  <c:x val="-3.4230760167377541E-2"/>
                  <c:y val="-3.530826982941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6F71-4A74-A4E2-6C4EE7609FAB}"/>
                </c:ext>
              </c:extLst>
            </c:dLbl>
            <c:dLbl>
              <c:idx val="21"/>
              <c:layout>
                <c:manualLayout>
                  <c:x val="-3.2877802950988702E-2"/>
                  <c:y val="-3.78756591025406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6F71-4A74-A4E2-6C4EE7609FAB}"/>
                </c:ext>
              </c:extLst>
            </c:dLbl>
            <c:dLbl>
              <c:idx val="22"/>
              <c:layout>
                <c:manualLayout>
                  <c:x val="-2.8602471612809835E-2"/>
                  <c:y val="-3.0694293803614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6F71-4A74-A4E2-6C4EE7609FAB}"/>
                </c:ext>
              </c:extLst>
            </c:dLbl>
            <c:dLbl>
              <c:idx val="23"/>
              <c:layout>
                <c:manualLayout>
                  <c:x val="-3.4501418938707909E-2"/>
                  <c:y val="-3.54818080655840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6F71-4A74-A4E2-6C4EE7609FAB}"/>
                </c:ext>
              </c:extLst>
            </c:dLbl>
            <c:dLbl>
              <c:idx val="24"/>
              <c:layout>
                <c:manualLayout>
                  <c:x val="-3.9615489491774195E-2"/>
                  <c:y val="-3.3087957028627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6F71-4A74-A4E2-6C4EE7609FAB}"/>
                </c:ext>
              </c:extLst>
            </c:dLbl>
            <c:dLbl>
              <c:idx val="25"/>
              <c:layout>
                <c:manualLayout>
                  <c:x val="-3.4041358119858707E-2"/>
                  <c:y val="-3.1886889026061294E-2"/>
                </c:manualLayout>
              </c:layout>
              <c:spPr>
                <a:noFill/>
                <a:ln>
                  <a:noFill/>
                </a:ln>
                <a:effectLst/>
              </c:spPr>
              <c:txPr>
                <a:bodyPr rot="0" spcFirstLastPara="1" vertOverflow="ellipsis" vert="horz" wrap="square" lIns="38100" tIns="19050" rIns="38100" bIns="19050" anchor="b" anchorCtr="0">
                  <a:no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3.063140247699905E-2"/>
                      <c:h val="3.5065428985956361E-2"/>
                    </c:manualLayout>
                  </c15:layout>
                </c:ext>
                <c:ext xmlns:c16="http://schemas.microsoft.com/office/drawing/2014/chart" uri="{C3380CC4-5D6E-409C-BE32-E72D297353CC}">
                  <c16:uniqueId val="{00000028-6F71-4A74-A4E2-6C4EE7609FAB}"/>
                </c:ext>
              </c:extLst>
            </c:dLbl>
            <c:dLbl>
              <c:idx val="26"/>
              <c:layout>
                <c:manualLayout>
                  <c:x val="-3.8316664501883549E-2"/>
                  <c:y val="-3.54817945781912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6F71-4A74-A4E2-6C4EE7609FAB}"/>
                </c:ext>
              </c:extLst>
            </c:dLbl>
            <c:dLbl>
              <c:idx val="27"/>
              <c:layout>
                <c:manualLayout>
                  <c:x val="-1.9098780352327857E-2"/>
                  <c:y val="-3.54818080655839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6F71-4A74-A4E2-6C4EE7609FAB}"/>
                </c:ext>
              </c:extLst>
            </c:dLbl>
            <c:spPr>
              <a:noFill/>
              <a:ln>
                <a:noFill/>
              </a:ln>
              <a:effectLst/>
            </c:spPr>
            <c:txPr>
              <a:bodyPr rot="0" spcFirstLastPara="1" vertOverflow="ellipsis" vert="horz" wrap="square" lIns="38100" tIns="19050" rIns="38100" bIns="19050" anchor="b" anchorCtr="0">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Admin_izdev_pret_amata_vietām!$Q$96:$Q$123</c:f>
              <c:numCache>
                <c:formatCode>#,##0</c:formatCode>
                <c:ptCount val="28"/>
                <c:pt idx="0">
                  <c:v>262.97787302873996</c:v>
                </c:pt>
                <c:pt idx="1">
                  <c:v>247.48727777777776</c:v>
                </c:pt>
                <c:pt idx="2">
                  <c:v>245.39261224507905</c:v>
                </c:pt>
                <c:pt idx="3">
                  <c:v>239.39710274713394</c:v>
                </c:pt>
                <c:pt idx="4">
                  <c:v>227.72876320082051</c:v>
                </c:pt>
                <c:pt idx="5">
                  <c:v>210.65507415406765</c:v>
                </c:pt>
                <c:pt idx="6">
                  <c:v>202.35595952884324</c:v>
                </c:pt>
                <c:pt idx="7">
                  <c:v>186.24370711665443</c:v>
                </c:pt>
                <c:pt idx="8">
                  <c:v>177.79310256410255</c:v>
                </c:pt>
                <c:pt idx="9">
                  <c:v>174.6913253695682</c:v>
                </c:pt>
                <c:pt idx="10">
                  <c:v>159.22498299871091</c:v>
                </c:pt>
                <c:pt idx="11">
                  <c:v>150.01975453222877</c:v>
                </c:pt>
                <c:pt idx="12">
                  <c:v>146.73373758226739</c:v>
                </c:pt>
                <c:pt idx="13">
                  <c:v>137.79702512129052</c:v>
                </c:pt>
                <c:pt idx="14">
                  <c:v>132.0688316975168</c:v>
                </c:pt>
                <c:pt idx="15">
                  <c:v>129.99171995820274</c:v>
                </c:pt>
                <c:pt idx="16">
                  <c:v>115.89445238095239</c:v>
                </c:pt>
                <c:pt idx="17">
                  <c:v>115.006</c:v>
                </c:pt>
                <c:pt idx="18">
                  <c:v>114.35179710144928</c:v>
                </c:pt>
                <c:pt idx="19">
                  <c:v>113.08323126569067</c:v>
                </c:pt>
                <c:pt idx="20">
                  <c:v>109.93209523809523</c:v>
                </c:pt>
                <c:pt idx="21">
                  <c:v>105.16542721020032</c:v>
                </c:pt>
                <c:pt idx="22">
                  <c:v>101.11975188226293</c:v>
                </c:pt>
                <c:pt idx="23">
                  <c:v>77.015491574452213</c:v>
                </c:pt>
                <c:pt idx="24">
                  <c:v>69.586201311152962</c:v>
                </c:pt>
                <c:pt idx="25">
                  <c:v>62.938640000000007</c:v>
                </c:pt>
                <c:pt idx="26">
                  <c:v>58.767666768734024</c:v>
                </c:pt>
                <c:pt idx="27">
                  <c:v>54.76059032002054</c:v>
                </c:pt>
              </c:numCache>
            </c:numRef>
          </c:val>
          <c:smooth val="0"/>
          <c:extLst>
            <c:ext xmlns:c16="http://schemas.microsoft.com/office/drawing/2014/chart" uri="{C3380CC4-5D6E-409C-BE32-E72D297353CC}">
              <c16:uniqueId val="{0000002B-6F71-4A74-A4E2-6C4EE7609FAB}"/>
            </c:ext>
          </c:extLst>
        </c:ser>
        <c:ser>
          <c:idx val="16"/>
          <c:order val="16"/>
          <c:tx>
            <c:strRef>
              <c:f>Admin_izdev_pret_amata_vietām!$R$1</c:f>
              <c:strCache>
                <c:ptCount val="1"/>
                <c:pt idx="0">
                  <c:v>Vidēji uz 1 amata vietu kopā</c:v>
                </c:pt>
              </c:strCache>
            </c:strRef>
          </c:tx>
          <c:spPr>
            <a:ln w="28575" cap="rnd">
              <a:solidFill>
                <a:srgbClr val="FF0000"/>
              </a:solidFill>
              <a:prstDash val="dash"/>
              <a:round/>
            </a:ln>
            <a:effectLst/>
          </c:spPr>
          <c:marker>
            <c:symbol val="none"/>
          </c:marker>
          <c:cat>
            <c:strRef>
              <c:f>Admin_izdev_pret_amata_vietām!$A$96:$A$123</c:f>
              <c:strCache>
                <c:ptCount val="28"/>
                <c:pt idx="0">
                  <c:v>ĀM</c:v>
                </c:pt>
                <c:pt idx="1">
                  <c:v>RTV</c:v>
                </c:pt>
                <c:pt idx="2">
                  <c:v>SM</c:v>
                </c:pt>
                <c:pt idx="3">
                  <c:v>VPK</c:v>
                </c:pt>
                <c:pt idx="4">
                  <c:v>AT</c:v>
                </c:pt>
                <c:pt idx="5">
                  <c:v>Prokuratūra</c:v>
                </c:pt>
                <c:pt idx="6">
                  <c:v>ST</c:v>
                </c:pt>
                <c:pt idx="7">
                  <c:v>MK</c:v>
                </c:pt>
                <c:pt idx="8">
                  <c:v>PKC</c:v>
                </c:pt>
                <c:pt idx="9">
                  <c:v>Saeima</c:v>
                </c:pt>
                <c:pt idx="10">
                  <c:v>FM</c:v>
                </c:pt>
                <c:pt idx="11">
                  <c:v>ZM</c:v>
                </c:pt>
                <c:pt idx="12">
                  <c:v>VARAM</c:v>
                </c:pt>
                <c:pt idx="13">
                  <c:v>SIF</c:v>
                </c:pt>
                <c:pt idx="14">
                  <c:v>KM</c:v>
                </c:pt>
                <c:pt idx="15">
                  <c:v>SPRK</c:v>
                </c:pt>
                <c:pt idx="16">
                  <c:v>VKo</c:v>
                </c:pt>
                <c:pt idx="17">
                  <c:v>CZK</c:v>
                </c:pt>
                <c:pt idx="18">
                  <c:v>TB</c:v>
                </c:pt>
                <c:pt idx="19">
                  <c:v>TM</c:v>
                </c:pt>
                <c:pt idx="20">
                  <c:v>CVK</c:v>
                </c:pt>
                <c:pt idx="21">
                  <c:v>EM</c:v>
                </c:pt>
                <c:pt idx="22">
                  <c:v>IZM</c:v>
                </c:pt>
                <c:pt idx="23">
                  <c:v>LM</c:v>
                </c:pt>
                <c:pt idx="24">
                  <c:v>AiM</c:v>
                </c:pt>
                <c:pt idx="25">
                  <c:v>KNAB</c:v>
                </c:pt>
                <c:pt idx="26">
                  <c:v>IeM</c:v>
                </c:pt>
                <c:pt idx="27">
                  <c:v>VM</c:v>
                </c:pt>
              </c:strCache>
            </c:strRef>
          </c:cat>
          <c:val>
            <c:numRef>
              <c:f>Admin_izdev_pret_amata_vietām!$R$96:$R$123</c:f>
              <c:numCache>
                <c:formatCode>General</c:formatCode>
                <c:ptCount val="28"/>
                <c:pt idx="0">
                  <c:v>147</c:v>
                </c:pt>
                <c:pt idx="1">
                  <c:v>147</c:v>
                </c:pt>
                <c:pt idx="2">
                  <c:v>147</c:v>
                </c:pt>
                <c:pt idx="3">
                  <c:v>147</c:v>
                </c:pt>
                <c:pt idx="4">
                  <c:v>147</c:v>
                </c:pt>
                <c:pt idx="5">
                  <c:v>147</c:v>
                </c:pt>
                <c:pt idx="6">
                  <c:v>147</c:v>
                </c:pt>
                <c:pt idx="7">
                  <c:v>147</c:v>
                </c:pt>
                <c:pt idx="8">
                  <c:v>147</c:v>
                </c:pt>
                <c:pt idx="9">
                  <c:v>147</c:v>
                </c:pt>
                <c:pt idx="10">
                  <c:v>147</c:v>
                </c:pt>
                <c:pt idx="11">
                  <c:v>147</c:v>
                </c:pt>
                <c:pt idx="12">
                  <c:v>147</c:v>
                </c:pt>
                <c:pt idx="13">
                  <c:v>147</c:v>
                </c:pt>
                <c:pt idx="14">
                  <c:v>147</c:v>
                </c:pt>
                <c:pt idx="15">
                  <c:v>147</c:v>
                </c:pt>
                <c:pt idx="16">
                  <c:v>147</c:v>
                </c:pt>
                <c:pt idx="17">
                  <c:v>147</c:v>
                </c:pt>
                <c:pt idx="18">
                  <c:v>147</c:v>
                </c:pt>
                <c:pt idx="19">
                  <c:v>147</c:v>
                </c:pt>
                <c:pt idx="20">
                  <c:v>147</c:v>
                </c:pt>
                <c:pt idx="21">
                  <c:v>147</c:v>
                </c:pt>
                <c:pt idx="22">
                  <c:v>147</c:v>
                </c:pt>
                <c:pt idx="23">
                  <c:v>147</c:v>
                </c:pt>
                <c:pt idx="24" formatCode="#,##0">
                  <c:v>147.43500695271487</c:v>
                </c:pt>
                <c:pt idx="25">
                  <c:v>147</c:v>
                </c:pt>
                <c:pt idx="26">
                  <c:v>147</c:v>
                </c:pt>
                <c:pt idx="27">
                  <c:v>147</c:v>
                </c:pt>
              </c:numCache>
            </c:numRef>
          </c:val>
          <c:smooth val="0"/>
          <c:extLst>
            <c:ext xmlns:c16="http://schemas.microsoft.com/office/drawing/2014/chart" uri="{C3380CC4-5D6E-409C-BE32-E72D297353CC}">
              <c16:uniqueId val="{0000002C-6F71-4A74-A4E2-6C4EE7609FAB}"/>
            </c:ext>
          </c:extLst>
        </c:ser>
        <c:dLbls>
          <c:showLegendKey val="0"/>
          <c:showVal val="0"/>
          <c:showCatName val="0"/>
          <c:showSerName val="0"/>
          <c:showPercent val="0"/>
          <c:showBubbleSize val="0"/>
        </c:dLbls>
        <c:marker val="1"/>
        <c:smooth val="0"/>
        <c:axId val="294268112"/>
        <c:axId val="294268504"/>
      </c:lineChart>
      <c:catAx>
        <c:axId val="29426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68504"/>
        <c:crosses val="autoZero"/>
        <c:auto val="1"/>
        <c:lblAlgn val="ctr"/>
        <c:lblOffset val="100"/>
        <c:noMultiLvlLbl val="0"/>
      </c:catAx>
      <c:valAx>
        <c:axId val="294268504"/>
        <c:scaling>
          <c:orientation val="minMax"/>
          <c:max val="4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68112"/>
        <c:crosses val="autoZero"/>
        <c:crossBetween val="between"/>
        <c:majorUnit val="50"/>
      </c:valAx>
      <c:spPr>
        <a:noFill/>
        <a:ln>
          <a:noFill/>
        </a:ln>
        <a:effectLst/>
      </c:spPr>
    </c:plotArea>
    <c:legend>
      <c:legendPos val="b"/>
      <c:legendEntry>
        <c:idx val="6"/>
        <c:delete val="1"/>
      </c:legendEntry>
      <c:layout>
        <c:manualLayout>
          <c:xMode val="edge"/>
          <c:yMode val="edge"/>
          <c:x val="7.1253278034559492E-3"/>
          <c:y val="0.89236647744613318"/>
          <c:w val="0.9921623414003562"/>
          <c:h val="7.710248793751081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729603589226302E-2"/>
          <c:y val="1.0445533930900147E-2"/>
          <c:w val="0.95265934970365795"/>
          <c:h val="0.83344360256854688"/>
        </c:manualLayout>
      </c:layout>
      <c:barChart>
        <c:barDir val="col"/>
        <c:grouping val="clustered"/>
        <c:varyColors val="0"/>
        <c:ser>
          <c:idx val="0"/>
          <c:order val="0"/>
          <c:tx>
            <c:strRef>
              <c:f>Admin_izdev_pret_amata_vietām!$B$1</c:f>
              <c:strCache>
                <c:ptCount val="1"/>
                <c:pt idx="0">
                  <c:v>2015.gada izpilde</c:v>
                </c:pt>
              </c:strCache>
            </c:strRef>
          </c:tx>
          <c:spPr>
            <a:solidFill>
              <a:schemeClr val="accent1"/>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Admin_izdev_pret_amata_vietām!$B$127:$B$151</c:f>
            </c:numRef>
          </c:val>
          <c:extLst>
            <c:ext xmlns:c16="http://schemas.microsoft.com/office/drawing/2014/chart" uri="{C3380CC4-5D6E-409C-BE32-E72D297353CC}">
              <c16:uniqueId val="{00000000-6344-413B-BBB3-9D861110BCB4}"/>
            </c:ext>
          </c:extLst>
        </c:ser>
        <c:ser>
          <c:idx val="1"/>
          <c:order val="1"/>
          <c:tx>
            <c:strRef>
              <c:f>Admin_izdev_pret_amata_vietām!$C$1</c:f>
              <c:strCache>
                <c:ptCount val="1"/>
                <c:pt idx="0">
                  <c:v>2015.gada Amata vieta/slodze</c:v>
                </c:pt>
              </c:strCache>
            </c:strRef>
          </c:tx>
          <c:spPr>
            <a:solidFill>
              <a:schemeClr val="accent2"/>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Admin_izdev_pret_amata_vietām!$C$127:$C$151</c:f>
            </c:numRef>
          </c:val>
          <c:extLst>
            <c:ext xmlns:c16="http://schemas.microsoft.com/office/drawing/2014/chart" uri="{C3380CC4-5D6E-409C-BE32-E72D297353CC}">
              <c16:uniqueId val="{00000001-6344-413B-BBB3-9D861110BCB4}"/>
            </c:ext>
          </c:extLst>
        </c:ser>
        <c:ser>
          <c:idx val="3"/>
          <c:order val="3"/>
          <c:tx>
            <c:strRef>
              <c:f>Admin_izdev_pret_amata_vietām!$E$1</c:f>
              <c:strCache>
                <c:ptCount val="1"/>
                <c:pt idx="0">
                  <c:v>2016.gada izpilde</c:v>
                </c:pt>
              </c:strCache>
            </c:strRef>
          </c:tx>
          <c:spPr>
            <a:solidFill>
              <a:schemeClr val="accent4"/>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Admin_izdev_pret_amata_vietām!$E$127:$E$151</c:f>
            </c:numRef>
          </c:val>
          <c:extLst>
            <c:ext xmlns:c16="http://schemas.microsoft.com/office/drawing/2014/chart" uri="{C3380CC4-5D6E-409C-BE32-E72D297353CC}">
              <c16:uniqueId val="{00000002-6344-413B-BBB3-9D861110BCB4}"/>
            </c:ext>
          </c:extLst>
        </c:ser>
        <c:ser>
          <c:idx val="4"/>
          <c:order val="4"/>
          <c:tx>
            <c:strRef>
              <c:f>Admin_izdev_pret_amata_vietām!$F$1</c:f>
              <c:strCache>
                <c:ptCount val="1"/>
                <c:pt idx="0">
                  <c:v>2016.gada Amata vieta/slodze</c:v>
                </c:pt>
              </c:strCache>
            </c:strRef>
          </c:tx>
          <c:spPr>
            <a:solidFill>
              <a:schemeClr val="accent5"/>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Admin_izdev_pret_amata_vietām!$F$127:$F$151</c:f>
            </c:numRef>
          </c:val>
          <c:extLst>
            <c:ext xmlns:c16="http://schemas.microsoft.com/office/drawing/2014/chart" uri="{C3380CC4-5D6E-409C-BE32-E72D297353CC}">
              <c16:uniqueId val="{00000003-6344-413B-BBB3-9D861110BCB4}"/>
            </c:ext>
          </c:extLst>
        </c:ser>
        <c:ser>
          <c:idx val="6"/>
          <c:order val="6"/>
          <c:tx>
            <c:strRef>
              <c:f>Admin_izdev_pret_amata_vietām!$H$1</c:f>
              <c:strCache>
                <c:ptCount val="1"/>
                <c:pt idx="0">
                  <c:v>2017.gada plāns</c:v>
                </c:pt>
              </c:strCache>
            </c:strRef>
          </c:tx>
          <c:spPr>
            <a:solidFill>
              <a:schemeClr val="accent1">
                <a:lumMod val="6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Admin_izdev_pret_amata_vietām!$H$127:$H$151</c:f>
            </c:numRef>
          </c:val>
          <c:extLst>
            <c:ext xmlns:c16="http://schemas.microsoft.com/office/drawing/2014/chart" uri="{C3380CC4-5D6E-409C-BE32-E72D297353CC}">
              <c16:uniqueId val="{00000004-6344-413B-BBB3-9D861110BCB4}"/>
            </c:ext>
          </c:extLst>
        </c:ser>
        <c:ser>
          <c:idx val="7"/>
          <c:order val="7"/>
          <c:tx>
            <c:strRef>
              <c:f>Admin_izdev_pret_amata_vietām!$I$1</c:f>
              <c:strCache>
                <c:ptCount val="1"/>
                <c:pt idx="0">
                  <c:v>2017.gada Amata vieta/slodze</c:v>
                </c:pt>
              </c:strCache>
            </c:strRef>
          </c:tx>
          <c:spPr>
            <a:solidFill>
              <a:schemeClr val="accent2">
                <a:lumMod val="6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Admin_izdev_pret_amata_vietām!$I$127:$I$151</c:f>
            </c:numRef>
          </c:val>
          <c:extLst>
            <c:ext xmlns:c16="http://schemas.microsoft.com/office/drawing/2014/chart" uri="{C3380CC4-5D6E-409C-BE32-E72D297353CC}">
              <c16:uniqueId val="{00000005-6344-413B-BBB3-9D861110BCB4}"/>
            </c:ext>
          </c:extLst>
        </c:ser>
        <c:ser>
          <c:idx val="9"/>
          <c:order val="9"/>
          <c:tx>
            <c:strRef>
              <c:f>Admin_izdev_pret_amata_vietām!$K$1</c:f>
              <c:strCache>
                <c:ptCount val="1"/>
                <c:pt idx="0">
                  <c:v>2018.gada plāns</c:v>
                </c:pt>
              </c:strCache>
            </c:strRef>
          </c:tx>
          <c:spPr>
            <a:solidFill>
              <a:schemeClr val="accent4">
                <a:lumMod val="6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Admin_izdev_pret_amata_vietām!$K$127:$K$151</c:f>
            </c:numRef>
          </c:val>
          <c:extLst>
            <c:ext xmlns:c16="http://schemas.microsoft.com/office/drawing/2014/chart" uri="{C3380CC4-5D6E-409C-BE32-E72D297353CC}">
              <c16:uniqueId val="{00000006-6344-413B-BBB3-9D861110BCB4}"/>
            </c:ext>
          </c:extLst>
        </c:ser>
        <c:ser>
          <c:idx val="10"/>
          <c:order val="10"/>
          <c:tx>
            <c:strRef>
              <c:f>Admin_izdev_pret_amata_vietām!$L$1</c:f>
              <c:strCache>
                <c:ptCount val="1"/>
                <c:pt idx="0">
                  <c:v>2018.gada Amata vieta/slodze</c:v>
                </c:pt>
              </c:strCache>
            </c:strRef>
          </c:tx>
          <c:spPr>
            <a:solidFill>
              <a:schemeClr val="accent5">
                <a:lumMod val="6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Admin_izdev_pret_amata_vietām!$L$127:$L$151</c:f>
            </c:numRef>
          </c:val>
          <c:extLst>
            <c:ext xmlns:c16="http://schemas.microsoft.com/office/drawing/2014/chart" uri="{C3380CC4-5D6E-409C-BE32-E72D297353CC}">
              <c16:uniqueId val="{00000007-6344-413B-BBB3-9D861110BCB4}"/>
            </c:ext>
          </c:extLst>
        </c:ser>
        <c:ser>
          <c:idx val="12"/>
          <c:order val="12"/>
          <c:tx>
            <c:strRef>
              <c:f>Admin_izdev_pret_amata_vietām!$N$1</c:f>
              <c:strCache>
                <c:ptCount val="1"/>
                <c:pt idx="0">
                  <c:v>2019.gada plāns</c:v>
                </c:pt>
              </c:strCache>
            </c:strRef>
          </c:tx>
          <c:spPr>
            <a:solidFill>
              <a:schemeClr val="accent1">
                <a:lumMod val="80000"/>
                <a:lumOff val="2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Admin_izdev_pret_amata_vietām!$N$127:$N$151</c:f>
            </c:numRef>
          </c:val>
          <c:extLst>
            <c:ext xmlns:c16="http://schemas.microsoft.com/office/drawing/2014/chart" uri="{C3380CC4-5D6E-409C-BE32-E72D297353CC}">
              <c16:uniqueId val="{00000008-6344-413B-BBB3-9D861110BCB4}"/>
            </c:ext>
          </c:extLst>
        </c:ser>
        <c:ser>
          <c:idx val="13"/>
          <c:order val="13"/>
          <c:tx>
            <c:strRef>
              <c:f>Admin_izdev_pret_amata_vietām!$O$1</c:f>
              <c:strCache>
                <c:ptCount val="1"/>
                <c:pt idx="0">
                  <c:v>2019.gada Amata vieta/slodze</c:v>
                </c:pt>
              </c:strCache>
            </c:strRef>
          </c:tx>
          <c:spPr>
            <a:solidFill>
              <a:schemeClr val="accent2">
                <a:lumMod val="80000"/>
                <a:lumOff val="2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Admin_izdev_pret_amata_vietām!$O$127:$O$151</c:f>
            </c:numRef>
          </c:val>
          <c:extLst>
            <c:ext xmlns:c16="http://schemas.microsoft.com/office/drawing/2014/chart" uri="{C3380CC4-5D6E-409C-BE32-E72D297353CC}">
              <c16:uniqueId val="{00000009-6344-413B-BBB3-9D861110BCB4}"/>
            </c:ext>
          </c:extLst>
        </c:ser>
        <c:dLbls>
          <c:showLegendKey val="0"/>
          <c:showVal val="0"/>
          <c:showCatName val="0"/>
          <c:showSerName val="0"/>
          <c:showPercent val="0"/>
          <c:showBubbleSize val="0"/>
        </c:dLbls>
        <c:gapWidth val="219"/>
        <c:axId val="294269288"/>
        <c:axId val="294269680"/>
      </c:barChart>
      <c:barChart>
        <c:barDir val="col"/>
        <c:grouping val="clustered"/>
        <c:varyColors val="0"/>
        <c:ser>
          <c:idx val="2"/>
          <c:order val="2"/>
          <c:tx>
            <c:strRef>
              <c:f>Admin_izdev_pret_amata_vietām!$D$1</c:f>
              <c:strCache>
                <c:ptCount val="1"/>
                <c:pt idx="0">
                  <c:v>2015.gads izpilde</c:v>
                </c:pt>
              </c:strCache>
            </c:strRef>
          </c:tx>
          <c:spPr>
            <a:solidFill>
              <a:schemeClr val="accent3"/>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Admin_izdev_pret_amata_vietām!$D$127:$D$151</c:f>
              <c:numCache>
                <c:formatCode>#,##0</c:formatCode>
                <c:ptCount val="25"/>
                <c:pt idx="0">
                  <c:v>2106.7313432835822</c:v>
                </c:pt>
                <c:pt idx="1">
                  <c:v>360.35130434782616</c:v>
                </c:pt>
                <c:pt idx="2">
                  <c:v>173.02068965517242</c:v>
                </c:pt>
                <c:pt idx="3">
                  <c:v>107.35</c:v>
                </c:pt>
                <c:pt idx="4">
                  <c:v>94.394817073170714</c:v>
                </c:pt>
                <c:pt idx="5">
                  <c:v>124.28571428571429</c:v>
                </c:pt>
                <c:pt idx="6">
                  <c:v>90.515151515151501</c:v>
                </c:pt>
                <c:pt idx="7">
                  <c:v>23.666666666666668</c:v>
                </c:pt>
                <c:pt idx="8">
                  <c:v>53.369565217391305</c:v>
                </c:pt>
                <c:pt idx="9">
                  <c:v>0</c:v>
                </c:pt>
                <c:pt idx="10">
                  <c:v>56.92258064516129</c:v>
                </c:pt>
                <c:pt idx="11">
                  <c:v>51.531844499586434</c:v>
                </c:pt>
                <c:pt idx="12">
                  <c:v>80.061728395061735</c:v>
                </c:pt>
                <c:pt idx="13">
                  <c:v>35</c:v>
                </c:pt>
                <c:pt idx="14">
                  <c:v>43.291469194312796</c:v>
                </c:pt>
                <c:pt idx="15">
                  <c:v>36.991101564897207</c:v>
                </c:pt>
                <c:pt idx="16">
                  <c:v>51.786036036036037</c:v>
                </c:pt>
                <c:pt idx="17">
                  <c:v>22.856825255669186</c:v>
                </c:pt>
                <c:pt idx="18">
                  <c:v>17.392372333548803</c:v>
                </c:pt>
                <c:pt idx="19">
                  <c:v>25.622761781979658</c:v>
                </c:pt>
                <c:pt idx="20">
                  <c:v>19.919183381554564</c:v>
                </c:pt>
                <c:pt idx="21">
                  <c:v>8.5887824126268324</c:v>
                </c:pt>
                <c:pt idx="22">
                  <c:v>3.6622208639846323</c:v>
                </c:pt>
                <c:pt idx="23">
                  <c:v>5.4100672470659532</c:v>
                </c:pt>
                <c:pt idx="24">
                  <c:v>0</c:v>
                </c:pt>
              </c:numCache>
            </c:numRef>
          </c:val>
          <c:extLst>
            <c:ext xmlns:c16="http://schemas.microsoft.com/office/drawing/2014/chart" uri="{C3380CC4-5D6E-409C-BE32-E72D297353CC}">
              <c16:uniqueId val="{0000000A-6344-413B-BBB3-9D861110BCB4}"/>
            </c:ext>
          </c:extLst>
        </c:ser>
        <c:ser>
          <c:idx val="5"/>
          <c:order val="5"/>
          <c:tx>
            <c:strRef>
              <c:f>Admin_izdev_pret_amata_vietām!$G$1</c:f>
              <c:strCache>
                <c:ptCount val="1"/>
                <c:pt idx="0">
                  <c:v>2016.gads izpilde</c:v>
                </c:pt>
              </c:strCache>
            </c:strRef>
          </c:tx>
          <c:spPr>
            <a:solidFill>
              <a:schemeClr val="accent6"/>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Admin_izdev_pret_amata_vietām!$G$127:$G$151</c:f>
              <c:numCache>
                <c:formatCode>#,##0</c:formatCode>
                <c:ptCount val="25"/>
                <c:pt idx="0">
                  <c:v>1923.4082608695653</c:v>
                </c:pt>
                <c:pt idx="1">
                  <c:v>370.00398275862068</c:v>
                </c:pt>
                <c:pt idx="2">
                  <c:v>111.72220689655173</c:v>
                </c:pt>
                <c:pt idx="3">
                  <c:v>109.80285714285715</c:v>
                </c:pt>
                <c:pt idx="4">
                  <c:v>94.599514415781485</c:v>
                </c:pt>
                <c:pt idx="5">
                  <c:v>207.08744186046513</c:v>
                </c:pt>
                <c:pt idx="6">
                  <c:v>65.499924242424257</c:v>
                </c:pt>
                <c:pt idx="7">
                  <c:v>137.6141304347826</c:v>
                </c:pt>
                <c:pt idx="8">
                  <c:v>73.717841726618701</c:v>
                </c:pt>
                <c:pt idx="9">
                  <c:v>114.56166666666667</c:v>
                </c:pt>
                <c:pt idx="10">
                  <c:v>55.098703703703706</c:v>
                </c:pt>
                <c:pt idx="11">
                  <c:v>111.10566964285712</c:v>
                </c:pt>
                <c:pt idx="12">
                  <c:v>43.313734827264248</c:v>
                </c:pt>
                <c:pt idx="13">
                  <c:v>24.939615384615387</c:v>
                </c:pt>
                <c:pt idx="14">
                  <c:v>36.99005617977528</c:v>
                </c:pt>
                <c:pt idx="15">
                  <c:v>54.273759892689476</c:v>
                </c:pt>
                <c:pt idx="16">
                  <c:v>38.303401727861775</c:v>
                </c:pt>
                <c:pt idx="17">
                  <c:v>18.647947189097103</c:v>
                </c:pt>
                <c:pt idx="18">
                  <c:v>21.192678785457449</c:v>
                </c:pt>
                <c:pt idx="19">
                  <c:v>28.770789341377583</c:v>
                </c:pt>
                <c:pt idx="20">
                  <c:v>15.96676447776629</c:v>
                </c:pt>
                <c:pt idx="21">
                  <c:v>6.7102896492971746</c:v>
                </c:pt>
                <c:pt idx="22">
                  <c:v>11.719471919530594</c:v>
                </c:pt>
                <c:pt idx="23">
                  <c:v>5.0994283799132312</c:v>
                </c:pt>
                <c:pt idx="24">
                  <c:v>2.2344666666666666</c:v>
                </c:pt>
              </c:numCache>
            </c:numRef>
          </c:val>
          <c:extLst>
            <c:ext xmlns:c16="http://schemas.microsoft.com/office/drawing/2014/chart" uri="{C3380CC4-5D6E-409C-BE32-E72D297353CC}">
              <c16:uniqueId val="{0000000B-6344-413B-BBB3-9D861110BCB4}"/>
            </c:ext>
          </c:extLst>
        </c:ser>
        <c:ser>
          <c:idx val="8"/>
          <c:order val="8"/>
          <c:tx>
            <c:strRef>
              <c:f>Admin_izdev_pret_amata_vietām!$J$1</c:f>
              <c:strCache>
                <c:ptCount val="1"/>
                <c:pt idx="0">
                  <c:v>2017.gads plāns</c:v>
                </c:pt>
              </c:strCache>
            </c:strRef>
          </c:tx>
          <c:spPr>
            <a:solidFill>
              <a:schemeClr val="accent3">
                <a:lumMod val="6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Admin_izdev_pret_amata_vietām!$J$127:$J$151</c:f>
              <c:numCache>
                <c:formatCode>#,##0</c:formatCode>
                <c:ptCount val="25"/>
                <c:pt idx="0">
                  <c:v>2670.289855072464</c:v>
                </c:pt>
                <c:pt idx="1">
                  <c:v>275.37796610169494</c:v>
                </c:pt>
                <c:pt idx="2">
                  <c:v>105.67375886524823</c:v>
                </c:pt>
                <c:pt idx="3">
                  <c:v>119.04761904761905</c:v>
                </c:pt>
                <c:pt idx="4">
                  <c:v>87.352496217851737</c:v>
                </c:pt>
                <c:pt idx="5">
                  <c:v>27.272727272727273</c:v>
                </c:pt>
                <c:pt idx="6">
                  <c:v>76.379310344827587</c:v>
                </c:pt>
                <c:pt idx="7">
                  <c:v>54.347826086956523</c:v>
                </c:pt>
                <c:pt idx="8">
                  <c:v>64.588652482269509</c:v>
                </c:pt>
                <c:pt idx="9">
                  <c:v>66.666666666666671</c:v>
                </c:pt>
                <c:pt idx="10">
                  <c:v>60.61643835616438</c:v>
                </c:pt>
                <c:pt idx="11">
                  <c:v>32.256888168557538</c:v>
                </c:pt>
                <c:pt idx="12">
                  <c:v>29.953617810760669</c:v>
                </c:pt>
                <c:pt idx="13">
                  <c:v>38.46153846153846</c:v>
                </c:pt>
                <c:pt idx="14">
                  <c:v>39.012331838565025</c:v>
                </c:pt>
                <c:pt idx="15">
                  <c:v>28.215135001238544</c:v>
                </c:pt>
                <c:pt idx="16">
                  <c:v>6.4794816414686824</c:v>
                </c:pt>
                <c:pt idx="17">
                  <c:v>21.906303236797275</c:v>
                </c:pt>
                <c:pt idx="18">
                  <c:v>19.585708209272649</c:v>
                </c:pt>
                <c:pt idx="19">
                  <c:v>13.881159420289855</c:v>
                </c:pt>
                <c:pt idx="20">
                  <c:v>13.510831903111946</c:v>
                </c:pt>
                <c:pt idx="21">
                  <c:v>9.3673005960828846</c:v>
                </c:pt>
                <c:pt idx="22">
                  <c:v>8.3774098910310144</c:v>
                </c:pt>
                <c:pt idx="23">
                  <c:v>5.3018572970558679</c:v>
                </c:pt>
                <c:pt idx="24">
                  <c:v>0</c:v>
                </c:pt>
              </c:numCache>
            </c:numRef>
          </c:val>
          <c:extLst>
            <c:ext xmlns:c16="http://schemas.microsoft.com/office/drawing/2014/chart" uri="{C3380CC4-5D6E-409C-BE32-E72D297353CC}">
              <c16:uniqueId val="{0000000C-6344-413B-BBB3-9D861110BCB4}"/>
            </c:ext>
          </c:extLst>
        </c:ser>
        <c:ser>
          <c:idx val="11"/>
          <c:order val="11"/>
          <c:tx>
            <c:strRef>
              <c:f>Admin_izdev_pret_amata_vietām!$M$1</c:f>
              <c:strCache>
                <c:ptCount val="1"/>
                <c:pt idx="0">
                  <c:v>2018.gads plāns</c:v>
                </c:pt>
              </c:strCache>
            </c:strRef>
          </c:tx>
          <c:spPr>
            <a:solidFill>
              <a:schemeClr val="accent6">
                <a:lumMod val="60000"/>
              </a:schemeClr>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Admin_izdev_pret_amata_vietām!$M$127:$M$151</c:f>
              <c:numCache>
                <c:formatCode>#,##0</c:formatCode>
                <c:ptCount val="25"/>
                <c:pt idx="0">
                  <c:v>3463.768115942029</c:v>
                </c:pt>
                <c:pt idx="1">
                  <c:v>275.37796610169494</c:v>
                </c:pt>
                <c:pt idx="2">
                  <c:v>105.67375886524823</c:v>
                </c:pt>
                <c:pt idx="3">
                  <c:v>119.04761904761905</c:v>
                </c:pt>
                <c:pt idx="4">
                  <c:v>91.891074130105906</c:v>
                </c:pt>
                <c:pt idx="5">
                  <c:v>27.272727272727273</c:v>
                </c:pt>
                <c:pt idx="6">
                  <c:v>76.379310344827587</c:v>
                </c:pt>
                <c:pt idx="7">
                  <c:v>54.347826086956523</c:v>
                </c:pt>
                <c:pt idx="8">
                  <c:v>64.588652482269509</c:v>
                </c:pt>
                <c:pt idx="9">
                  <c:v>66.666666666666671</c:v>
                </c:pt>
                <c:pt idx="10">
                  <c:v>60.61643835616438</c:v>
                </c:pt>
                <c:pt idx="11">
                  <c:v>32.269963518443454</c:v>
                </c:pt>
                <c:pt idx="12">
                  <c:v>29.898148148148149</c:v>
                </c:pt>
                <c:pt idx="13">
                  <c:v>38.46153846153846</c:v>
                </c:pt>
                <c:pt idx="14">
                  <c:v>27.746067415730337</c:v>
                </c:pt>
                <c:pt idx="15">
                  <c:v>25.86586483390607</c:v>
                </c:pt>
                <c:pt idx="16">
                  <c:v>6.4794816414686824</c:v>
                </c:pt>
                <c:pt idx="17">
                  <c:v>21.721283783783782</c:v>
                </c:pt>
                <c:pt idx="18">
                  <c:v>20.667114394448177</c:v>
                </c:pt>
                <c:pt idx="19">
                  <c:v>12.065193770373053</c:v>
                </c:pt>
                <c:pt idx="20">
                  <c:v>7.6323238866396759</c:v>
                </c:pt>
                <c:pt idx="21">
                  <c:v>9.0086537097460635</c:v>
                </c:pt>
                <c:pt idx="22">
                  <c:v>8.3774098910310144</c:v>
                </c:pt>
                <c:pt idx="23">
                  <c:v>4.5659469739344445</c:v>
                </c:pt>
                <c:pt idx="24">
                  <c:v>0</c:v>
                </c:pt>
              </c:numCache>
            </c:numRef>
          </c:val>
          <c:extLst>
            <c:ext xmlns:c16="http://schemas.microsoft.com/office/drawing/2014/chart" uri="{C3380CC4-5D6E-409C-BE32-E72D297353CC}">
              <c16:uniqueId val="{0000000D-6344-413B-BBB3-9D861110BCB4}"/>
            </c:ext>
          </c:extLst>
        </c:ser>
        <c:ser>
          <c:idx val="14"/>
          <c:order val="14"/>
          <c:tx>
            <c:strRef>
              <c:f>Admin_izdev_pret_amata_vietām!$P$1</c:f>
              <c:strCache>
                <c:ptCount val="1"/>
                <c:pt idx="0">
                  <c:v>2019.gads plāns</c:v>
                </c:pt>
              </c:strCache>
            </c:strRef>
          </c:tx>
          <c:spPr>
            <a:solidFill>
              <a:srgbClr val="00B0F0"/>
            </a:solidFill>
            <a:ln>
              <a:noFill/>
            </a:ln>
            <a:effectLst/>
          </c:spPr>
          <c:invertIfNegative val="0"/>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Admin_izdev_pret_amata_vietām!$P$127:$P$151</c:f>
              <c:numCache>
                <c:formatCode>#,##0</c:formatCode>
                <c:ptCount val="25"/>
                <c:pt idx="0">
                  <c:v>2670.289855072464</c:v>
                </c:pt>
                <c:pt idx="1">
                  <c:v>275.37796610169494</c:v>
                </c:pt>
                <c:pt idx="2">
                  <c:v>105.67375886524823</c:v>
                </c:pt>
                <c:pt idx="3">
                  <c:v>119.04761904761905</c:v>
                </c:pt>
                <c:pt idx="4">
                  <c:v>87.352496217851737</c:v>
                </c:pt>
                <c:pt idx="5">
                  <c:v>27.272727272727273</c:v>
                </c:pt>
                <c:pt idx="6">
                  <c:v>76.379310344827587</c:v>
                </c:pt>
                <c:pt idx="7">
                  <c:v>54.347826086956523</c:v>
                </c:pt>
                <c:pt idx="8">
                  <c:v>64.588652482269509</c:v>
                </c:pt>
                <c:pt idx="9">
                  <c:v>66.666666666666671</c:v>
                </c:pt>
                <c:pt idx="10">
                  <c:v>60.61643835616438</c:v>
                </c:pt>
                <c:pt idx="11">
                  <c:v>32.269963518443454</c:v>
                </c:pt>
                <c:pt idx="12">
                  <c:v>29.898148148148149</c:v>
                </c:pt>
                <c:pt idx="13">
                  <c:v>38.46153846153846</c:v>
                </c:pt>
                <c:pt idx="14">
                  <c:v>27.746067415730337</c:v>
                </c:pt>
                <c:pt idx="15">
                  <c:v>23.17658557775847</c:v>
                </c:pt>
                <c:pt idx="16">
                  <c:v>6.4794816414686824</c:v>
                </c:pt>
                <c:pt idx="17">
                  <c:v>21.50334448160535</c:v>
                </c:pt>
                <c:pt idx="18">
                  <c:v>18.399642378185071</c:v>
                </c:pt>
                <c:pt idx="19">
                  <c:v>12.427381383556682</c:v>
                </c:pt>
                <c:pt idx="20">
                  <c:v>7.4833360323886637</c:v>
                </c:pt>
                <c:pt idx="21">
                  <c:v>9.0086537097460635</c:v>
                </c:pt>
                <c:pt idx="22">
                  <c:v>8.3774098910310144</c:v>
                </c:pt>
                <c:pt idx="23">
                  <c:v>4.5659469739344445</c:v>
                </c:pt>
                <c:pt idx="24">
                  <c:v>0</c:v>
                </c:pt>
              </c:numCache>
            </c:numRef>
          </c:val>
          <c:extLst>
            <c:ext xmlns:c16="http://schemas.microsoft.com/office/drawing/2014/chart" uri="{C3380CC4-5D6E-409C-BE32-E72D297353CC}">
              <c16:uniqueId val="{0000000E-6344-413B-BBB3-9D861110BCB4}"/>
            </c:ext>
          </c:extLst>
        </c:ser>
        <c:dLbls>
          <c:showLegendKey val="0"/>
          <c:showVal val="0"/>
          <c:showCatName val="0"/>
          <c:showSerName val="0"/>
          <c:showPercent val="0"/>
          <c:showBubbleSize val="0"/>
        </c:dLbls>
        <c:gapWidth val="219"/>
        <c:axId val="294269288"/>
        <c:axId val="294269680"/>
      </c:barChart>
      <c:lineChart>
        <c:grouping val="standard"/>
        <c:varyColors val="0"/>
        <c:ser>
          <c:idx val="15"/>
          <c:order val="15"/>
          <c:tx>
            <c:strRef>
              <c:f>Admin_izdev_pret_amata_vietām!$Q$1</c:f>
              <c:strCache>
                <c:ptCount val="1"/>
                <c:pt idx="0">
                  <c:v>Vidēji uz 1 amata vietu resoram</c:v>
                </c:pt>
              </c:strCache>
            </c:strRef>
          </c:tx>
          <c:spPr>
            <a:ln w="28575" cap="rnd">
              <a:noFill/>
              <a:round/>
            </a:ln>
            <a:effectLst/>
          </c:spPr>
          <c:marker>
            <c:symbol val="dash"/>
            <c:size val="11"/>
            <c:spPr>
              <a:solidFill>
                <a:srgbClr val="7030A0"/>
              </a:solidFill>
              <a:ln w="3175">
                <a:solidFill>
                  <a:srgbClr val="7030A0"/>
                </a:solidFill>
              </a:ln>
              <a:effectLst/>
            </c:spPr>
          </c:marker>
          <c:dPt>
            <c:idx val="20"/>
            <c:marker>
              <c:symbol val="dash"/>
              <c:size val="10"/>
              <c:spPr>
                <a:solidFill>
                  <a:srgbClr val="7030A0"/>
                </a:solidFill>
                <a:ln w="3175">
                  <a:solidFill>
                    <a:srgbClr val="7030A0"/>
                  </a:solidFill>
                </a:ln>
                <a:effectLst/>
              </c:spPr>
            </c:marker>
            <c:bubble3D val="0"/>
            <c:extLst>
              <c:ext xmlns:c16="http://schemas.microsoft.com/office/drawing/2014/chart" uri="{C3380CC4-5D6E-409C-BE32-E72D297353CC}">
                <c16:uniqueId val="{0000000F-6344-413B-BBB3-9D861110BCB4}"/>
              </c:ext>
            </c:extLst>
          </c:dPt>
          <c:dPt>
            <c:idx val="21"/>
            <c:marker>
              <c:symbol val="dash"/>
              <c:size val="9"/>
              <c:spPr>
                <a:solidFill>
                  <a:srgbClr val="7030A0"/>
                </a:solidFill>
                <a:ln w="3175">
                  <a:solidFill>
                    <a:srgbClr val="7030A0"/>
                  </a:solidFill>
                </a:ln>
                <a:effectLst/>
              </c:spPr>
            </c:marker>
            <c:bubble3D val="0"/>
            <c:extLst>
              <c:ext xmlns:c16="http://schemas.microsoft.com/office/drawing/2014/chart" uri="{C3380CC4-5D6E-409C-BE32-E72D297353CC}">
                <c16:uniqueId val="{00000010-6344-413B-BBB3-9D861110BCB4}"/>
              </c:ext>
            </c:extLst>
          </c:dPt>
          <c:dPt>
            <c:idx val="22"/>
            <c:marker>
              <c:symbol val="dash"/>
              <c:size val="9"/>
              <c:spPr>
                <a:solidFill>
                  <a:srgbClr val="7030A0"/>
                </a:solidFill>
                <a:ln w="3175">
                  <a:solidFill>
                    <a:srgbClr val="7030A0"/>
                  </a:solidFill>
                </a:ln>
                <a:effectLst/>
              </c:spPr>
            </c:marker>
            <c:bubble3D val="0"/>
            <c:extLst>
              <c:ext xmlns:c16="http://schemas.microsoft.com/office/drawing/2014/chart" uri="{C3380CC4-5D6E-409C-BE32-E72D297353CC}">
                <c16:uniqueId val="{00000011-6344-413B-BBB3-9D861110BCB4}"/>
              </c:ext>
            </c:extLst>
          </c:dPt>
          <c:dPt>
            <c:idx val="23"/>
            <c:marker>
              <c:symbol val="dash"/>
              <c:size val="9"/>
              <c:spPr>
                <a:solidFill>
                  <a:srgbClr val="7030A0"/>
                </a:solidFill>
                <a:ln w="3175">
                  <a:solidFill>
                    <a:srgbClr val="7030A0"/>
                  </a:solidFill>
                </a:ln>
                <a:effectLst/>
              </c:spPr>
            </c:marker>
            <c:bubble3D val="0"/>
            <c:extLst>
              <c:ext xmlns:c16="http://schemas.microsoft.com/office/drawing/2014/chart" uri="{C3380CC4-5D6E-409C-BE32-E72D297353CC}">
                <c16:uniqueId val="{00000012-6344-413B-BBB3-9D861110BCB4}"/>
              </c:ext>
            </c:extLst>
          </c:dPt>
          <c:dPt>
            <c:idx val="24"/>
            <c:marker>
              <c:symbol val="dash"/>
              <c:size val="8"/>
              <c:spPr>
                <a:solidFill>
                  <a:srgbClr val="7030A0"/>
                </a:solidFill>
                <a:ln w="3175">
                  <a:solidFill>
                    <a:srgbClr val="7030A0"/>
                  </a:solidFill>
                </a:ln>
                <a:effectLst/>
              </c:spPr>
            </c:marker>
            <c:bubble3D val="0"/>
            <c:extLst>
              <c:ext xmlns:c16="http://schemas.microsoft.com/office/drawing/2014/chart" uri="{C3380CC4-5D6E-409C-BE32-E72D297353CC}">
                <c16:uniqueId val="{00000013-6344-413B-BBB3-9D861110BCB4}"/>
              </c:ext>
            </c:extLst>
          </c:dPt>
          <c:dLbls>
            <c:dLbl>
              <c:idx val="0"/>
              <c:layout>
                <c:manualLayout>
                  <c:x val="-5.4443146509208793E-3"/>
                  <c:y val="1.8808497994354479E-3"/>
                </c:manualLayout>
              </c:layout>
              <c:dLblPos val="r"/>
              <c:showLegendKey val="0"/>
              <c:showVal val="1"/>
              <c:showCatName val="0"/>
              <c:showSerName val="0"/>
              <c:showPercent val="0"/>
              <c:showBubbleSize val="0"/>
              <c:extLst>
                <c:ext xmlns:c15="http://schemas.microsoft.com/office/drawing/2012/chart" uri="{CE6537A1-D6FC-4f65-9D91-7224C49458BB}">
                  <c15:layout>
                    <c:manualLayout>
                      <c:w val="5.1303976058144504E-2"/>
                      <c:h val="2.4910668708524753E-2"/>
                    </c:manualLayout>
                  </c15:layout>
                </c:ext>
                <c:ext xmlns:c16="http://schemas.microsoft.com/office/drawing/2014/chart" uri="{C3380CC4-5D6E-409C-BE32-E72D297353CC}">
                  <c16:uniqueId val="{00000014-6344-413B-BBB3-9D861110BCB4}"/>
                </c:ext>
              </c:extLst>
            </c:dLbl>
            <c:dLbl>
              <c:idx val="1"/>
              <c:layout>
                <c:manualLayout>
                  <c:x val="-3.2796467073645925E-2"/>
                  <c:y val="-3.12512457681920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344-413B-BBB3-9D861110BCB4}"/>
                </c:ext>
              </c:extLst>
            </c:dLbl>
            <c:dLbl>
              <c:idx val="2"/>
              <c:layout>
                <c:manualLayout>
                  <c:x val="-3.9209501334778664E-2"/>
                  <c:y val="-2.68800167207276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344-413B-BBB3-9D861110BCB4}"/>
                </c:ext>
              </c:extLst>
            </c:dLbl>
            <c:dLbl>
              <c:idx val="3"/>
              <c:layout>
                <c:manualLayout>
                  <c:x val="-4.0615647712697753E-2"/>
                  <c:y val="-2.4706482899438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344-413B-BBB3-9D861110BCB4}"/>
                </c:ext>
              </c:extLst>
            </c:dLbl>
            <c:dLbl>
              <c:idx val="4"/>
              <c:layout>
                <c:manualLayout>
                  <c:x val="-3.6340316374519024E-2"/>
                  <c:y val="-2.674834099030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344-413B-BBB3-9D861110BCB4}"/>
                </c:ext>
              </c:extLst>
            </c:dLbl>
            <c:dLbl>
              <c:idx val="5"/>
              <c:layout>
                <c:manualLayout>
                  <c:x val="-2.9927319367251001E-2"/>
                  <c:y val="-2.6748396956709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344-413B-BBB3-9D861110BCB4}"/>
                </c:ext>
              </c:extLst>
            </c:dLbl>
            <c:dLbl>
              <c:idx val="6"/>
              <c:layout>
                <c:manualLayout>
                  <c:x val="-3.6340316374519066E-2"/>
                  <c:y val="-2.2664624808575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344-413B-BBB3-9D861110BCB4}"/>
                </c:ext>
              </c:extLst>
            </c:dLbl>
            <c:dLbl>
              <c:idx val="7"/>
              <c:layout>
                <c:manualLayout>
                  <c:x val="-2.7789653698161606E-2"/>
                  <c:y val="-2.2664624808575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344-413B-BBB3-9D861110BCB4}"/>
                </c:ext>
              </c:extLst>
            </c:dLbl>
            <c:dLbl>
              <c:idx val="8"/>
              <c:layout>
                <c:manualLayout>
                  <c:x val="-3.6340316374519024E-2"/>
                  <c:y val="-2.2664624808575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6344-413B-BBB3-9D861110BCB4}"/>
                </c:ext>
              </c:extLst>
            </c:dLbl>
            <c:dLbl>
              <c:idx val="9"/>
              <c:layout>
                <c:manualLayout>
                  <c:x val="-3.2064985036340317E-2"/>
                  <c:y val="-2.674834099030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344-413B-BBB3-9D861110BCB4}"/>
                </c:ext>
              </c:extLst>
            </c:dLbl>
            <c:dLbl>
              <c:idx val="10"/>
              <c:layout>
                <c:manualLayout>
                  <c:x val="-3.6340316374519101E-2"/>
                  <c:y val="-2.26646248085758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6344-413B-BBB3-9D861110BCB4}"/>
                </c:ext>
              </c:extLst>
            </c:dLbl>
            <c:dLbl>
              <c:idx val="11"/>
              <c:layout>
                <c:manualLayout>
                  <c:x val="-3.4202650705429674E-2"/>
                  <c:y val="-2.47064828994384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6344-413B-BBB3-9D861110BCB4}"/>
                </c:ext>
              </c:extLst>
            </c:dLbl>
            <c:dLbl>
              <c:idx val="12"/>
              <c:layout>
                <c:manualLayout>
                  <c:x val="-3.420265070542975E-2"/>
                  <c:y val="-2.674834099030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6344-413B-BBB3-9D861110BCB4}"/>
                </c:ext>
              </c:extLst>
            </c:dLbl>
            <c:dLbl>
              <c:idx val="13"/>
              <c:layout>
                <c:manualLayout>
                  <c:x val="-3.6340316374519024E-2"/>
                  <c:y val="-2.674834099030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6344-413B-BBB3-9D861110BCB4}"/>
                </c:ext>
              </c:extLst>
            </c:dLbl>
            <c:dLbl>
              <c:idx val="14"/>
              <c:layout>
                <c:manualLayout>
                  <c:x val="-3.6340316374519024E-2"/>
                  <c:y val="-2.6748340990301173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2.9927319367250963E-2"/>
                      <c:h val="2.0826952526799388E-2"/>
                    </c:manualLayout>
                  </c15:layout>
                </c:ext>
                <c:ext xmlns:c16="http://schemas.microsoft.com/office/drawing/2014/chart" uri="{C3380CC4-5D6E-409C-BE32-E72D297353CC}">
                  <c16:uniqueId val="{00000022-6344-413B-BBB3-9D861110BCB4}"/>
                </c:ext>
              </c:extLst>
            </c:dLbl>
            <c:dLbl>
              <c:idx val="15"/>
              <c:layout>
                <c:manualLayout>
                  <c:x val="-3.6340316374519024E-2"/>
                  <c:y val="-2.674834099030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6344-413B-BBB3-9D861110BCB4}"/>
                </c:ext>
              </c:extLst>
            </c:dLbl>
            <c:dLbl>
              <c:idx val="16"/>
              <c:layout>
                <c:manualLayout>
                  <c:x val="-3.6340316374519101E-2"/>
                  <c:y val="-2.674834099030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6344-413B-BBB3-9D861110BCB4}"/>
                </c:ext>
              </c:extLst>
            </c:dLbl>
            <c:dLbl>
              <c:idx val="17"/>
              <c:layout>
                <c:manualLayout>
                  <c:x val="-3.4202650705429674E-2"/>
                  <c:y val="-2.67483409903011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6344-413B-BBB3-9D861110BCB4}"/>
                </c:ext>
              </c:extLst>
            </c:dLbl>
            <c:dLbl>
              <c:idx val="18"/>
              <c:layout>
                <c:manualLayout>
                  <c:x val="-3.6340316374519024E-2"/>
                  <c:y val="-2.67483409903013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6344-413B-BBB3-9D861110BCB4}"/>
                </c:ext>
              </c:extLst>
            </c:dLbl>
            <c:dLbl>
              <c:idx val="19"/>
              <c:layout>
                <c:manualLayout>
                  <c:x val="-3.6340316374519184E-2"/>
                  <c:y val="-2.87901990811640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6344-413B-BBB3-9D861110BCB4}"/>
                </c:ext>
              </c:extLst>
            </c:dLbl>
            <c:dLbl>
              <c:idx val="20"/>
              <c:layout>
                <c:manualLayout>
                  <c:x val="-3.6340316374519024E-2"/>
                  <c:y val="-3.28739152628892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344-413B-BBB3-9D861110BCB4}"/>
                </c:ext>
              </c:extLst>
            </c:dLbl>
            <c:dLbl>
              <c:idx val="21"/>
              <c:layout>
                <c:manualLayout>
                  <c:x val="-3.2064985036340476E-2"/>
                  <c:y val="-3.287391526288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344-413B-BBB3-9D861110BCB4}"/>
                </c:ext>
              </c:extLst>
            </c:dLbl>
            <c:dLbl>
              <c:idx val="22"/>
              <c:layout>
                <c:manualLayout>
                  <c:x val="-3.2064985036340476E-2"/>
                  <c:y val="-3.2873915262889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344-413B-BBB3-9D861110BCB4}"/>
                </c:ext>
              </c:extLst>
            </c:dLbl>
            <c:dLbl>
              <c:idx val="23"/>
              <c:layout>
                <c:manualLayout>
                  <c:x val="-3.2064985036340317E-2"/>
                  <c:y val="-3.08320571720265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344-413B-BBB3-9D861110BCB4}"/>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Admin_izdev_pret_amata_vietām!$Q$127:$Q$151</c:f>
              <c:numCache>
                <c:formatCode>#,##0</c:formatCode>
                <c:ptCount val="25"/>
                <c:pt idx="0">
                  <c:v>2566.8974860480207</c:v>
                </c:pt>
                <c:pt idx="1">
                  <c:v>311.29783708230633</c:v>
                </c:pt>
                <c:pt idx="2">
                  <c:v>120.35283462949378</c:v>
                </c:pt>
                <c:pt idx="3">
                  <c:v>114.85914285714287</c:v>
                </c:pt>
                <c:pt idx="4">
                  <c:v>91.118079610952321</c:v>
                </c:pt>
                <c:pt idx="5">
                  <c:v>82.638267592872239</c:v>
                </c:pt>
                <c:pt idx="6">
                  <c:v>77.030601358411701</c:v>
                </c:pt>
                <c:pt idx="7">
                  <c:v>64.864855072463769</c:v>
                </c:pt>
                <c:pt idx="8">
                  <c:v>64.170672878163714</c:v>
                </c:pt>
                <c:pt idx="9">
                  <c:v>62.912333333333343</c:v>
                </c:pt>
                <c:pt idx="10">
                  <c:v>58.774119883471634</c:v>
                </c:pt>
                <c:pt idx="11">
                  <c:v>51.886865869577605</c:v>
                </c:pt>
                <c:pt idx="12">
                  <c:v>42.625075465876591</c:v>
                </c:pt>
                <c:pt idx="13">
                  <c:v>35.064846153846148</c:v>
                </c:pt>
                <c:pt idx="14">
                  <c:v>34.957198408822762</c:v>
                </c:pt>
                <c:pt idx="15">
                  <c:v>33.704489374097946</c:v>
                </c:pt>
                <c:pt idx="16">
                  <c:v>21.905576537660771</c:v>
                </c:pt>
                <c:pt idx="17">
                  <c:v>21.32714078939054</c:v>
                </c:pt>
                <c:pt idx="18">
                  <c:v>19.447503220182433</c:v>
                </c:pt>
                <c:pt idx="19">
                  <c:v>18.553457139515366</c:v>
                </c:pt>
                <c:pt idx="20">
                  <c:v>12.902487936292227</c:v>
                </c:pt>
                <c:pt idx="21">
                  <c:v>8.5367360154998035</c:v>
                </c:pt>
                <c:pt idx="22">
                  <c:v>8.1027844913216533</c:v>
                </c:pt>
                <c:pt idx="23">
                  <c:v>4.9886493743807883</c:v>
                </c:pt>
                <c:pt idx="24">
                  <c:v>0.44689333333333331</c:v>
                </c:pt>
              </c:numCache>
            </c:numRef>
          </c:val>
          <c:smooth val="0"/>
          <c:extLst>
            <c:ext xmlns:c16="http://schemas.microsoft.com/office/drawing/2014/chart" uri="{C3380CC4-5D6E-409C-BE32-E72D297353CC}">
              <c16:uniqueId val="{00000028-6344-413B-BBB3-9D861110BCB4}"/>
            </c:ext>
          </c:extLst>
        </c:ser>
        <c:ser>
          <c:idx val="16"/>
          <c:order val="16"/>
          <c:tx>
            <c:strRef>
              <c:f>Admin_izdev_pret_amata_vietām!$R$1</c:f>
              <c:strCache>
                <c:ptCount val="1"/>
                <c:pt idx="0">
                  <c:v>Vidēji uz 1 amata vietu kopā</c:v>
                </c:pt>
              </c:strCache>
            </c:strRef>
          </c:tx>
          <c:spPr>
            <a:ln w="28575" cap="rnd">
              <a:solidFill>
                <a:srgbClr val="FF0000"/>
              </a:solidFill>
              <a:prstDash val="dash"/>
              <a:round/>
            </a:ln>
            <a:effectLst/>
          </c:spPr>
          <c:marker>
            <c:symbol val="none"/>
          </c:marker>
          <c:cat>
            <c:strRef>
              <c:f>Admin_izdev_pret_amata_vietām!$A$127:$A$151</c:f>
              <c:strCache>
                <c:ptCount val="25"/>
                <c:pt idx="0">
                  <c:v>VPK</c:v>
                </c:pt>
                <c:pt idx="1">
                  <c:v>ĀM</c:v>
                </c:pt>
                <c:pt idx="2">
                  <c:v>MK</c:v>
                </c:pt>
                <c:pt idx="3">
                  <c:v>CVK</c:v>
                </c:pt>
                <c:pt idx="4">
                  <c:v>Saeima</c:v>
                </c:pt>
                <c:pt idx="5">
                  <c:v>ST</c:v>
                </c:pt>
                <c:pt idx="6">
                  <c:v>SPRK</c:v>
                </c:pt>
                <c:pt idx="7">
                  <c:v>TB</c:v>
                </c:pt>
                <c:pt idx="8">
                  <c:v>SM</c:v>
                </c:pt>
                <c:pt idx="9">
                  <c:v>RTV</c:v>
                </c:pt>
                <c:pt idx="10">
                  <c:v>AT</c:v>
                </c:pt>
                <c:pt idx="11">
                  <c:v>KM</c:v>
                </c:pt>
                <c:pt idx="12">
                  <c:v>EM</c:v>
                </c:pt>
                <c:pt idx="13">
                  <c:v>PKC</c:v>
                </c:pt>
                <c:pt idx="14">
                  <c:v>VARAM</c:v>
                </c:pt>
                <c:pt idx="15">
                  <c:v>AiM</c:v>
                </c:pt>
                <c:pt idx="16">
                  <c:v>Prokuratūra</c:v>
                </c:pt>
                <c:pt idx="17">
                  <c:v>ZM</c:v>
                </c:pt>
                <c:pt idx="18">
                  <c:v>FM</c:v>
                </c:pt>
                <c:pt idx="19">
                  <c:v>IZM</c:v>
                </c:pt>
                <c:pt idx="20">
                  <c:v>IeM</c:v>
                </c:pt>
                <c:pt idx="21">
                  <c:v>TM</c:v>
                </c:pt>
                <c:pt idx="22">
                  <c:v>VM</c:v>
                </c:pt>
                <c:pt idx="23">
                  <c:v>LM</c:v>
                </c:pt>
                <c:pt idx="24">
                  <c:v>KNAB</c:v>
                </c:pt>
              </c:strCache>
            </c:strRef>
          </c:cat>
          <c:val>
            <c:numRef>
              <c:f>Admin_izdev_pret_amata_vietām!$R$127:$R$151</c:f>
              <c:numCache>
                <c:formatCode>General</c:formatCode>
                <c:ptCount val="25"/>
                <c:pt idx="0" formatCode="#,##0">
                  <c:v>56.769518683683735</c:v>
                </c:pt>
                <c:pt idx="1">
                  <c:v>57</c:v>
                </c:pt>
                <c:pt idx="2">
                  <c:v>57</c:v>
                </c:pt>
                <c:pt idx="3">
                  <c:v>57</c:v>
                </c:pt>
                <c:pt idx="4">
                  <c:v>57</c:v>
                </c:pt>
                <c:pt idx="5">
                  <c:v>57</c:v>
                </c:pt>
                <c:pt idx="6">
                  <c:v>57</c:v>
                </c:pt>
                <c:pt idx="7">
                  <c:v>57</c:v>
                </c:pt>
                <c:pt idx="8">
                  <c:v>57</c:v>
                </c:pt>
                <c:pt idx="9">
                  <c:v>57</c:v>
                </c:pt>
                <c:pt idx="10">
                  <c:v>57</c:v>
                </c:pt>
                <c:pt idx="11">
                  <c:v>57</c:v>
                </c:pt>
                <c:pt idx="12">
                  <c:v>57</c:v>
                </c:pt>
                <c:pt idx="13">
                  <c:v>57</c:v>
                </c:pt>
                <c:pt idx="14">
                  <c:v>57</c:v>
                </c:pt>
                <c:pt idx="15">
                  <c:v>57</c:v>
                </c:pt>
                <c:pt idx="16">
                  <c:v>57</c:v>
                </c:pt>
                <c:pt idx="17">
                  <c:v>57</c:v>
                </c:pt>
                <c:pt idx="18">
                  <c:v>57</c:v>
                </c:pt>
                <c:pt idx="19">
                  <c:v>57</c:v>
                </c:pt>
                <c:pt idx="20">
                  <c:v>57</c:v>
                </c:pt>
                <c:pt idx="21">
                  <c:v>57</c:v>
                </c:pt>
                <c:pt idx="22">
                  <c:v>57</c:v>
                </c:pt>
                <c:pt idx="23">
                  <c:v>57</c:v>
                </c:pt>
                <c:pt idx="24">
                  <c:v>57</c:v>
                </c:pt>
              </c:numCache>
            </c:numRef>
          </c:val>
          <c:smooth val="0"/>
          <c:extLst>
            <c:ext xmlns:c16="http://schemas.microsoft.com/office/drawing/2014/chart" uri="{C3380CC4-5D6E-409C-BE32-E72D297353CC}">
              <c16:uniqueId val="{00000029-6344-413B-BBB3-9D861110BCB4}"/>
            </c:ext>
          </c:extLst>
        </c:ser>
        <c:dLbls>
          <c:showLegendKey val="0"/>
          <c:showVal val="0"/>
          <c:showCatName val="0"/>
          <c:showSerName val="0"/>
          <c:showPercent val="0"/>
          <c:showBubbleSize val="0"/>
        </c:dLbls>
        <c:marker val="1"/>
        <c:smooth val="0"/>
        <c:axId val="294269288"/>
        <c:axId val="294269680"/>
      </c:lineChart>
      <c:catAx>
        <c:axId val="29426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69680"/>
        <c:crosses val="autoZero"/>
        <c:auto val="1"/>
        <c:lblAlgn val="ctr"/>
        <c:lblOffset val="100"/>
        <c:noMultiLvlLbl val="0"/>
      </c:catAx>
      <c:valAx>
        <c:axId val="294269680"/>
        <c:scaling>
          <c:orientation val="minMax"/>
          <c:max val="26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69288"/>
        <c:crosses val="autoZero"/>
        <c:crossBetween val="between"/>
        <c:majorUnit val="50"/>
      </c:valAx>
      <c:spPr>
        <a:solidFill>
          <a:sysClr val="window" lastClr="FFFFFF"/>
        </a:solidFill>
        <a:ln w="12700" cap="flat" cmpd="sng" algn="ctr">
          <a:solidFill>
            <a:sysClr val="windowText" lastClr="000000"/>
          </a:solidFill>
          <a:prstDash val="solid"/>
          <a:miter lim="800000"/>
        </a:ln>
        <a:effectLst/>
      </c:spPr>
    </c:plotArea>
    <c:legend>
      <c:legendPos val="b"/>
      <c:legendEntry>
        <c:idx val="6"/>
        <c:delete val="1"/>
      </c:legendEntry>
      <c:layout>
        <c:manualLayout>
          <c:xMode val="edge"/>
          <c:yMode val="edge"/>
          <c:x val="3.239118945104074E-2"/>
          <c:y val="0.92075966919229435"/>
          <c:w val="0.95231894645063342"/>
          <c:h val="4.414681655359117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884616167165151E-2"/>
          <c:y val="4.8112132371286288E-2"/>
          <c:w val="0.91314369588539956"/>
          <c:h val="0.76205403031845342"/>
        </c:manualLayout>
      </c:layout>
      <c:barChart>
        <c:barDir val="col"/>
        <c:grouping val="clustered"/>
        <c:varyColors val="0"/>
        <c:ser>
          <c:idx val="2"/>
          <c:order val="2"/>
          <c:tx>
            <c:strRef>
              <c:f>Admin_izdev_pret_amata_vietām!$D$1</c:f>
              <c:strCache>
                <c:ptCount val="1"/>
                <c:pt idx="0">
                  <c:v>2015.gads izpilde</c:v>
                </c:pt>
              </c:strCache>
            </c:strRef>
          </c:tx>
          <c:spPr>
            <a:solidFill>
              <a:schemeClr val="accent3"/>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Admin_izdev_pret_amata_vietām!$D$65:$D$76</c:f>
              <c:numCache>
                <c:formatCode>#,##0</c:formatCode>
                <c:ptCount val="12"/>
                <c:pt idx="0">
                  <c:v>143.55652173913043</c:v>
                </c:pt>
                <c:pt idx="1">
                  <c:v>104.90885585003232</c:v>
                </c:pt>
                <c:pt idx="2">
                  <c:v>12.53846153846154</c:v>
                </c:pt>
                <c:pt idx="3">
                  <c:v>3.16</c:v>
                </c:pt>
                <c:pt idx="4">
                  <c:v>1.6148648648648649</c:v>
                </c:pt>
                <c:pt idx="5">
                  <c:v>1.043478260869565</c:v>
                </c:pt>
                <c:pt idx="6">
                  <c:v>1.1205414697034808</c:v>
                </c:pt>
                <c:pt idx="7">
                  <c:v>0.79487179487179482</c:v>
                </c:pt>
                <c:pt idx="8">
                  <c:v>1.2108008591592514</c:v>
                </c:pt>
                <c:pt idx="9">
                  <c:v>0.46951219512195119</c:v>
                </c:pt>
                <c:pt idx="10">
                  <c:v>0.59090909090909094</c:v>
                </c:pt>
                <c:pt idx="11">
                  <c:v>9.134943597412308E-2</c:v>
                </c:pt>
              </c:numCache>
            </c:numRef>
          </c:val>
          <c:extLst>
            <c:ext xmlns:c16="http://schemas.microsoft.com/office/drawing/2014/chart" uri="{C3380CC4-5D6E-409C-BE32-E72D297353CC}">
              <c16:uniqueId val="{00000000-950E-464E-8401-FF6BF1F4856F}"/>
            </c:ext>
          </c:extLst>
        </c:ser>
        <c:ser>
          <c:idx val="5"/>
          <c:order val="5"/>
          <c:tx>
            <c:strRef>
              <c:f>Admin_izdev_pret_amata_vietām!$G$1</c:f>
              <c:strCache>
                <c:ptCount val="1"/>
                <c:pt idx="0">
                  <c:v>2016.gads izpilde</c:v>
                </c:pt>
              </c:strCache>
            </c:strRef>
          </c:tx>
          <c:spPr>
            <a:solidFill>
              <a:schemeClr val="accent6"/>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Admin_izdev_pret_amata_vietām!$G$65:$G$76</c:f>
              <c:numCache>
                <c:formatCode>#,##0</c:formatCode>
                <c:ptCount val="12"/>
                <c:pt idx="0">
                  <c:v>120.91060344827585</c:v>
                </c:pt>
                <c:pt idx="1">
                  <c:v>100.12843587694765</c:v>
                </c:pt>
                <c:pt idx="2">
                  <c:v>10.74483660130719</c:v>
                </c:pt>
                <c:pt idx="3">
                  <c:v>5.8818333333333337</c:v>
                </c:pt>
                <c:pt idx="4">
                  <c:v>3.8505075593952482</c:v>
                </c:pt>
                <c:pt idx="5">
                  <c:v>0.13460431654676261</c:v>
                </c:pt>
                <c:pt idx="6">
                  <c:v>0.74338145514616083</c:v>
                </c:pt>
                <c:pt idx="7">
                  <c:v>1.0980275974025975</c:v>
                </c:pt>
                <c:pt idx="8">
                  <c:v>0.97327833668678743</c:v>
                </c:pt>
                <c:pt idx="9">
                  <c:v>0.37461305007587253</c:v>
                </c:pt>
                <c:pt idx="10">
                  <c:v>7.575757575757576E-2</c:v>
                </c:pt>
                <c:pt idx="11">
                  <c:v>0.22938404860392966</c:v>
                </c:pt>
              </c:numCache>
            </c:numRef>
          </c:val>
          <c:extLst>
            <c:ext xmlns:c16="http://schemas.microsoft.com/office/drawing/2014/chart" uri="{C3380CC4-5D6E-409C-BE32-E72D297353CC}">
              <c16:uniqueId val="{00000001-950E-464E-8401-FF6BF1F4856F}"/>
            </c:ext>
          </c:extLst>
        </c:ser>
        <c:ser>
          <c:idx val="8"/>
          <c:order val="8"/>
          <c:tx>
            <c:strRef>
              <c:f>Admin_izdev_pret_amata_vietām!$J$1</c:f>
              <c:strCache>
                <c:ptCount val="1"/>
                <c:pt idx="0">
                  <c:v>2017.gads plāns</c:v>
                </c:pt>
              </c:strCache>
            </c:strRef>
          </c:tx>
          <c:spPr>
            <a:solidFill>
              <a:schemeClr val="accent3">
                <a:lumMod val="6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Admin_izdev_pret_amata_vietām!$J$65:$J$76</c:f>
              <c:numCache>
                <c:formatCode>#,##0</c:formatCode>
                <c:ptCount val="12"/>
                <c:pt idx="0">
                  <c:v>160.67118644067796</c:v>
                </c:pt>
                <c:pt idx="1">
                  <c:v>117.42981709910676</c:v>
                </c:pt>
                <c:pt idx="2">
                  <c:v>9.2764378478664185</c:v>
                </c:pt>
                <c:pt idx="3">
                  <c:v>3.7222222222222223</c:v>
                </c:pt>
                <c:pt idx="4">
                  <c:v>2.5917926565874732</c:v>
                </c:pt>
                <c:pt idx="5">
                  <c:v>4.6099290780141846</c:v>
                </c:pt>
                <c:pt idx="6">
                  <c:v>1.6949275362318841</c:v>
                </c:pt>
                <c:pt idx="7">
                  <c:v>0.80024311183144248</c:v>
                </c:pt>
                <c:pt idx="8">
                  <c:v>0.79514490958632644</c:v>
                </c:pt>
                <c:pt idx="9">
                  <c:v>0.75642965204236001</c:v>
                </c:pt>
                <c:pt idx="10">
                  <c:v>0.68965517241379315</c:v>
                </c:pt>
                <c:pt idx="11">
                  <c:v>1.0337100482497328</c:v>
                </c:pt>
              </c:numCache>
            </c:numRef>
          </c:val>
          <c:extLst>
            <c:ext xmlns:c16="http://schemas.microsoft.com/office/drawing/2014/chart" uri="{C3380CC4-5D6E-409C-BE32-E72D297353CC}">
              <c16:uniqueId val="{00000002-950E-464E-8401-FF6BF1F4856F}"/>
            </c:ext>
          </c:extLst>
        </c:ser>
        <c:ser>
          <c:idx val="11"/>
          <c:order val="11"/>
          <c:tx>
            <c:strRef>
              <c:f>Admin_izdev_pret_amata_vietām!$M$1</c:f>
              <c:strCache>
                <c:ptCount val="1"/>
                <c:pt idx="0">
                  <c:v>2018.gads plāns</c:v>
                </c:pt>
              </c:strCache>
            </c:strRef>
          </c:tx>
          <c:spPr>
            <a:solidFill>
              <a:schemeClr val="accent6">
                <a:lumMod val="6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Admin_izdev_pret_amata_vietām!$M$65:$M$76</c:f>
              <c:numCache>
                <c:formatCode>#,##0</c:formatCode>
                <c:ptCount val="12"/>
                <c:pt idx="0">
                  <c:v>160.67118644067796</c:v>
                </c:pt>
                <c:pt idx="1">
                  <c:v>129.47929259010522</c:v>
                </c:pt>
                <c:pt idx="2">
                  <c:v>9.2592592592592595</c:v>
                </c:pt>
                <c:pt idx="3">
                  <c:v>3.7222222222222223</c:v>
                </c:pt>
                <c:pt idx="4">
                  <c:v>2.5917926565874732</c:v>
                </c:pt>
                <c:pt idx="5">
                  <c:v>4.6099290780141846</c:v>
                </c:pt>
                <c:pt idx="6">
                  <c:v>1.6943136544730171</c:v>
                </c:pt>
                <c:pt idx="7">
                  <c:v>0.80056749087961088</c:v>
                </c:pt>
                <c:pt idx="8">
                  <c:v>0.73539518900343648</c:v>
                </c:pt>
                <c:pt idx="9">
                  <c:v>0.75642965204236001</c:v>
                </c:pt>
                <c:pt idx="10">
                  <c:v>0.68965517241379315</c:v>
                </c:pt>
                <c:pt idx="11">
                  <c:v>1.0339109311740891</c:v>
                </c:pt>
              </c:numCache>
            </c:numRef>
          </c:val>
          <c:extLst>
            <c:ext xmlns:c16="http://schemas.microsoft.com/office/drawing/2014/chart" uri="{C3380CC4-5D6E-409C-BE32-E72D297353CC}">
              <c16:uniqueId val="{00000003-950E-464E-8401-FF6BF1F4856F}"/>
            </c:ext>
          </c:extLst>
        </c:ser>
        <c:ser>
          <c:idx val="14"/>
          <c:order val="14"/>
          <c:tx>
            <c:strRef>
              <c:f>Admin_izdev_pret_amata_vietām!$P$1</c:f>
              <c:strCache>
                <c:ptCount val="1"/>
                <c:pt idx="0">
                  <c:v>2019.gads plāns</c:v>
                </c:pt>
              </c:strCache>
            </c:strRef>
          </c:tx>
          <c:spPr>
            <a:solidFill>
              <a:srgbClr val="00B0F0"/>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Admin_izdev_pret_amata_vietām!$P$65:$P$76</c:f>
              <c:numCache>
                <c:formatCode>#,##0</c:formatCode>
                <c:ptCount val="12"/>
                <c:pt idx="0">
                  <c:v>160.67118644067796</c:v>
                </c:pt>
                <c:pt idx="1">
                  <c:v>135.43249888243182</c:v>
                </c:pt>
                <c:pt idx="2">
                  <c:v>9.2592592592592595</c:v>
                </c:pt>
                <c:pt idx="3">
                  <c:v>3.7222222222222223</c:v>
                </c:pt>
                <c:pt idx="4">
                  <c:v>2.5917926565874732</c:v>
                </c:pt>
                <c:pt idx="5">
                  <c:v>4.6099290780141846</c:v>
                </c:pt>
                <c:pt idx="6">
                  <c:v>1.6943136544730171</c:v>
                </c:pt>
                <c:pt idx="7">
                  <c:v>0.80056749087961088</c:v>
                </c:pt>
                <c:pt idx="8">
                  <c:v>0.6972198088618593</c:v>
                </c:pt>
                <c:pt idx="9">
                  <c:v>0.75642965204236001</c:v>
                </c:pt>
                <c:pt idx="10">
                  <c:v>0.68965517241379315</c:v>
                </c:pt>
                <c:pt idx="11">
                  <c:v>1.0339109311740891</c:v>
                </c:pt>
              </c:numCache>
            </c:numRef>
          </c:val>
          <c:extLst>
            <c:ext xmlns:c16="http://schemas.microsoft.com/office/drawing/2014/chart" uri="{C3380CC4-5D6E-409C-BE32-E72D297353CC}">
              <c16:uniqueId val="{00000004-950E-464E-8401-FF6BF1F4856F}"/>
            </c:ext>
          </c:extLst>
        </c:ser>
        <c:dLbls>
          <c:showLegendKey val="0"/>
          <c:showVal val="0"/>
          <c:showCatName val="0"/>
          <c:showSerName val="0"/>
          <c:showPercent val="0"/>
          <c:showBubbleSize val="0"/>
        </c:dLbls>
        <c:gapWidth val="219"/>
        <c:axId val="294270464"/>
        <c:axId val="294270856"/>
      </c:barChart>
      <c:barChart>
        <c:barDir val="col"/>
        <c:grouping val="clustered"/>
        <c:varyColors val="0"/>
        <c:ser>
          <c:idx val="0"/>
          <c:order val="0"/>
          <c:tx>
            <c:strRef>
              <c:f>Admin_izdev_pret_amata_vietām!$B$1</c:f>
              <c:strCache>
                <c:ptCount val="1"/>
                <c:pt idx="0">
                  <c:v>2015.gada izpilde</c:v>
                </c:pt>
              </c:strCache>
            </c:strRef>
          </c:tx>
          <c:spPr>
            <a:solidFill>
              <a:schemeClr val="accent1"/>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Admin_izdev_pret_amata_vietām!$B$65:$B$76</c:f>
            </c:numRef>
          </c:val>
          <c:extLst>
            <c:ext xmlns:c16="http://schemas.microsoft.com/office/drawing/2014/chart" uri="{C3380CC4-5D6E-409C-BE32-E72D297353CC}">
              <c16:uniqueId val="{00000005-950E-464E-8401-FF6BF1F4856F}"/>
            </c:ext>
          </c:extLst>
        </c:ser>
        <c:ser>
          <c:idx val="1"/>
          <c:order val="1"/>
          <c:tx>
            <c:strRef>
              <c:f>Admin_izdev_pret_amata_vietām!$C$1</c:f>
              <c:strCache>
                <c:ptCount val="1"/>
                <c:pt idx="0">
                  <c:v>2015.gada Amata vieta/slodze</c:v>
                </c:pt>
              </c:strCache>
            </c:strRef>
          </c:tx>
          <c:spPr>
            <a:solidFill>
              <a:schemeClr val="accent2"/>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Admin_izdev_pret_amata_vietām!$C$65:$C$76</c:f>
            </c:numRef>
          </c:val>
          <c:extLst>
            <c:ext xmlns:c16="http://schemas.microsoft.com/office/drawing/2014/chart" uri="{C3380CC4-5D6E-409C-BE32-E72D297353CC}">
              <c16:uniqueId val="{00000006-950E-464E-8401-FF6BF1F4856F}"/>
            </c:ext>
          </c:extLst>
        </c:ser>
        <c:ser>
          <c:idx val="3"/>
          <c:order val="3"/>
          <c:tx>
            <c:strRef>
              <c:f>Admin_izdev_pret_amata_vietām!$E$1</c:f>
              <c:strCache>
                <c:ptCount val="1"/>
                <c:pt idx="0">
                  <c:v>2016.gada izpilde</c:v>
                </c:pt>
              </c:strCache>
            </c:strRef>
          </c:tx>
          <c:spPr>
            <a:solidFill>
              <a:schemeClr val="accent4"/>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Admin_izdev_pret_amata_vietām!$E$65:$E$76</c:f>
            </c:numRef>
          </c:val>
          <c:extLst>
            <c:ext xmlns:c16="http://schemas.microsoft.com/office/drawing/2014/chart" uri="{C3380CC4-5D6E-409C-BE32-E72D297353CC}">
              <c16:uniqueId val="{00000007-950E-464E-8401-FF6BF1F4856F}"/>
            </c:ext>
          </c:extLst>
        </c:ser>
        <c:ser>
          <c:idx val="4"/>
          <c:order val="4"/>
          <c:tx>
            <c:strRef>
              <c:f>Admin_izdev_pret_amata_vietām!$F$1</c:f>
              <c:strCache>
                <c:ptCount val="1"/>
                <c:pt idx="0">
                  <c:v>2016.gada Amata vieta/slodze</c:v>
                </c:pt>
              </c:strCache>
            </c:strRef>
          </c:tx>
          <c:spPr>
            <a:solidFill>
              <a:schemeClr val="accent5"/>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Admin_izdev_pret_amata_vietām!$F$65:$F$76</c:f>
            </c:numRef>
          </c:val>
          <c:extLst>
            <c:ext xmlns:c16="http://schemas.microsoft.com/office/drawing/2014/chart" uri="{C3380CC4-5D6E-409C-BE32-E72D297353CC}">
              <c16:uniqueId val="{00000008-950E-464E-8401-FF6BF1F4856F}"/>
            </c:ext>
          </c:extLst>
        </c:ser>
        <c:ser>
          <c:idx val="6"/>
          <c:order val="6"/>
          <c:tx>
            <c:strRef>
              <c:f>Admin_izdev_pret_amata_vietām!$H$1</c:f>
              <c:strCache>
                <c:ptCount val="1"/>
                <c:pt idx="0">
                  <c:v>2017.gada plāns</c:v>
                </c:pt>
              </c:strCache>
            </c:strRef>
          </c:tx>
          <c:spPr>
            <a:solidFill>
              <a:schemeClr val="accent1">
                <a:lumMod val="6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Admin_izdev_pret_amata_vietām!$H$65:$H$76</c:f>
            </c:numRef>
          </c:val>
          <c:extLst>
            <c:ext xmlns:c16="http://schemas.microsoft.com/office/drawing/2014/chart" uri="{C3380CC4-5D6E-409C-BE32-E72D297353CC}">
              <c16:uniqueId val="{00000009-950E-464E-8401-FF6BF1F4856F}"/>
            </c:ext>
          </c:extLst>
        </c:ser>
        <c:ser>
          <c:idx val="7"/>
          <c:order val="7"/>
          <c:tx>
            <c:strRef>
              <c:f>Admin_izdev_pret_amata_vietām!$I$1</c:f>
              <c:strCache>
                <c:ptCount val="1"/>
                <c:pt idx="0">
                  <c:v>2017.gada Amata vieta/slodze</c:v>
                </c:pt>
              </c:strCache>
            </c:strRef>
          </c:tx>
          <c:spPr>
            <a:solidFill>
              <a:schemeClr val="accent2">
                <a:lumMod val="6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Admin_izdev_pret_amata_vietām!$I$65:$I$76</c:f>
            </c:numRef>
          </c:val>
          <c:extLst>
            <c:ext xmlns:c16="http://schemas.microsoft.com/office/drawing/2014/chart" uri="{C3380CC4-5D6E-409C-BE32-E72D297353CC}">
              <c16:uniqueId val="{0000000A-950E-464E-8401-FF6BF1F4856F}"/>
            </c:ext>
          </c:extLst>
        </c:ser>
        <c:ser>
          <c:idx val="9"/>
          <c:order val="9"/>
          <c:tx>
            <c:strRef>
              <c:f>Admin_izdev_pret_amata_vietām!$K$1</c:f>
              <c:strCache>
                <c:ptCount val="1"/>
                <c:pt idx="0">
                  <c:v>2018.gada plāns</c:v>
                </c:pt>
              </c:strCache>
            </c:strRef>
          </c:tx>
          <c:spPr>
            <a:solidFill>
              <a:schemeClr val="accent4">
                <a:lumMod val="6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Admin_izdev_pret_amata_vietām!$K$65:$K$76</c:f>
            </c:numRef>
          </c:val>
          <c:extLst>
            <c:ext xmlns:c16="http://schemas.microsoft.com/office/drawing/2014/chart" uri="{C3380CC4-5D6E-409C-BE32-E72D297353CC}">
              <c16:uniqueId val="{0000000B-950E-464E-8401-FF6BF1F4856F}"/>
            </c:ext>
          </c:extLst>
        </c:ser>
        <c:ser>
          <c:idx val="10"/>
          <c:order val="10"/>
          <c:tx>
            <c:strRef>
              <c:f>Admin_izdev_pret_amata_vietām!$L$1</c:f>
              <c:strCache>
                <c:ptCount val="1"/>
                <c:pt idx="0">
                  <c:v>2018.gada Amata vieta/slodze</c:v>
                </c:pt>
              </c:strCache>
            </c:strRef>
          </c:tx>
          <c:spPr>
            <a:solidFill>
              <a:schemeClr val="accent5">
                <a:lumMod val="6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Admin_izdev_pret_amata_vietām!$L$65:$L$76</c:f>
            </c:numRef>
          </c:val>
          <c:extLst>
            <c:ext xmlns:c16="http://schemas.microsoft.com/office/drawing/2014/chart" uri="{C3380CC4-5D6E-409C-BE32-E72D297353CC}">
              <c16:uniqueId val="{0000000C-950E-464E-8401-FF6BF1F4856F}"/>
            </c:ext>
          </c:extLst>
        </c:ser>
        <c:ser>
          <c:idx val="12"/>
          <c:order val="12"/>
          <c:tx>
            <c:strRef>
              <c:f>Admin_izdev_pret_amata_vietām!$N$1</c:f>
              <c:strCache>
                <c:ptCount val="1"/>
                <c:pt idx="0">
                  <c:v>2019.gada plāns</c:v>
                </c:pt>
              </c:strCache>
            </c:strRef>
          </c:tx>
          <c:spPr>
            <a:solidFill>
              <a:schemeClr val="accent1">
                <a:lumMod val="80000"/>
                <a:lumOff val="2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Admin_izdev_pret_amata_vietām!$N$65:$N$76</c:f>
            </c:numRef>
          </c:val>
          <c:extLst>
            <c:ext xmlns:c16="http://schemas.microsoft.com/office/drawing/2014/chart" uri="{C3380CC4-5D6E-409C-BE32-E72D297353CC}">
              <c16:uniqueId val="{0000000D-950E-464E-8401-FF6BF1F4856F}"/>
            </c:ext>
          </c:extLst>
        </c:ser>
        <c:ser>
          <c:idx val="13"/>
          <c:order val="13"/>
          <c:tx>
            <c:strRef>
              <c:f>Admin_izdev_pret_amata_vietām!$O$1</c:f>
              <c:strCache>
                <c:ptCount val="1"/>
                <c:pt idx="0">
                  <c:v>2019.gada Amata vieta/slodze</c:v>
                </c:pt>
              </c:strCache>
            </c:strRef>
          </c:tx>
          <c:spPr>
            <a:solidFill>
              <a:schemeClr val="accent2">
                <a:lumMod val="80000"/>
                <a:lumOff val="20000"/>
              </a:schemeClr>
            </a:solidFill>
            <a:ln>
              <a:noFill/>
            </a:ln>
            <a:effectLst/>
          </c:spPr>
          <c:invertIfNegative val="0"/>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Admin_izdev_pret_amata_vietām!$O$65:$O$76</c:f>
            </c:numRef>
          </c:val>
          <c:extLst>
            <c:ext xmlns:c16="http://schemas.microsoft.com/office/drawing/2014/chart" uri="{C3380CC4-5D6E-409C-BE32-E72D297353CC}">
              <c16:uniqueId val="{0000000E-950E-464E-8401-FF6BF1F4856F}"/>
            </c:ext>
          </c:extLst>
        </c:ser>
        <c:dLbls>
          <c:showLegendKey val="0"/>
          <c:showVal val="0"/>
          <c:showCatName val="0"/>
          <c:showSerName val="0"/>
          <c:showPercent val="0"/>
          <c:showBubbleSize val="0"/>
        </c:dLbls>
        <c:gapWidth val="219"/>
        <c:axId val="294270464"/>
        <c:axId val="294270856"/>
      </c:barChart>
      <c:lineChart>
        <c:grouping val="standard"/>
        <c:varyColors val="0"/>
        <c:ser>
          <c:idx val="15"/>
          <c:order val="15"/>
          <c:tx>
            <c:strRef>
              <c:f>Admin_izdev_pret_amata_vietām!$Q$1</c:f>
              <c:strCache>
                <c:ptCount val="1"/>
                <c:pt idx="0">
                  <c:v>Vidēji uz 1 amata vietu resoram</c:v>
                </c:pt>
              </c:strCache>
            </c:strRef>
          </c:tx>
          <c:spPr>
            <a:ln w="28575" cap="rnd">
              <a:noFill/>
              <a:round/>
            </a:ln>
            <a:effectLst/>
          </c:spPr>
          <c:marker>
            <c:symbol val="dash"/>
            <c:size val="13"/>
            <c:spPr>
              <a:solidFill>
                <a:srgbClr val="7030A0"/>
              </a:solidFill>
              <a:ln w="0">
                <a:solidFill>
                  <a:srgbClr val="7030A0"/>
                </a:solidFill>
              </a:ln>
              <a:effectLst/>
            </c:spPr>
          </c:marker>
          <c:dLbls>
            <c:dLbl>
              <c:idx val="0"/>
              <c:layout>
                <c:manualLayout>
                  <c:x val="-5.0562946679548755E-2"/>
                  <c:y val="-6.7341895951219033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5.9243636657431493E-2"/>
                      <c:h val="5.0862549025478286E-2"/>
                    </c:manualLayout>
                  </c15:layout>
                </c:ext>
                <c:ext xmlns:c16="http://schemas.microsoft.com/office/drawing/2014/chart" uri="{C3380CC4-5D6E-409C-BE32-E72D297353CC}">
                  <c16:uniqueId val="{0000000F-950E-464E-8401-FF6BF1F4856F}"/>
                </c:ext>
              </c:extLst>
            </c:dLbl>
            <c:dLbl>
              <c:idx val="1"/>
              <c:layout>
                <c:manualLayout>
                  <c:x val="-6.5177089610271591E-2"/>
                  <c:y val="-2.9596519066295467E-2"/>
                </c:manualLayout>
              </c:layout>
              <c:spPr>
                <a:noFill/>
                <a:ln>
                  <a:noFill/>
                </a:ln>
                <a:effectLst/>
              </c:spPr>
              <c:txPr>
                <a:bodyPr rot="0" spcFirstLastPara="1" vertOverflow="ellipsis" vert="horz" wrap="square" lIns="38100" tIns="19050" rIns="38100" bIns="19050" anchor="ctr" anchorCtr="1">
                  <a:no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3.8477982043608382E-2"/>
                      <c:h val="2.8390367553865654E-2"/>
                    </c:manualLayout>
                  </c15:layout>
                </c:ext>
                <c:ext xmlns:c16="http://schemas.microsoft.com/office/drawing/2014/chart" uri="{C3380CC4-5D6E-409C-BE32-E72D297353CC}">
                  <c16:uniqueId val="{00000010-950E-464E-8401-FF6BF1F4856F}"/>
                </c:ext>
              </c:extLst>
            </c:dLbl>
            <c:dLbl>
              <c:idx val="2"/>
              <c:layout>
                <c:manualLayout>
                  <c:x val="-4.8709489552369485E-2"/>
                  <c:y val="-2.89380557468339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50E-464E-8401-FF6BF1F4856F}"/>
                </c:ext>
              </c:extLst>
            </c:dLbl>
            <c:dLbl>
              <c:idx val="3"/>
              <c:layout>
                <c:manualLayout>
                  <c:x val="-4.4091121786347928E-2"/>
                  <c:y val="-3.19172080676227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50E-464E-8401-FF6BF1F4856F}"/>
                </c:ext>
              </c:extLst>
            </c:dLbl>
            <c:dLbl>
              <c:idx val="4"/>
              <c:layout>
                <c:manualLayout>
                  <c:x val="-4.7121389112380695E-2"/>
                  <c:y val="-3.40077642385956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50E-464E-8401-FF6BF1F4856F}"/>
                </c:ext>
              </c:extLst>
            </c:dLbl>
            <c:dLbl>
              <c:idx val="5"/>
              <c:layout>
                <c:manualLayout>
                  <c:x val="-4.3245481446071911E-2"/>
                  <c:y val="-3.19172080676227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50E-464E-8401-FF6BF1F4856F}"/>
                </c:ext>
              </c:extLst>
            </c:dLbl>
            <c:dLbl>
              <c:idx val="6"/>
              <c:layout>
                <c:manualLayout>
                  <c:x val="-4.1107815776982637E-2"/>
                  <c:y val="-2.72726365478080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50E-464E-8401-FF6BF1F4856F}"/>
                </c:ext>
              </c:extLst>
            </c:dLbl>
            <c:dLbl>
              <c:idx val="7"/>
              <c:layout>
                <c:manualLayout>
                  <c:x val="-4.1554032445388536E-2"/>
                  <c:y val="-3.25453329740627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50E-464E-8401-FF6BF1F4856F}"/>
                </c:ext>
              </c:extLst>
            </c:dLbl>
            <c:dLbl>
              <c:idx val="8"/>
              <c:layout>
                <c:manualLayout>
                  <c:x val="-4.5436504596822788E-2"/>
                  <c:y val="-2.9826651896649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50E-464E-8401-FF6BF1F4856F}"/>
                </c:ext>
              </c:extLst>
            </c:dLbl>
            <c:dLbl>
              <c:idx val="9"/>
              <c:layout>
                <c:manualLayout>
                  <c:x val="-3.9416366776299179E-2"/>
                  <c:y val="-3.18980469646618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50E-464E-8401-FF6BF1F4856F}"/>
                </c:ext>
              </c:extLst>
            </c:dLbl>
            <c:dLbl>
              <c:idx val="10"/>
              <c:layout>
                <c:manualLayout>
                  <c:x val="-3.8308820311526902E-2"/>
                  <c:y val="-3.169505903016875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1.5503875968992248E-2"/>
                      <c:h val="4.5995893223819299E-2"/>
                    </c:manualLayout>
                  </c15:layout>
                </c:ext>
                <c:ext xmlns:c16="http://schemas.microsoft.com/office/drawing/2014/chart" uri="{C3380CC4-5D6E-409C-BE32-E72D297353CC}">
                  <c16:uniqueId val="{00000019-950E-464E-8401-FF6BF1F4856F}"/>
                </c:ext>
              </c:extLst>
            </c:dLbl>
            <c:dLbl>
              <c:idx val="11"/>
              <c:layout>
                <c:manualLayout>
                  <c:x val="-4.0839513487492131E-2"/>
                  <c:y val="-3.0029639831142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50E-464E-8401-FF6BF1F4856F}"/>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Admin_izdev_pret_amata_vietām!$Q$65:$Q$76</c:f>
              <c:numCache>
                <c:formatCode>#,##0</c:formatCode>
                <c:ptCount val="12"/>
                <c:pt idx="0">
                  <c:v>149.29613690188802</c:v>
                </c:pt>
                <c:pt idx="1">
                  <c:v>117.47578005972476</c:v>
                </c:pt>
                <c:pt idx="2">
                  <c:v>10.215650901230735</c:v>
                </c:pt>
                <c:pt idx="3">
                  <c:v>4.0416999999999996</c:v>
                </c:pt>
                <c:pt idx="4">
                  <c:v>2.6481500788045063</c:v>
                </c:pt>
                <c:pt idx="5">
                  <c:v>3.0015739622917765</c:v>
                </c:pt>
                <c:pt idx="6">
                  <c:v>1.3894955540055121</c:v>
                </c:pt>
                <c:pt idx="7">
                  <c:v>0.85885549717301135</c:v>
                </c:pt>
                <c:pt idx="8">
                  <c:v>0.88236782065953212</c:v>
                </c:pt>
                <c:pt idx="9">
                  <c:v>0.62268284026498066</c:v>
                </c:pt>
                <c:pt idx="10">
                  <c:v>0.54712643678160933</c:v>
                </c:pt>
                <c:pt idx="11">
                  <c:v>0.68445307903519281</c:v>
                </c:pt>
              </c:numCache>
            </c:numRef>
          </c:val>
          <c:smooth val="0"/>
          <c:extLst>
            <c:ext xmlns:c16="http://schemas.microsoft.com/office/drawing/2014/chart" uri="{C3380CC4-5D6E-409C-BE32-E72D297353CC}">
              <c16:uniqueId val="{0000001B-950E-464E-8401-FF6BF1F4856F}"/>
            </c:ext>
          </c:extLst>
        </c:ser>
        <c:ser>
          <c:idx val="16"/>
          <c:order val="16"/>
          <c:tx>
            <c:strRef>
              <c:f>Admin_izdev_pret_amata_vietām!$R$1</c:f>
              <c:strCache>
                <c:ptCount val="1"/>
                <c:pt idx="0">
                  <c:v>Vidēji uz 1 amata vietu kopā</c:v>
                </c:pt>
              </c:strCache>
            </c:strRef>
          </c:tx>
          <c:spPr>
            <a:ln w="28575" cap="rnd">
              <a:solidFill>
                <a:srgbClr val="FF0000"/>
              </a:solidFill>
              <a:prstDash val="dash"/>
              <a:round/>
            </a:ln>
            <a:effectLst/>
          </c:spPr>
          <c:marker>
            <c:symbol val="none"/>
          </c:marker>
          <c:cat>
            <c:strRef>
              <c:f>Admin_izdev_pret_amata_vietām!$A$65:$A$76</c:f>
              <c:strCache>
                <c:ptCount val="12"/>
                <c:pt idx="0">
                  <c:v>ĀM</c:v>
                </c:pt>
                <c:pt idx="1">
                  <c:v>FM</c:v>
                </c:pt>
                <c:pt idx="2">
                  <c:v>EM</c:v>
                </c:pt>
                <c:pt idx="3">
                  <c:v>VKo</c:v>
                </c:pt>
                <c:pt idx="4">
                  <c:v>Prokuratūra</c:v>
                </c:pt>
                <c:pt idx="5">
                  <c:v>SM</c:v>
                </c:pt>
                <c:pt idx="6">
                  <c:v>IZM</c:v>
                </c:pt>
                <c:pt idx="7">
                  <c:v>KM</c:v>
                </c:pt>
                <c:pt idx="8">
                  <c:v>AiM</c:v>
                </c:pt>
                <c:pt idx="9">
                  <c:v>Saeima</c:v>
                </c:pt>
                <c:pt idx="10">
                  <c:v>SPRK</c:v>
                </c:pt>
                <c:pt idx="11">
                  <c:v>IeM</c:v>
                </c:pt>
              </c:strCache>
            </c:strRef>
          </c:cat>
          <c:val>
            <c:numRef>
              <c:f>Admin_izdev_pret_amata_vietām!$R$65:$R$76</c:f>
              <c:numCache>
                <c:formatCode>General</c:formatCode>
                <c:ptCount val="12"/>
                <c:pt idx="0" formatCode="#,##0">
                  <c:v>1.564233972264081</c:v>
                </c:pt>
                <c:pt idx="1">
                  <c:v>2</c:v>
                </c:pt>
                <c:pt idx="2">
                  <c:v>2</c:v>
                </c:pt>
                <c:pt idx="3">
                  <c:v>2</c:v>
                </c:pt>
                <c:pt idx="4">
                  <c:v>2</c:v>
                </c:pt>
                <c:pt idx="5">
                  <c:v>2</c:v>
                </c:pt>
                <c:pt idx="6">
                  <c:v>2</c:v>
                </c:pt>
                <c:pt idx="7">
                  <c:v>2</c:v>
                </c:pt>
                <c:pt idx="8">
                  <c:v>2</c:v>
                </c:pt>
                <c:pt idx="9">
                  <c:v>2</c:v>
                </c:pt>
                <c:pt idx="10">
                  <c:v>2</c:v>
                </c:pt>
                <c:pt idx="11">
                  <c:v>2</c:v>
                </c:pt>
              </c:numCache>
            </c:numRef>
          </c:val>
          <c:smooth val="0"/>
          <c:extLst>
            <c:ext xmlns:c16="http://schemas.microsoft.com/office/drawing/2014/chart" uri="{C3380CC4-5D6E-409C-BE32-E72D297353CC}">
              <c16:uniqueId val="{0000001C-950E-464E-8401-FF6BF1F4856F}"/>
            </c:ext>
          </c:extLst>
        </c:ser>
        <c:dLbls>
          <c:showLegendKey val="0"/>
          <c:showVal val="0"/>
          <c:showCatName val="0"/>
          <c:showSerName val="0"/>
          <c:showPercent val="0"/>
          <c:showBubbleSize val="0"/>
        </c:dLbls>
        <c:marker val="1"/>
        <c:smooth val="0"/>
        <c:axId val="294270464"/>
        <c:axId val="294270856"/>
      </c:lineChart>
      <c:catAx>
        <c:axId val="294270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70856"/>
        <c:crosses val="autoZero"/>
        <c:auto val="1"/>
        <c:lblAlgn val="ctr"/>
        <c:lblOffset val="100"/>
        <c:noMultiLvlLbl val="0"/>
      </c:catAx>
      <c:valAx>
        <c:axId val="294270856"/>
        <c:scaling>
          <c:orientation val="minMax"/>
          <c:max val="16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70464"/>
        <c:crosses val="autoZero"/>
        <c:crossBetween val="between"/>
        <c:majorUnit val="5"/>
      </c:valAx>
      <c:spPr>
        <a:noFill/>
        <a:ln>
          <a:noFill/>
        </a:ln>
        <a:effectLst/>
      </c:spPr>
    </c:plotArea>
    <c:legend>
      <c:legendPos val="b"/>
      <c:legendEntry>
        <c:idx val="6"/>
        <c:delete val="1"/>
      </c:legendEntry>
      <c:layout>
        <c:manualLayout>
          <c:xMode val="edge"/>
          <c:yMode val="edge"/>
          <c:x val="2.9713552800342039E-3"/>
          <c:y val="0.91496752844292806"/>
          <c:w val="0.9961949551090209"/>
          <c:h val="7.91434734024583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'8'!$B$4</c:f>
              <c:strCache>
                <c:ptCount val="1"/>
                <c:pt idx="0">
                  <c:v>Priekšlikumu skaits</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0DAF-4019-8C30-CAA52B609A53}"/>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0DAF-4019-8C30-CAA52B609A53}"/>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0DAF-4019-8C30-CAA52B609A53}"/>
              </c:ext>
            </c:extLst>
          </c:dPt>
          <c:dLbls>
            <c:dLbl>
              <c:idx val="0"/>
              <c:layout>
                <c:manualLayout>
                  <c:x val="-0.12642829372253606"/>
                  <c:y val="-0.11182905080446301"/>
                </c:manualLayout>
              </c:layout>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DAF-4019-8C30-CAA52B609A53}"/>
                </c:ext>
              </c:extLst>
            </c:dLbl>
            <c:dLbl>
              <c:idx val="1"/>
              <c:layout>
                <c:manualLayout>
                  <c:x val="0.10615117068988537"/>
                  <c:y val="-1.5432555803786996E-3"/>
                </c:manualLayout>
              </c:layout>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DAF-4019-8C30-CAA52B609A53}"/>
                </c:ext>
              </c:extLst>
            </c:dLbl>
            <c:dLbl>
              <c:idx val="2"/>
              <c:layout>
                <c:manualLayout>
                  <c:x val="6.0228117214259386E-2"/>
                  <c:y val="0.15759266293675678"/>
                </c:manualLayout>
              </c:layout>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DAF-4019-8C30-CAA52B609A5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'8'!$A$5:$A$7</c:f>
              <c:strCache>
                <c:ptCount val="3"/>
                <c:pt idx="0">
                  <c:v>Informācijas pārvadīšana no VK pārskatiem</c:v>
                </c:pt>
                <c:pt idx="1">
                  <c:v>Informācijas dublēšanās ar gada pārskatu</c:v>
                </c:pt>
                <c:pt idx="2">
                  <c:v>Veidlapu saturs un iesniegšanas regularitāte</c:v>
                </c:pt>
              </c:strCache>
            </c:strRef>
          </c:cat>
          <c:val>
            <c:numRef>
              <c:f>'8'!$B$5:$B$7</c:f>
              <c:numCache>
                <c:formatCode>General</c:formatCode>
                <c:ptCount val="3"/>
                <c:pt idx="0">
                  <c:v>10</c:v>
                </c:pt>
                <c:pt idx="1">
                  <c:v>4</c:v>
                </c:pt>
                <c:pt idx="2">
                  <c:v>2</c:v>
                </c:pt>
              </c:numCache>
            </c:numRef>
          </c:val>
          <c:extLst>
            <c:ext xmlns:c16="http://schemas.microsoft.com/office/drawing/2014/chart" uri="{C3380CC4-5D6E-409C-BE32-E72D297353CC}">
              <c16:uniqueId val="{00000006-0DAF-4019-8C30-CAA52B609A53}"/>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789944611353961"/>
          <c:y val="0.29322769028871393"/>
          <c:w val="0.39930571969643036"/>
          <c:h val="0.4718779527559054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2769303794272399E-2"/>
          <c:y val="4.5236160548424588E-2"/>
          <c:w val="0.93024493945524878"/>
          <c:h val="0.76931301769097049"/>
        </c:manualLayout>
      </c:layout>
      <c:barChart>
        <c:barDir val="col"/>
        <c:grouping val="clustered"/>
        <c:varyColors val="0"/>
        <c:ser>
          <c:idx val="2"/>
          <c:order val="2"/>
          <c:tx>
            <c:strRef>
              <c:f>Admin_izdev_pret_amata_vietām!$D$1</c:f>
              <c:strCache>
                <c:ptCount val="1"/>
                <c:pt idx="0">
                  <c:v>2015.gads izpilde</c:v>
                </c:pt>
              </c:strCache>
            </c:strRef>
          </c:tx>
          <c:spPr>
            <a:solidFill>
              <a:schemeClr val="accent3"/>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Admin_izdev_pret_amata_vietām!$D$155:$D$164</c:f>
              <c:numCache>
                <c:formatCode>#,##0</c:formatCode>
                <c:ptCount val="10"/>
                <c:pt idx="0">
                  <c:v>27.01829268292683</c:v>
                </c:pt>
                <c:pt idx="1">
                  <c:v>23.877419354838711</c:v>
                </c:pt>
                <c:pt idx="2">
                  <c:v>26.402398676592227</c:v>
                </c:pt>
                <c:pt idx="3">
                  <c:v>8.7419424151267755</c:v>
                </c:pt>
                <c:pt idx="4">
                  <c:v>5.9085714285714284</c:v>
                </c:pt>
                <c:pt idx="5">
                  <c:v>1.1125592417061612</c:v>
                </c:pt>
                <c:pt idx="6">
                  <c:v>0.56116918988846543</c:v>
                </c:pt>
                <c:pt idx="7">
                  <c:v>0.52101871739797478</c:v>
                </c:pt>
                <c:pt idx="8">
                  <c:v>1.7645152198421645</c:v>
                </c:pt>
                <c:pt idx="9">
                  <c:v>7.977634017099576E-2</c:v>
                </c:pt>
              </c:numCache>
            </c:numRef>
          </c:val>
          <c:extLst>
            <c:ext xmlns:c16="http://schemas.microsoft.com/office/drawing/2014/chart" uri="{C3380CC4-5D6E-409C-BE32-E72D297353CC}">
              <c16:uniqueId val="{00000000-619C-4ED2-B001-9153D50160AB}"/>
            </c:ext>
          </c:extLst>
        </c:ser>
        <c:ser>
          <c:idx val="5"/>
          <c:order val="5"/>
          <c:tx>
            <c:strRef>
              <c:f>Admin_izdev_pret_amata_vietām!$G$1</c:f>
              <c:strCache>
                <c:ptCount val="1"/>
                <c:pt idx="0">
                  <c:v>2016.gads izpilde</c:v>
                </c:pt>
              </c:strCache>
            </c:strRef>
          </c:tx>
          <c:spPr>
            <a:solidFill>
              <a:schemeClr val="accent6"/>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Admin_izdev_pret_amata_vietām!$G$155:$G$164</c:f>
              <c:numCache>
                <c:formatCode>#,##0</c:formatCode>
                <c:ptCount val="10"/>
                <c:pt idx="0">
                  <c:v>23.721062215477996</c:v>
                </c:pt>
                <c:pt idx="1">
                  <c:v>23.31061728395062</c:v>
                </c:pt>
                <c:pt idx="2">
                  <c:v>16.065052759740261</c:v>
                </c:pt>
                <c:pt idx="3">
                  <c:v>8.6418264741794157</c:v>
                </c:pt>
                <c:pt idx="4">
                  <c:v>5.5118333333333336</c:v>
                </c:pt>
                <c:pt idx="5">
                  <c:v>6.6179775280898875E-3</c:v>
                </c:pt>
                <c:pt idx="6">
                  <c:v>0.43989237901949463</c:v>
                </c:pt>
                <c:pt idx="7">
                  <c:v>0.46053386988598261</c:v>
                </c:pt>
                <c:pt idx="8">
                  <c:v>0</c:v>
                </c:pt>
                <c:pt idx="9">
                  <c:v>7.7365563598759055E-2</c:v>
                </c:pt>
              </c:numCache>
            </c:numRef>
          </c:val>
          <c:extLst>
            <c:ext xmlns:c16="http://schemas.microsoft.com/office/drawing/2014/chart" uri="{C3380CC4-5D6E-409C-BE32-E72D297353CC}">
              <c16:uniqueId val="{00000001-619C-4ED2-B001-9153D50160AB}"/>
            </c:ext>
          </c:extLst>
        </c:ser>
        <c:ser>
          <c:idx val="8"/>
          <c:order val="8"/>
          <c:tx>
            <c:strRef>
              <c:f>Admin_izdev_pret_amata_vietām!$J$1</c:f>
              <c:strCache>
                <c:ptCount val="1"/>
                <c:pt idx="0">
                  <c:v>2017.gads plāns</c:v>
                </c:pt>
              </c:strCache>
            </c:strRef>
          </c:tx>
          <c:spPr>
            <a:solidFill>
              <a:schemeClr val="accent3">
                <a:lumMod val="6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Admin_izdev_pret_amata_vietām!$J$155:$J$164</c:f>
              <c:numCache>
                <c:formatCode>#,##0</c:formatCode>
                <c:ptCount val="10"/>
                <c:pt idx="0">
                  <c:v>30.257186081694403</c:v>
                </c:pt>
                <c:pt idx="1">
                  <c:v>26.575342465753426</c:v>
                </c:pt>
                <c:pt idx="2">
                  <c:v>19.356969205834684</c:v>
                </c:pt>
                <c:pt idx="3">
                  <c:v>10.743115942028986</c:v>
                </c:pt>
                <c:pt idx="4">
                  <c:v>7.7777777777777777</c:v>
                </c:pt>
                <c:pt idx="5">
                  <c:v>0.78139013452914796</c:v>
                </c:pt>
                <c:pt idx="6">
                  <c:v>0.55830572821677149</c:v>
                </c:pt>
                <c:pt idx="7">
                  <c:v>0.4334902155065643</c:v>
                </c:pt>
                <c:pt idx="8">
                  <c:v>0</c:v>
                </c:pt>
                <c:pt idx="9">
                  <c:v>9.0670638904180562E-2</c:v>
                </c:pt>
              </c:numCache>
            </c:numRef>
          </c:val>
          <c:extLst>
            <c:ext xmlns:c16="http://schemas.microsoft.com/office/drawing/2014/chart" uri="{C3380CC4-5D6E-409C-BE32-E72D297353CC}">
              <c16:uniqueId val="{00000002-619C-4ED2-B001-9153D50160AB}"/>
            </c:ext>
          </c:extLst>
        </c:ser>
        <c:ser>
          <c:idx val="11"/>
          <c:order val="11"/>
          <c:tx>
            <c:strRef>
              <c:f>Admin_izdev_pret_amata_vietām!$M$1</c:f>
              <c:strCache>
                <c:ptCount val="1"/>
                <c:pt idx="0">
                  <c:v>2018.gads plāns</c:v>
                </c:pt>
              </c:strCache>
            </c:strRef>
          </c:tx>
          <c:spPr>
            <a:solidFill>
              <a:schemeClr val="accent6">
                <a:lumMod val="6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Admin_izdev_pret_amata_vietām!$M$155:$M$164</c:f>
              <c:numCache>
                <c:formatCode>#,##0</c:formatCode>
                <c:ptCount val="10"/>
                <c:pt idx="0">
                  <c:v>30.257186081694403</c:v>
                </c:pt>
                <c:pt idx="1">
                  <c:v>26.575342465753426</c:v>
                </c:pt>
                <c:pt idx="2">
                  <c:v>19.364815565464127</c:v>
                </c:pt>
                <c:pt idx="3">
                  <c:v>10.739224918507787</c:v>
                </c:pt>
                <c:pt idx="4">
                  <c:v>7.7777777777777777</c:v>
                </c:pt>
                <c:pt idx="5">
                  <c:v>0.78314606741573034</c:v>
                </c:pt>
                <c:pt idx="6">
                  <c:v>0.55934668307416946</c:v>
                </c:pt>
                <c:pt idx="7">
                  <c:v>0.40091638029782362</c:v>
                </c:pt>
                <c:pt idx="8">
                  <c:v>0</c:v>
                </c:pt>
                <c:pt idx="9">
                  <c:v>9.0688259109311747E-2</c:v>
                </c:pt>
              </c:numCache>
            </c:numRef>
          </c:val>
          <c:extLst>
            <c:ext xmlns:c16="http://schemas.microsoft.com/office/drawing/2014/chart" uri="{C3380CC4-5D6E-409C-BE32-E72D297353CC}">
              <c16:uniqueId val="{00000003-619C-4ED2-B001-9153D50160AB}"/>
            </c:ext>
          </c:extLst>
        </c:ser>
        <c:ser>
          <c:idx val="14"/>
          <c:order val="14"/>
          <c:tx>
            <c:strRef>
              <c:f>Admin_izdev_pret_amata_vietām!$P$1</c:f>
              <c:strCache>
                <c:ptCount val="1"/>
                <c:pt idx="0">
                  <c:v>2019.gads plāns</c:v>
                </c:pt>
              </c:strCache>
            </c:strRef>
          </c:tx>
          <c:spPr>
            <a:solidFill>
              <a:srgbClr val="00B0F0"/>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Admin_izdev_pret_amata_vietām!$P$155:$P$164</c:f>
              <c:numCache>
                <c:formatCode>#,##0</c:formatCode>
                <c:ptCount val="10"/>
                <c:pt idx="0">
                  <c:v>30.257186081694403</c:v>
                </c:pt>
                <c:pt idx="1">
                  <c:v>26.575342465753426</c:v>
                </c:pt>
                <c:pt idx="2">
                  <c:v>19.364815565464127</c:v>
                </c:pt>
                <c:pt idx="3">
                  <c:v>10.739224918507787</c:v>
                </c:pt>
                <c:pt idx="4">
                  <c:v>7.7777777777777777</c:v>
                </c:pt>
                <c:pt idx="5">
                  <c:v>0.78314606741573034</c:v>
                </c:pt>
                <c:pt idx="6">
                  <c:v>0.55934668307416946</c:v>
                </c:pt>
                <c:pt idx="7">
                  <c:v>0.38010425716768026</c:v>
                </c:pt>
                <c:pt idx="8">
                  <c:v>0</c:v>
                </c:pt>
                <c:pt idx="9">
                  <c:v>9.0688259109311747E-2</c:v>
                </c:pt>
              </c:numCache>
            </c:numRef>
          </c:val>
          <c:extLst>
            <c:ext xmlns:c16="http://schemas.microsoft.com/office/drawing/2014/chart" uri="{C3380CC4-5D6E-409C-BE32-E72D297353CC}">
              <c16:uniqueId val="{00000004-619C-4ED2-B001-9153D50160AB}"/>
            </c:ext>
          </c:extLst>
        </c:ser>
        <c:dLbls>
          <c:showLegendKey val="0"/>
          <c:showVal val="0"/>
          <c:showCatName val="0"/>
          <c:showSerName val="0"/>
          <c:showPercent val="0"/>
          <c:showBubbleSize val="0"/>
        </c:dLbls>
        <c:gapWidth val="219"/>
        <c:axId val="294271640"/>
        <c:axId val="294272032"/>
      </c:barChart>
      <c:barChart>
        <c:barDir val="col"/>
        <c:grouping val="clustered"/>
        <c:varyColors val="0"/>
        <c:ser>
          <c:idx val="0"/>
          <c:order val="0"/>
          <c:tx>
            <c:strRef>
              <c:f>Admin_izdev_pret_amata_vietām!$B$1</c:f>
              <c:strCache>
                <c:ptCount val="1"/>
                <c:pt idx="0">
                  <c:v>2015.gada izpilde</c:v>
                </c:pt>
              </c:strCache>
            </c:strRef>
          </c:tx>
          <c:spPr>
            <a:solidFill>
              <a:schemeClr val="accent1"/>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Admin_izdev_pret_amata_vietām!$B$155:$B$164</c:f>
            </c:numRef>
          </c:val>
          <c:extLst>
            <c:ext xmlns:c16="http://schemas.microsoft.com/office/drawing/2014/chart" uri="{C3380CC4-5D6E-409C-BE32-E72D297353CC}">
              <c16:uniqueId val="{00000005-619C-4ED2-B001-9153D50160AB}"/>
            </c:ext>
          </c:extLst>
        </c:ser>
        <c:ser>
          <c:idx val="1"/>
          <c:order val="1"/>
          <c:tx>
            <c:strRef>
              <c:f>Admin_izdev_pret_amata_vietām!$C$1</c:f>
              <c:strCache>
                <c:ptCount val="1"/>
                <c:pt idx="0">
                  <c:v>2015.gada Amata vieta/slodze</c:v>
                </c:pt>
              </c:strCache>
            </c:strRef>
          </c:tx>
          <c:spPr>
            <a:solidFill>
              <a:schemeClr val="accent2"/>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Admin_izdev_pret_amata_vietām!$C$155:$C$164</c:f>
            </c:numRef>
          </c:val>
          <c:extLst>
            <c:ext xmlns:c16="http://schemas.microsoft.com/office/drawing/2014/chart" uri="{C3380CC4-5D6E-409C-BE32-E72D297353CC}">
              <c16:uniqueId val="{00000006-619C-4ED2-B001-9153D50160AB}"/>
            </c:ext>
          </c:extLst>
        </c:ser>
        <c:ser>
          <c:idx val="3"/>
          <c:order val="3"/>
          <c:tx>
            <c:strRef>
              <c:f>Admin_izdev_pret_amata_vietām!$E$1</c:f>
              <c:strCache>
                <c:ptCount val="1"/>
                <c:pt idx="0">
                  <c:v>2016.gada izpilde</c:v>
                </c:pt>
              </c:strCache>
            </c:strRef>
          </c:tx>
          <c:spPr>
            <a:solidFill>
              <a:schemeClr val="accent4"/>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Admin_izdev_pret_amata_vietām!$E$155:$E$164</c:f>
            </c:numRef>
          </c:val>
          <c:extLst>
            <c:ext xmlns:c16="http://schemas.microsoft.com/office/drawing/2014/chart" uri="{C3380CC4-5D6E-409C-BE32-E72D297353CC}">
              <c16:uniqueId val="{00000007-619C-4ED2-B001-9153D50160AB}"/>
            </c:ext>
          </c:extLst>
        </c:ser>
        <c:ser>
          <c:idx val="4"/>
          <c:order val="4"/>
          <c:tx>
            <c:strRef>
              <c:f>Admin_izdev_pret_amata_vietām!$F$1</c:f>
              <c:strCache>
                <c:ptCount val="1"/>
                <c:pt idx="0">
                  <c:v>2016.gada Amata vieta/slodze</c:v>
                </c:pt>
              </c:strCache>
            </c:strRef>
          </c:tx>
          <c:spPr>
            <a:solidFill>
              <a:schemeClr val="accent5"/>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Admin_izdev_pret_amata_vietām!$F$155:$F$164</c:f>
            </c:numRef>
          </c:val>
          <c:extLst>
            <c:ext xmlns:c16="http://schemas.microsoft.com/office/drawing/2014/chart" uri="{C3380CC4-5D6E-409C-BE32-E72D297353CC}">
              <c16:uniqueId val="{00000008-619C-4ED2-B001-9153D50160AB}"/>
            </c:ext>
          </c:extLst>
        </c:ser>
        <c:ser>
          <c:idx val="6"/>
          <c:order val="6"/>
          <c:tx>
            <c:strRef>
              <c:f>Admin_izdev_pret_amata_vietām!$H$1</c:f>
              <c:strCache>
                <c:ptCount val="1"/>
                <c:pt idx="0">
                  <c:v>2017.gada plāns</c:v>
                </c:pt>
              </c:strCache>
            </c:strRef>
          </c:tx>
          <c:spPr>
            <a:solidFill>
              <a:schemeClr val="accent1">
                <a:lumMod val="6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Admin_izdev_pret_amata_vietām!$H$155:$H$164</c:f>
            </c:numRef>
          </c:val>
          <c:extLst>
            <c:ext xmlns:c16="http://schemas.microsoft.com/office/drawing/2014/chart" uri="{C3380CC4-5D6E-409C-BE32-E72D297353CC}">
              <c16:uniqueId val="{00000009-619C-4ED2-B001-9153D50160AB}"/>
            </c:ext>
          </c:extLst>
        </c:ser>
        <c:ser>
          <c:idx val="7"/>
          <c:order val="7"/>
          <c:tx>
            <c:strRef>
              <c:f>Admin_izdev_pret_amata_vietām!$I$1</c:f>
              <c:strCache>
                <c:ptCount val="1"/>
                <c:pt idx="0">
                  <c:v>2017.gada Amata vieta/slodze</c:v>
                </c:pt>
              </c:strCache>
            </c:strRef>
          </c:tx>
          <c:spPr>
            <a:solidFill>
              <a:schemeClr val="accent2">
                <a:lumMod val="6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Admin_izdev_pret_amata_vietām!$I$155:$I$164</c:f>
            </c:numRef>
          </c:val>
          <c:extLst>
            <c:ext xmlns:c16="http://schemas.microsoft.com/office/drawing/2014/chart" uri="{C3380CC4-5D6E-409C-BE32-E72D297353CC}">
              <c16:uniqueId val="{0000000A-619C-4ED2-B001-9153D50160AB}"/>
            </c:ext>
          </c:extLst>
        </c:ser>
        <c:ser>
          <c:idx val="9"/>
          <c:order val="9"/>
          <c:tx>
            <c:strRef>
              <c:f>Admin_izdev_pret_amata_vietām!$K$1</c:f>
              <c:strCache>
                <c:ptCount val="1"/>
                <c:pt idx="0">
                  <c:v>2018.gada plāns</c:v>
                </c:pt>
              </c:strCache>
            </c:strRef>
          </c:tx>
          <c:spPr>
            <a:solidFill>
              <a:schemeClr val="accent4">
                <a:lumMod val="6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Admin_izdev_pret_amata_vietām!$K$155:$K$164</c:f>
            </c:numRef>
          </c:val>
          <c:extLst>
            <c:ext xmlns:c16="http://schemas.microsoft.com/office/drawing/2014/chart" uri="{C3380CC4-5D6E-409C-BE32-E72D297353CC}">
              <c16:uniqueId val="{0000000B-619C-4ED2-B001-9153D50160AB}"/>
            </c:ext>
          </c:extLst>
        </c:ser>
        <c:ser>
          <c:idx val="10"/>
          <c:order val="10"/>
          <c:tx>
            <c:strRef>
              <c:f>Admin_izdev_pret_amata_vietām!$L$1</c:f>
              <c:strCache>
                <c:ptCount val="1"/>
                <c:pt idx="0">
                  <c:v>2018.gada Amata vieta/slodze</c:v>
                </c:pt>
              </c:strCache>
            </c:strRef>
          </c:tx>
          <c:spPr>
            <a:solidFill>
              <a:schemeClr val="accent5">
                <a:lumMod val="6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Admin_izdev_pret_amata_vietām!$L$155:$L$164</c:f>
            </c:numRef>
          </c:val>
          <c:extLst>
            <c:ext xmlns:c16="http://schemas.microsoft.com/office/drawing/2014/chart" uri="{C3380CC4-5D6E-409C-BE32-E72D297353CC}">
              <c16:uniqueId val="{0000000C-619C-4ED2-B001-9153D50160AB}"/>
            </c:ext>
          </c:extLst>
        </c:ser>
        <c:ser>
          <c:idx val="12"/>
          <c:order val="12"/>
          <c:tx>
            <c:strRef>
              <c:f>Admin_izdev_pret_amata_vietām!$N$1</c:f>
              <c:strCache>
                <c:ptCount val="1"/>
                <c:pt idx="0">
                  <c:v>2019.gada plāns</c:v>
                </c:pt>
              </c:strCache>
            </c:strRef>
          </c:tx>
          <c:spPr>
            <a:solidFill>
              <a:schemeClr val="accent1">
                <a:lumMod val="80000"/>
                <a:lumOff val="2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Admin_izdev_pret_amata_vietām!$N$155:$N$164</c:f>
            </c:numRef>
          </c:val>
          <c:extLst>
            <c:ext xmlns:c16="http://schemas.microsoft.com/office/drawing/2014/chart" uri="{C3380CC4-5D6E-409C-BE32-E72D297353CC}">
              <c16:uniqueId val="{0000000D-619C-4ED2-B001-9153D50160AB}"/>
            </c:ext>
          </c:extLst>
        </c:ser>
        <c:ser>
          <c:idx val="13"/>
          <c:order val="13"/>
          <c:tx>
            <c:strRef>
              <c:f>Admin_izdev_pret_amata_vietām!$O$1</c:f>
              <c:strCache>
                <c:ptCount val="1"/>
                <c:pt idx="0">
                  <c:v>2019.gada Amata vieta/slodze</c:v>
                </c:pt>
              </c:strCache>
            </c:strRef>
          </c:tx>
          <c:spPr>
            <a:solidFill>
              <a:schemeClr val="accent2">
                <a:lumMod val="80000"/>
                <a:lumOff val="20000"/>
              </a:schemeClr>
            </a:solidFill>
            <a:ln>
              <a:noFill/>
            </a:ln>
            <a:effectLst/>
          </c:spPr>
          <c:invertIfNegative val="0"/>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Admin_izdev_pret_amata_vietām!$O$155:$O$164</c:f>
            </c:numRef>
          </c:val>
          <c:extLst>
            <c:ext xmlns:c16="http://schemas.microsoft.com/office/drawing/2014/chart" uri="{C3380CC4-5D6E-409C-BE32-E72D297353CC}">
              <c16:uniqueId val="{0000000E-619C-4ED2-B001-9153D50160AB}"/>
            </c:ext>
          </c:extLst>
        </c:ser>
        <c:dLbls>
          <c:showLegendKey val="0"/>
          <c:showVal val="0"/>
          <c:showCatName val="0"/>
          <c:showSerName val="0"/>
          <c:showPercent val="0"/>
          <c:showBubbleSize val="0"/>
        </c:dLbls>
        <c:gapWidth val="219"/>
        <c:axId val="294271640"/>
        <c:axId val="294272032"/>
      </c:barChart>
      <c:lineChart>
        <c:grouping val="standard"/>
        <c:varyColors val="0"/>
        <c:ser>
          <c:idx val="15"/>
          <c:order val="15"/>
          <c:tx>
            <c:strRef>
              <c:f>Admin_izdev_pret_amata_vietām!$Q$1</c:f>
              <c:strCache>
                <c:ptCount val="1"/>
                <c:pt idx="0">
                  <c:v>Vidēji uz 1 amata vietu resoram</c:v>
                </c:pt>
              </c:strCache>
            </c:strRef>
          </c:tx>
          <c:spPr>
            <a:ln w="28575" cap="rnd">
              <a:noFill/>
              <a:round/>
            </a:ln>
            <a:effectLst/>
          </c:spPr>
          <c:marker>
            <c:symbol val="dash"/>
            <c:size val="20"/>
            <c:spPr>
              <a:solidFill>
                <a:srgbClr val="7030A0"/>
              </a:solidFill>
              <a:ln w="0" cmpd="sng">
                <a:solidFill>
                  <a:srgbClr val="7030A0"/>
                </a:solidFill>
              </a:ln>
              <a:effectLst/>
            </c:spPr>
          </c:marker>
          <c:dPt>
            <c:idx val="2"/>
            <c:marker>
              <c:symbol val="dash"/>
              <c:size val="20"/>
              <c:spPr>
                <a:solidFill>
                  <a:srgbClr val="7030A0"/>
                </a:solidFill>
                <a:ln w="0" cmpd="sng">
                  <a:solidFill>
                    <a:srgbClr val="7030A0"/>
                  </a:solidFill>
                </a:ln>
                <a:effectLst/>
              </c:spPr>
            </c:marker>
            <c:bubble3D val="0"/>
            <c:extLst>
              <c:ext xmlns:c16="http://schemas.microsoft.com/office/drawing/2014/chart" uri="{C3380CC4-5D6E-409C-BE32-E72D297353CC}">
                <c16:uniqueId val="{0000000F-619C-4ED2-B001-9153D50160AB}"/>
              </c:ext>
            </c:extLst>
          </c:dPt>
          <c:dPt>
            <c:idx val="8"/>
            <c:marker>
              <c:symbol val="dash"/>
              <c:size val="15"/>
              <c:spPr>
                <a:solidFill>
                  <a:srgbClr val="7030A0"/>
                </a:solidFill>
                <a:ln w="0" cmpd="sng">
                  <a:solidFill>
                    <a:srgbClr val="7030A0"/>
                  </a:solidFill>
                </a:ln>
                <a:effectLst/>
              </c:spPr>
            </c:marker>
            <c:bubble3D val="0"/>
            <c:extLst>
              <c:ext xmlns:c16="http://schemas.microsoft.com/office/drawing/2014/chart" uri="{C3380CC4-5D6E-409C-BE32-E72D297353CC}">
                <c16:uniqueId val="{00000010-619C-4ED2-B001-9153D50160AB}"/>
              </c:ext>
            </c:extLst>
          </c:dPt>
          <c:dPt>
            <c:idx val="9"/>
            <c:marker>
              <c:symbol val="dash"/>
              <c:size val="12"/>
              <c:spPr>
                <a:solidFill>
                  <a:srgbClr val="7030A0"/>
                </a:solidFill>
                <a:ln w="0" cmpd="sng">
                  <a:solidFill>
                    <a:srgbClr val="7030A0"/>
                  </a:solidFill>
                </a:ln>
                <a:effectLst/>
              </c:spPr>
            </c:marker>
            <c:bubble3D val="0"/>
            <c:extLst>
              <c:ext xmlns:c16="http://schemas.microsoft.com/office/drawing/2014/chart" uri="{C3380CC4-5D6E-409C-BE32-E72D297353CC}">
                <c16:uniqueId val="{00000011-619C-4ED2-B001-9153D50160AB}"/>
              </c:ext>
            </c:extLst>
          </c:dPt>
          <c:dLbls>
            <c:dLbl>
              <c:idx val="0"/>
              <c:layout>
                <c:manualLayout>
                  <c:x val="-7.4767129098174401E-2"/>
                  <c:y val="-3.28494392746361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19C-4ED2-B001-9153D50160AB}"/>
                </c:ext>
              </c:extLst>
            </c:dLbl>
            <c:dLbl>
              <c:idx val="1"/>
              <c:layout>
                <c:manualLayout>
                  <c:x val="-6.185777391323017E-2"/>
                  <c:y val="-3.82783637894319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19C-4ED2-B001-9153D50160AB}"/>
                </c:ext>
              </c:extLst>
            </c:dLbl>
            <c:dLbl>
              <c:idx val="2"/>
              <c:layout>
                <c:manualLayout>
                  <c:x val="-5.1127071600017546E-2"/>
                  <c:y val="-2.7963322766472374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3.8477982043608382E-2"/>
                      <c:h val="2.587612912022361E-2"/>
                    </c:manualLayout>
                  </c15:layout>
                </c:ext>
                <c:ext xmlns:c16="http://schemas.microsoft.com/office/drawing/2014/chart" uri="{C3380CC4-5D6E-409C-BE32-E72D297353CC}">
                  <c16:uniqueId val="{0000000F-619C-4ED2-B001-9153D50160AB}"/>
                </c:ext>
              </c:extLst>
            </c:dLbl>
            <c:dLbl>
              <c:idx val="3"/>
              <c:layout>
                <c:manualLayout>
                  <c:x val="-5.0985009409095346E-2"/>
                  <c:y val="-3.19890130012818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19C-4ED2-B001-9153D50160AB}"/>
                </c:ext>
              </c:extLst>
            </c:dLbl>
            <c:dLbl>
              <c:idx val="4"/>
              <c:layout>
                <c:manualLayout>
                  <c:x val="-5.3653556772697127E-2"/>
                  <c:y val="-2.20057947302043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19C-4ED2-B001-9153D50160AB}"/>
                </c:ext>
              </c:extLst>
            </c:dLbl>
            <c:dLbl>
              <c:idx val="5"/>
              <c:layout>
                <c:manualLayout>
                  <c:x val="-4.7879502984315932E-2"/>
                  <c:y val="-3.82784593786241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19C-4ED2-B001-9153D50160AB}"/>
                </c:ext>
              </c:extLst>
            </c:dLbl>
            <c:dLbl>
              <c:idx val="6"/>
              <c:layout>
                <c:manualLayout>
                  <c:x val="-5.3383571281892611E-2"/>
                  <c:y val="-3.83221632179699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19C-4ED2-B001-9153D50160AB}"/>
                </c:ext>
              </c:extLst>
            </c:dLbl>
            <c:dLbl>
              <c:idx val="7"/>
              <c:layout>
                <c:manualLayout>
                  <c:x val="-5.8230854426651137E-2"/>
                  <c:y val="-3.53092840139169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19C-4ED2-B001-9153D50160AB}"/>
                </c:ext>
              </c:extLst>
            </c:dLbl>
            <c:dLbl>
              <c:idx val="8"/>
              <c:layout>
                <c:manualLayout>
                  <c:x val="-5.1885690432347087E-2"/>
                  <c:y val="-3.5396935848135261E-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r"/>
              <c:showLegendKey val="0"/>
              <c:showVal val="1"/>
              <c:showCatName val="0"/>
              <c:showSerName val="0"/>
              <c:showPercent val="0"/>
              <c:showBubbleSize val="0"/>
              <c:extLst>
                <c:ext xmlns:c15="http://schemas.microsoft.com/office/drawing/2012/chart" uri="{CE6537A1-D6FC-4f65-9D91-7224C49458BB}">
                  <c15:layout>
                    <c:manualLayout>
                      <c:w val="2.244548952543822E-2"/>
                      <c:h val="3.5178416651406946E-2"/>
                    </c:manualLayout>
                  </c15:layout>
                </c:ext>
                <c:ext xmlns:c16="http://schemas.microsoft.com/office/drawing/2014/chart" uri="{C3380CC4-5D6E-409C-BE32-E72D297353CC}">
                  <c16:uniqueId val="{00000010-619C-4ED2-B001-9153D50160AB}"/>
                </c:ext>
              </c:extLst>
            </c:dLbl>
            <c:dLbl>
              <c:idx val="9"/>
              <c:layout>
                <c:manualLayout>
                  <c:x val="-5.2777618808764769E-2"/>
                  <c:y val="-3.8278459378624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19C-4ED2-B001-9153D50160A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Admin_izdev_pret_amata_vietām!$Q$155:$Q$164</c:f>
              <c:numCache>
                <c:formatCode>#,##0</c:formatCode>
                <c:ptCount val="10"/>
                <c:pt idx="0">
                  <c:v>28.302182628697608</c:v>
                </c:pt>
                <c:pt idx="1">
                  <c:v>25.38281280720992</c:v>
                </c:pt>
                <c:pt idx="2">
                  <c:v>20.110810354619083</c:v>
                </c:pt>
                <c:pt idx="3">
                  <c:v>9.9210669336701507</c:v>
                </c:pt>
                <c:pt idx="4">
                  <c:v>6.9507476190476201</c:v>
                </c:pt>
                <c:pt idx="5">
                  <c:v>0.6933718977189719</c:v>
                </c:pt>
                <c:pt idx="6">
                  <c:v>0.53561213265461405</c:v>
                </c:pt>
                <c:pt idx="7">
                  <c:v>0.43921268805120511</c:v>
                </c:pt>
                <c:pt idx="8">
                  <c:v>0.35290304396843292</c:v>
                </c:pt>
                <c:pt idx="9">
                  <c:v>8.5837812178511788E-2</c:v>
                </c:pt>
              </c:numCache>
            </c:numRef>
          </c:val>
          <c:smooth val="0"/>
          <c:extLst>
            <c:ext xmlns:c16="http://schemas.microsoft.com/office/drawing/2014/chart" uri="{C3380CC4-5D6E-409C-BE32-E72D297353CC}">
              <c16:uniqueId val="{00000019-619C-4ED2-B001-9153D50160AB}"/>
            </c:ext>
          </c:extLst>
        </c:ser>
        <c:ser>
          <c:idx val="16"/>
          <c:order val="16"/>
          <c:tx>
            <c:strRef>
              <c:f>Admin_izdev_pret_amata_vietām!$R$1</c:f>
              <c:strCache>
                <c:ptCount val="1"/>
                <c:pt idx="0">
                  <c:v>Vidēji uz 1 amata vietu kopā</c:v>
                </c:pt>
              </c:strCache>
            </c:strRef>
          </c:tx>
          <c:spPr>
            <a:ln w="28575" cap="rnd">
              <a:solidFill>
                <a:srgbClr val="FF0000"/>
              </a:solidFill>
              <a:prstDash val="dash"/>
              <a:round/>
            </a:ln>
            <a:effectLst/>
          </c:spPr>
          <c:marker>
            <c:symbol val="none"/>
          </c:marker>
          <c:cat>
            <c:strRef>
              <c:f>Admin_izdev_pret_amata_vietām!$A$155:$A$164</c:f>
              <c:strCache>
                <c:ptCount val="10"/>
                <c:pt idx="0">
                  <c:v>Saeima</c:v>
                </c:pt>
                <c:pt idx="1">
                  <c:v>AT</c:v>
                </c:pt>
                <c:pt idx="2">
                  <c:v>KM</c:v>
                </c:pt>
                <c:pt idx="3">
                  <c:v>IZM</c:v>
                </c:pt>
                <c:pt idx="4">
                  <c:v>VKo</c:v>
                </c:pt>
                <c:pt idx="5">
                  <c:v>VARAM</c:v>
                </c:pt>
                <c:pt idx="6">
                  <c:v>LM</c:v>
                </c:pt>
                <c:pt idx="7">
                  <c:v>AiM</c:v>
                </c:pt>
                <c:pt idx="8">
                  <c:v>TM</c:v>
                </c:pt>
                <c:pt idx="9">
                  <c:v>IeM</c:v>
                </c:pt>
              </c:strCache>
            </c:strRef>
          </c:cat>
          <c:val>
            <c:numRef>
              <c:f>Admin_izdev_pret_amata_vietām!$R$155:$R$164</c:f>
              <c:numCache>
                <c:formatCode>General</c:formatCode>
                <c:ptCount val="10"/>
                <c:pt idx="0">
                  <c:v>9</c:v>
                </c:pt>
                <c:pt idx="1">
                  <c:v>9</c:v>
                </c:pt>
                <c:pt idx="2">
                  <c:v>9</c:v>
                </c:pt>
                <c:pt idx="3">
                  <c:v>9</c:v>
                </c:pt>
                <c:pt idx="4">
                  <c:v>9</c:v>
                </c:pt>
                <c:pt idx="5">
                  <c:v>9</c:v>
                </c:pt>
                <c:pt idx="6">
                  <c:v>9</c:v>
                </c:pt>
                <c:pt idx="7" formatCode="#,##0">
                  <c:v>9.2774557917816107</c:v>
                </c:pt>
                <c:pt idx="8">
                  <c:v>9</c:v>
                </c:pt>
                <c:pt idx="9">
                  <c:v>9</c:v>
                </c:pt>
              </c:numCache>
            </c:numRef>
          </c:val>
          <c:smooth val="0"/>
          <c:extLst>
            <c:ext xmlns:c16="http://schemas.microsoft.com/office/drawing/2014/chart" uri="{C3380CC4-5D6E-409C-BE32-E72D297353CC}">
              <c16:uniqueId val="{0000001A-619C-4ED2-B001-9153D50160AB}"/>
            </c:ext>
          </c:extLst>
        </c:ser>
        <c:dLbls>
          <c:showLegendKey val="0"/>
          <c:showVal val="0"/>
          <c:showCatName val="0"/>
          <c:showSerName val="0"/>
          <c:showPercent val="0"/>
          <c:showBubbleSize val="0"/>
        </c:dLbls>
        <c:marker val="1"/>
        <c:smooth val="0"/>
        <c:axId val="294271640"/>
        <c:axId val="294272032"/>
      </c:lineChart>
      <c:catAx>
        <c:axId val="294271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beve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72032"/>
        <c:crosses val="autoZero"/>
        <c:auto val="1"/>
        <c:lblAlgn val="ctr"/>
        <c:lblOffset val="100"/>
        <c:noMultiLvlLbl val="0"/>
      </c:catAx>
      <c:valAx>
        <c:axId val="294272032"/>
        <c:scaling>
          <c:orientation val="minMax"/>
          <c:max val="35"/>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71640"/>
        <c:crosses val="autoZero"/>
        <c:crossBetween val="between"/>
        <c:majorUnit val="3"/>
      </c:valAx>
      <c:spPr>
        <a:noFill/>
        <a:ln>
          <a:noFill/>
        </a:ln>
        <a:effectLst/>
      </c:spPr>
    </c:plotArea>
    <c:legend>
      <c:legendPos val="b"/>
      <c:legendEntry>
        <c:idx val="6"/>
        <c:delete val="1"/>
      </c:legendEntry>
      <c:layout>
        <c:manualLayout>
          <c:xMode val="edge"/>
          <c:yMode val="edge"/>
          <c:x val="8.8768670910578246E-3"/>
          <c:y val="0.89417840951699201"/>
          <c:w val="0.97797093447970562"/>
          <c:h val="0.1023943239971715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358218637304478"/>
          <c:y val="5.9235978342636525E-2"/>
          <c:w val="0.47537443185455475"/>
          <c:h val="0.90066320268191979"/>
        </c:manualLayout>
      </c:layout>
      <c:pieChart>
        <c:varyColors val="1"/>
        <c:ser>
          <c:idx val="0"/>
          <c:order val="0"/>
          <c:dPt>
            <c:idx val="0"/>
            <c:bubble3D val="0"/>
            <c:spPr>
              <a:solidFill>
                <a:schemeClr val="accent2"/>
              </a:solidFill>
              <a:ln w="19050" cap="flat" cmpd="sng" algn="ctr">
                <a:solidFill>
                  <a:schemeClr val="lt1"/>
                </a:solidFill>
                <a:prstDash val="solid"/>
                <a:miter lim="800000"/>
              </a:ln>
              <a:effectLst/>
            </c:spPr>
            <c:extLst>
              <c:ext xmlns:c16="http://schemas.microsoft.com/office/drawing/2014/chart" uri="{C3380CC4-5D6E-409C-BE32-E72D297353CC}">
                <c16:uniqueId val="{00000001-0E94-42F3-A191-523BB7356C2F}"/>
              </c:ext>
            </c:extLst>
          </c:dPt>
          <c:dPt>
            <c:idx val="1"/>
            <c:bubble3D val="0"/>
            <c:spPr>
              <a:solidFill>
                <a:schemeClr val="accent3"/>
              </a:solidFill>
              <a:ln w="19050" cap="flat" cmpd="sng" algn="ctr">
                <a:solidFill>
                  <a:schemeClr val="lt1"/>
                </a:solidFill>
                <a:prstDash val="solid"/>
                <a:miter lim="800000"/>
              </a:ln>
              <a:effectLst/>
            </c:spPr>
            <c:extLst>
              <c:ext xmlns:c16="http://schemas.microsoft.com/office/drawing/2014/chart" uri="{C3380CC4-5D6E-409C-BE32-E72D297353CC}">
                <c16:uniqueId val="{00000003-0E94-42F3-A191-523BB7356C2F}"/>
              </c:ext>
            </c:extLst>
          </c:dPt>
          <c:dPt>
            <c:idx val="2"/>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5-0E94-42F3-A191-523BB7356C2F}"/>
              </c:ext>
            </c:extLst>
          </c:dPt>
          <c:dPt>
            <c:idx val="3"/>
            <c:bubble3D val="0"/>
            <c:spPr>
              <a:solidFill>
                <a:srgbClr val="C00000"/>
              </a:solidFill>
              <a:ln w="19050">
                <a:solidFill>
                  <a:schemeClr val="lt1"/>
                </a:solidFill>
              </a:ln>
              <a:effectLst/>
            </c:spPr>
            <c:extLst>
              <c:ext xmlns:c16="http://schemas.microsoft.com/office/drawing/2014/chart" uri="{C3380CC4-5D6E-409C-BE32-E72D297353CC}">
                <c16:uniqueId val="{00000007-0E94-42F3-A191-523BB7356C2F}"/>
              </c:ext>
            </c:extLst>
          </c:dPt>
          <c:dPt>
            <c:idx val="4"/>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9-0E94-42F3-A191-523BB7356C2F}"/>
              </c:ext>
            </c:extLst>
          </c:dPt>
          <c:dLbls>
            <c:dLbl>
              <c:idx val="1"/>
              <c:layout>
                <c:manualLayout>
                  <c:x val="1.1950750058681689E-2"/>
                  <c:y val="-1.7599371243104778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0E94-42F3-A191-523BB7356C2F}"/>
                </c:ext>
              </c:extLst>
            </c:dLbl>
            <c:dLbl>
              <c:idx val="3"/>
              <c:layout>
                <c:manualLayout>
                  <c:x val="-9.6592535689136422E-2"/>
                  <c:y val="-2.2081851598494885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6544616770127605"/>
                      <c:h val="0.28061709798823947"/>
                    </c:manualLayout>
                  </c15:layout>
                </c:ext>
                <c:ext xmlns:c16="http://schemas.microsoft.com/office/drawing/2014/chart" uri="{C3380CC4-5D6E-409C-BE32-E72D297353CC}">
                  <c16:uniqueId val="{00000007-0E94-42F3-A191-523BB7356C2F}"/>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Sheet1!$D$31:$D$35</c:f>
              <c:strCache>
                <c:ptCount val="5"/>
                <c:pt idx="0">
                  <c:v>Valsts speciālais budžets </c:v>
                </c:pt>
                <c:pt idx="1">
                  <c:v>Parāda vadība un iemaksas ES budžetā </c:v>
                </c:pt>
                <c:pt idx="2">
                  <c:v>Ārvalstu finanšu palīdzība</c:v>
                </c:pt>
                <c:pt idx="3">
                  <c:v>Pārskatāmo ietvaru (2014-2016, 2015-2017 un 2016-2018) prioritārie pasākumi</c:v>
                </c:pt>
                <c:pt idx="4">
                  <c:v>Pārējie pamatfunkciju bāzes izdevumi</c:v>
                </c:pt>
              </c:strCache>
            </c:strRef>
          </c:cat>
          <c:val>
            <c:numRef>
              <c:f>Sheet1!$E$31:$E$35</c:f>
              <c:numCache>
                <c:formatCode>0.0</c:formatCode>
                <c:ptCount val="5"/>
                <c:pt idx="0">
                  <c:v>2595.9892279999999</c:v>
                </c:pt>
                <c:pt idx="1">
                  <c:v>557.34488199999998</c:v>
                </c:pt>
                <c:pt idx="2">
                  <c:v>1431.104996</c:v>
                </c:pt>
                <c:pt idx="3">
                  <c:v>1073.810436</c:v>
                </c:pt>
                <c:pt idx="4">
                  <c:v>3028.9153800000004</c:v>
                </c:pt>
              </c:numCache>
            </c:numRef>
          </c:val>
          <c:extLst>
            <c:ext xmlns:c16="http://schemas.microsoft.com/office/drawing/2014/chart" uri="{C3380CC4-5D6E-409C-BE32-E72D297353CC}">
              <c16:uniqueId val="{0000000A-0E94-42F3-A191-523BB7356C2F}"/>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8886389201349838E-2"/>
          <c:y val="7.0401946883076397E-2"/>
          <c:w val="0.94782946249365885"/>
          <c:h val="0.86430426081797251"/>
        </c:manualLayout>
      </c:layout>
      <c:pieChart>
        <c:varyColors val="1"/>
        <c:ser>
          <c:idx val="0"/>
          <c:order val="0"/>
          <c:tx>
            <c:strRef>
              <c:f>Sheet1!$B$1</c:f>
              <c:strCache>
                <c:ptCount val="1"/>
                <c:pt idx="0">
                  <c:v>Column1</c:v>
                </c:pt>
              </c:strCache>
            </c:strRef>
          </c:tx>
          <c:dPt>
            <c:idx val="0"/>
            <c:bubble3D val="0"/>
            <c:spPr>
              <a:solidFill>
                <a:srgbClr val="ED7D31"/>
              </a:solidFill>
              <a:ln w="38100" cap="flat" cmpd="sng" algn="ctr">
                <a:solidFill>
                  <a:sysClr val="window" lastClr="FFFFFF"/>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1-EE5E-43AE-BE66-1A9CACC48D17}"/>
              </c:ext>
            </c:extLst>
          </c:dPt>
          <c:dPt>
            <c:idx val="1"/>
            <c:bubble3D val="0"/>
            <c:spPr>
              <a:solidFill>
                <a:srgbClr val="70AD47"/>
              </a:solidFill>
              <a:ln w="38100" cap="flat" cmpd="sng" algn="ctr">
                <a:solidFill>
                  <a:sysClr val="window" lastClr="FFFFFF"/>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3-EE5E-43AE-BE66-1A9CACC48D17}"/>
              </c:ext>
            </c:extLst>
          </c:dPt>
          <c:dLbls>
            <c:dLbl>
              <c:idx val="0"/>
              <c:layout>
                <c:manualLayout>
                  <c:x val="-0.14523434570678664"/>
                  <c:y val="-0.27269496485353123"/>
                </c:manualLayout>
              </c:layout>
              <c:tx>
                <c:rich>
                  <a:bodyPr/>
                  <a:lstStyle/>
                  <a:p>
                    <a:fld id="{A452C2F7-DDE7-45A6-989F-350B9DAFC000}" type="CATEGORYNAME">
                      <a:rPr lang="en-US" sz="1000"/>
                      <a:pPr/>
                      <a:t>[CATEGORY NAME]</a:t>
                    </a:fld>
                    <a:endParaRPr lang="en-US" sz="1000" baseline="0"/>
                  </a:p>
                  <a:p>
                    <a:fld id="{716CE6BA-62CD-4B3B-A12F-5DC4DE6BDC49}" type="VALUE">
                      <a:rPr lang="en-US" sz="1000"/>
                      <a:pPr/>
                      <a:t>[VALUE]</a:t>
                    </a:fld>
                    <a:endParaRPr lang="en-US" sz="1000" baseline="0"/>
                  </a:p>
                  <a:p>
                    <a:fld id="{620DB7AE-7B08-4E35-B643-A5D88C59F17F}" type="PERCENTAGE">
                      <a:rPr lang="en-US" sz="1100" b="1"/>
                      <a:pPr/>
                      <a:t>[PERCENTAGE]</a:t>
                    </a:fld>
                    <a:endParaRPr lang="lv-LV"/>
                  </a:p>
                </c:rich>
              </c:tx>
              <c:showLegendKey val="0"/>
              <c:showVal val="1"/>
              <c:showCatName val="1"/>
              <c:showSerName val="0"/>
              <c:showPercent val="1"/>
              <c:showBubbleSize val="0"/>
              <c:separator>
</c:separator>
              <c:extLst>
                <c:ext xmlns:c15="http://schemas.microsoft.com/office/drawing/2012/chart" uri="{CE6537A1-D6FC-4f65-9D91-7224C49458BB}">
                  <c15:layout>
                    <c:manualLayout>
                      <c:w val="0.32669489843181365"/>
                      <c:h val="0.40291187739463596"/>
                    </c:manualLayout>
                  </c15:layout>
                  <c15:dlblFieldTable/>
                  <c15:showDataLabelsRange val="0"/>
                </c:ext>
                <c:ext xmlns:c16="http://schemas.microsoft.com/office/drawing/2014/chart" uri="{C3380CC4-5D6E-409C-BE32-E72D297353CC}">
                  <c16:uniqueId val="{00000001-EE5E-43AE-BE66-1A9CACC48D17}"/>
                </c:ext>
              </c:extLst>
            </c:dLbl>
            <c:dLbl>
              <c:idx val="1"/>
              <c:layout>
                <c:manualLayout>
                  <c:x val="0.10084033613445378"/>
                  <c:y val="0.19292747939581481"/>
                </c:manualLayout>
              </c:layout>
              <c:tx>
                <c:rich>
                  <a:bodyPr/>
                  <a:lstStyle/>
                  <a:p>
                    <a:fld id="{94D6FB97-1049-4D68-AC07-99937280FE06}" type="CATEGORYNAME">
                      <a:rPr lang="en-US" sz="1000"/>
                      <a:pPr/>
                      <a:t>[CATEGORY NAME]</a:t>
                    </a:fld>
                    <a:endParaRPr lang="en-US" sz="1000" baseline="0"/>
                  </a:p>
                  <a:p>
                    <a:fld id="{F1C770FE-E2C1-4B2F-B1F8-AEE4AD63D4DF}" type="VALUE">
                      <a:rPr lang="en-US" sz="1000"/>
                      <a:pPr/>
                      <a:t>[VALUE]</a:t>
                    </a:fld>
                    <a:endParaRPr lang="en-US" sz="1000" baseline="0"/>
                  </a:p>
                  <a:p>
                    <a:fld id="{1E214CC9-A30D-4257-B91F-14CAF9110DD6}" type="PERCENTAGE">
                      <a:rPr lang="en-US" sz="1100" b="1"/>
                      <a:pPr/>
                      <a:t>[PERCENTAGE]</a:t>
                    </a:fld>
                    <a:endParaRPr lang="lv-LV"/>
                  </a:p>
                </c:rich>
              </c:tx>
              <c:showLegendKey val="0"/>
              <c:showVal val="1"/>
              <c:showCatName val="1"/>
              <c:showSerName val="0"/>
              <c:showPercent val="1"/>
              <c:showBubbleSize val="0"/>
              <c:separator>
</c:separator>
              <c:extLst>
                <c:ext xmlns:c15="http://schemas.microsoft.com/office/drawing/2012/chart" uri="{CE6537A1-D6FC-4f65-9D91-7224C49458BB}">
                  <c15:layout>
                    <c:manualLayout>
                      <c:w val="0.43417366946778713"/>
                      <c:h val="0.28991060025542786"/>
                    </c:manualLayout>
                  </c15:layout>
                  <c15:dlblFieldTable/>
                  <c15:showDataLabelsRange val="0"/>
                </c:ext>
                <c:ext xmlns:c16="http://schemas.microsoft.com/office/drawing/2014/chart" uri="{C3380CC4-5D6E-409C-BE32-E72D297353CC}">
                  <c16:uniqueId val="{00000003-EE5E-43AE-BE66-1A9CACC48D17}"/>
                </c:ext>
              </c:extLst>
            </c:dLbl>
            <c:spPr>
              <a:noFill/>
              <a:ln>
                <a:noFill/>
              </a:ln>
              <a:effectLst/>
            </c:spPr>
            <c:txPr>
              <a:bodyPr rot="0" spcFirstLastPara="1" vertOverflow="ellipsis" vert="horz" wrap="square" anchor="ctr" anchorCtr="0"/>
              <a:lstStyle/>
              <a:p>
                <a:pPr algn="ct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Pāriet kā bāzes izdevumi</c:v>
                </c:pt>
                <c:pt idx="1">
                  <c:v>Nepāriet kā bāzes izdevumi</c:v>
                </c:pt>
              </c:strCache>
            </c:strRef>
          </c:cat>
          <c:val>
            <c:numRef>
              <c:f>Sheet1!$B$2:$B$3</c:f>
              <c:numCache>
                <c:formatCode>General</c:formatCode>
                <c:ptCount val="2"/>
                <c:pt idx="0">
                  <c:v>401</c:v>
                </c:pt>
                <c:pt idx="1">
                  <c:v>123</c:v>
                </c:pt>
              </c:numCache>
            </c:numRef>
          </c:val>
          <c:extLst>
            <c:ext xmlns:c16="http://schemas.microsoft.com/office/drawing/2014/chart" uri="{C3380CC4-5D6E-409C-BE32-E72D297353CC}">
              <c16:uniqueId val="{00000004-EE5E-43AE-BE66-1A9CACC48D17}"/>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455875733211449"/>
          <c:y val="5.0314465408805034E-2"/>
          <c:w val="0.87186504061662473"/>
          <c:h val="0.74713970187688816"/>
        </c:manualLayout>
      </c:layout>
      <c:barChart>
        <c:barDir val="col"/>
        <c:grouping val="stacked"/>
        <c:varyColors val="0"/>
        <c:ser>
          <c:idx val="1"/>
          <c:order val="0"/>
          <c:tx>
            <c:strRef>
              <c:f>Sheet1!$C$1</c:f>
              <c:strCache>
                <c:ptCount val="1"/>
                <c:pt idx="0">
                  <c:v>Bāzes daļa</c:v>
                </c:pt>
              </c:strCache>
            </c:strRef>
          </c:tx>
          <c:spPr>
            <a:gradFill rotWithShape="1">
              <a:gsLst>
                <a:gs pos="0">
                  <a:srgbClr val="ED7D31">
                    <a:shade val="51000"/>
                    <a:satMod val="130000"/>
                  </a:srgbClr>
                </a:gs>
                <a:gs pos="80000">
                  <a:srgbClr val="ED7D31">
                    <a:shade val="93000"/>
                    <a:satMod val="130000"/>
                  </a:srgbClr>
                </a:gs>
                <a:gs pos="100000">
                  <a:srgbClr val="ED7D31">
                    <a:shade val="94000"/>
                    <a:satMod val="135000"/>
                  </a:srgbClr>
                </a:gs>
              </a:gsLst>
              <a:lin ang="16200000" scaled="0"/>
            </a:gradFill>
            <a:ln w="9525" cap="flat" cmpd="sng" algn="ctr">
              <a:solidFill>
                <a:srgbClr val="ED7D31">
                  <a:shade val="95000"/>
                  <a:satMod val="105000"/>
                </a:srgbClr>
              </a:solidFill>
              <a:prstDash val="solid"/>
            </a:ln>
            <a:effectLst>
              <a:outerShdw blurRad="40000" dist="23000" dir="5400000" rotWithShape="0">
                <a:srgbClr val="000000">
                  <a:alpha val="35000"/>
                </a:srgbClr>
              </a:outerShdw>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Sheet1!$C$2:$C$8</c:f>
              <c:numCache>
                <c:formatCode>General</c:formatCode>
                <c:ptCount val="7"/>
                <c:pt idx="3">
                  <c:v>380.7</c:v>
                </c:pt>
                <c:pt idx="4">
                  <c:v>693.4</c:v>
                </c:pt>
                <c:pt idx="5">
                  <c:v>1035.4000000000001</c:v>
                </c:pt>
                <c:pt idx="6">
                  <c:v>946</c:v>
                </c:pt>
              </c:numCache>
            </c:numRef>
          </c:val>
          <c:extLst>
            <c:ext xmlns:c16="http://schemas.microsoft.com/office/drawing/2014/chart" uri="{C3380CC4-5D6E-409C-BE32-E72D297353CC}">
              <c16:uniqueId val="{00000000-1E19-4A0C-8AFC-BCF643CC2606}"/>
            </c:ext>
          </c:extLst>
        </c:ser>
        <c:ser>
          <c:idx val="0"/>
          <c:order val="1"/>
          <c:tx>
            <c:strRef>
              <c:f>Sheet1!$B$1</c:f>
              <c:strCache>
                <c:ptCount val="1"/>
                <c:pt idx="0">
                  <c:v>Attīstības daļa</c:v>
                </c:pt>
              </c:strCache>
            </c:strRef>
          </c:tx>
          <c:spPr>
            <a:gradFill rotWithShape="1">
              <a:gsLst>
                <a:gs pos="0">
                  <a:srgbClr val="70AD47">
                    <a:shade val="51000"/>
                    <a:satMod val="130000"/>
                  </a:srgbClr>
                </a:gs>
                <a:gs pos="80000">
                  <a:srgbClr val="70AD47">
                    <a:shade val="93000"/>
                    <a:satMod val="130000"/>
                  </a:srgbClr>
                </a:gs>
                <a:gs pos="100000">
                  <a:srgbClr val="70AD47">
                    <a:shade val="94000"/>
                    <a:satMod val="135000"/>
                  </a:srgbClr>
                </a:gs>
              </a:gsLst>
              <a:lin ang="16200000" scaled="0"/>
            </a:gradFill>
            <a:ln w="9525" cap="flat" cmpd="sng" algn="ctr">
              <a:solidFill>
                <a:srgbClr val="70AD47">
                  <a:shade val="95000"/>
                  <a:satMod val="105000"/>
                </a:srgbClr>
              </a:solidFill>
              <a:prstDash val="solid"/>
            </a:ln>
            <a:effectLst>
              <a:outerShdw blurRad="40000" dist="23000" dir="5400000" rotWithShape="0">
                <a:srgbClr val="000000">
                  <a:alpha val="35000"/>
                </a:srgbClr>
              </a:outerShdw>
            </a:effectLst>
          </c:spPr>
          <c:invertIfNegative val="0"/>
          <c:dPt>
            <c:idx val="5"/>
            <c:invertIfNegative val="0"/>
            <c:bubble3D val="0"/>
            <c:extLst>
              <c:ext xmlns:c16="http://schemas.microsoft.com/office/drawing/2014/chart" uri="{C3380CC4-5D6E-409C-BE32-E72D297353CC}">
                <c16:uniqueId val="{00000001-1E19-4A0C-8AFC-BCF643CC2606}"/>
              </c:ext>
            </c:extLst>
          </c:dPt>
          <c:dPt>
            <c:idx val="6"/>
            <c:invertIfNegative val="0"/>
            <c:bubble3D val="0"/>
            <c:extLst>
              <c:ext xmlns:c16="http://schemas.microsoft.com/office/drawing/2014/chart" uri="{C3380CC4-5D6E-409C-BE32-E72D297353CC}">
                <c16:uniqueId val="{00000002-1E19-4A0C-8AFC-BCF643CC2606}"/>
              </c:ext>
            </c:extLst>
          </c:dPt>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2014</c:v>
                </c:pt>
                <c:pt idx="1">
                  <c:v>2015</c:v>
                </c:pt>
                <c:pt idx="2">
                  <c:v>2016</c:v>
                </c:pt>
                <c:pt idx="3">
                  <c:v>2017</c:v>
                </c:pt>
                <c:pt idx="4">
                  <c:v>2018</c:v>
                </c:pt>
                <c:pt idx="5">
                  <c:v>2019</c:v>
                </c:pt>
                <c:pt idx="6">
                  <c:v>2020</c:v>
                </c:pt>
              </c:numCache>
            </c:numRef>
          </c:cat>
          <c:val>
            <c:numRef>
              <c:f>Sheet1!$B$2:$B$8</c:f>
              <c:numCache>
                <c:formatCode>General</c:formatCode>
                <c:ptCount val="7"/>
                <c:pt idx="0">
                  <c:v>265.5</c:v>
                </c:pt>
                <c:pt idx="1">
                  <c:v>527.4</c:v>
                </c:pt>
                <c:pt idx="2">
                  <c:v>876.8</c:v>
                </c:pt>
                <c:pt idx="3">
                  <c:v>552.6</c:v>
                </c:pt>
                <c:pt idx="4">
                  <c:v>380.4</c:v>
                </c:pt>
              </c:numCache>
            </c:numRef>
          </c:val>
          <c:extLst>
            <c:ext xmlns:c16="http://schemas.microsoft.com/office/drawing/2014/chart" uri="{C3380CC4-5D6E-409C-BE32-E72D297353CC}">
              <c16:uniqueId val="{00000003-1E19-4A0C-8AFC-BCF643CC2606}"/>
            </c:ext>
          </c:extLst>
        </c:ser>
        <c:dLbls>
          <c:showLegendKey val="0"/>
          <c:showVal val="0"/>
          <c:showCatName val="0"/>
          <c:showSerName val="0"/>
          <c:showPercent val="0"/>
          <c:showBubbleSize val="0"/>
        </c:dLbls>
        <c:gapWidth val="25"/>
        <c:overlap val="100"/>
        <c:axId val="294273992"/>
        <c:axId val="294274384"/>
      </c:barChart>
      <c:catAx>
        <c:axId val="294273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94274384"/>
        <c:crosses val="autoZero"/>
        <c:auto val="1"/>
        <c:lblAlgn val="ctr"/>
        <c:lblOffset val="100"/>
        <c:noMultiLvlLbl val="0"/>
      </c:catAx>
      <c:valAx>
        <c:axId val="294274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94273992"/>
        <c:crosses val="autoZero"/>
        <c:crossBetween val="between"/>
      </c:valAx>
      <c:spPr>
        <a:noFill/>
        <a:ln>
          <a:noFill/>
        </a:ln>
        <a:effectLst/>
      </c:spPr>
    </c:plotArea>
    <c:legend>
      <c:legendPos val="b"/>
      <c:layout>
        <c:manualLayout>
          <c:xMode val="edge"/>
          <c:yMode val="edge"/>
          <c:x val="0.19559913849818905"/>
          <c:y val="0.89372356757292126"/>
          <c:w val="0.6088017230036219"/>
          <c:h val="9.621353934531767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152315637964604E-2"/>
          <c:y val="4.6121593291404611E-2"/>
          <c:w val="0.90719177038354082"/>
          <c:h val="0.78251374238597537"/>
        </c:manualLayout>
      </c:layout>
      <c:barChart>
        <c:barDir val="col"/>
        <c:grouping val="stacked"/>
        <c:varyColors val="0"/>
        <c:ser>
          <c:idx val="1"/>
          <c:order val="0"/>
          <c:tx>
            <c:strRef>
              <c:f>Sheet1!$B$5</c:f>
              <c:strCache>
                <c:ptCount val="1"/>
                <c:pt idx="0">
                  <c:v>Nepakļaujas pārskatīšanai</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Sheet1!$C$3:$E$3</c:f>
              <c:numCache>
                <c:formatCode>General</c:formatCode>
                <c:ptCount val="3"/>
                <c:pt idx="0">
                  <c:v>2018</c:v>
                </c:pt>
                <c:pt idx="1">
                  <c:v>2019</c:v>
                </c:pt>
                <c:pt idx="2">
                  <c:v>2020</c:v>
                </c:pt>
              </c:numCache>
            </c:numRef>
          </c:cat>
          <c:val>
            <c:numRef>
              <c:f>Sheet1!$C$5:$E$5</c:f>
              <c:numCache>
                <c:formatCode>General</c:formatCode>
                <c:ptCount val="3"/>
                <c:pt idx="0">
                  <c:v>613.6</c:v>
                </c:pt>
                <c:pt idx="1">
                  <c:v>612.1</c:v>
                </c:pt>
                <c:pt idx="2">
                  <c:v>526.70000000000005</c:v>
                </c:pt>
              </c:numCache>
            </c:numRef>
          </c:val>
          <c:extLst>
            <c:ext xmlns:c16="http://schemas.microsoft.com/office/drawing/2014/chart" uri="{C3380CC4-5D6E-409C-BE32-E72D297353CC}">
              <c16:uniqueId val="{00000000-3705-4668-888A-8BC87A3B5966}"/>
            </c:ext>
          </c:extLst>
        </c:ser>
        <c:ser>
          <c:idx val="0"/>
          <c:order val="1"/>
          <c:tx>
            <c:strRef>
              <c:f>Sheet1!$B$4</c:f>
              <c:strCache>
                <c:ptCount val="1"/>
                <c:pt idx="0">
                  <c:v>Pakļaujas pārskatīšanai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Sheet1!$C$3:$E$3</c:f>
              <c:numCache>
                <c:formatCode>General</c:formatCode>
                <c:ptCount val="3"/>
                <c:pt idx="0">
                  <c:v>2018</c:v>
                </c:pt>
                <c:pt idx="1">
                  <c:v>2019</c:v>
                </c:pt>
                <c:pt idx="2">
                  <c:v>2020</c:v>
                </c:pt>
              </c:numCache>
            </c:numRef>
          </c:cat>
          <c:val>
            <c:numRef>
              <c:f>Sheet1!$C$4:$E$4</c:f>
              <c:numCache>
                <c:formatCode>General</c:formatCode>
                <c:ptCount val="3"/>
                <c:pt idx="0">
                  <c:v>460.2</c:v>
                </c:pt>
                <c:pt idx="1">
                  <c:v>423.3</c:v>
                </c:pt>
                <c:pt idx="2">
                  <c:v>419.3</c:v>
                </c:pt>
              </c:numCache>
            </c:numRef>
          </c:val>
          <c:extLst>
            <c:ext xmlns:c16="http://schemas.microsoft.com/office/drawing/2014/chart" uri="{C3380CC4-5D6E-409C-BE32-E72D297353CC}">
              <c16:uniqueId val="{00000001-3705-4668-888A-8BC87A3B5966}"/>
            </c:ext>
          </c:extLst>
        </c:ser>
        <c:dLbls>
          <c:showLegendKey val="0"/>
          <c:showVal val="0"/>
          <c:showCatName val="0"/>
          <c:showSerName val="0"/>
          <c:showPercent val="0"/>
          <c:showBubbleSize val="0"/>
        </c:dLbls>
        <c:gapWidth val="150"/>
        <c:overlap val="100"/>
        <c:axId val="294275168"/>
        <c:axId val="294275560"/>
      </c:barChart>
      <c:catAx>
        <c:axId val="29427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75560"/>
        <c:crosses val="autoZero"/>
        <c:auto val="1"/>
        <c:lblAlgn val="ctr"/>
        <c:lblOffset val="100"/>
        <c:noMultiLvlLbl val="0"/>
      </c:catAx>
      <c:valAx>
        <c:axId val="294275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4275168"/>
        <c:crosses val="autoZero"/>
        <c:crossBetween val="between"/>
      </c:valAx>
      <c:spPr>
        <a:noFill/>
        <a:ln>
          <a:noFill/>
        </a:ln>
        <a:effectLst/>
      </c:spPr>
    </c:plotArea>
    <c:legend>
      <c:legendPos val="b"/>
      <c:layout>
        <c:manualLayout>
          <c:xMode val="edge"/>
          <c:yMode val="edge"/>
          <c:x val="0.13673744814156294"/>
          <c:y val="0.90983773254758249"/>
          <c:w val="0.75536568629985656"/>
          <c:h val="6.8061207061731688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Bef>
          <a:spcPts val="600"/>
        </a:spcBef>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5303789649150599"/>
          <c:y val="6.7439984636066833E-2"/>
          <c:w val="0.53272674623176919"/>
          <c:h val="0.90029376409249662"/>
        </c:manualLayout>
      </c:layout>
      <c:pieChart>
        <c:varyColors val="1"/>
        <c:ser>
          <c:idx val="0"/>
          <c:order val="0"/>
          <c:dPt>
            <c:idx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1-0E4C-4623-8DE5-3D2D395C7C0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E4C-4623-8DE5-3D2D395C7C0F}"/>
              </c:ext>
            </c:extLst>
          </c:dPt>
          <c:dPt>
            <c:idx val="2"/>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5-0E4C-4623-8DE5-3D2D395C7C0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E4C-4623-8DE5-3D2D395C7C0F}"/>
              </c:ext>
            </c:extLst>
          </c:dPt>
          <c:dPt>
            <c:idx val="4"/>
            <c:bubble3D val="0"/>
            <c:spPr>
              <a:solidFill>
                <a:schemeClr val="accent3"/>
              </a:solidFill>
              <a:ln w="19050" cap="flat" cmpd="sng" algn="ctr">
                <a:solidFill>
                  <a:schemeClr val="lt1"/>
                </a:solidFill>
                <a:prstDash val="solid"/>
                <a:miter lim="800000"/>
              </a:ln>
              <a:effectLst/>
            </c:spPr>
            <c:extLst>
              <c:ext xmlns:c16="http://schemas.microsoft.com/office/drawing/2014/chart" uri="{C3380CC4-5D6E-409C-BE32-E72D297353CC}">
                <c16:uniqueId val="{00000009-0E4C-4623-8DE5-3D2D395C7C0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E4C-4623-8DE5-3D2D395C7C0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E4C-4623-8DE5-3D2D395C7C0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E4C-4623-8DE5-3D2D395C7C0F}"/>
              </c:ext>
            </c:extLst>
          </c:dPt>
          <c:dLbls>
            <c:dLbl>
              <c:idx val="0"/>
              <c:layout>
                <c:manualLayout>
                  <c:x val="-0.200315836081747"/>
                  <c:y val="0.1610285299703390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E4C-4623-8DE5-3D2D395C7C0F}"/>
                </c:ext>
              </c:extLst>
            </c:dLbl>
            <c:dLbl>
              <c:idx val="1"/>
              <c:layout>
                <c:manualLayout>
                  <c:x val="1.0705092267571593E-2"/>
                  <c:y val="-2.121759170347609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E4C-4623-8DE5-3D2D395C7C0F}"/>
                </c:ext>
              </c:extLst>
            </c:dLbl>
            <c:dLbl>
              <c:idx val="2"/>
              <c:layout>
                <c:manualLayout>
                  <c:x val="8.0894610752231977E-2"/>
                  <c:y val="-0.21685281209767479"/>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E4C-4623-8DE5-3D2D395C7C0F}"/>
                </c:ext>
              </c:extLst>
            </c:dLbl>
            <c:dLbl>
              <c:idx val="3"/>
              <c:layout>
                <c:manualLayout>
                  <c:x val="-1.4825945024992467E-2"/>
                  <c:y val="6.218125173377711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E4C-4623-8DE5-3D2D395C7C0F}"/>
                </c:ext>
              </c:extLst>
            </c:dLbl>
            <c:dLbl>
              <c:idx val="4"/>
              <c:layout>
                <c:manualLayout>
                  <c:x val="0.197449787683532"/>
                  <c:y val="0.169982446318001"/>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E4C-4623-8DE5-3D2D395C7C0F}"/>
                </c:ext>
              </c:extLst>
            </c:dLbl>
            <c:dLbl>
              <c:idx val="5"/>
              <c:layout>
                <c:manualLayout>
                  <c:x val="-8.3214726446557891E-2"/>
                  <c:y val="0.12877600299962505"/>
                </c:manualLayout>
              </c:layout>
              <c:numFmt formatCode="0.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extLst>
                <c:ext xmlns:c15="http://schemas.microsoft.com/office/drawing/2012/chart" uri="{CE6537A1-D6FC-4f65-9D91-7224C49458BB}">
                  <c15:layout>
                    <c:manualLayout>
                      <c:w val="0.23074620483215735"/>
                      <c:h val="0.21860877390326208"/>
                    </c:manualLayout>
                  </c15:layout>
                </c:ext>
                <c:ext xmlns:c16="http://schemas.microsoft.com/office/drawing/2014/chart" uri="{C3380CC4-5D6E-409C-BE32-E72D297353CC}">
                  <c16:uniqueId val="{0000000B-0E4C-4623-8DE5-3D2D395C7C0F}"/>
                </c:ext>
              </c:extLst>
            </c:dLbl>
            <c:dLbl>
              <c:idx val="6"/>
              <c:layout>
                <c:manualLayout>
                  <c:x val="2.9142781142094228E-2"/>
                  <c:y val="1.4998125234345708E-7"/>
                </c:manualLayout>
              </c:layout>
              <c:showLegendKey val="0"/>
              <c:showVal val="0"/>
              <c:showCatName val="1"/>
              <c:showSerName val="0"/>
              <c:showPercent val="1"/>
              <c:showBubbleSize val="0"/>
              <c:extLst>
                <c:ext xmlns:c15="http://schemas.microsoft.com/office/drawing/2012/chart" uri="{CE6537A1-D6FC-4f65-9D91-7224C49458BB}">
                  <c15:layout>
                    <c:manualLayout>
                      <c:w val="0.28364336112892879"/>
                      <c:h val="0.13550146231721033"/>
                    </c:manualLayout>
                  </c15:layout>
                </c:ext>
                <c:ext xmlns:c16="http://schemas.microsoft.com/office/drawing/2014/chart" uri="{C3380CC4-5D6E-409C-BE32-E72D297353CC}">
                  <c16:uniqueId val="{0000000D-0E4C-4623-8DE5-3D2D395C7C0F}"/>
                </c:ext>
              </c:extLst>
            </c:dLbl>
            <c:numFmt formatCode="0.0%"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'Tikai papildu pieškirtais'!$A$227:$A$234</c:f>
              <c:strCache>
                <c:ptCount val="8"/>
                <c:pt idx="0">
                  <c:v>2221 Izdevumi par apkuri</c:v>
                </c:pt>
                <c:pt idx="1">
                  <c:v>2222 Izdevumi par ūdeni un kanalizāciju</c:v>
                </c:pt>
                <c:pt idx="2">
                  <c:v>2223 Izdevumi par elektroenerģiju</c:v>
                </c:pt>
                <c:pt idx="3">
                  <c:v>2229 Izdevumi par pārējiem komunālajiem pakalpojumiem</c:v>
                </c:pt>
                <c:pt idx="4">
                  <c:v>2244 Nekustamā īpašuma uzturēšana</c:v>
                </c:pt>
                <c:pt idx="5">
                  <c:v>2249 Pārējie remontdarbu un iestāžu uzturēšanas pakalpojumi</c:v>
                </c:pt>
                <c:pt idx="6">
                  <c:v>2261 Ēku, telpu īre un noma</c:v>
                </c:pt>
                <c:pt idx="7">
                  <c:v>2321 Kurināmais</c:v>
                </c:pt>
              </c:strCache>
            </c:strRef>
          </c:cat>
          <c:val>
            <c:numRef>
              <c:f>'Tikai papildu pieškirtais'!$B$227:$B$234</c:f>
              <c:numCache>
                <c:formatCode>General</c:formatCode>
                <c:ptCount val="8"/>
                <c:pt idx="0">
                  <c:v>1503348</c:v>
                </c:pt>
                <c:pt idx="1">
                  <c:v>64792</c:v>
                </c:pt>
                <c:pt idx="2">
                  <c:v>1799068</c:v>
                </c:pt>
                <c:pt idx="3">
                  <c:v>143602</c:v>
                </c:pt>
                <c:pt idx="4">
                  <c:v>670341</c:v>
                </c:pt>
                <c:pt idx="5">
                  <c:v>413</c:v>
                </c:pt>
                <c:pt idx="6">
                  <c:v>24143</c:v>
                </c:pt>
                <c:pt idx="7">
                  <c:v>440738</c:v>
                </c:pt>
              </c:numCache>
            </c:numRef>
          </c:val>
          <c:extLst>
            <c:ext xmlns:c16="http://schemas.microsoft.com/office/drawing/2014/chart" uri="{C3380CC4-5D6E-409C-BE32-E72D297353CC}">
              <c16:uniqueId val="{00000010-0E4C-4623-8DE5-3D2D395C7C0F}"/>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262662890979146E-2"/>
          <c:y val="0.12177846440081065"/>
          <c:w val="0.9285791376945185"/>
          <c:h val="0.70952623010731253"/>
        </c:manualLayout>
      </c:layout>
      <c:barChart>
        <c:barDir val="col"/>
        <c:grouping val="stacked"/>
        <c:varyColors val="0"/>
        <c:ser>
          <c:idx val="0"/>
          <c:order val="0"/>
          <c:tx>
            <c:strRef>
              <c:f>'Tikai papildu pieškirtais'!$F$242</c:f>
              <c:strCache>
                <c:ptCount val="1"/>
              </c:strCache>
            </c:strRef>
          </c:tx>
          <c:spPr>
            <a:solidFill>
              <a:schemeClr val="accent1"/>
            </a:solidFill>
            <a:ln>
              <a:noFill/>
            </a:ln>
            <a:effectLst/>
          </c:spPr>
          <c:invertIfNegative val="0"/>
          <c:dPt>
            <c:idx val="1"/>
            <c:invertIfNegative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1-5C60-4AC3-BB76-5BF134B51EC4}"/>
              </c:ext>
            </c:extLst>
          </c:dPt>
          <c:dPt>
            <c:idx val="3"/>
            <c:invertIfNegative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3-5C60-4AC3-BB76-5BF134B51EC4}"/>
              </c:ext>
            </c:extLst>
          </c:dPt>
          <c:dPt>
            <c:idx val="5"/>
            <c:invertIfNegative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5-5C60-4AC3-BB76-5BF134B51EC4}"/>
              </c:ext>
            </c:extLst>
          </c:dPt>
          <c:dPt>
            <c:idx val="7"/>
            <c:invertIfNegative val="0"/>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7-5C60-4AC3-BB76-5BF134B51EC4}"/>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'Tikai papildu pieškirtais'!$D$243:$E$250</c:f>
              <c:multiLvlStrCache>
                <c:ptCount val="8"/>
                <c:lvl>
                  <c:pt idx="0">
                    <c:v>Plāns</c:v>
                  </c:pt>
                  <c:pt idx="1">
                    <c:v>Izpilde</c:v>
                  </c:pt>
                  <c:pt idx="2">
                    <c:v>Plāns</c:v>
                  </c:pt>
                  <c:pt idx="3">
                    <c:v>Izpilde</c:v>
                  </c:pt>
                  <c:pt idx="4">
                    <c:v>Plāns</c:v>
                  </c:pt>
                  <c:pt idx="5">
                    <c:v>Izpilde</c:v>
                  </c:pt>
                  <c:pt idx="6">
                    <c:v>Plāns</c:v>
                  </c:pt>
                  <c:pt idx="7">
                    <c:v>Izpilde</c:v>
                  </c:pt>
                </c:lvl>
                <c:lvl>
                  <c:pt idx="0">
                    <c:v>2013</c:v>
                  </c:pt>
                  <c:pt idx="2">
                    <c:v>2014</c:v>
                  </c:pt>
                  <c:pt idx="4">
                    <c:v>2015</c:v>
                  </c:pt>
                  <c:pt idx="6">
                    <c:v>2016</c:v>
                  </c:pt>
                </c:lvl>
              </c:multiLvlStrCache>
            </c:multiLvlStrRef>
          </c:cat>
          <c:val>
            <c:numRef>
              <c:f>'Tikai papildu pieškirtais'!$F$243:$F$250</c:f>
              <c:numCache>
                <c:formatCode>#\ ##0.0</c:formatCode>
                <c:ptCount val="8"/>
                <c:pt idx="0">
                  <c:v>50.51</c:v>
                </c:pt>
                <c:pt idx="1">
                  <c:v>51.41</c:v>
                </c:pt>
                <c:pt idx="2">
                  <c:v>55.01</c:v>
                </c:pt>
                <c:pt idx="3">
                  <c:v>50.86</c:v>
                </c:pt>
                <c:pt idx="4">
                  <c:v>55.04</c:v>
                </c:pt>
                <c:pt idx="5">
                  <c:v>50.72</c:v>
                </c:pt>
                <c:pt idx="6">
                  <c:v>53.47</c:v>
                </c:pt>
                <c:pt idx="7">
                  <c:v>53.06</c:v>
                </c:pt>
              </c:numCache>
            </c:numRef>
          </c:val>
          <c:extLst>
            <c:ext xmlns:c16="http://schemas.microsoft.com/office/drawing/2014/chart" uri="{C3380CC4-5D6E-409C-BE32-E72D297353CC}">
              <c16:uniqueId val="{00000008-5C60-4AC3-BB76-5BF134B51EC4}"/>
            </c:ext>
          </c:extLst>
        </c:ser>
        <c:ser>
          <c:idx val="1"/>
          <c:order val="1"/>
          <c:tx>
            <c:strRef>
              <c:f>'Tikai papildu pieškirtais'!$G$242</c:f>
              <c:strCache>
                <c:ptCount val="1"/>
                <c:pt idx="0">
                  <c:v>JPI</c:v>
                </c:pt>
              </c:strCache>
            </c:strRef>
          </c:tx>
          <c:spPr>
            <a:solidFill>
              <a:schemeClr val="accent2"/>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'Tikai papildu pieškirtais'!$D$243:$E$250</c:f>
              <c:multiLvlStrCache>
                <c:ptCount val="8"/>
                <c:lvl>
                  <c:pt idx="0">
                    <c:v>Plāns</c:v>
                  </c:pt>
                  <c:pt idx="1">
                    <c:v>Izpilde</c:v>
                  </c:pt>
                  <c:pt idx="2">
                    <c:v>Plāns</c:v>
                  </c:pt>
                  <c:pt idx="3">
                    <c:v>Izpilde</c:v>
                  </c:pt>
                  <c:pt idx="4">
                    <c:v>Plāns</c:v>
                  </c:pt>
                  <c:pt idx="5">
                    <c:v>Izpilde</c:v>
                  </c:pt>
                  <c:pt idx="6">
                    <c:v>Plāns</c:v>
                  </c:pt>
                  <c:pt idx="7">
                    <c:v>Izpilde</c:v>
                  </c:pt>
                </c:lvl>
                <c:lvl>
                  <c:pt idx="0">
                    <c:v>2013</c:v>
                  </c:pt>
                  <c:pt idx="2">
                    <c:v>2014</c:v>
                  </c:pt>
                  <c:pt idx="4">
                    <c:v>2015</c:v>
                  </c:pt>
                  <c:pt idx="6">
                    <c:v>2016</c:v>
                  </c:pt>
                </c:lvl>
              </c:multiLvlStrCache>
            </c:multiLvlStrRef>
          </c:cat>
          <c:val>
            <c:numRef>
              <c:f>'Tikai papildu pieškirtais'!$G$243:$G$250</c:f>
              <c:numCache>
                <c:formatCode>General</c:formatCode>
                <c:ptCount val="8"/>
                <c:pt idx="2" formatCode="#\ ##0.0">
                  <c:v>4.5999999999999996</c:v>
                </c:pt>
                <c:pt idx="4" formatCode="#\ ##0.0">
                  <c:v>4.5999999999999996</c:v>
                </c:pt>
                <c:pt idx="6" formatCode="#\ ##0.0">
                  <c:v>4.5999999999999996</c:v>
                </c:pt>
              </c:numCache>
            </c:numRef>
          </c:val>
          <c:extLst>
            <c:ext xmlns:c16="http://schemas.microsoft.com/office/drawing/2014/chart" uri="{C3380CC4-5D6E-409C-BE32-E72D297353CC}">
              <c16:uniqueId val="{00000009-5C60-4AC3-BB76-5BF134B51EC4}"/>
            </c:ext>
          </c:extLst>
        </c:ser>
        <c:dLbls>
          <c:showLegendKey val="0"/>
          <c:showVal val="0"/>
          <c:showCatName val="0"/>
          <c:showSerName val="0"/>
          <c:showPercent val="0"/>
          <c:showBubbleSize val="0"/>
        </c:dLbls>
        <c:gapWidth val="100"/>
        <c:overlap val="100"/>
        <c:axId val="296349768"/>
        <c:axId val="296350160"/>
      </c:barChart>
      <c:catAx>
        <c:axId val="296349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50160"/>
        <c:crosses val="autoZero"/>
        <c:auto val="1"/>
        <c:lblAlgn val="ctr"/>
        <c:lblOffset val="100"/>
        <c:noMultiLvlLbl val="0"/>
      </c:catAx>
      <c:valAx>
        <c:axId val="296350160"/>
        <c:scaling>
          <c:orientation val="minMax"/>
          <c:max val="6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49768"/>
        <c:crosses val="autoZero"/>
        <c:crossBetween val="between"/>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Aft>
          <a:spcPts val="300"/>
        </a:spcAft>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22618981479143"/>
          <c:y val="3.6712542891524029E-2"/>
          <c:w val="0.79357738236536979"/>
          <c:h val="0.81751527302227267"/>
        </c:manualLayout>
      </c:layout>
      <c:lineChart>
        <c:grouping val="standard"/>
        <c:varyColors val="0"/>
        <c:ser>
          <c:idx val="1"/>
          <c:order val="0"/>
          <c:tx>
            <c:strRef>
              <c:f>Pateriņa_cenas!$B$6</c:f>
              <c:strCache>
                <c:ptCount val="1"/>
                <c:pt idx="0">
                  <c:v>Siltumenerģijas patēriņa cenu izmaiņas</c:v>
                </c:pt>
              </c:strCache>
            </c:strRef>
          </c:tx>
          <c:spPr>
            <a:ln w="38100" cap="rnd">
              <a:solidFill>
                <a:schemeClr val="accent2"/>
              </a:solidFill>
              <a:round/>
            </a:ln>
            <a:effectLst/>
          </c:spPr>
          <c:marker>
            <c:symbol val="none"/>
          </c:marker>
          <c:dLbls>
            <c:dLbl>
              <c:idx val="1"/>
              <c:layout>
                <c:manualLayout>
                  <c:x val="-7.6743958961512107E-2"/>
                  <c:y val="-3.3429701279622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4C-427C-97EE-DAEB275A2DB2}"/>
                </c:ext>
              </c:extLst>
            </c:dLbl>
            <c:dLbl>
              <c:idx val="3"/>
              <c:layout>
                <c:manualLayout>
                  <c:x val="-5.6634368766860149E-2"/>
                  <c:y val="2.94617499715523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4C-427C-97EE-DAEB275A2DB2}"/>
                </c:ext>
              </c:extLst>
            </c:dLbl>
            <c:dLbl>
              <c:idx val="5"/>
              <c:layout>
                <c:manualLayout>
                  <c:x val="-5.9927876238048898E-2"/>
                  <c:y val="6.36693855290083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4C-427C-97EE-DAEB275A2DB2}"/>
                </c:ext>
              </c:extLst>
            </c:dLbl>
            <c:dLbl>
              <c:idx val="6"/>
              <c:layout>
                <c:manualLayout>
                  <c:x val="-2.5924822258026115E-2"/>
                  <c:y val="-5.1408526664246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14C-427C-97EE-DAEB275A2DB2}"/>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Pateriņa_cenas!$C$4:$I$4</c:f>
              <c:strCache>
                <c:ptCount val="7"/>
                <c:pt idx="0">
                  <c:v>2010</c:v>
                </c:pt>
                <c:pt idx="1">
                  <c:v>2011</c:v>
                </c:pt>
                <c:pt idx="2">
                  <c:v>2012</c:v>
                </c:pt>
                <c:pt idx="3">
                  <c:v>2013</c:v>
                </c:pt>
                <c:pt idx="4">
                  <c:v>2014</c:v>
                </c:pt>
                <c:pt idx="5">
                  <c:v>2015</c:v>
                </c:pt>
                <c:pt idx="6">
                  <c:v>2016</c:v>
                </c:pt>
              </c:strCache>
            </c:strRef>
          </c:cat>
          <c:val>
            <c:numRef>
              <c:f>Pateriņa_cenas!$C$6:$I$6</c:f>
              <c:numCache>
                <c:formatCode>General</c:formatCode>
                <c:ptCount val="7"/>
                <c:pt idx="0">
                  <c:v>100</c:v>
                </c:pt>
                <c:pt idx="1">
                  <c:v>103.5</c:v>
                </c:pt>
                <c:pt idx="2">
                  <c:v>118.3</c:v>
                </c:pt>
                <c:pt idx="3">
                  <c:v>114.1</c:v>
                </c:pt>
                <c:pt idx="4">
                  <c:v>110.2</c:v>
                </c:pt>
                <c:pt idx="5">
                  <c:v>101.1</c:v>
                </c:pt>
                <c:pt idx="6">
                  <c:v>89.6</c:v>
                </c:pt>
              </c:numCache>
            </c:numRef>
          </c:val>
          <c:smooth val="0"/>
          <c:extLst>
            <c:ext xmlns:c16="http://schemas.microsoft.com/office/drawing/2014/chart" uri="{C3380CC4-5D6E-409C-BE32-E72D297353CC}">
              <c16:uniqueId val="{00000003-014C-427C-97EE-DAEB275A2DB2}"/>
            </c:ext>
          </c:extLst>
        </c:ser>
        <c:dLbls>
          <c:showLegendKey val="0"/>
          <c:showVal val="0"/>
          <c:showCatName val="0"/>
          <c:showSerName val="0"/>
          <c:showPercent val="0"/>
          <c:showBubbleSize val="0"/>
        </c:dLbls>
        <c:marker val="1"/>
        <c:smooth val="0"/>
        <c:axId val="296350944"/>
        <c:axId val="296351336"/>
      </c:lineChart>
      <c:lineChart>
        <c:grouping val="standard"/>
        <c:varyColors val="0"/>
        <c:ser>
          <c:idx val="2"/>
          <c:order val="1"/>
          <c:tx>
            <c:strRef>
              <c:f>Pateriņa_cenas!$B$7</c:f>
              <c:strCache>
                <c:ptCount val="1"/>
                <c:pt idx="0">
                  <c:v>Izdevumi par apkuri</c:v>
                </c:pt>
              </c:strCache>
            </c:strRef>
          </c:tx>
          <c:spPr>
            <a:ln w="38100" cap="flat" cmpd="sng" algn="ctr">
              <a:solidFill>
                <a:schemeClr val="accent6"/>
              </a:solidFill>
              <a:prstDash val="dash"/>
              <a:miter lim="800000"/>
            </a:ln>
            <a:effectLst/>
          </c:spPr>
          <c:marker>
            <c:symbol val="none"/>
          </c:marker>
          <c:dLbls>
            <c:dLbl>
              <c:idx val="4"/>
              <c:layout>
                <c:manualLayout>
                  <c:x val="-2.14398152123224E-2"/>
                  <c:y val="3.47757128468143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4C-427C-97EE-DAEB275A2DB2}"/>
                </c:ext>
              </c:extLst>
            </c:dLbl>
            <c:dLbl>
              <c:idx val="5"/>
              <c:layout>
                <c:manualLayout>
                  <c:x val="-3.582993351608716E-2"/>
                  <c:y val="-4.06258319122662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14C-427C-97EE-DAEB275A2DB2}"/>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50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Pateriņa_cenas!$C$4:$I$4</c:f>
              <c:strCache>
                <c:ptCount val="7"/>
                <c:pt idx="0">
                  <c:v>2010</c:v>
                </c:pt>
                <c:pt idx="1">
                  <c:v>2011</c:v>
                </c:pt>
                <c:pt idx="2">
                  <c:v>2012</c:v>
                </c:pt>
                <c:pt idx="3">
                  <c:v>2013</c:v>
                </c:pt>
                <c:pt idx="4">
                  <c:v>2014</c:v>
                </c:pt>
                <c:pt idx="5">
                  <c:v>2015</c:v>
                </c:pt>
                <c:pt idx="6">
                  <c:v>2016</c:v>
                </c:pt>
              </c:strCache>
            </c:strRef>
          </c:cat>
          <c:val>
            <c:numRef>
              <c:f>Pateriņa_cenas!$C$7:$I$7</c:f>
              <c:numCache>
                <c:formatCode>General</c:formatCode>
                <c:ptCount val="7"/>
                <c:pt idx="0">
                  <c:v>11.2</c:v>
                </c:pt>
                <c:pt idx="1">
                  <c:v>11.1</c:v>
                </c:pt>
                <c:pt idx="2">
                  <c:v>11.4</c:v>
                </c:pt>
                <c:pt idx="3">
                  <c:v>12.4</c:v>
                </c:pt>
                <c:pt idx="4">
                  <c:v>9.6</c:v>
                </c:pt>
                <c:pt idx="5">
                  <c:v>10.6</c:v>
                </c:pt>
                <c:pt idx="6">
                  <c:v>10.1</c:v>
                </c:pt>
              </c:numCache>
            </c:numRef>
          </c:val>
          <c:smooth val="0"/>
          <c:extLst>
            <c:ext xmlns:c16="http://schemas.microsoft.com/office/drawing/2014/chart" uri="{C3380CC4-5D6E-409C-BE32-E72D297353CC}">
              <c16:uniqueId val="{00000006-014C-427C-97EE-DAEB275A2DB2}"/>
            </c:ext>
          </c:extLst>
        </c:ser>
        <c:dLbls>
          <c:showLegendKey val="0"/>
          <c:showVal val="0"/>
          <c:showCatName val="0"/>
          <c:showSerName val="0"/>
          <c:showPercent val="0"/>
          <c:showBubbleSize val="0"/>
        </c:dLbls>
        <c:marker val="1"/>
        <c:smooth val="0"/>
        <c:axId val="296352120"/>
        <c:axId val="296351728"/>
      </c:lineChart>
      <c:catAx>
        <c:axId val="29635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51336"/>
        <c:crosses val="autoZero"/>
        <c:auto val="1"/>
        <c:lblAlgn val="ctr"/>
        <c:lblOffset val="100"/>
        <c:noMultiLvlLbl val="0"/>
      </c:catAx>
      <c:valAx>
        <c:axId val="296351336"/>
        <c:scaling>
          <c:orientation val="minMax"/>
          <c:min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a:t>Siltumenerģijas</a:t>
                </a:r>
                <a:r>
                  <a:rPr lang="lv-LV" sz="1050" baseline="0"/>
                  <a:t> patēriņa cenu izmaiņas (2010=100)</a:t>
                </a:r>
                <a:endParaRPr lang="lv-LV" sz="1050"/>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50944"/>
        <c:crosses val="autoZero"/>
        <c:crossBetween val="between"/>
      </c:valAx>
      <c:valAx>
        <c:axId val="296351728"/>
        <c:scaling>
          <c:orientation val="minMax"/>
          <c:min val="8"/>
        </c:scaling>
        <c:delete val="0"/>
        <c:axPos val="r"/>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sz="1050"/>
                  <a:t>Izdevumi par apkuri, milj. </a:t>
                </a:r>
                <a:r>
                  <a:rPr lang="lv-LV" sz="1050" i="1"/>
                  <a:t>euro</a:t>
                </a:r>
              </a:p>
            </c:rich>
          </c:tx>
          <c:layout>
            <c:manualLayout>
              <c:xMode val="edge"/>
              <c:yMode val="edge"/>
              <c:x val="0.96440129968201072"/>
              <c:y val="0.18801499721830875"/>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52120"/>
        <c:crosses val="max"/>
        <c:crossBetween val="between"/>
      </c:valAx>
      <c:catAx>
        <c:axId val="296352120"/>
        <c:scaling>
          <c:orientation val="minMax"/>
        </c:scaling>
        <c:delete val="1"/>
        <c:axPos val="b"/>
        <c:numFmt formatCode="General" sourceLinked="1"/>
        <c:majorTickMark val="out"/>
        <c:minorTickMark val="none"/>
        <c:tickLblPos val="nextTo"/>
        <c:crossAx val="296351728"/>
        <c:crosses val="autoZero"/>
        <c:auto val="1"/>
        <c:lblAlgn val="ctr"/>
        <c:lblOffset val="100"/>
        <c:noMultiLvlLbl val="0"/>
      </c:catAx>
      <c:spPr>
        <a:noFill/>
        <a:ln>
          <a:noFill/>
        </a:ln>
        <a:effectLst/>
      </c:spPr>
    </c:plotArea>
    <c:legend>
      <c:legendPos val="b"/>
      <c:layout>
        <c:manualLayout>
          <c:xMode val="edge"/>
          <c:yMode val="edge"/>
          <c:x val="1.8421863399211084E-2"/>
          <c:y val="0.93192554094928759"/>
          <c:w val="0.9186607607339653"/>
          <c:h val="5.2950681941397112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Kopējais_paterins!$A$4</c:f>
              <c:strCache>
                <c:ptCount val="1"/>
                <c:pt idx="0">
                  <c:v>Elektroenerģijas patēriņš</c:v>
                </c:pt>
              </c:strCache>
            </c:strRef>
          </c:tx>
          <c:spPr>
            <a:ln w="38100" cap="rnd">
              <a:solidFill>
                <a:srgbClr val="70AD47"/>
              </a:solidFill>
              <a:prstDash val="solid"/>
              <a:round/>
            </a:ln>
            <a:effectLst/>
          </c:spPr>
          <c:marker>
            <c:symbol val="none"/>
          </c:marker>
          <c:dLbls>
            <c:dLbl>
              <c:idx val="0"/>
              <c:layout>
                <c:manualLayout>
                  <c:x val="-7.6778941958097938E-2"/>
                  <c:y val="-3.4467901766480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57-48A3-84E1-413490851371}"/>
                </c:ext>
              </c:extLst>
            </c:dLbl>
            <c:dLbl>
              <c:idx val="1"/>
              <c:layout>
                <c:manualLayout>
                  <c:x val="-6.6078032380783899E-2"/>
                  <c:y val="-7.7552778974579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57-48A3-84E1-413490851371}"/>
                </c:ext>
              </c:extLst>
            </c:dLbl>
            <c:dLbl>
              <c:idx val="2"/>
              <c:layout>
                <c:manualLayout>
                  <c:x val="-5.7517304718932606E-2"/>
                  <c:y val="-3.877638948728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57-48A3-84E1-413490851371}"/>
                </c:ext>
              </c:extLst>
            </c:dLbl>
            <c:dLbl>
              <c:idx val="3"/>
              <c:layout>
                <c:manualLayout>
                  <c:x val="-2.3274394071527576E-2"/>
                  <c:y val="-6.03188280913399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57-48A3-84E1-413490851371}"/>
                </c:ext>
              </c:extLst>
            </c:dLbl>
            <c:dLbl>
              <c:idx val="4"/>
              <c:layout>
                <c:manualLayout>
                  <c:x val="-4.6816395141618609E-2"/>
                  <c:y val="-5.17018526497199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57-48A3-84E1-413490851371}"/>
                </c:ext>
              </c:extLst>
            </c:dLbl>
            <c:dLbl>
              <c:idx val="5"/>
              <c:layout>
                <c:manualLayout>
                  <c:x val="-3.611548556430446E-2"/>
                  <c:y val="-5.60103403705299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57-48A3-84E1-41349085137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Kopējais_paterins!$B$3:$G$3</c:f>
              <c:numCache>
                <c:formatCode>General</c:formatCode>
                <c:ptCount val="6"/>
                <c:pt idx="0">
                  <c:v>2010</c:v>
                </c:pt>
                <c:pt idx="1">
                  <c:v>2011</c:v>
                </c:pt>
                <c:pt idx="2">
                  <c:v>2012</c:v>
                </c:pt>
                <c:pt idx="3">
                  <c:v>2013</c:v>
                </c:pt>
                <c:pt idx="4">
                  <c:v>2014</c:v>
                </c:pt>
                <c:pt idx="5">
                  <c:v>2015</c:v>
                </c:pt>
              </c:numCache>
            </c:numRef>
          </c:cat>
          <c:val>
            <c:numRef>
              <c:f>Kopējais_paterins!$B$4:$G$4</c:f>
              <c:numCache>
                <c:formatCode>#,##0</c:formatCode>
                <c:ptCount val="6"/>
                <c:pt idx="0">
                  <c:v>15991</c:v>
                </c:pt>
                <c:pt idx="1">
                  <c:v>15131</c:v>
                </c:pt>
                <c:pt idx="2">
                  <c:v>19844</c:v>
                </c:pt>
                <c:pt idx="3">
                  <c:v>15793</c:v>
                </c:pt>
                <c:pt idx="4">
                  <c:v>16021</c:v>
                </c:pt>
                <c:pt idx="5">
                  <c:v>13783</c:v>
                </c:pt>
              </c:numCache>
            </c:numRef>
          </c:val>
          <c:smooth val="0"/>
          <c:extLst>
            <c:ext xmlns:c16="http://schemas.microsoft.com/office/drawing/2014/chart" uri="{C3380CC4-5D6E-409C-BE32-E72D297353CC}">
              <c16:uniqueId val="{00000000-2357-48A3-84E1-413490851371}"/>
            </c:ext>
          </c:extLst>
        </c:ser>
        <c:dLbls>
          <c:showLegendKey val="0"/>
          <c:showVal val="0"/>
          <c:showCatName val="0"/>
          <c:showSerName val="0"/>
          <c:showPercent val="0"/>
          <c:showBubbleSize val="0"/>
        </c:dLbls>
        <c:marker val="1"/>
        <c:smooth val="0"/>
        <c:axId val="296352904"/>
        <c:axId val="296353296"/>
      </c:lineChart>
      <c:lineChart>
        <c:grouping val="standard"/>
        <c:varyColors val="0"/>
        <c:ser>
          <c:idx val="2"/>
          <c:order val="1"/>
          <c:tx>
            <c:strRef>
              <c:f>Kopējais_paterins!$A$6</c:f>
              <c:strCache>
                <c:ptCount val="1"/>
                <c:pt idx="0">
                  <c:v>Abonentiem piegādātā siltumenerģija</c:v>
                </c:pt>
              </c:strCache>
            </c:strRef>
          </c:tx>
          <c:spPr>
            <a:ln w="38100" cap="rnd">
              <a:solidFill>
                <a:srgbClr val="ED7D31"/>
              </a:solidFill>
              <a:prstDash val="solid"/>
              <a:round/>
            </a:ln>
            <a:effectLst/>
          </c:spPr>
          <c:marker>
            <c:symbol val="none"/>
          </c:marker>
          <c:dLbls>
            <c:dLbl>
              <c:idx val="0"/>
              <c:layout>
                <c:manualLayout>
                  <c:x val="-4.9224184055644729E-2"/>
                  <c:y val="-3.4316935070750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357-48A3-84E1-413490851371}"/>
                </c:ext>
              </c:extLst>
            </c:dLbl>
            <c:dLbl>
              <c:idx val="2"/>
              <c:layout>
                <c:manualLayout>
                  <c:x val="-2.9962546816479481E-2"/>
                  <c:y val="6.04697947870690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357-48A3-84E1-413490851371}"/>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Kopējais_paterins!$B$3:$G$3</c:f>
              <c:numCache>
                <c:formatCode>General</c:formatCode>
                <c:ptCount val="6"/>
                <c:pt idx="0">
                  <c:v>2010</c:v>
                </c:pt>
                <c:pt idx="1">
                  <c:v>2011</c:v>
                </c:pt>
                <c:pt idx="2">
                  <c:v>2012</c:v>
                </c:pt>
                <c:pt idx="3">
                  <c:v>2013</c:v>
                </c:pt>
                <c:pt idx="4">
                  <c:v>2014</c:v>
                </c:pt>
                <c:pt idx="5">
                  <c:v>2015</c:v>
                </c:pt>
              </c:numCache>
            </c:numRef>
          </c:cat>
          <c:val>
            <c:numRef>
              <c:f>Kopējais_paterins!$B$6:$G$6</c:f>
              <c:numCache>
                <c:formatCode>General</c:formatCode>
                <c:ptCount val="6"/>
                <c:pt idx="0">
                  <c:v>6687</c:v>
                </c:pt>
                <c:pt idx="1">
                  <c:v>5804</c:v>
                </c:pt>
                <c:pt idx="2">
                  <c:v>6220</c:v>
                </c:pt>
                <c:pt idx="3">
                  <c:v>6027</c:v>
                </c:pt>
                <c:pt idx="4">
                  <c:v>5871</c:v>
                </c:pt>
                <c:pt idx="5">
                  <c:v>5861</c:v>
                </c:pt>
              </c:numCache>
            </c:numRef>
          </c:val>
          <c:smooth val="0"/>
          <c:extLst>
            <c:ext xmlns:c16="http://schemas.microsoft.com/office/drawing/2014/chart" uri="{C3380CC4-5D6E-409C-BE32-E72D297353CC}">
              <c16:uniqueId val="{00000001-2357-48A3-84E1-413490851371}"/>
            </c:ext>
          </c:extLst>
        </c:ser>
        <c:dLbls>
          <c:showLegendKey val="0"/>
          <c:showVal val="0"/>
          <c:showCatName val="0"/>
          <c:showSerName val="0"/>
          <c:showPercent val="0"/>
          <c:showBubbleSize val="0"/>
        </c:dLbls>
        <c:marker val="1"/>
        <c:smooth val="0"/>
        <c:axId val="296354080"/>
        <c:axId val="296353688"/>
      </c:lineChart>
      <c:catAx>
        <c:axId val="296352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53296"/>
        <c:crosses val="autoZero"/>
        <c:auto val="1"/>
        <c:lblAlgn val="ctr"/>
        <c:lblOffset val="100"/>
        <c:noMultiLvlLbl val="0"/>
      </c:catAx>
      <c:valAx>
        <c:axId val="296353296"/>
        <c:scaling>
          <c:orientation val="minMax"/>
          <c:min val="1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Elektroenerģijas</a:t>
                </a:r>
                <a:r>
                  <a:rPr lang="lv-LV" baseline="0"/>
                  <a:t>, teradžouli</a:t>
                </a:r>
                <a:endParaRPr lang="lv-LV"/>
              </a:p>
            </c:rich>
          </c:tx>
          <c:layout>
            <c:manualLayout>
              <c:xMode val="edge"/>
              <c:yMode val="edge"/>
              <c:x val="1.7121455323702513E-2"/>
              <c:y val="0.1123426299416149"/>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52904"/>
        <c:crosses val="autoZero"/>
        <c:crossBetween val="between"/>
        <c:majorUnit val="2000"/>
      </c:valAx>
      <c:valAx>
        <c:axId val="296353688"/>
        <c:scaling>
          <c:orientation val="minMax"/>
          <c:min val="5600"/>
        </c:scaling>
        <c:delete val="0"/>
        <c:axPos val="r"/>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Siltumenerģija, GWh</a:t>
                </a:r>
              </a:p>
            </c:rich>
          </c:tx>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6354080"/>
        <c:crosses val="max"/>
        <c:crossBetween val="between"/>
      </c:valAx>
      <c:catAx>
        <c:axId val="296354080"/>
        <c:scaling>
          <c:orientation val="minMax"/>
        </c:scaling>
        <c:delete val="1"/>
        <c:axPos val="b"/>
        <c:numFmt formatCode="General" sourceLinked="1"/>
        <c:majorTickMark val="out"/>
        <c:minorTickMark val="none"/>
        <c:tickLblPos val="nextTo"/>
        <c:crossAx val="2963536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58174130542363E-2"/>
          <c:y val="6.4555749380776614E-2"/>
          <c:w val="0.92482671123910021"/>
          <c:h val="0.75327364373211003"/>
        </c:manualLayout>
      </c:layout>
      <c:barChart>
        <c:barDir val="col"/>
        <c:grouping val="clustered"/>
        <c:varyColors val="0"/>
        <c:ser>
          <c:idx val="0"/>
          <c:order val="0"/>
          <c:spPr>
            <a:solidFill>
              <a:schemeClr val="accent1">
                <a:lumMod val="40000"/>
                <a:lumOff val="60000"/>
              </a:schemeClr>
            </a:solidFill>
            <a:ln>
              <a:noFill/>
            </a:ln>
            <a:effectLst/>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7-A06B-45E3-BA54-83445D28E455}"/>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1-A06B-45E3-BA54-83445D28E455}"/>
              </c:ext>
            </c:extLst>
          </c:dPt>
          <c:dPt>
            <c:idx val="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8-A06B-45E3-BA54-83445D28E455}"/>
              </c:ext>
            </c:extLst>
          </c:dPt>
          <c:dPt>
            <c:idx val="3"/>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3-A06B-45E3-BA54-83445D28E455}"/>
              </c:ext>
            </c:extLst>
          </c:dPt>
          <c:dPt>
            <c:idx val="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extLst>
              <c:ext xmlns:c16="http://schemas.microsoft.com/office/drawing/2014/chart" uri="{C3380CC4-5D6E-409C-BE32-E72D297353CC}">
                <c16:uniqueId val="{00000009-A06B-45E3-BA54-83445D28E455}"/>
              </c:ext>
            </c:extLst>
          </c:dPt>
          <c:dPt>
            <c:idx val="5"/>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extLst>
              <c:ext xmlns:c16="http://schemas.microsoft.com/office/drawing/2014/chart" uri="{C3380CC4-5D6E-409C-BE32-E72D297353CC}">
                <c16:uniqueId val="{00000005-A06B-45E3-BA54-83445D28E455}"/>
              </c:ext>
            </c:extLst>
          </c:dPt>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Sheet1!$E$4:$J$5</c:f>
              <c:multiLvlStrCache>
                <c:ptCount val="6"/>
                <c:lvl>
                  <c:pt idx="0">
                    <c:v>Plāns</c:v>
                  </c:pt>
                  <c:pt idx="1">
                    <c:v>Izpilde</c:v>
                  </c:pt>
                  <c:pt idx="2">
                    <c:v>Plāns</c:v>
                  </c:pt>
                  <c:pt idx="3">
                    <c:v>Izpilde</c:v>
                  </c:pt>
                  <c:pt idx="4">
                    <c:v>Plāns</c:v>
                  </c:pt>
                  <c:pt idx="5">
                    <c:v>Izpilde</c:v>
                  </c:pt>
                </c:lvl>
                <c:lvl>
                  <c:pt idx="0">
                    <c:v>2014</c:v>
                  </c:pt>
                  <c:pt idx="2">
                    <c:v>2015</c:v>
                  </c:pt>
                  <c:pt idx="4">
                    <c:v>2016</c:v>
                  </c:pt>
                </c:lvl>
              </c:multiLvlStrCache>
            </c:multiLvlStrRef>
          </c:cat>
          <c:val>
            <c:numRef>
              <c:f>Sheet1!$E$6:$J$6</c:f>
              <c:numCache>
                <c:formatCode>General</c:formatCode>
                <c:ptCount val="6"/>
                <c:pt idx="0">
                  <c:v>6000</c:v>
                </c:pt>
                <c:pt idx="1">
                  <c:v>5197</c:v>
                </c:pt>
                <c:pt idx="2">
                  <c:v>6000</c:v>
                </c:pt>
                <c:pt idx="3">
                  <c:v>4890</c:v>
                </c:pt>
                <c:pt idx="4">
                  <c:v>6000</c:v>
                </c:pt>
                <c:pt idx="5">
                  <c:v>4899</c:v>
                </c:pt>
              </c:numCache>
            </c:numRef>
          </c:val>
          <c:extLst>
            <c:ext xmlns:c16="http://schemas.microsoft.com/office/drawing/2014/chart" uri="{C3380CC4-5D6E-409C-BE32-E72D297353CC}">
              <c16:uniqueId val="{00000006-A06B-45E3-BA54-83445D28E455}"/>
            </c:ext>
          </c:extLst>
        </c:ser>
        <c:dLbls>
          <c:showLegendKey val="0"/>
          <c:showVal val="0"/>
          <c:showCatName val="0"/>
          <c:showSerName val="0"/>
          <c:showPercent val="0"/>
          <c:showBubbleSize val="0"/>
        </c:dLbls>
        <c:gapWidth val="150"/>
        <c:overlap val="-27"/>
        <c:axId val="298333576"/>
        <c:axId val="298333968"/>
      </c:barChart>
      <c:catAx>
        <c:axId val="298333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3968"/>
        <c:crosses val="autoZero"/>
        <c:auto val="1"/>
        <c:lblAlgn val="ctr"/>
        <c:lblOffset val="100"/>
        <c:noMultiLvlLbl val="0"/>
      </c:catAx>
      <c:valAx>
        <c:axId val="2983339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3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rik!$B$1</c:f>
              <c:strCache>
                <c:ptCount val="1"/>
                <c:pt idx="0">
                  <c:v>Izmaiņas pamatfunkcijās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rik!$A$2:$A$9</c:f>
              <c:strCache>
                <c:ptCount val="8"/>
                <c:pt idx="0">
                  <c:v>Starp progr., kodiem</c:v>
                </c:pt>
                <c:pt idx="1">
                  <c:v>No/uz 80.progr.</c:v>
                </c:pt>
                <c:pt idx="2">
                  <c:v>Transferti, āfp</c:v>
                </c:pt>
                <c:pt idx="3">
                  <c:v>Maksas pak.</c:v>
                </c:pt>
                <c:pt idx="4">
                  <c:v>Starp ministrijām</c:v>
                </c:pt>
                <c:pt idx="5">
                  <c:v>Apropriācijas rezerve</c:v>
                </c:pt>
                <c:pt idx="6">
                  <c:v>LNG</c:v>
                </c:pt>
                <c:pt idx="7">
                  <c:v>Budžeta likuma panti </c:v>
                </c:pt>
              </c:strCache>
            </c:strRef>
          </c:cat>
          <c:val>
            <c:numRef>
              <c:f>rik!$B$2:$B$9</c:f>
              <c:numCache>
                <c:formatCode>General</c:formatCode>
                <c:ptCount val="8"/>
                <c:pt idx="0">
                  <c:v>5</c:v>
                </c:pt>
                <c:pt idx="3">
                  <c:v>9</c:v>
                </c:pt>
                <c:pt idx="4">
                  <c:v>15</c:v>
                </c:pt>
                <c:pt idx="5">
                  <c:v>4</c:v>
                </c:pt>
                <c:pt idx="6">
                  <c:v>86</c:v>
                </c:pt>
                <c:pt idx="7">
                  <c:v>16</c:v>
                </c:pt>
              </c:numCache>
            </c:numRef>
          </c:val>
          <c:extLst>
            <c:ext xmlns:c16="http://schemas.microsoft.com/office/drawing/2014/chart" uri="{C3380CC4-5D6E-409C-BE32-E72D297353CC}">
              <c16:uniqueId val="{00000000-9A4A-459C-AD49-02E9F47424AA}"/>
            </c:ext>
          </c:extLst>
        </c:ser>
        <c:ser>
          <c:idx val="1"/>
          <c:order val="1"/>
          <c:tx>
            <c:strRef>
              <c:f>rik!$C$1</c:f>
              <c:strCache>
                <c:ptCount val="1"/>
                <c:pt idx="0">
                  <c:v>Izmaiņas ES blokā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rik!$A$2:$A$9</c:f>
              <c:strCache>
                <c:ptCount val="8"/>
                <c:pt idx="0">
                  <c:v>Starp progr., kodiem</c:v>
                </c:pt>
                <c:pt idx="1">
                  <c:v>No/uz 80.progr.</c:v>
                </c:pt>
                <c:pt idx="2">
                  <c:v>Transferti, āfp</c:v>
                </c:pt>
                <c:pt idx="3">
                  <c:v>Maksas pak.</c:v>
                </c:pt>
                <c:pt idx="4">
                  <c:v>Starp ministrijām</c:v>
                </c:pt>
                <c:pt idx="5">
                  <c:v>Apropriācijas rezerve</c:v>
                </c:pt>
                <c:pt idx="6">
                  <c:v>LNG</c:v>
                </c:pt>
                <c:pt idx="7">
                  <c:v>Budžeta likuma panti </c:v>
                </c:pt>
              </c:strCache>
            </c:strRef>
          </c:cat>
          <c:val>
            <c:numRef>
              <c:f>rik!$C$2:$C$9</c:f>
              <c:numCache>
                <c:formatCode>General</c:formatCode>
                <c:ptCount val="8"/>
                <c:pt idx="0">
                  <c:v>5</c:v>
                </c:pt>
                <c:pt idx="1">
                  <c:v>33</c:v>
                </c:pt>
                <c:pt idx="2">
                  <c:v>6</c:v>
                </c:pt>
              </c:numCache>
            </c:numRef>
          </c:val>
          <c:extLst>
            <c:ext xmlns:c16="http://schemas.microsoft.com/office/drawing/2014/chart" uri="{C3380CC4-5D6E-409C-BE32-E72D297353CC}">
              <c16:uniqueId val="{00000001-9A4A-459C-AD49-02E9F47424AA}"/>
            </c:ext>
          </c:extLst>
        </c:ser>
        <c:ser>
          <c:idx val="2"/>
          <c:order val="2"/>
          <c:tx>
            <c:strRef>
              <c:f>rik!$D$1</c:f>
              <c:strCache>
                <c:ptCount val="1"/>
                <c:pt idx="0">
                  <c:v>Izmaiņas pamatfunkcijās un ES blokā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rik!$A$2:$A$9</c:f>
              <c:strCache>
                <c:ptCount val="8"/>
                <c:pt idx="0">
                  <c:v>Starp progr., kodiem</c:v>
                </c:pt>
                <c:pt idx="1">
                  <c:v>No/uz 80.progr.</c:v>
                </c:pt>
                <c:pt idx="2">
                  <c:v>Transferti, āfp</c:v>
                </c:pt>
                <c:pt idx="3">
                  <c:v>Maksas pak.</c:v>
                </c:pt>
                <c:pt idx="4">
                  <c:v>Starp ministrijām</c:v>
                </c:pt>
                <c:pt idx="5">
                  <c:v>Apropriācijas rezerve</c:v>
                </c:pt>
                <c:pt idx="6">
                  <c:v>LNG</c:v>
                </c:pt>
                <c:pt idx="7">
                  <c:v>Budžeta likuma panti </c:v>
                </c:pt>
              </c:strCache>
            </c:strRef>
          </c:cat>
          <c:val>
            <c:numRef>
              <c:f>rik!$D$2:$D$9</c:f>
              <c:numCache>
                <c:formatCode>General</c:formatCode>
                <c:ptCount val="8"/>
                <c:pt idx="0">
                  <c:v>33</c:v>
                </c:pt>
                <c:pt idx="2">
                  <c:v>19</c:v>
                </c:pt>
                <c:pt idx="3">
                  <c:v>1</c:v>
                </c:pt>
              </c:numCache>
            </c:numRef>
          </c:val>
          <c:extLst>
            <c:ext xmlns:c16="http://schemas.microsoft.com/office/drawing/2014/chart" uri="{C3380CC4-5D6E-409C-BE32-E72D297353CC}">
              <c16:uniqueId val="{00000002-9A4A-459C-AD49-02E9F47424AA}"/>
            </c:ext>
          </c:extLst>
        </c:ser>
        <c:dLbls>
          <c:showLegendKey val="0"/>
          <c:showVal val="0"/>
          <c:showCatName val="0"/>
          <c:showSerName val="0"/>
          <c:showPercent val="0"/>
          <c:showBubbleSize val="0"/>
        </c:dLbls>
        <c:gapWidth val="150"/>
        <c:overlap val="100"/>
        <c:axId val="188227296"/>
        <c:axId val="188227680"/>
      </c:barChart>
      <c:catAx>
        <c:axId val="188227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227680"/>
        <c:crosses val="autoZero"/>
        <c:auto val="0"/>
        <c:lblAlgn val="ctr"/>
        <c:lblOffset val="100"/>
        <c:noMultiLvlLbl val="0"/>
      </c:catAx>
      <c:valAx>
        <c:axId val="18822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22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374545166085511E-2"/>
          <c:y val="3.9920159680638723E-2"/>
          <c:w val="0.90562545483391443"/>
          <c:h val="0.7589870128509385"/>
        </c:manualLayout>
      </c:layout>
      <c:barChart>
        <c:barDir val="col"/>
        <c:grouping val="stacked"/>
        <c:varyColors val="0"/>
        <c:ser>
          <c:idx val="0"/>
          <c:order val="0"/>
          <c:tx>
            <c:strRef>
              <c:f>Sheet3!$A$3</c:f>
              <c:strCache>
                <c:ptCount val="1"/>
                <c:pt idx="0">
                  <c:v>2014.-2016.g. jaunā politikas iniciatīva</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Sheet3!$B$2:$F$2</c:f>
              <c:numCache>
                <c:formatCode>General</c:formatCode>
                <c:ptCount val="5"/>
                <c:pt idx="0">
                  <c:v>2014</c:v>
                </c:pt>
                <c:pt idx="1">
                  <c:v>2015</c:v>
                </c:pt>
                <c:pt idx="2">
                  <c:v>2016</c:v>
                </c:pt>
                <c:pt idx="3">
                  <c:v>2017</c:v>
                </c:pt>
                <c:pt idx="4">
                  <c:v>2018</c:v>
                </c:pt>
              </c:numCache>
            </c:numRef>
          </c:cat>
          <c:val>
            <c:numRef>
              <c:f>Sheet3!$B$3:$F$3</c:f>
              <c:numCache>
                <c:formatCode>#\ ##0.0</c:formatCode>
                <c:ptCount val="5"/>
                <c:pt idx="0">
                  <c:v>0.5</c:v>
                </c:pt>
                <c:pt idx="1">
                  <c:v>0.6</c:v>
                </c:pt>
                <c:pt idx="2">
                  <c:v>1.2</c:v>
                </c:pt>
                <c:pt idx="3">
                  <c:v>1.21</c:v>
                </c:pt>
                <c:pt idx="4">
                  <c:v>1.2</c:v>
                </c:pt>
              </c:numCache>
            </c:numRef>
          </c:val>
          <c:extLst>
            <c:ext xmlns:c16="http://schemas.microsoft.com/office/drawing/2014/chart" uri="{C3380CC4-5D6E-409C-BE32-E72D297353CC}">
              <c16:uniqueId val="{00000000-57AA-45C7-8285-738AF62B9FEA}"/>
            </c:ext>
          </c:extLst>
        </c:ser>
        <c:ser>
          <c:idx val="1"/>
          <c:order val="1"/>
          <c:tx>
            <c:strRef>
              <c:f>Sheet3!$A$4</c:f>
              <c:strCache>
                <c:ptCount val="1"/>
                <c:pt idx="0">
                  <c:v>2015.-2017.g. bāze (Atlīdzības likuma grozījumi)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Sheet3!$B$2:$F$2</c:f>
              <c:numCache>
                <c:formatCode>General</c:formatCode>
                <c:ptCount val="5"/>
                <c:pt idx="0">
                  <c:v>2014</c:v>
                </c:pt>
                <c:pt idx="1">
                  <c:v>2015</c:v>
                </c:pt>
                <c:pt idx="2">
                  <c:v>2016</c:v>
                </c:pt>
                <c:pt idx="3">
                  <c:v>2017</c:v>
                </c:pt>
                <c:pt idx="4">
                  <c:v>2018</c:v>
                </c:pt>
              </c:numCache>
            </c:numRef>
          </c:cat>
          <c:val>
            <c:numRef>
              <c:f>Sheet3!$B$4:$F$4</c:f>
              <c:numCache>
                <c:formatCode>#\ ##0.0</c:formatCode>
                <c:ptCount val="5"/>
                <c:pt idx="1">
                  <c:v>0.4</c:v>
                </c:pt>
                <c:pt idx="2">
                  <c:v>0.4</c:v>
                </c:pt>
                <c:pt idx="3">
                  <c:v>0.4</c:v>
                </c:pt>
                <c:pt idx="4">
                  <c:v>0.4</c:v>
                </c:pt>
              </c:numCache>
            </c:numRef>
          </c:val>
          <c:extLst>
            <c:ext xmlns:c16="http://schemas.microsoft.com/office/drawing/2014/chart" uri="{C3380CC4-5D6E-409C-BE32-E72D297353CC}">
              <c16:uniqueId val="{00000001-57AA-45C7-8285-738AF62B9FEA}"/>
            </c:ext>
          </c:extLst>
        </c:ser>
        <c:ser>
          <c:idx val="2"/>
          <c:order val="2"/>
          <c:tx>
            <c:strRef>
              <c:f>Sheet3!$A$5</c:f>
              <c:strCache>
                <c:ptCount val="1"/>
                <c:pt idx="0">
                  <c:v>2015.-2017.g. bāze (MK 11.02.2014. prot.Nr.8 19.§)</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6350" cap="flat" cmpd="sng" algn="ctr">
              <a:solidFill>
                <a:schemeClr val="accent1"/>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Sheet3!$B$2:$F$2</c:f>
              <c:numCache>
                <c:formatCode>General</c:formatCode>
                <c:ptCount val="5"/>
                <c:pt idx="0">
                  <c:v>2014</c:v>
                </c:pt>
                <c:pt idx="1">
                  <c:v>2015</c:v>
                </c:pt>
                <c:pt idx="2">
                  <c:v>2016</c:v>
                </c:pt>
                <c:pt idx="3">
                  <c:v>2017</c:v>
                </c:pt>
                <c:pt idx="4">
                  <c:v>2018</c:v>
                </c:pt>
              </c:numCache>
            </c:numRef>
          </c:cat>
          <c:val>
            <c:numRef>
              <c:f>Sheet3!$B$5:$F$5</c:f>
              <c:numCache>
                <c:formatCode>#\ ##0.0</c:formatCode>
                <c:ptCount val="5"/>
                <c:pt idx="1">
                  <c:v>0.3</c:v>
                </c:pt>
                <c:pt idx="2">
                  <c:v>0.1</c:v>
                </c:pt>
                <c:pt idx="3">
                  <c:v>0.1</c:v>
                </c:pt>
                <c:pt idx="4">
                  <c:v>0.1</c:v>
                </c:pt>
              </c:numCache>
            </c:numRef>
          </c:val>
          <c:extLst>
            <c:ext xmlns:c16="http://schemas.microsoft.com/office/drawing/2014/chart" uri="{C3380CC4-5D6E-409C-BE32-E72D297353CC}">
              <c16:uniqueId val="{00000002-57AA-45C7-8285-738AF62B9FEA}"/>
            </c:ext>
          </c:extLst>
        </c:ser>
        <c:ser>
          <c:idx val="3"/>
          <c:order val="3"/>
          <c:tx>
            <c:strRef>
              <c:f>Sheet3!$A$6</c:f>
              <c:strCache>
                <c:ptCount val="1"/>
                <c:pt idx="0">
                  <c:v>2015.-2017.g. bāze (MK 11.02.2014. prot.Nr.8 9.§)</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Sheet3!$B$2:$F$2</c:f>
              <c:numCache>
                <c:formatCode>General</c:formatCode>
                <c:ptCount val="5"/>
                <c:pt idx="0">
                  <c:v>2014</c:v>
                </c:pt>
                <c:pt idx="1">
                  <c:v>2015</c:v>
                </c:pt>
                <c:pt idx="2">
                  <c:v>2016</c:v>
                </c:pt>
                <c:pt idx="3">
                  <c:v>2017</c:v>
                </c:pt>
                <c:pt idx="4">
                  <c:v>2018</c:v>
                </c:pt>
              </c:numCache>
            </c:numRef>
          </c:cat>
          <c:val>
            <c:numRef>
              <c:f>Sheet3!$B$6:$F$6</c:f>
              <c:numCache>
                <c:formatCode>#\ ##0.0</c:formatCode>
                <c:ptCount val="5"/>
                <c:pt idx="1">
                  <c:v>2.2000000000000002</c:v>
                </c:pt>
                <c:pt idx="2">
                  <c:v>1.8</c:v>
                </c:pt>
                <c:pt idx="3">
                  <c:v>1.8</c:v>
                </c:pt>
                <c:pt idx="4">
                  <c:v>1.8</c:v>
                </c:pt>
              </c:numCache>
            </c:numRef>
          </c:val>
          <c:extLst>
            <c:ext xmlns:c16="http://schemas.microsoft.com/office/drawing/2014/chart" uri="{C3380CC4-5D6E-409C-BE32-E72D297353CC}">
              <c16:uniqueId val="{00000003-57AA-45C7-8285-738AF62B9FEA}"/>
            </c:ext>
          </c:extLst>
        </c:ser>
        <c:dLbls>
          <c:dLblPos val="ctr"/>
          <c:showLegendKey val="0"/>
          <c:showVal val="1"/>
          <c:showCatName val="0"/>
          <c:showSerName val="0"/>
          <c:showPercent val="0"/>
          <c:showBubbleSize val="0"/>
        </c:dLbls>
        <c:gapWidth val="150"/>
        <c:overlap val="100"/>
        <c:axId val="298334752"/>
        <c:axId val="298335144"/>
      </c:barChart>
      <c:catAx>
        <c:axId val="29833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5144"/>
        <c:crosses val="autoZero"/>
        <c:auto val="1"/>
        <c:lblAlgn val="ctr"/>
        <c:lblOffset val="100"/>
        <c:noMultiLvlLbl val="0"/>
      </c:catAx>
      <c:valAx>
        <c:axId val="298335144"/>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4752"/>
        <c:crosses val="autoZero"/>
        <c:crossBetween val="between"/>
      </c:valAx>
      <c:spPr>
        <a:noFill/>
        <a:ln>
          <a:noFill/>
        </a:ln>
        <a:effectLst/>
      </c:spPr>
    </c:plotArea>
    <c:legend>
      <c:legendPos val="b"/>
      <c:layout>
        <c:manualLayout>
          <c:xMode val="edge"/>
          <c:yMode val="edge"/>
          <c:x val="7.6160949679947729E-2"/>
          <c:y val="0.87090429837371341"/>
          <c:w val="0.89242066218232785"/>
          <c:h val="0.1077167598839028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21638899455653"/>
          <c:y val="3.9532794249775384E-2"/>
          <c:w val="0.8692692886454606"/>
          <c:h val="0.81915402084173439"/>
        </c:manualLayout>
      </c:layout>
      <c:lineChart>
        <c:grouping val="standard"/>
        <c:varyColors val="0"/>
        <c:ser>
          <c:idx val="0"/>
          <c:order val="0"/>
          <c:tx>
            <c:strRef>
              <c:f>Sheet3!$A$28</c:f>
              <c:strCache>
                <c:ptCount val="1"/>
                <c:pt idx="0">
                  <c:v>Sākotnējais plāns</c:v>
                </c:pt>
              </c:strCache>
            </c:strRef>
          </c:tx>
          <c:spPr>
            <a:ln w="28575" cap="rnd">
              <a:solidFill>
                <a:schemeClr val="accent5"/>
              </a:solidFill>
              <a:round/>
            </a:ln>
            <a:effectLst/>
          </c:spPr>
          <c:marker>
            <c:symbol val="none"/>
          </c:marker>
          <c:dLbls>
            <c:dLbl>
              <c:idx val="2"/>
              <c:layout>
                <c:manualLayout>
                  <c:x val="-4.6218680346322462E-2"/>
                  <c:y val="-3.6242572327465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D3-4DA0-8527-999471810CB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Sheet3!$B$27:$D$27</c:f>
              <c:numCache>
                <c:formatCode>General</c:formatCode>
                <c:ptCount val="3"/>
                <c:pt idx="0">
                  <c:v>2015</c:v>
                </c:pt>
                <c:pt idx="1">
                  <c:v>2016</c:v>
                </c:pt>
                <c:pt idx="2">
                  <c:v>2017</c:v>
                </c:pt>
              </c:numCache>
            </c:numRef>
          </c:cat>
          <c:val>
            <c:numRef>
              <c:f>Sheet3!$B$28:$D$28</c:f>
              <c:numCache>
                <c:formatCode>#,##0</c:formatCode>
                <c:ptCount val="3"/>
                <c:pt idx="0">
                  <c:v>5387737</c:v>
                </c:pt>
                <c:pt idx="1">
                  <c:v>5315928</c:v>
                </c:pt>
                <c:pt idx="2">
                  <c:v>4815112</c:v>
                </c:pt>
              </c:numCache>
            </c:numRef>
          </c:val>
          <c:smooth val="1"/>
          <c:extLst>
            <c:ext xmlns:c16="http://schemas.microsoft.com/office/drawing/2014/chart" uri="{C3380CC4-5D6E-409C-BE32-E72D297353CC}">
              <c16:uniqueId val="{00000001-A9D3-4DA0-8527-999471810CB1}"/>
            </c:ext>
          </c:extLst>
        </c:ser>
        <c:ser>
          <c:idx val="1"/>
          <c:order val="1"/>
          <c:tx>
            <c:strRef>
              <c:f>Sheet3!$A$29</c:f>
              <c:strCache>
                <c:ptCount val="1"/>
                <c:pt idx="0">
                  <c:v>Precizētais plāns </c:v>
                </c:pt>
              </c:strCache>
            </c:strRef>
          </c:tx>
          <c:spPr>
            <a:ln w="28575" cap="rnd">
              <a:solidFill>
                <a:srgbClr val="C00000"/>
              </a:solidFill>
              <a:round/>
            </a:ln>
            <a:effectLst/>
          </c:spPr>
          <c:marker>
            <c:symbol val="none"/>
          </c:marker>
          <c:dLbls>
            <c:dLbl>
              <c:idx val="0"/>
              <c:layout>
                <c:manualLayout>
                  <c:x val="0"/>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D3-4DA0-8527-999471810CB1}"/>
                </c:ext>
              </c:extLst>
            </c:dLbl>
            <c:dLbl>
              <c:idx val="1"/>
              <c:layout>
                <c:manualLayout>
                  <c:x val="-2.0091158344225746E-2"/>
                  <c:y val="3.9572587465901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D3-4DA0-8527-999471810CB1}"/>
                </c:ext>
              </c:extLst>
            </c:dLbl>
            <c:dLbl>
              <c:idx val="2"/>
              <c:delete val="1"/>
              <c:extLst>
                <c:ext xmlns:c15="http://schemas.microsoft.com/office/drawing/2012/chart" uri="{CE6537A1-D6FC-4f65-9D91-7224C49458BB}"/>
                <c:ext xmlns:c16="http://schemas.microsoft.com/office/drawing/2014/chart" uri="{C3380CC4-5D6E-409C-BE32-E72D297353CC}">
                  <c16:uniqueId val="{00000004-A9D3-4DA0-8527-999471810CB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Sheet3!$B$27:$D$27</c:f>
              <c:numCache>
                <c:formatCode>General</c:formatCode>
                <c:ptCount val="3"/>
                <c:pt idx="0">
                  <c:v>2015</c:v>
                </c:pt>
                <c:pt idx="1">
                  <c:v>2016</c:v>
                </c:pt>
                <c:pt idx="2">
                  <c:v>2017</c:v>
                </c:pt>
              </c:numCache>
            </c:numRef>
          </c:cat>
          <c:val>
            <c:numRef>
              <c:f>Sheet3!$B$29:$D$29</c:f>
              <c:numCache>
                <c:formatCode>#,##0</c:formatCode>
                <c:ptCount val="3"/>
                <c:pt idx="0">
                  <c:v>3911086</c:v>
                </c:pt>
                <c:pt idx="1">
                  <c:v>4396694</c:v>
                </c:pt>
                <c:pt idx="2">
                  <c:v>4396694</c:v>
                </c:pt>
              </c:numCache>
            </c:numRef>
          </c:val>
          <c:smooth val="0"/>
          <c:extLst>
            <c:ext xmlns:c16="http://schemas.microsoft.com/office/drawing/2014/chart" uri="{C3380CC4-5D6E-409C-BE32-E72D297353CC}">
              <c16:uniqueId val="{00000005-A9D3-4DA0-8527-999471810CB1}"/>
            </c:ext>
          </c:extLst>
        </c:ser>
        <c:ser>
          <c:idx val="2"/>
          <c:order val="2"/>
          <c:tx>
            <c:strRef>
              <c:f>Sheet3!$A$30</c:f>
              <c:strCache>
                <c:ptCount val="1"/>
                <c:pt idx="0">
                  <c:v>Izpilde</c:v>
                </c:pt>
              </c:strCache>
            </c:strRef>
          </c:tx>
          <c:spPr>
            <a:ln w="28575" cap="rnd">
              <a:solidFill>
                <a:schemeClr val="accent6"/>
              </a:solidFill>
              <a:round/>
            </a:ln>
            <a:effectLst/>
          </c:spPr>
          <c:marker>
            <c:symbol val="none"/>
          </c:marker>
          <c:dLbls>
            <c:dLbl>
              <c:idx val="2"/>
              <c:layout>
                <c:manualLayout>
                  <c:x val="-1.1736353012772407E-3"/>
                  <c:y val="-2.04746757648671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9D3-4DA0-8527-999471810CB1}"/>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Sheet3!$B$27:$D$27</c:f>
              <c:numCache>
                <c:formatCode>General</c:formatCode>
                <c:ptCount val="3"/>
                <c:pt idx="0">
                  <c:v>2015</c:v>
                </c:pt>
                <c:pt idx="1">
                  <c:v>2016</c:v>
                </c:pt>
                <c:pt idx="2">
                  <c:v>2017</c:v>
                </c:pt>
              </c:numCache>
            </c:numRef>
          </c:cat>
          <c:val>
            <c:numRef>
              <c:f>Sheet3!$B$30:$D$30</c:f>
              <c:numCache>
                <c:formatCode>#,##0</c:formatCode>
                <c:ptCount val="3"/>
                <c:pt idx="0">
                  <c:v>3882730</c:v>
                </c:pt>
                <c:pt idx="1">
                  <c:v>4383891</c:v>
                </c:pt>
                <c:pt idx="2">
                  <c:v>4383891</c:v>
                </c:pt>
              </c:numCache>
            </c:numRef>
          </c:val>
          <c:smooth val="1"/>
          <c:extLst>
            <c:ext xmlns:c16="http://schemas.microsoft.com/office/drawing/2014/chart" uri="{C3380CC4-5D6E-409C-BE32-E72D297353CC}">
              <c16:uniqueId val="{00000007-A9D3-4DA0-8527-999471810CB1}"/>
            </c:ext>
          </c:extLst>
        </c:ser>
        <c:dLbls>
          <c:showLegendKey val="0"/>
          <c:showVal val="0"/>
          <c:showCatName val="0"/>
          <c:showSerName val="0"/>
          <c:showPercent val="0"/>
          <c:showBubbleSize val="0"/>
        </c:dLbls>
        <c:smooth val="0"/>
        <c:axId val="298335928"/>
        <c:axId val="298336320"/>
      </c:lineChart>
      <c:catAx>
        <c:axId val="298335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6320"/>
        <c:crosses val="autoZero"/>
        <c:auto val="1"/>
        <c:lblAlgn val="ctr"/>
        <c:lblOffset val="100"/>
        <c:noMultiLvlLbl val="0"/>
      </c:catAx>
      <c:valAx>
        <c:axId val="298336320"/>
        <c:scaling>
          <c:orientation val="minMax"/>
          <c:min val="35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5928"/>
        <c:crosses val="autoZero"/>
        <c:crossBetween val="between"/>
        <c:minorUnit val="300000"/>
      </c:valAx>
      <c:spPr>
        <a:noFill/>
        <a:ln>
          <a:noFill/>
        </a:ln>
        <a:effectLst/>
      </c:spPr>
    </c:plotArea>
    <c:legend>
      <c:legendPos val="b"/>
      <c:layout>
        <c:manualLayout>
          <c:xMode val="edge"/>
          <c:yMode val="edge"/>
          <c:x val="0.18507168754397363"/>
          <c:y val="0.92629383591202041"/>
          <c:w val="0.63413178793010005"/>
          <c:h val="6.2924492928949916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spcAft>
          <a:spcPts val="600"/>
        </a:spcAft>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Sheet3!$A$49</c:f>
              <c:strCache>
                <c:ptCount val="1"/>
                <c:pt idx="0">
                  <c:v>Sākotnējais plāns</c:v>
                </c:pt>
              </c:strCache>
            </c:strRef>
          </c:tx>
          <c:spPr>
            <a:ln w="57150" cap="rnd">
              <a:solidFill>
                <a:schemeClr val="accent1"/>
              </a:solidFill>
              <a:round/>
            </a:ln>
            <a:effectLst/>
          </c:spPr>
          <c:marker>
            <c:symbol val="none"/>
          </c:marker>
          <c:cat>
            <c:numRef>
              <c:f>Sheet3!$B$48:$E$48</c:f>
              <c:numCache>
                <c:formatCode>General</c:formatCode>
                <c:ptCount val="4"/>
                <c:pt idx="0">
                  <c:v>2016</c:v>
                </c:pt>
                <c:pt idx="1">
                  <c:v>2017</c:v>
                </c:pt>
                <c:pt idx="2">
                  <c:v>2018</c:v>
                </c:pt>
                <c:pt idx="3">
                  <c:v>2019</c:v>
                </c:pt>
              </c:numCache>
            </c:numRef>
          </c:cat>
          <c:val>
            <c:numRef>
              <c:f>Sheet3!$B$49:$E$49</c:f>
              <c:numCache>
                <c:formatCode>#,##0</c:formatCode>
                <c:ptCount val="4"/>
                <c:pt idx="0">
                  <c:v>2039263</c:v>
                </c:pt>
                <c:pt idx="1">
                  <c:v>2465256</c:v>
                </c:pt>
                <c:pt idx="2">
                  <c:v>2465256</c:v>
                </c:pt>
                <c:pt idx="3">
                  <c:v>2465256</c:v>
                </c:pt>
              </c:numCache>
            </c:numRef>
          </c:val>
          <c:smooth val="1"/>
          <c:extLst>
            <c:ext xmlns:c16="http://schemas.microsoft.com/office/drawing/2014/chart" uri="{C3380CC4-5D6E-409C-BE32-E72D297353CC}">
              <c16:uniqueId val="{00000000-DD88-4B5B-A444-41EA19DD3C81}"/>
            </c:ext>
          </c:extLst>
        </c:ser>
        <c:ser>
          <c:idx val="1"/>
          <c:order val="1"/>
          <c:tx>
            <c:strRef>
              <c:f>Sheet3!$A$50</c:f>
              <c:strCache>
                <c:ptCount val="1"/>
                <c:pt idx="0">
                  <c:v>Izpilde (2016.g.), izpildes prognoze* (turpm.g.)
*prognoze balstīta uz 2017.gada 3 mēn. faktisko izpildi</c:v>
                </c:pt>
              </c:strCache>
            </c:strRef>
          </c:tx>
          <c:spPr>
            <a:ln w="57150" cap="rnd">
              <a:solidFill>
                <a:schemeClr val="accent2"/>
              </a:solidFill>
              <a:round/>
            </a:ln>
            <a:effectLst/>
          </c:spPr>
          <c:marker>
            <c:symbol val="none"/>
          </c:marker>
          <c:cat>
            <c:numRef>
              <c:f>Sheet3!$B$48:$E$48</c:f>
              <c:numCache>
                <c:formatCode>General</c:formatCode>
                <c:ptCount val="4"/>
                <c:pt idx="0">
                  <c:v>2016</c:v>
                </c:pt>
                <c:pt idx="1">
                  <c:v>2017</c:v>
                </c:pt>
                <c:pt idx="2">
                  <c:v>2018</c:v>
                </c:pt>
                <c:pt idx="3">
                  <c:v>2019</c:v>
                </c:pt>
              </c:numCache>
            </c:numRef>
          </c:cat>
          <c:val>
            <c:numRef>
              <c:f>Sheet3!$B$50:$E$50</c:f>
              <c:numCache>
                <c:formatCode>#,##0</c:formatCode>
                <c:ptCount val="4"/>
                <c:pt idx="0">
                  <c:v>1439818</c:v>
                </c:pt>
                <c:pt idx="1">
                  <c:v>1848942</c:v>
                </c:pt>
                <c:pt idx="2">
                  <c:v>1848942</c:v>
                </c:pt>
                <c:pt idx="3">
                  <c:v>1848942</c:v>
                </c:pt>
              </c:numCache>
            </c:numRef>
          </c:val>
          <c:smooth val="1"/>
          <c:extLst>
            <c:ext xmlns:c16="http://schemas.microsoft.com/office/drawing/2014/chart" uri="{C3380CC4-5D6E-409C-BE32-E72D297353CC}">
              <c16:uniqueId val="{00000001-DD88-4B5B-A444-41EA19DD3C81}"/>
            </c:ext>
          </c:extLst>
        </c:ser>
        <c:dLbls>
          <c:showLegendKey val="0"/>
          <c:showVal val="0"/>
          <c:showCatName val="0"/>
          <c:showSerName val="0"/>
          <c:showPercent val="0"/>
          <c:showBubbleSize val="0"/>
        </c:dLbls>
        <c:smooth val="0"/>
        <c:axId val="298337104"/>
        <c:axId val="298337496"/>
      </c:lineChart>
      <c:catAx>
        <c:axId val="2983371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7496"/>
        <c:crosses val="autoZero"/>
        <c:auto val="1"/>
        <c:lblAlgn val="ctr"/>
        <c:lblOffset val="100"/>
        <c:noMultiLvlLbl val="0"/>
      </c:catAx>
      <c:valAx>
        <c:axId val="298337496"/>
        <c:scaling>
          <c:orientation val="minMax"/>
          <c:min val="10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71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31019145101204"/>
          <c:y val="3.7871141777076373E-2"/>
          <c:w val="0.64487964662922503"/>
          <c:h val="0.90441424744008514"/>
        </c:manualLayout>
      </c:layout>
      <c:barChart>
        <c:barDir val="col"/>
        <c:grouping val="stacked"/>
        <c:varyColors val="0"/>
        <c:ser>
          <c:idx val="0"/>
          <c:order val="0"/>
          <c:tx>
            <c:strRef>
              <c:f>VMD!$A$6</c:f>
              <c:strCache>
                <c:ptCount val="1"/>
                <c:pt idx="0">
                  <c:v>Atlīdzība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VMD!$B$4:$E$4</c:f>
              <c:strCache>
                <c:ptCount val="4"/>
                <c:pt idx="0">
                  <c:v>2014</c:v>
                </c:pt>
                <c:pt idx="1">
                  <c:v>2015</c:v>
                </c:pt>
                <c:pt idx="2">
                  <c:v>2016</c:v>
                </c:pt>
                <c:pt idx="3">
                  <c:v>2017</c:v>
                </c:pt>
              </c:strCache>
            </c:strRef>
          </c:cat>
          <c:val>
            <c:numRef>
              <c:f>VMD!$B$6:$E$6</c:f>
              <c:numCache>
                <c:formatCode>#,##0</c:formatCode>
                <c:ptCount val="4"/>
                <c:pt idx="0">
                  <c:v>42528</c:v>
                </c:pt>
                <c:pt idx="1">
                  <c:v>42528</c:v>
                </c:pt>
                <c:pt idx="2">
                  <c:v>42528</c:v>
                </c:pt>
                <c:pt idx="3">
                  <c:v>42528</c:v>
                </c:pt>
              </c:numCache>
            </c:numRef>
          </c:val>
          <c:extLst>
            <c:ext xmlns:c16="http://schemas.microsoft.com/office/drawing/2014/chart" uri="{C3380CC4-5D6E-409C-BE32-E72D297353CC}">
              <c16:uniqueId val="{00000000-F8E5-42C7-B4B1-B50EA63C0239}"/>
            </c:ext>
          </c:extLst>
        </c:ser>
        <c:ser>
          <c:idx val="2"/>
          <c:order val="1"/>
          <c:tx>
            <c:strRef>
              <c:f>VMD!$A$9</c:f>
              <c:strCache>
                <c:ptCount val="1"/>
                <c:pt idx="0">
                  <c:v>Kapitālie izdevumi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VMD!$B$4:$E$4</c:f>
              <c:strCache>
                <c:ptCount val="4"/>
                <c:pt idx="0">
                  <c:v>2014</c:v>
                </c:pt>
                <c:pt idx="1">
                  <c:v>2015</c:v>
                </c:pt>
                <c:pt idx="2">
                  <c:v>2016</c:v>
                </c:pt>
                <c:pt idx="3">
                  <c:v>2017</c:v>
                </c:pt>
              </c:strCache>
            </c:strRef>
          </c:cat>
          <c:val>
            <c:numRef>
              <c:f>VMD!$B$9:$E$9</c:f>
              <c:numCache>
                <c:formatCode>#,##0</c:formatCode>
                <c:ptCount val="4"/>
                <c:pt idx="0">
                  <c:v>28458</c:v>
                </c:pt>
                <c:pt idx="1">
                  <c:v>28458</c:v>
                </c:pt>
                <c:pt idx="2">
                  <c:v>28458</c:v>
                </c:pt>
                <c:pt idx="3">
                  <c:v>28458</c:v>
                </c:pt>
              </c:numCache>
            </c:numRef>
          </c:val>
          <c:extLst>
            <c:ext xmlns:c16="http://schemas.microsoft.com/office/drawing/2014/chart" uri="{C3380CC4-5D6E-409C-BE32-E72D297353CC}">
              <c16:uniqueId val="{00000001-F8E5-42C7-B4B1-B50EA63C0239}"/>
            </c:ext>
          </c:extLst>
        </c:ser>
        <c:ser>
          <c:idx val="1"/>
          <c:order val="2"/>
          <c:tx>
            <c:strRef>
              <c:f>VMD!$A$8</c:f>
              <c:strCache>
                <c:ptCount val="1"/>
                <c:pt idx="0">
                  <c:v>Preces un pakalpojumi</c:v>
                </c:pt>
              </c:strCache>
            </c:strRef>
          </c:tx>
          <c:spPr>
            <a:solidFill>
              <a:schemeClr val="accent2"/>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VMD!$B$4:$E$4</c:f>
              <c:strCache>
                <c:ptCount val="4"/>
                <c:pt idx="0">
                  <c:v>2014</c:v>
                </c:pt>
                <c:pt idx="1">
                  <c:v>2015</c:v>
                </c:pt>
                <c:pt idx="2">
                  <c:v>2016</c:v>
                </c:pt>
                <c:pt idx="3">
                  <c:v>2017</c:v>
                </c:pt>
              </c:strCache>
            </c:strRef>
          </c:cat>
          <c:val>
            <c:numRef>
              <c:f>VMD!$B$8:$E$8</c:f>
              <c:numCache>
                <c:formatCode>#,##0</c:formatCode>
                <c:ptCount val="4"/>
                <c:pt idx="0">
                  <c:v>6161</c:v>
                </c:pt>
                <c:pt idx="1">
                  <c:v>6161</c:v>
                </c:pt>
                <c:pt idx="2">
                  <c:v>6161</c:v>
                </c:pt>
                <c:pt idx="3">
                  <c:v>6161</c:v>
                </c:pt>
              </c:numCache>
            </c:numRef>
          </c:val>
          <c:extLst>
            <c:ext xmlns:c16="http://schemas.microsoft.com/office/drawing/2014/chart" uri="{C3380CC4-5D6E-409C-BE32-E72D297353CC}">
              <c16:uniqueId val="{00000002-F8E5-42C7-B4B1-B50EA63C0239}"/>
            </c:ext>
          </c:extLst>
        </c:ser>
        <c:dLbls>
          <c:showLegendKey val="0"/>
          <c:showVal val="0"/>
          <c:showCatName val="0"/>
          <c:showSerName val="0"/>
          <c:showPercent val="0"/>
          <c:showBubbleSize val="0"/>
        </c:dLbls>
        <c:gapWidth val="100"/>
        <c:overlap val="100"/>
        <c:axId val="298338672"/>
        <c:axId val="298339064"/>
      </c:barChart>
      <c:lineChart>
        <c:grouping val="standard"/>
        <c:varyColors val="0"/>
        <c:ser>
          <c:idx val="4"/>
          <c:order val="4"/>
          <c:tx>
            <c:strRef>
              <c:f>VMD!$A$12</c:f>
              <c:strCache>
                <c:ptCount val="1"/>
                <c:pt idx="0">
                  <c:v>Izlietotais JPI finansējums atbilstoši plānotajam</c:v>
                </c:pt>
              </c:strCache>
            </c:strRef>
          </c:tx>
          <c:spPr>
            <a:ln w="28575" cap="rnd">
              <a:solidFill>
                <a:srgbClr val="C00000"/>
              </a:solidFill>
              <a:prstDash val="dash"/>
              <a:round/>
            </a:ln>
            <a:effectLst/>
          </c:spPr>
          <c:marker>
            <c:symbol val="none"/>
          </c:marker>
          <c:val>
            <c:numRef>
              <c:f>VMD!$B$12:$E$12</c:f>
              <c:numCache>
                <c:formatCode>#,##0</c:formatCode>
                <c:ptCount val="4"/>
                <c:pt idx="0">
                  <c:v>55883</c:v>
                </c:pt>
                <c:pt idx="1">
                  <c:v>27425</c:v>
                </c:pt>
                <c:pt idx="2">
                  <c:v>27425</c:v>
                </c:pt>
                <c:pt idx="3">
                  <c:v>27425</c:v>
                </c:pt>
              </c:numCache>
            </c:numRef>
          </c:val>
          <c:smooth val="0"/>
          <c:extLst>
            <c:ext xmlns:c16="http://schemas.microsoft.com/office/drawing/2014/chart" uri="{C3380CC4-5D6E-409C-BE32-E72D297353CC}">
              <c16:uniqueId val="{00000003-F8E5-42C7-B4B1-B50EA63C0239}"/>
            </c:ext>
          </c:extLst>
        </c:ser>
        <c:dLbls>
          <c:showLegendKey val="0"/>
          <c:showVal val="0"/>
          <c:showCatName val="0"/>
          <c:showSerName val="0"/>
          <c:showPercent val="0"/>
          <c:showBubbleSize val="0"/>
        </c:dLbls>
        <c:marker val="1"/>
        <c:smooth val="0"/>
        <c:axId val="298338672"/>
        <c:axId val="298339064"/>
        <c:extLst>
          <c:ext xmlns:c15="http://schemas.microsoft.com/office/drawing/2012/chart" uri="{02D57815-91ED-43cb-92C2-25804820EDAC}">
            <c15:filteredLineSeries>
              <c15:ser>
                <c:idx val="3"/>
                <c:order val="3"/>
                <c:tx>
                  <c:strRef>
                    <c:extLst>
                      <c:ext uri="{02D57815-91ED-43cb-92C2-25804820EDAC}">
                        <c15:formulaRef>
                          <c15:sqref>VMD!$A$11</c15:sqref>
                        </c15:formulaRef>
                      </c:ext>
                    </c:extLst>
                    <c:strCache>
                      <c:ptCount val="1"/>
                      <c:pt idx="0">
                        <c:v>Kopā piešķirtais JPI</c:v>
                      </c:pt>
                    </c:strCache>
                  </c:strRef>
                </c:tx>
                <c:spPr>
                  <a:ln w="28575" cap="rnd">
                    <a:solidFill>
                      <a:schemeClr val="accent4"/>
                    </a:solidFill>
                    <a:round/>
                  </a:ln>
                  <a:effectLst/>
                </c:spPr>
                <c:marker>
                  <c:symbol val="none"/>
                </c:marker>
                <c:val>
                  <c:numRef>
                    <c:extLst>
                      <c:ext uri="{02D57815-91ED-43cb-92C2-25804820EDAC}">
                        <c15:formulaRef>
                          <c15:sqref>VMD!$B$11:$E$11</c15:sqref>
                        </c15:formulaRef>
                      </c:ext>
                    </c:extLst>
                    <c:numCache>
                      <c:formatCode>#,##0</c:formatCode>
                      <c:ptCount val="4"/>
                      <c:pt idx="0">
                        <c:v>77147</c:v>
                      </c:pt>
                      <c:pt idx="1">
                        <c:v>77147</c:v>
                      </c:pt>
                      <c:pt idx="2">
                        <c:v>77147</c:v>
                      </c:pt>
                      <c:pt idx="3">
                        <c:v>77147</c:v>
                      </c:pt>
                    </c:numCache>
                  </c:numRef>
                </c:val>
                <c:smooth val="0"/>
                <c:extLst>
                  <c:ext xmlns:c16="http://schemas.microsoft.com/office/drawing/2014/chart" uri="{C3380CC4-5D6E-409C-BE32-E72D297353CC}">
                    <c16:uniqueId val="{00000004-F8E5-42C7-B4B1-B50EA63C0239}"/>
                  </c:ext>
                </c:extLst>
              </c15:ser>
            </c15:filteredLineSeries>
          </c:ext>
        </c:extLst>
      </c:lineChart>
      <c:catAx>
        <c:axId val="2983386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9064"/>
        <c:crosses val="autoZero"/>
        <c:auto val="1"/>
        <c:lblAlgn val="ctr"/>
        <c:lblOffset val="100"/>
        <c:noMultiLvlLbl val="0"/>
      </c:catAx>
      <c:valAx>
        <c:axId val="298339064"/>
        <c:scaling>
          <c:orientation val="minMax"/>
          <c:max val="8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98338672"/>
        <c:crosses val="autoZero"/>
        <c:crossBetween val="between"/>
      </c:valAx>
      <c:spPr>
        <a:noFill/>
        <a:ln>
          <a:noFill/>
        </a:ln>
        <a:effectLst/>
      </c:spPr>
    </c:plotArea>
    <c:legend>
      <c:legendPos val="l"/>
      <c:layout>
        <c:manualLayout>
          <c:xMode val="edge"/>
          <c:yMode val="edge"/>
          <c:x val="5.6460362084303174E-3"/>
          <c:y val="0.55433748425001406"/>
          <c:w val="0.26922182653865229"/>
          <c:h val="0.4346568750724792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730284049768232E-2"/>
          <c:y val="4.0339823735404151E-2"/>
          <c:w val="0.91273291298185832"/>
          <c:h val="0.77487615955418609"/>
        </c:manualLayout>
      </c:layout>
      <c:lineChart>
        <c:grouping val="stacked"/>
        <c:varyColors val="0"/>
        <c:ser>
          <c:idx val="0"/>
          <c:order val="0"/>
          <c:tx>
            <c:strRef>
              <c:f>Sheet1!$A$38</c:f>
              <c:strCache>
                <c:ptCount val="1"/>
                <c:pt idx="0">
                  <c:v>Regresa kārtībā atgūto līdzekļu īpatsvars, %</c:v>
                </c:pt>
              </c:strCache>
            </c:strRef>
          </c:tx>
          <c:spPr>
            <a:ln w="57150" cap="flat" cmpd="sng" algn="ctr">
              <a:solidFill>
                <a:schemeClr val="accent6"/>
              </a:solidFill>
              <a:prstDash val="solid"/>
              <a:miter lim="800000"/>
            </a:ln>
            <a:effectLst/>
          </c:spPr>
          <c:marker>
            <c:symbol val="circle"/>
            <c:size val="5"/>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57150" cap="flat" cmpd="sng" algn="ctr">
                <a:solidFill>
                  <a:schemeClr val="accent6"/>
                </a:solidFill>
                <a:prstDash val="solid"/>
                <a:miter lim="800000"/>
              </a:ln>
              <a:effectLst/>
            </c:spPr>
          </c:marker>
          <c:dLbls>
            <c:dLbl>
              <c:idx val="0"/>
              <c:layout>
                <c:manualLayout>
                  <c:x val="-1.4545453434849672E-2"/>
                  <c:y val="-4.0652674683453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D1-482D-9BED-CC01A58DFCB2}"/>
                </c:ext>
              </c:extLst>
            </c:dLbl>
            <c:dLbl>
              <c:idx val="1"/>
              <c:layout>
                <c:manualLayout>
                  <c:x val="-2.51904542287067E-2"/>
                  <c:y val="-7.38402504436888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D1-482D-9BED-CC01A58DFCB2}"/>
                </c:ext>
              </c:extLst>
            </c:dLbl>
            <c:dLbl>
              <c:idx val="2"/>
              <c:layout>
                <c:manualLayout>
                  <c:x val="-3.1999997556669241E-2"/>
                  <c:y val="-5.93006905932947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DD1-482D-9BED-CC01A58DFCB2}"/>
                </c:ext>
              </c:extLst>
            </c:dLbl>
            <c:dLbl>
              <c:idx val="3"/>
              <c:layout>
                <c:manualLayout>
                  <c:x val="-6.2918738406950947E-2"/>
                  <c:y val="-6.43266988292368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DD1-482D-9BED-CC01A58DFCB2}"/>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Sheet1!$B$37:$F$37</c:f>
              <c:strCache>
                <c:ptCount val="5"/>
                <c:pt idx="0">
                  <c:v>2013</c:v>
                </c:pt>
                <c:pt idx="1">
                  <c:v>2014</c:v>
                </c:pt>
                <c:pt idx="2">
                  <c:v>2015</c:v>
                </c:pt>
                <c:pt idx="3">
                  <c:v>2016</c:v>
                </c:pt>
                <c:pt idx="4">
                  <c:v>2017.g.I cet.</c:v>
                </c:pt>
              </c:strCache>
            </c:strRef>
          </c:cat>
          <c:val>
            <c:numRef>
              <c:f>Sheet1!$B$38:$F$38</c:f>
              <c:numCache>
                <c:formatCode>0.0</c:formatCode>
                <c:ptCount val="5"/>
                <c:pt idx="0">
                  <c:v>13.393604504321363</c:v>
                </c:pt>
                <c:pt idx="1">
                  <c:v>11.641117059187707</c:v>
                </c:pt>
                <c:pt idx="2">
                  <c:v>10.983953714126702</c:v>
                </c:pt>
                <c:pt idx="3">
                  <c:v>11.797236961924725</c:v>
                </c:pt>
                <c:pt idx="4">
                  <c:v>13.057784820954923</c:v>
                </c:pt>
              </c:numCache>
            </c:numRef>
          </c:val>
          <c:smooth val="0"/>
          <c:extLst>
            <c:ext xmlns:c16="http://schemas.microsoft.com/office/drawing/2014/chart" uri="{C3380CC4-5D6E-409C-BE32-E72D297353CC}">
              <c16:uniqueId val="{00000004-0DD1-482D-9BED-CC01A58DFCB2}"/>
            </c:ext>
          </c:extLst>
        </c:ser>
        <c:dLbls>
          <c:showLegendKey val="0"/>
          <c:showVal val="0"/>
          <c:showCatName val="0"/>
          <c:showSerName val="0"/>
          <c:showPercent val="0"/>
          <c:showBubbleSize val="0"/>
        </c:dLbls>
        <c:marker val="1"/>
        <c:smooth val="0"/>
        <c:axId val="300085400"/>
        <c:axId val="300086184"/>
      </c:lineChart>
      <c:catAx>
        <c:axId val="300085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86184"/>
        <c:crosses val="autoZero"/>
        <c:auto val="1"/>
        <c:lblAlgn val="ctr"/>
        <c:lblOffset val="100"/>
        <c:noMultiLvlLbl val="0"/>
      </c:catAx>
      <c:valAx>
        <c:axId val="300086184"/>
        <c:scaling>
          <c:orientation val="minMax"/>
          <c:min val="1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85400"/>
        <c:crosses val="autoZero"/>
        <c:crossBetween val="between"/>
      </c:valAx>
      <c:spPr>
        <a:noFill/>
        <a:ln>
          <a:noFill/>
        </a:ln>
        <a:effectLst/>
      </c:spPr>
    </c:plotArea>
    <c:legend>
      <c:legendPos val="b"/>
      <c:layout>
        <c:manualLayout>
          <c:xMode val="edge"/>
          <c:yMode val="edge"/>
          <c:x val="0.22514248299125073"/>
          <c:y val="0.90838953991221527"/>
          <c:w val="0.55826552837372456"/>
          <c:h val="8.2475954492900086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nauda!$C$4</c:f>
              <c:strCache>
                <c:ptCount val="1"/>
                <c:pt idx="0">
                  <c:v>Piešķirtais finansējums</c:v>
                </c:pt>
              </c:strCache>
            </c:strRef>
          </c:tx>
          <c:spPr>
            <a:gradFill rotWithShape="1">
              <a:gsLst>
                <a:gs pos="0">
                  <a:srgbClr val="70AD47">
                    <a:shade val="51000"/>
                    <a:satMod val="130000"/>
                  </a:srgbClr>
                </a:gs>
                <a:gs pos="80000">
                  <a:srgbClr val="70AD47">
                    <a:shade val="93000"/>
                    <a:satMod val="130000"/>
                  </a:srgbClr>
                </a:gs>
                <a:gs pos="100000">
                  <a:srgbClr val="70AD47">
                    <a:shade val="94000"/>
                    <a:satMod val="135000"/>
                  </a:srgbClr>
                </a:gs>
              </a:gsLst>
              <a:lin ang="16200000" scaled="0"/>
            </a:gradFill>
            <a:ln w="9525" cap="flat" cmpd="sng" algn="ctr">
              <a:solidFill>
                <a:srgbClr val="70AD47">
                  <a:shade val="95000"/>
                  <a:satMod val="105000"/>
                </a:srgb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nauda!$B$5:$B$7</c:f>
              <c:strCache>
                <c:ptCount val="3"/>
                <c:pt idx="0">
                  <c:v>2014.gads</c:v>
                </c:pt>
                <c:pt idx="1">
                  <c:v>2015.gads</c:v>
                </c:pt>
                <c:pt idx="2">
                  <c:v>2016.gads</c:v>
                </c:pt>
              </c:strCache>
            </c:strRef>
          </c:cat>
          <c:val>
            <c:numRef>
              <c:f>nauda!$C$5:$C$7</c:f>
              <c:numCache>
                <c:formatCode>#,##0</c:formatCode>
                <c:ptCount val="3"/>
                <c:pt idx="0">
                  <c:v>2096963</c:v>
                </c:pt>
                <c:pt idx="1">
                  <c:v>2115745</c:v>
                </c:pt>
                <c:pt idx="2">
                  <c:v>2827180.835624157</c:v>
                </c:pt>
              </c:numCache>
            </c:numRef>
          </c:val>
          <c:extLst>
            <c:ext xmlns:c16="http://schemas.microsoft.com/office/drawing/2014/chart" uri="{C3380CC4-5D6E-409C-BE32-E72D297353CC}">
              <c16:uniqueId val="{00000000-0538-4828-8BF1-619A4794A9DD}"/>
            </c:ext>
          </c:extLst>
        </c:ser>
        <c:ser>
          <c:idx val="1"/>
          <c:order val="1"/>
          <c:tx>
            <c:strRef>
              <c:f>nauda!$D$4</c:f>
              <c:strCache>
                <c:ptCount val="1"/>
                <c:pt idx="0">
                  <c:v>Izpilde</c:v>
                </c:pt>
              </c:strCache>
            </c:strRef>
          </c:tx>
          <c:spPr>
            <a:gradFill rotWithShape="1">
              <a:gsLst>
                <a:gs pos="0">
                  <a:srgbClr val="ED7D31">
                    <a:shade val="51000"/>
                    <a:satMod val="130000"/>
                  </a:srgbClr>
                </a:gs>
                <a:gs pos="80000">
                  <a:srgbClr val="ED7D31">
                    <a:shade val="93000"/>
                    <a:satMod val="130000"/>
                  </a:srgbClr>
                </a:gs>
                <a:gs pos="100000">
                  <a:srgbClr val="ED7D31">
                    <a:shade val="94000"/>
                    <a:satMod val="135000"/>
                  </a:srgbClr>
                </a:gs>
              </a:gsLst>
              <a:lin ang="16200000" scaled="0"/>
            </a:gradFill>
            <a:ln w="9525" cap="flat" cmpd="sng" algn="ctr">
              <a:solidFill>
                <a:srgbClr val="ED7D31">
                  <a:shade val="95000"/>
                  <a:satMod val="105000"/>
                </a:srgb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nauda!$B$5:$B$7</c:f>
              <c:strCache>
                <c:ptCount val="3"/>
                <c:pt idx="0">
                  <c:v>2014.gads</c:v>
                </c:pt>
                <c:pt idx="1">
                  <c:v>2015.gads</c:v>
                </c:pt>
                <c:pt idx="2">
                  <c:v>2016.gads</c:v>
                </c:pt>
              </c:strCache>
            </c:strRef>
          </c:cat>
          <c:val>
            <c:numRef>
              <c:f>nauda!$D$5:$D$7</c:f>
              <c:numCache>
                <c:formatCode>#,##0</c:formatCode>
                <c:ptCount val="3"/>
                <c:pt idx="0">
                  <c:v>1969854</c:v>
                </c:pt>
                <c:pt idx="1">
                  <c:v>1576196</c:v>
                </c:pt>
                <c:pt idx="2">
                  <c:v>2668578.835624157</c:v>
                </c:pt>
              </c:numCache>
            </c:numRef>
          </c:val>
          <c:extLst>
            <c:ext xmlns:c16="http://schemas.microsoft.com/office/drawing/2014/chart" uri="{C3380CC4-5D6E-409C-BE32-E72D297353CC}">
              <c16:uniqueId val="{00000001-0538-4828-8BF1-619A4794A9DD}"/>
            </c:ext>
          </c:extLst>
        </c:ser>
        <c:dLbls>
          <c:showLegendKey val="0"/>
          <c:showVal val="0"/>
          <c:showCatName val="0"/>
          <c:showSerName val="0"/>
          <c:showPercent val="0"/>
          <c:showBubbleSize val="0"/>
        </c:dLbls>
        <c:gapWidth val="75"/>
        <c:overlap val="-25"/>
        <c:axId val="300086968"/>
        <c:axId val="300087360"/>
      </c:barChart>
      <c:catAx>
        <c:axId val="300086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87360"/>
        <c:crosses val="autoZero"/>
        <c:auto val="1"/>
        <c:lblAlgn val="ctr"/>
        <c:lblOffset val="100"/>
        <c:noMultiLvlLbl val="0"/>
      </c:catAx>
      <c:valAx>
        <c:axId val="300087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86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236483051845973E-2"/>
          <c:y val="8.4982636115524299E-2"/>
          <c:w val="0.59125189267005207"/>
          <c:h val="0.86222979126592258"/>
        </c:manualLayout>
      </c:layout>
      <c:barChart>
        <c:barDir val="col"/>
        <c:grouping val="stacked"/>
        <c:varyColors val="0"/>
        <c:ser>
          <c:idx val="0"/>
          <c:order val="0"/>
          <c:tx>
            <c:strRef>
              <c:f>Sheet4!$J$3</c:f>
              <c:strCache>
                <c:ptCount val="1"/>
                <c:pt idx="0">
                  <c:v>Ūdensapgādes un laistīšanas sistēmu izbūves 2.kārta </c:v>
                </c:pt>
              </c:strCache>
            </c:strRef>
          </c:tx>
          <c:spPr>
            <a:solidFill>
              <a:srgbClr val="5B9BD5">
                <a:lumMod val="75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Sheet4!$J$4:$J$6</c:f>
              <c:numCache>
                <c:formatCode>#,##0</c:formatCode>
                <c:ptCount val="3"/>
                <c:pt idx="0">
                  <c:v>84013</c:v>
                </c:pt>
                <c:pt idx="1">
                  <c:v>84013</c:v>
                </c:pt>
                <c:pt idx="2">
                  <c:v>84013</c:v>
                </c:pt>
              </c:numCache>
            </c:numRef>
          </c:val>
          <c:extLst>
            <c:ext xmlns:c16="http://schemas.microsoft.com/office/drawing/2014/chart" uri="{C3380CC4-5D6E-409C-BE32-E72D297353CC}">
              <c16:uniqueId val="{00000000-ECD8-41B9-B921-BCCAC1A48A05}"/>
            </c:ext>
          </c:extLst>
        </c:ser>
        <c:ser>
          <c:idx val="1"/>
          <c:order val="1"/>
          <c:tx>
            <c:strRef>
              <c:f>Sheet4!$K$3</c:f>
              <c:strCache>
                <c:ptCount val="1"/>
                <c:pt idx="0">
                  <c:v>Informācijas, sporta un atpūtas infrastruktūras rekonstrukcija un ierīkošana</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Sheet4!$K$4:$K$6</c:f>
              <c:numCache>
                <c:formatCode>#,##0</c:formatCode>
                <c:ptCount val="3"/>
                <c:pt idx="0">
                  <c:v>37200</c:v>
                </c:pt>
                <c:pt idx="1">
                  <c:v>37200</c:v>
                </c:pt>
                <c:pt idx="2">
                  <c:v>37200</c:v>
                </c:pt>
              </c:numCache>
            </c:numRef>
          </c:val>
          <c:extLst>
            <c:ext xmlns:c16="http://schemas.microsoft.com/office/drawing/2014/chart" uri="{C3380CC4-5D6E-409C-BE32-E72D297353CC}">
              <c16:uniqueId val="{00000001-ECD8-41B9-B921-BCCAC1A48A05}"/>
            </c:ext>
          </c:extLst>
        </c:ser>
        <c:ser>
          <c:idx val="2"/>
          <c:order val="2"/>
          <c:tx>
            <c:strRef>
              <c:f>Sheet4!$L$3</c:f>
              <c:strCache>
                <c:ptCount val="1"/>
                <c:pt idx="0">
                  <c:v>Etnobotāniskās ekspozīcijas izveide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Sheet4!$L$4:$L$6</c:f>
              <c:numCache>
                <c:formatCode>#,##0</c:formatCode>
                <c:ptCount val="3"/>
                <c:pt idx="0">
                  <c:v>23980</c:v>
                </c:pt>
                <c:pt idx="1">
                  <c:v>23980</c:v>
                </c:pt>
                <c:pt idx="2">
                  <c:v>23980</c:v>
                </c:pt>
              </c:numCache>
            </c:numRef>
          </c:val>
          <c:extLst>
            <c:ext xmlns:c16="http://schemas.microsoft.com/office/drawing/2014/chart" uri="{C3380CC4-5D6E-409C-BE32-E72D297353CC}">
              <c16:uniqueId val="{00000002-ECD8-41B9-B921-BCCAC1A48A05}"/>
            </c:ext>
          </c:extLst>
        </c:ser>
        <c:ser>
          <c:idx val="3"/>
          <c:order val="3"/>
          <c:tx>
            <c:strRef>
              <c:f>Sheet4!$M$3</c:f>
              <c:strCache>
                <c:ptCount val="1"/>
                <c:pt idx="0">
                  <c:v>Iežu un minerālu brīvdabas ekspozīcijas izveidošana, uzturēšana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Sheet4!$M$4:$M$6</c:f>
              <c:numCache>
                <c:formatCode>#,##0</c:formatCode>
                <c:ptCount val="3"/>
                <c:pt idx="0">
                  <c:v>6450</c:v>
                </c:pt>
                <c:pt idx="1">
                  <c:v>6450</c:v>
                </c:pt>
                <c:pt idx="2">
                  <c:v>6450</c:v>
                </c:pt>
              </c:numCache>
            </c:numRef>
          </c:val>
          <c:extLst>
            <c:ext xmlns:c16="http://schemas.microsoft.com/office/drawing/2014/chart" uri="{C3380CC4-5D6E-409C-BE32-E72D297353CC}">
              <c16:uniqueId val="{00000003-ECD8-41B9-B921-BCCAC1A48A05}"/>
            </c:ext>
          </c:extLst>
        </c:ser>
        <c:ser>
          <c:idx val="4"/>
          <c:order val="4"/>
          <c:tx>
            <c:strRef>
              <c:f>Sheet4!$N$3</c:f>
              <c:strCache>
                <c:ptCount val="1"/>
                <c:pt idx="0">
                  <c:v>Ziemciešu kolekciju ekspozīcijas uzturēšanai un pieejamības nodrošināšanai saskaņā ar izstrādāto projektu</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Sheet4!$N$4:$N$6</c:f>
              <c:numCache>
                <c:formatCode>#,##0</c:formatCode>
                <c:ptCount val="3"/>
                <c:pt idx="0">
                  <c:v>30800</c:v>
                </c:pt>
                <c:pt idx="1">
                  <c:v>30800</c:v>
                </c:pt>
                <c:pt idx="2">
                  <c:v>30800</c:v>
                </c:pt>
              </c:numCache>
            </c:numRef>
          </c:val>
          <c:extLst>
            <c:ext xmlns:c16="http://schemas.microsoft.com/office/drawing/2014/chart" uri="{C3380CC4-5D6E-409C-BE32-E72D297353CC}">
              <c16:uniqueId val="{00000004-ECD8-41B9-B921-BCCAC1A48A05}"/>
            </c:ext>
          </c:extLst>
        </c:ser>
        <c:ser>
          <c:idx val="5"/>
          <c:order val="5"/>
          <c:tx>
            <c:strRef>
              <c:f>Sheet4!$O$3</c:f>
              <c:strCache>
                <c:ptCount val="1"/>
                <c:pt idx="0">
                  <c:v> Materiālu iegāde etnobotāniskās ekspozīcijas izveidei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Sheet4!$O$4:$O$6</c:f>
              <c:numCache>
                <c:formatCode>#,##0</c:formatCode>
                <c:ptCount val="3"/>
                <c:pt idx="0">
                  <c:v>12500</c:v>
                </c:pt>
                <c:pt idx="1">
                  <c:v>12500</c:v>
                </c:pt>
                <c:pt idx="2">
                  <c:v>12500</c:v>
                </c:pt>
              </c:numCache>
            </c:numRef>
          </c:val>
          <c:extLst>
            <c:ext xmlns:c16="http://schemas.microsoft.com/office/drawing/2014/chart" uri="{C3380CC4-5D6E-409C-BE32-E72D297353CC}">
              <c16:uniqueId val="{00000005-ECD8-41B9-B921-BCCAC1A48A05}"/>
            </c:ext>
          </c:extLst>
        </c:ser>
        <c:ser>
          <c:idx val="6"/>
          <c:order val="6"/>
          <c:tx>
            <c:strRef>
              <c:f>Sheet4!$P$3</c:f>
              <c:strCache>
                <c:ptCount val="1"/>
                <c:pt idx="0">
                  <c:v>Iežu un minerālu brīvdabas ekspozīcijas izveidošana, uzturēšanai materiālu iegāde</c:v>
                </c:pt>
              </c:strCache>
            </c:strRef>
          </c:tx>
          <c:spPr>
            <a:solidFill>
              <a:schemeClr val="tx2">
                <a:lumMod val="60000"/>
                <a:lumOff val="40000"/>
              </a:schemeClr>
            </a:solidFill>
            <a:ln>
              <a:noFill/>
            </a:ln>
            <a:effectLst/>
          </c:spPr>
          <c:invertIfNegative val="0"/>
          <c:dLbls>
            <c:dLbl>
              <c:idx val="1"/>
              <c:layout>
                <c:manualLayout>
                  <c:x val="-3.9190084539437346E-17"/>
                  <c:y val="-4.5083294104386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CD8-41B9-B921-BCCAC1A48A05}"/>
                </c:ext>
              </c:extLst>
            </c:dLbl>
            <c:dLbl>
              <c:idx val="2"/>
              <c:layout>
                <c:manualLayout>
                  <c:x val="6.412997007267985E-3"/>
                  <c:y val="-4.50832941043865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CD8-41B9-B921-BCCAC1A48A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Sheet4!$P$4:$P$6</c:f>
              <c:numCache>
                <c:formatCode>#,##0</c:formatCode>
                <c:ptCount val="3"/>
                <c:pt idx="0">
                  <c:v>5204</c:v>
                </c:pt>
                <c:pt idx="1">
                  <c:v>5204</c:v>
                </c:pt>
                <c:pt idx="2">
                  <c:v>5204</c:v>
                </c:pt>
              </c:numCache>
            </c:numRef>
          </c:val>
          <c:extLst>
            <c:ext xmlns:c16="http://schemas.microsoft.com/office/drawing/2014/chart" uri="{C3380CC4-5D6E-409C-BE32-E72D297353CC}">
              <c16:uniqueId val="{00000008-ECD8-41B9-B921-BCCAC1A48A05}"/>
            </c:ext>
          </c:extLst>
        </c:ser>
        <c:ser>
          <c:idx val="7"/>
          <c:order val="7"/>
          <c:tx>
            <c:strRef>
              <c:f>Sheet4!$Q$3</c:f>
              <c:strCache>
                <c:ptCount val="1"/>
                <c:pt idx="0">
                  <c:v>Ziņojuma sagatavošana par jūras plānojuma īstenošanas gaitu</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Sheet4!$I$4:$I$6</c:f>
              <c:numCache>
                <c:formatCode>General</c:formatCode>
                <c:ptCount val="3"/>
                <c:pt idx="0">
                  <c:v>2018</c:v>
                </c:pt>
                <c:pt idx="1">
                  <c:v>2019</c:v>
                </c:pt>
                <c:pt idx="2">
                  <c:v>2020</c:v>
                </c:pt>
              </c:numCache>
            </c:numRef>
          </c:cat>
          <c:val>
            <c:numRef>
              <c:f>Sheet4!$Q$4:$Q$6</c:f>
              <c:numCache>
                <c:formatCode>#,##0</c:formatCode>
                <c:ptCount val="3"/>
                <c:pt idx="0">
                  <c:v>39045</c:v>
                </c:pt>
                <c:pt idx="1">
                  <c:v>39045</c:v>
                </c:pt>
                <c:pt idx="2">
                  <c:v>39045</c:v>
                </c:pt>
              </c:numCache>
            </c:numRef>
          </c:val>
          <c:extLst>
            <c:ext xmlns:c16="http://schemas.microsoft.com/office/drawing/2014/chart" uri="{C3380CC4-5D6E-409C-BE32-E72D297353CC}">
              <c16:uniqueId val="{00000009-ECD8-41B9-B921-BCCAC1A48A05}"/>
            </c:ext>
          </c:extLst>
        </c:ser>
        <c:dLbls>
          <c:dLblPos val="ctr"/>
          <c:showLegendKey val="0"/>
          <c:showVal val="1"/>
          <c:showCatName val="0"/>
          <c:showSerName val="0"/>
          <c:showPercent val="0"/>
          <c:showBubbleSize val="0"/>
        </c:dLbls>
        <c:gapWidth val="140"/>
        <c:overlap val="100"/>
        <c:axId val="300088144"/>
        <c:axId val="300088536"/>
      </c:barChart>
      <c:catAx>
        <c:axId val="300088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00088536"/>
        <c:crosses val="autoZero"/>
        <c:auto val="1"/>
        <c:lblAlgn val="ctr"/>
        <c:lblOffset val="100"/>
        <c:noMultiLvlLbl val="0"/>
      </c:catAx>
      <c:valAx>
        <c:axId val="300088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00088144"/>
        <c:crosses val="autoZero"/>
        <c:crossBetween val="between"/>
      </c:valAx>
      <c:spPr>
        <a:noFill/>
        <a:ln>
          <a:noFill/>
        </a:ln>
        <a:effectLst/>
      </c:spPr>
    </c:plotArea>
    <c:legend>
      <c:legendPos val="r"/>
      <c:layout>
        <c:manualLayout>
          <c:xMode val="edge"/>
          <c:yMode val="edge"/>
          <c:x val="0.78351725113026971"/>
          <c:y val="8.9002614990352311E-3"/>
          <c:w val="0.21648274886973032"/>
          <c:h val="0.987413967204671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Sheet1!$M$18</c:f>
              <c:strCache>
                <c:ptCount val="1"/>
                <c:pt idx="0">
                  <c:v>VVD Reģionālo vides pārvalžu ēku neatliekamiem remontiem.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Sheet1!$M$19:$M$21</c:f>
              <c:numCache>
                <c:formatCode>#,##0</c:formatCode>
                <c:ptCount val="3"/>
                <c:pt idx="0">
                  <c:v>165057</c:v>
                </c:pt>
                <c:pt idx="1">
                  <c:v>165057</c:v>
                </c:pt>
                <c:pt idx="2">
                  <c:v>165057</c:v>
                </c:pt>
              </c:numCache>
            </c:numRef>
          </c:val>
          <c:extLst>
            <c:ext xmlns:c16="http://schemas.microsoft.com/office/drawing/2014/chart" uri="{C3380CC4-5D6E-409C-BE32-E72D297353CC}">
              <c16:uniqueId val="{00000000-69B8-4D54-A43E-9F0D67A3E37F}"/>
            </c:ext>
          </c:extLst>
        </c:ser>
        <c:ser>
          <c:idx val="1"/>
          <c:order val="1"/>
          <c:tx>
            <c:strRef>
              <c:f>Sheet1!$N$18</c:f>
              <c:strCache>
                <c:ptCount val="1"/>
                <c:pt idx="0">
                  <c:v> Kuģa piestātnes Voleros uzturēšana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Sheet1!$N$19:$N$21</c:f>
              <c:numCache>
                <c:formatCode>#,##0</c:formatCode>
                <c:ptCount val="3"/>
                <c:pt idx="0">
                  <c:v>49092</c:v>
                </c:pt>
                <c:pt idx="1">
                  <c:v>49092</c:v>
                </c:pt>
                <c:pt idx="2">
                  <c:v>49092</c:v>
                </c:pt>
              </c:numCache>
            </c:numRef>
          </c:val>
          <c:extLst>
            <c:ext xmlns:c16="http://schemas.microsoft.com/office/drawing/2014/chart" uri="{C3380CC4-5D6E-409C-BE32-E72D297353CC}">
              <c16:uniqueId val="{00000001-69B8-4D54-A43E-9F0D67A3E37F}"/>
            </c:ext>
          </c:extLst>
        </c:ser>
        <c:ser>
          <c:idx val="2"/>
          <c:order val="2"/>
          <c:tx>
            <c:strRef>
              <c:f>Sheet1!$O$18</c:f>
              <c:strCache>
                <c:ptCount val="1"/>
                <c:pt idx="0">
                  <c:v>DAP un LDM darbinieku atlīdzības sistēmas sakārtošanai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Sheet1!$O$19:$O$21</c:f>
              <c:numCache>
                <c:formatCode>#,##0</c:formatCode>
                <c:ptCount val="3"/>
                <c:pt idx="0">
                  <c:v>349069</c:v>
                </c:pt>
                <c:pt idx="1">
                  <c:v>349069</c:v>
                </c:pt>
                <c:pt idx="2">
                  <c:v>349069</c:v>
                </c:pt>
              </c:numCache>
            </c:numRef>
          </c:val>
          <c:extLst>
            <c:ext xmlns:c16="http://schemas.microsoft.com/office/drawing/2014/chart" uri="{C3380CC4-5D6E-409C-BE32-E72D297353CC}">
              <c16:uniqueId val="{00000002-69B8-4D54-A43E-9F0D67A3E37F}"/>
            </c:ext>
          </c:extLst>
        </c:ser>
        <c:ser>
          <c:idx val="3"/>
          <c:order val="3"/>
          <c:tx>
            <c:strRef>
              <c:f>Sheet1!$P$18</c:f>
              <c:strCache>
                <c:ptCount val="1"/>
                <c:pt idx="0">
                  <c:v> LDM izkārtnes uzturēšana </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Sheet1!$P$19:$P$21</c:f>
              <c:numCache>
                <c:formatCode>#,##0</c:formatCode>
                <c:ptCount val="3"/>
                <c:pt idx="0">
                  <c:v>4000</c:v>
                </c:pt>
                <c:pt idx="1">
                  <c:v>4000</c:v>
                </c:pt>
                <c:pt idx="2">
                  <c:v>4000</c:v>
                </c:pt>
              </c:numCache>
            </c:numRef>
          </c:val>
          <c:extLst>
            <c:ext xmlns:c16="http://schemas.microsoft.com/office/drawing/2014/chart" uri="{C3380CC4-5D6E-409C-BE32-E72D297353CC}">
              <c16:uniqueId val="{00000003-69B8-4D54-A43E-9F0D67A3E37F}"/>
            </c:ext>
          </c:extLst>
        </c:ser>
        <c:ser>
          <c:idx val="4"/>
          <c:order val="4"/>
          <c:tx>
            <c:strRef>
              <c:f>Sheet1!$Q$18</c:f>
              <c:strCache>
                <c:ptCount val="1"/>
                <c:pt idx="0">
                  <c:v>Meža ceļa "MPS" rekonstrukcija</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Sheet1!$Q$19:$Q$21</c:f>
              <c:numCache>
                <c:formatCode>#,##0</c:formatCode>
                <c:ptCount val="3"/>
                <c:pt idx="0">
                  <c:v>81053</c:v>
                </c:pt>
                <c:pt idx="1">
                  <c:v>81053</c:v>
                </c:pt>
                <c:pt idx="2">
                  <c:v>81053</c:v>
                </c:pt>
              </c:numCache>
            </c:numRef>
          </c:val>
          <c:extLst>
            <c:ext xmlns:c16="http://schemas.microsoft.com/office/drawing/2014/chart" uri="{C3380CC4-5D6E-409C-BE32-E72D297353CC}">
              <c16:uniqueId val="{00000004-69B8-4D54-A43E-9F0D67A3E37F}"/>
            </c:ext>
          </c:extLst>
        </c:ser>
        <c:ser>
          <c:idx val="5"/>
          <c:order val="5"/>
          <c:tx>
            <c:strRef>
              <c:f>Sheet1!$R$18</c:f>
              <c:strCache>
                <c:ptCount val="1"/>
                <c:pt idx="0">
                  <c:v>Biroja un izglītojoši informatīvā centra "Meža māja" remontdarbi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Sheet1!$R$19:$R$21</c:f>
              <c:numCache>
                <c:formatCode>#,##0</c:formatCode>
                <c:ptCount val="3"/>
                <c:pt idx="0">
                  <c:v>9290</c:v>
                </c:pt>
                <c:pt idx="1">
                  <c:v>9290</c:v>
                </c:pt>
                <c:pt idx="2">
                  <c:v>9290</c:v>
                </c:pt>
              </c:numCache>
            </c:numRef>
          </c:val>
          <c:extLst>
            <c:ext xmlns:c16="http://schemas.microsoft.com/office/drawing/2014/chart" uri="{C3380CC4-5D6E-409C-BE32-E72D297353CC}">
              <c16:uniqueId val="{00000005-69B8-4D54-A43E-9F0D67A3E37F}"/>
            </c:ext>
          </c:extLst>
        </c:ser>
        <c:ser>
          <c:idx val="6"/>
          <c:order val="6"/>
          <c:tx>
            <c:strRef>
              <c:f>Sheet1!$S$18</c:f>
              <c:strCache>
                <c:ptCount val="1"/>
                <c:pt idx="0">
                  <c:v>Ekspozīciju saturiska un fiziska atjaunošana</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Sheet1!$S$19:$S$21</c:f>
              <c:numCache>
                <c:formatCode>#,##0</c:formatCode>
                <c:ptCount val="3"/>
                <c:pt idx="0">
                  <c:v>25000</c:v>
                </c:pt>
                <c:pt idx="1">
                  <c:v>25000</c:v>
                </c:pt>
                <c:pt idx="2">
                  <c:v>25000</c:v>
                </c:pt>
              </c:numCache>
            </c:numRef>
          </c:val>
          <c:extLst>
            <c:ext xmlns:c16="http://schemas.microsoft.com/office/drawing/2014/chart" uri="{C3380CC4-5D6E-409C-BE32-E72D297353CC}">
              <c16:uniqueId val="{00000006-69B8-4D54-A43E-9F0D67A3E37F}"/>
            </c:ext>
          </c:extLst>
        </c:ser>
        <c:ser>
          <c:idx val="7"/>
          <c:order val="7"/>
          <c:tx>
            <c:strRef>
              <c:f>Sheet1!$T$18</c:f>
              <c:strCache>
                <c:ptCount val="1"/>
                <c:pt idx="0">
                  <c:v>Kapitāliegādes, kas saistītas ar krājumu uzglabāšanu 
</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Sheet1!$L$19:$L$21</c:f>
              <c:numCache>
                <c:formatCode>0</c:formatCode>
                <c:ptCount val="3"/>
                <c:pt idx="0">
                  <c:v>2018</c:v>
                </c:pt>
                <c:pt idx="1">
                  <c:v>2019</c:v>
                </c:pt>
                <c:pt idx="2">
                  <c:v>2020</c:v>
                </c:pt>
              </c:numCache>
            </c:numRef>
          </c:cat>
          <c:val>
            <c:numRef>
              <c:f>Sheet1!$T$19:$T$21</c:f>
              <c:numCache>
                <c:formatCode>#,##0</c:formatCode>
                <c:ptCount val="3"/>
                <c:pt idx="0">
                  <c:v>16566</c:v>
                </c:pt>
                <c:pt idx="1">
                  <c:v>16566</c:v>
                </c:pt>
                <c:pt idx="2">
                  <c:v>16566</c:v>
                </c:pt>
              </c:numCache>
            </c:numRef>
          </c:val>
          <c:extLst>
            <c:ext xmlns:c16="http://schemas.microsoft.com/office/drawing/2014/chart" uri="{C3380CC4-5D6E-409C-BE32-E72D297353CC}">
              <c16:uniqueId val="{00000007-69B8-4D54-A43E-9F0D67A3E37F}"/>
            </c:ext>
          </c:extLst>
        </c:ser>
        <c:dLbls>
          <c:dLblPos val="ctr"/>
          <c:showLegendKey val="0"/>
          <c:showVal val="1"/>
          <c:showCatName val="0"/>
          <c:showSerName val="0"/>
          <c:showPercent val="0"/>
          <c:showBubbleSize val="0"/>
        </c:dLbls>
        <c:gapWidth val="219"/>
        <c:overlap val="100"/>
        <c:axId val="300089320"/>
        <c:axId val="300089712"/>
      </c:barChart>
      <c:catAx>
        <c:axId val="300089320"/>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89712"/>
        <c:crosses val="autoZero"/>
        <c:auto val="1"/>
        <c:lblAlgn val="ctr"/>
        <c:lblOffset val="100"/>
        <c:noMultiLvlLbl val="0"/>
      </c:catAx>
      <c:valAx>
        <c:axId val="300089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89320"/>
        <c:crosses val="autoZero"/>
        <c:crossBetween val="between"/>
      </c:valAx>
      <c:spPr>
        <a:noFill/>
        <a:ln>
          <a:noFill/>
        </a:ln>
        <a:effectLst/>
      </c:spPr>
    </c:plotArea>
    <c:legend>
      <c:legendPos val="r"/>
      <c:layout>
        <c:manualLayout>
          <c:xMode val="edge"/>
          <c:yMode val="edge"/>
          <c:x val="0.77053842243640025"/>
          <c:y val="1.4967071360844289E-2"/>
          <c:w val="0.22126543137173282"/>
          <c:h val="0.9550021643237003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473883170050376E-2"/>
          <c:y val="0.1263625855058273"/>
          <c:w val="0.91552611682994967"/>
          <c:h val="0.74025974732433075"/>
        </c:manualLayout>
      </c:layout>
      <c:barChart>
        <c:barDir val="col"/>
        <c:grouping val="clustered"/>
        <c:varyColors val="0"/>
        <c:ser>
          <c:idx val="0"/>
          <c:order val="0"/>
          <c:tx>
            <c:strRef>
              <c:f>publisk!$D$5</c:f>
              <c:strCache>
                <c:ptCount val="1"/>
                <c:pt idx="0">
                  <c:v>Piešķirtais finansējums</c:v>
                </c:pt>
              </c:strCache>
            </c:strRef>
          </c:tx>
          <c:spPr>
            <a:gradFill rotWithShape="1">
              <a:gsLst>
                <a:gs pos="0">
                  <a:srgbClr val="70AD47">
                    <a:shade val="51000"/>
                    <a:satMod val="130000"/>
                  </a:srgbClr>
                </a:gs>
                <a:gs pos="80000">
                  <a:srgbClr val="70AD47">
                    <a:shade val="93000"/>
                    <a:satMod val="130000"/>
                  </a:srgbClr>
                </a:gs>
                <a:gs pos="100000">
                  <a:srgbClr val="70AD47">
                    <a:shade val="94000"/>
                    <a:satMod val="135000"/>
                  </a:srgbClr>
                </a:gs>
              </a:gsLst>
              <a:lin ang="16200000" scaled="0"/>
            </a:gradFill>
            <a:ln w="9525" cap="flat" cmpd="sng" algn="ctr">
              <a:solidFill>
                <a:srgbClr val="70AD47">
                  <a:shade val="95000"/>
                  <a:satMod val="105000"/>
                </a:srgb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publisk!$C$6:$C$8</c:f>
              <c:strCache>
                <c:ptCount val="3"/>
                <c:pt idx="0">
                  <c:v>2015.gads</c:v>
                </c:pt>
                <c:pt idx="1">
                  <c:v>2016.gads</c:v>
                </c:pt>
                <c:pt idx="2">
                  <c:v>2017.gads</c:v>
                </c:pt>
              </c:strCache>
            </c:strRef>
          </c:cat>
          <c:val>
            <c:numRef>
              <c:f>publisk!$D$6:$D$8</c:f>
              <c:numCache>
                <c:formatCode>#,##0</c:formatCode>
                <c:ptCount val="3"/>
                <c:pt idx="0">
                  <c:v>1146436</c:v>
                </c:pt>
                <c:pt idx="1">
                  <c:v>1146436</c:v>
                </c:pt>
                <c:pt idx="2">
                  <c:v>1146436</c:v>
                </c:pt>
              </c:numCache>
            </c:numRef>
          </c:val>
          <c:extLst>
            <c:ext xmlns:c16="http://schemas.microsoft.com/office/drawing/2014/chart" uri="{C3380CC4-5D6E-409C-BE32-E72D297353CC}">
              <c16:uniqueId val="{00000000-002C-42F3-BE79-053D83662DD6}"/>
            </c:ext>
          </c:extLst>
        </c:ser>
        <c:ser>
          <c:idx val="1"/>
          <c:order val="1"/>
          <c:tx>
            <c:strRef>
              <c:f>publisk!$E$5</c:f>
              <c:strCache>
                <c:ptCount val="1"/>
                <c:pt idx="0">
                  <c:v>Izpilde</c:v>
                </c:pt>
              </c:strCache>
            </c:strRef>
          </c:tx>
          <c:spPr>
            <a:gradFill rotWithShape="1">
              <a:gsLst>
                <a:gs pos="0">
                  <a:srgbClr val="ED7D31">
                    <a:shade val="51000"/>
                    <a:satMod val="130000"/>
                  </a:srgbClr>
                </a:gs>
                <a:gs pos="80000">
                  <a:srgbClr val="ED7D31">
                    <a:shade val="93000"/>
                    <a:satMod val="130000"/>
                  </a:srgbClr>
                </a:gs>
                <a:gs pos="100000">
                  <a:srgbClr val="ED7D31">
                    <a:shade val="94000"/>
                    <a:satMod val="135000"/>
                  </a:srgbClr>
                </a:gs>
              </a:gsLst>
              <a:lin ang="16200000" scaled="0"/>
            </a:gradFill>
            <a:ln w="9525" cap="flat" cmpd="sng" algn="ctr">
              <a:solidFill>
                <a:srgbClr val="ED7D31">
                  <a:shade val="95000"/>
                  <a:satMod val="105000"/>
                </a:srgb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publisk!$C$6:$C$8</c:f>
              <c:strCache>
                <c:ptCount val="3"/>
                <c:pt idx="0">
                  <c:v>2015.gads</c:v>
                </c:pt>
                <c:pt idx="1">
                  <c:v>2016.gads</c:v>
                </c:pt>
                <c:pt idx="2">
                  <c:v>2017.gads</c:v>
                </c:pt>
              </c:strCache>
            </c:strRef>
          </c:cat>
          <c:val>
            <c:numRef>
              <c:f>publisk!$E$6:$E$8</c:f>
              <c:numCache>
                <c:formatCode>#,##0</c:formatCode>
                <c:ptCount val="3"/>
                <c:pt idx="0">
                  <c:v>911471</c:v>
                </c:pt>
                <c:pt idx="1">
                  <c:v>726436</c:v>
                </c:pt>
              </c:numCache>
            </c:numRef>
          </c:val>
          <c:extLst>
            <c:ext xmlns:c16="http://schemas.microsoft.com/office/drawing/2014/chart" uri="{C3380CC4-5D6E-409C-BE32-E72D297353CC}">
              <c16:uniqueId val="{00000001-002C-42F3-BE79-053D83662DD6}"/>
            </c:ext>
          </c:extLst>
        </c:ser>
        <c:dLbls>
          <c:dLblPos val="outEnd"/>
          <c:showLegendKey val="0"/>
          <c:showVal val="1"/>
          <c:showCatName val="0"/>
          <c:showSerName val="0"/>
          <c:showPercent val="0"/>
          <c:showBubbleSize val="0"/>
        </c:dLbls>
        <c:gapWidth val="100"/>
        <c:overlap val="-27"/>
        <c:axId val="300090496"/>
        <c:axId val="300090888"/>
      </c:barChart>
      <c:catAx>
        <c:axId val="30009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00090888"/>
        <c:crosses val="autoZero"/>
        <c:auto val="1"/>
        <c:lblAlgn val="ctr"/>
        <c:lblOffset val="100"/>
        <c:noMultiLvlLbl val="0"/>
      </c:catAx>
      <c:valAx>
        <c:axId val="300090888"/>
        <c:scaling>
          <c:orientation val="minMax"/>
          <c:max val="14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300090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userShapes r:id="rId5"/>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57150" cap="rnd">
              <a:solidFill>
                <a:schemeClr val="accent6"/>
              </a:solidFill>
              <a:round/>
            </a:ln>
            <a:effectLst/>
          </c:spPr>
          <c:marker>
            <c:symbol val="circle"/>
            <c:size val="5"/>
            <c:spPr>
              <a:solidFill>
                <a:schemeClr val="accent6"/>
              </a:solidFill>
              <a:ln w="57150">
                <a:solidFill>
                  <a:schemeClr val="accent6"/>
                </a:solidFill>
              </a:ln>
              <a:effectLst/>
            </c:spPr>
          </c:marker>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Sheet1!$D$9:$J$9</c:f>
              <c:numCache>
                <c:formatCode>General</c:formatCode>
                <c:ptCount val="7"/>
                <c:pt idx="0">
                  <c:v>2010</c:v>
                </c:pt>
                <c:pt idx="1">
                  <c:v>2011</c:v>
                </c:pt>
                <c:pt idx="2">
                  <c:v>2012</c:v>
                </c:pt>
                <c:pt idx="3">
                  <c:v>2013</c:v>
                </c:pt>
                <c:pt idx="4">
                  <c:v>2014</c:v>
                </c:pt>
                <c:pt idx="5">
                  <c:v>2015</c:v>
                </c:pt>
                <c:pt idx="6">
                  <c:v>2016</c:v>
                </c:pt>
              </c:numCache>
            </c:numRef>
          </c:cat>
          <c:val>
            <c:numRef>
              <c:f>Sheet1!$D$10:$J$10</c:f>
              <c:numCache>
                <c:formatCode>General</c:formatCode>
                <c:ptCount val="7"/>
                <c:pt idx="0">
                  <c:v>174</c:v>
                </c:pt>
                <c:pt idx="1">
                  <c:v>194</c:v>
                </c:pt>
                <c:pt idx="2">
                  <c:v>235</c:v>
                </c:pt>
                <c:pt idx="3">
                  <c:v>248</c:v>
                </c:pt>
                <c:pt idx="4">
                  <c:v>188</c:v>
                </c:pt>
                <c:pt idx="5">
                  <c:v>133</c:v>
                </c:pt>
                <c:pt idx="6">
                  <c:v>123</c:v>
                </c:pt>
              </c:numCache>
            </c:numRef>
          </c:val>
          <c:smooth val="0"/>
          <c:extLst>
            <c:ext xmlns:c16="http://schemas.microsoft.com/office/drawing/2014/chart" uri="{C3380CC4-5D6E-409C-BE32-E72D297353CC}">
              <c16:uniqueId val="{00000000-58C3-49D4-9A77-9BAC9A0BDD6E}"/>
            </c:ext>
          </c:extLst>
        </c:ser>
        <c:dLbls>
          <c:showLegendKey val="0"/>
          <c:showVal val="0"/>
          <c:showCatName val="0"/>
          <c:showSerName val="0"/>
          <c:showPercent val="0"/>
          <c:showBubbleSize val="0"/>
        </c:dLbls>
        <c:marker val="1"/>
        <c:smooth val="0"/>
        <c:axId val="300091672"/>
        <c:axId val="300092064"/>
      </c:lineChart>
      <c:catAx>
        <c:axId val="300091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92064"/>
        <c:crosses val="autoZero"/>
        <c:auto val="1"/>
        <c:lblAlgn val="ctr"/>
        <c:lblOffset val="100"/>
        <c:noMultiLvlLbl val="0"/>
      </c:catAx>
      <c:valAx>
        <c:axId val="300092064"/>
        <c:scaling>
          <c:orientation val="minMax"/>
          <c:min val="1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0091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63341550391307"/>
          <c:y val="8.4775753731308981E-2"/>
          <c:w val="0.64672614061540168"/>
          <c:h val="0.74526409899287971"/>
        </c:manualLayout>
      </c:layout>
      <c:pieChart>
        <c:varyColors val="1"/>
        <c:ser>
          <c:idx val="0"/>
          <c:order val="0"/>
          <c:spPr>
            <a:ln>
              <a:noFill/>
            </a:ln>
          </c:spPr>
          <c:dPt>
            <c:idx val="0"/>
            <c:bubble3D val="0"/>
            <c:spPr>
              <a:solidFill>
                <a:schemeClr val="accent2"/>
              </a:solidFill>
              <a:ln w="19050" cap="flat" cmpd="sng" algn="ctr">
                <a:solidFill>
                  <a:schemeClr val="lt1"/>
                </a:solidFill>
                <a:prstDash val="solid"/>
                <a:miter lim="800000"/>
              </a:ln>
              <a:effectLst/>
            </c:spPr>
            <c:extLst>
              <c:ext xmlns:c16="http://schemas.microsoft.com/office/drawing/2014/chart" uri="{C3380CC4-5D6E-409C-BE32-E72D297353CC}">
                <c16:uniqueId val="{00000001-2979-4132-BF5A-6C954C0916DA}"/>
              </c:ext>
            </c:extLst>
          </c:dPt>
          <c:dPt>
            <c:idx val="1"/>
            <c:bubble3D val="0"/>
            <c:spPr>
              <a:solidFill>
                <a:schemeClr val="accent4"/>
              </a:solidFill>
              <a:ln w="19050" cap="flat" cmpd="sng" algn="ctr">
                <a:solidFill>
                  <a:schemeClr val="lt1"/>
                </a:solidFill>
                <a:prstDash val="solid"/>
                <a:miter lim="800000"/>
              </a:ln>
              <a:effectLst/>
            </c:spPr>
            <c:extLst>
              <c:ext xmlns:c16="http://schemas.microsoft.com/office/drawing/2014/chart" uri="{C3380CC4-5D6E-409C-BE32-E72D297353CC}">
                <c16:uniqueId val="{00000003-2979-4132-BF5A-6C954C0916DA}"/>
              </c:ext>
            </c:extLst>
          </c:dPt>
          <c:dPt>
            <c:idx val="2"/>
            <c:bubble3D val="0"/>
            <c:spPr>
              <a:solidFill>
                <a:schemeClr val="accent3"/>
              </a:solidFill>
              <a:ln w="19050" cap="flat" cmpd="sng" algn="ctr">
                <a:solidFill>
                  <a:schemeClr val="lt1"/>
                </a:solidFill>
                <a:prstDash val="solid"/>
                <a:miter lim="800000"/>
              </a:ln>
              <a:effectLst/>
            </c:spPr>
            <c:extLst>
              <c:ext xmlns:c16="http://schemas.microsoft.com/office/drawing/2014/chart" uri="{C3380CC4-5D6E-409C-BE32-E72D297353CC}">
                <c16:uniqueId val="{00000005-2979-4132-BF5A-6C954C0916DA}"/>
              </c:ext>
            </c:extLst>
          </c:dPt>
          <c:dPt>
            <c:idx val="3"/>
            <c:bubble3D val="0"/>
            <c:spPr>
              <a:solidFill>
                <a:srgbClr val="7030A0"/>
              </a:solidFill>
              <a:ln w="19050" cap="flat" cmpd="sng" algn="ctr">
                <a:solidFill>
                  <a:schemeClr val="lt1"/>
                </a:solidFill>
                <a:prstDash val="solid"/>
                <a:miter lim="800000"/>
              </a:ln>
              <a:effectLst/>
            </c:spPr>
            <c:extLst>
              <c:ext xmlns:c16="http://schemas.microsoft.com/office/drawing/2014/chart" uri="{C3380CC4-5D6E-409C-BE32-E72D297353CC}">
                <c16:uniqueId val="{00000007-2979-4132-BF5A-6C954C0916DA}"/>
              </c:ext>
            </c:extLst>
          </c:dPt>
          <c:dPt>
            <c:idx val="4"/>
            <c:bubble3D val="0"/>
            <c:explosion val="1"/>
            <c:spPr>
              <a:solidFill>
                <a:srgbClr val="C00000"/>
              </a:solidFill>
              <a:ln w="19050" cap="flat" cmpd="sng" algn="ctr">
                <a:solidFill>
                  <a:schemeClr val="lt1"/>
                </a:solidFill>
                <a:prstDash val="solid"/>
                <a:miter lim="800000"/>
              </a:ln>
              <a:effectLst/>
            </c:spPr>
            <c:extLst>
              <c:ext xmlns:c16="http://schemas.microsoft.com/office/drawing/2014/chart" uri="{C3380CC4-5D6E-409C-BE32-E72D297353CC}">
                <c16:uniqueId val="{00000009-2979-4132-BF5A-6C954C0916DA}"/>
              </c:ext>
            </c:extLst>
          </c:dPt>
          <c:dPt>
            <c:idx val="5"/>
            <c:bubble3D val="0"/>
            <c:spPr>
              <a:solidFill>
                <a:schemeClr val="accent4">
                  <a:lumMod val="75000"/>
                </a:schemeClr>
              </a:solidFill>
              <a:ln w="19050" cap="flat" cmpd="sng" algn="ctr">
                <a:solidFill>
                  <a:schemeClr val="lt1"/>
                </a:solidFill>
                <a:prstDash val="solid"/>
                <a:miter lim="800000"/>
              </a:ln>
              <a:effectLst/>
            </c:spPr>
            <c:extLst>
              <c:ext xmlns:c16="http://schemas.microsoft.com/office/drawing/2014/chart" uri="{C3380CC4-5D6E-409C-BE32-E72D297353CC}">
                <c16:uniqueId val="{0000000B-2979-4132-BF5A-6C954C0916DA}"/>
              </c:ext>
            </c:extLst>
          </c:dPt>
          <c:dPt>
            <c:idx val="6"/>
            <c:bubble3D val="0"/>
            <c:spPr>
              <a:solidFill>
                <a:schemeClr val="accent6"/>
              </a:solidFill>
              <a:ln w="19050" cap="flat" cmpd="sng" algn="ctr">
                <a:solidFill>
                  <a:schemeClr val="lt1"/>
                </a:solidFill>
                <a:prstDash val="solid"/>
                <a:miter lim="800000"/>
              </a:ln>
              <a:effectLst/>
            </c:spPr>
            <c:extLst>
              <c:ext xmlns:c16="http://schemas.microsoft.com/office/drawing/2014/chart" uri="{C3380CC4-5D6E-409C-BE32-E72D297353CC}">
                <c16:uniqueId val="{0000000D-2979-4132-BF5A-6C954C0916DA}"/>
              </c:ext>
            </c:extLst>
          </c:dPt>
          <c:dPt>
            <c:idx val="7"/>
            <c:bubble3D val="0"/>
            <c:spPr>
              <a:solidFill>
                <a:schemeClr val="accent1"/>
              </a:solidFill>
              <a:ln w="19050" cap="flat" cmpd="sng" algn="ctr">
                <a:solidFill>
                  <a:schemeClr val="lt1"/>
                </a:solidFill>
                <a:prstDash val="solid"/>
                <a:miter lim="800000"/>
              </a:ln>
              <a:effectLst/>
            </c:spPr>
            <c:extLst>
              <c:ext xmlns:c16="http://schemas.microsoft.com/office/drawing/2014/chart" uri="{C3380CC4-5D6E-409C-BE32-E72D297353CC}">
                <c16:uniqueId val="{0000000F-2979-4132-BF5A-6C954C0916DA}"/>
              </c:ext>
            </c:extLst>
          </c:dPt>
          <c:dLbls>
            <c:dLbl>
              <c:idx val="0"/>
              <c:layout>
                <c:manualLayout>
                  <c:x val="-0.13027609999183209"/>
                  <c:y val="0.16159107977903558"/>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1665020457620853"/>
                      <c:h val="0.17113305752035232"/>
                    </c:manualLayout>
                  </c15:layout>
                </c:ext>
                <c:ext xmlns:c16="http://schemas.microsoft.com/office/drawing/2014/chart" uri="{C3380CC4-5D6E-409C-BE32-E72D297353CC}">
                  <c16:uniqueId val="{00000001-2979-4132-BF5A-6C954C0916DA}"/>
                </c:ext>
              </c:extLst>
            </c:dLbl>
            <c:dLbl>
              <c:idx val="3"/>
              <c:layout>
                <c:manualLayout>
                  <c:x val="7.2858265190383367E-2"/>
                  <c:y val="2.1804010540556806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19331685932875409"/>
                      <c:h val="0.11029758539376974"/>
                    </c:manualLayout>
                  </c15:layout>
                </c:ext>
                <c:ext xmlns:c16="http://schemas.microsoft.com/office/drawing/2014/chart" uri="{C3380CC4-5D6E-409C-BE32-E72D297353CC}">
                  <c16:uniqueId val="{00000007-2979-4132-BF5A-6C954C0916DA}"/>
                </c:ext>
              </c:extLst>
            </c:dLbl>
            <c:dLbl>
              <c:idx val="4"/>
              <c:layout>
                <c:manualLayout>
                  <c:x val="3.7229682189630041E-2"/>
                  <c:y val="3.366240584890666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21274207903992751"/>
                      <c:h val="0.12031307651847606"/>
                    </c:manualLayout>
                  </c15:layout>
                </c:ext>
                <c:ext xmlns:c16="http://schemas.microsoft.com/office/drawing/2014/chart" uri="{C3380CC4-5D6E-409C-BE32-E72D297353CC}">
                  <c16:uniqueId val="{00000009-2979-4132-BF5A-6C954C0916DA}"/>
                </c:ext>
              </c:extLst>
            </c:dLbl>
            <c:dLbl>
              <c:idx val="5"/>
              <c:layout>
                <c:manualLayout>
                  <c:x val="-3.889507796126062E-2"/>
                  <c:y val="-1.393221909075934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14696748084545252"/>
                      <c:h val="0.15936337967724123"/>
                    </c:manualLayout>
                  </c15:layout>
                </c:ext>
                <c:ext xmlns:c16="http://schemas.microsoft.com/office/drawing/2014/chart" uri="{C3380CC4-5D6E-409C-BE32-E72D297353CC}">
                  <c16:uniqueId val="{0000000B-2979-4132-BF5A-6C954C0916DA}"/>
                </c:ext>
              </c:extLst>
            </c:dLbl>
            <c:dLbl>
              <c:idx val="6"/>
              <c:layout>
                <c:manualLayout>
                  <c:x val="0.1601392910992509"/>
                  <c:y val="1.5648054938841929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11524822695035461"/>
                      <c:h val="9.5417396380618802E-2"/>
                    </c:manualLayout>
                  </c15:layout>
                </c:ext>
                <c:ext xmlns:c16="http://schemas.microsoft.com/office/drawing/2014/chart" uri="{C3380CC4-5D6E-409C-BE32-E72D297353CC}">
                  <c16:uniqueId val="{0000000D-2979-4132-BF5A-6C954C0916DA}"/>
                </c:ext>
              </c:extLst>
            </c:dLbl>
            <c:dLbl>
              <c:idx val="7"/>
              <c:layout>
                <c:manualLayout>
                  <c:x val="-8.9630482907634645E-2"/>
                  <c:y val="2.6586905948820207E-2"/>
                </c:manualLayout>
              </c:layout>
              <c:showLegendKey val="0"/>
              <c:showVal val="0"/>
              <c:showCatName val="1"/>
              <c:showSerName val="0"/>
              <c:showPercent val="1"/>
              <c:showBubbleSize val="0"/>
              <c:separator>
</c:separator>
              <c:extLst>
                <c:ext xmlns:c15="http://schemas.microsoft.com/office/drawing/2012/chart" uri="{CE6537A1-D6FC-4f65-9D91-7224C49458BB}">
                  <c15:layout>
                    <c:manualLayout>
                      <c:w val="0.2121987879522759"/>
                      <c:h val="9.6417571432683577E-2"/>
                    </c:manualLayout>
                  </c15:layout>
                </c:ext>
                <c:ext xmlns:c16="http://schemas.microsoft.com/office/drawing/2014/chart" uri="{C3380CC4-5D6E-409C-BE32-E72D297353CC}">
                  <c16:uniqueId val="{0000000F-2979-4132-BF5A-6C954C0916DA}"/>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ipatsv!$A$4:$A$11</c:f>
              <c:strCache>
                <c:ptCount val="8"/>
                <c:pt idx="0">
                  <c:v>Starp progr., kodiem</c:v>
                </c:pt>
                <c:pt idx="1">
                  <c:v>No/uz 80 progr.</c:v>
                </c:pt>
                <c:pt idx="2">
                  <c:v>Transferti, āfp</c:v>
                </c:pt>
                <c:pt idx="3">
                  <c:v>Maksas pak.</c:v>
                </c:pt>
                <c:pt idx="4">
                  <c:v>Starp ministrijām</c:v>
                </c:pt>
                <c:pt idx="5">
                  <c:v>Apropriācijas rezerve</c:v>
                </c:pt>
                <c:pt idx="6">
                  <c:v>LNG</c:v>
                </c:pt>
                <c:pt idx="7">
                  <c:v>Budžeta likuma panti</c:v>
                </c:pt>
              </c:strCache>
            </c:strRef>
          </c:cat>
          <c:val>
            <c:numRef>
              <c:f>ipatsv!$B$4:$B$11</c:f>
              <c:numCache>
                <c:formatCode>0</c:formatCode>
                <c:ptCount val="8"/>
                <c:pt idx="0">
                  <c:v>43</c:v>
                </c:pt>
                <c:pt idx="1">
                  <c:v>33</c:v>
                </c:pt>
                <c:pt idx="2">
                  <c:v>25</c:v>
                </c:pt>
                <c:pt idx="3">
                  <c:v>10</c:v>
                </c:pt>
                <c:pt idx="4">
                  <c:v>15</c:v>
                </c:pt>
                <c:pt idx="5">
                  <c:v>4</c:v>
                </c:pt>
                <c:pt idx="6">
                  <c:v>86</c:v>
                </c:pt>
                <c:pt idx="7">
                  <c:v>16</c:v>
                </c:pt>
              </c:numCache>
            </c:numRef>
          </c:val>
          <c:extLst>
            <c:ext xmlns:c16="http://schemas.microsoft.com/office/drawing/2014/chart" uri="{C3380CC4-5D6E-409C-BE32-E72D297353CC}">
              <c16:uniqueId val="{00000010-2979-4132-BF5A-6C954C0916DA}"/>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Sheet1!$B$8</c:f>
              <c:strCache>
                <c:ptCount val="1"/>
                <c:pt idx="0">
                  <c:v>Izdevumi – kopā</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Sheet1!$C$4:$J$4</c:f>
              <c:strCache>
                <c:ptCount val="7"/>
                <c:pt idx="0">
                  <c:v>2014.gada izpilde</c:v>
                </c:pt>
                <c:pt idx="1">
                  <c:v>2015.gada izpilde</c:v>
                </c:pt>
                <c:pt idx="2">
                  <c:v>2016.gada izpilde</c:v>
                </c:pt>
                <c:pt idx="3">
                  <c:v>2017.gada plāns</c:v>
                </c:pt>
                <c:pt idx="4">
                  <c:v>2018.gada bāze</c:v>
                </c:pt>
                <c:pt idx="5">
                  <c:v>2018.gada projekts ar plānotajām izmaiņām*</c:v>
                </c:pt>
                <c:pt idx="6">
                  <c:v>2019.gada projekts ar plānotajām izmaiņām*</c:v>
                </c:pt>
              </c:strCache>
            </c:strRef>
          </c:cat>
          <c:val>
            <c:numRef>
              <c:f>Sheet1!$C$8:$J$8</c:f>
              <c:numCache>
                <c:formatCode>#,##0</c:formatCode>
                <c:ptCount val="7"/>
                <c:pt idx="0">
                  <c:v>688123</c:v>
                </c:pt>
                <c:pt idx="1">
                  <c:v>844752</c:v>
                </c:pt>
                <c:pt idx="2">
                  <c:v>940910</c:v>
                </c:pt>
                <c:pt idx="3">
                  <c:v>1247209</c:v>
                </c:pt>
                <c:pt idx="4">
                  <c:v>1232834</c:v>
                </c:pt>
                <c:pt idx="5">
                  <c:v>2049227</c:v>
                </c:pt>
                <c:pt idx="6">
                  <c:v>1850868</c:v>
                </c:pt>
              </c:numCache>
            </c:numRef>
          </c:val>
          <c:extLst>
            <c:ext xmlns:c16="http://schemas.microsoft.com/office/drawing/2014/chart" uri="{C3380CC4-5D6E-409C-BE32-E72D297353CC}">
              <c16:uniqueId val="{00000000-CC05-4CBE-8609-FB87F5481993}"/>
            </c:ext>
          </c:extLst>
        </c:ser>
        <c:dLbls>
          <c:showLegendKey val="0"/>
          <c:showVal val="0"/>
          <c:showCatName val="0"/>
          <c:showSerName val="0"/>
          <c:showPercent val="0"/>
          <c:showBubbleSize val="0"/>
        </c:dLbls>
        <c:gapWidth val="219"/>
        <c:overlap val="-27"/>
        <c:axId val="301128424"/>
        <c:axId val="301128816"/>
      </c:barChart>
      <c:lineChart>
        <c:grouping val="standard"/>
        <c:varyColors val="0"/>
        <c:ser>
          <c:idx val="1"/>
          <c:order val="1"/>
          <c:tx>
            <c:strRef>
              <c:f>Sheet1!$B$11</c:f>
              <c:strCache>
                <c:ptCount val="1"/>
                <c:pt idx="0">
                  <c:v>Izdevumu pieaugums attiecībā pret 2014.gada izdevumu izpildi (%)</c:v>
                </c:pt>
              </c:strCache>
            </c:strRef>
          </c:tx>
          <c:spPr>
            <a:ln w="28575" cap="rnd">
              <a:solidFill>
                <a:schemeClr val="accent2"/>
              </a:solidFill>
              <a:round/>
            </a:ln>
            <a:effectLst/>
          </c:spPr>
          <c:marker>
            <c:symbol val="none"/>
          </c:marker>
          <c:dLbls>
            <c:dLbl>
              <c:idx val="3"/>
              <c:layout>
                <c:manualLayout>
                  <c:x val="0"/>
                  <c:y val="1.8766127140511291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CC05-4CBE-8609-FB87F5481993}"/>
                </c:ext>
              </c:extLst>
            </c:dLbl>
            <c:dLbl>
              <c:idx val="5"/>
              <c:layout>
                <c:manualLayout>
                  <c:x val="-1.6796263442555007E-16"/>
                  <c:y val="4.2223786066150598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CC05-4CBE-8609-FB87F5481993}"/>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Sheet1!$C$4:$J$4</c:f>
              <c:strCache>
                <c:ptCount val="7"/>
                <c:pt idx="0">
                  <c:v>2014.gada izpilde</c:v>
                </c:pt>
                <c:pt idx="1">
                  <c:v>2015.gada izpilde</c:v>
                </c:pt>
                <c:pt idx="2">
                  <c:v>2016.gada izpilde</c:v>
                </c:pt>
                <c:pt idx="3">
                  <c:v>2017.gada plāns</c:v>
                </c:pt>
                <c:pt idx="4">
                  <c:v>2018.gada bāze</c:v>
                </c:pt>
                <c:pt idx="5">
                  <c:v>2018.gada projekts ar plānotajām izmaiņām*</c:v>
                </c:pt>
                <c:pt idx="6">
                  <c:v>2019.gada projekts ar plānotajām izmaiņām*</c:v>
                </c:pt>
              </c:strCache>
            </c:strRef>
          </c:cat>
          <c:val>
            <c:numRef>
              <c:f>Sheet1!$C$11:$J$11</c:f>
              <c:numCache>
                <c:formatCode>0.0</c:formatCode>
                <c:ptCount val="7"/>
                <c:pt idx="1">
                  <c:v>22.761773694528458</c:v>
                </c:pt>
                <c:pt idx="2">
                  <c:v>36.735728932182184</c:v>
                </c:pt>
                <c:pt idx="3">
                  <c:v>81.247974562687205</c:v>
                </c:pt>
                <c:pt idx="4">
                  <c:v>79.158958500151869</c:v>
                </c:pt>
                <c:pt idx="5">
                  <c:v>197.7995213065106</c:v>
                </c:pt>
                <c:pt idx="6">
                  <c:v>168.97342480922742</c:v>
                </c:pt>
              </c:numCache>
            </c:numRef>
          </c:val>
          <c:smooth val="0"/>
          <c:extLst>
            <c:ext xmlns:c16="http://schemas.microsoft.com/office/drawing/2014/chart" uri="{C3380CC4-5D6E-409C-BE32-E72D297353CC}">
              <c16:uniqueId val="{00000003-CC05-4CBE-8609-FB87F5481993}"/>
            </c:ext>
          </c:extLst>
        </c:ser>
        <c:dLbls>
          <c:showLegendKey val="0"/>
          <c:showVal val="0"/>
          <c:showCatName val="0"/>
          <c:showSerName val="0"/>
          <c:showPercent val="0"/>
          <c:showBubbleSize val="0"/>
        </c:dLbls>
        <c:marker val="1"/>
        <c:smooth val="0"/>
        <c:axId val="301129600"/>
        <c:axId val="301129208"/>
      </c:lineChart>
      <c:catAx>
        <c:axId val="301128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1128816"/>
        <c:crosses val="autoZero"/>
        <c:auto val="1"/>
        <c:lblAlgn val="ctr"/>
        <c:lblOffset val="100"/>
        <c:noMultiLvlLbl val="0"/>
      </c:catAx>
      <c:valAx>
        <c:axId val="301128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1128424"/>
        <c:crosses val="autoZero"/>
        <c:crossBetween val="between"/>
      </c:valAx>
      <c:valAx>
        <c:axId val="301129208"/>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1129600"/>
        <c:crosses val="max"/>
        <c:crossBetween val="between"/>
      </c:valAx>
      <c:catAx>
        <c:axId val="301129600"/>
        <c:scaling>
          <c:orientation val="minMax"/>
        </c:scaling>
        <c:delete val="1"/>
        <c:axPos val="b"/>
        <c:numFmt formatCode="General" sourceLinked="1"/>
        <c:majorTickMark val="out"/>
        <c:minorTickMark val="none"/>
        <c:tickLblPos val="nextTo"/>
        <c:crossAx val="30112920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Sheet6!$A$360</c:f>
              <c:strCache>
                <c:ptCount val="1"/>
                <c:pt idx="0">
                  <c:v>Pamatfunkcijas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Sheet6!$B$341:$K$341</c:f>
              <c:strCache>
                <c:ptCount val="7"/>
                <c:pt idx="0">
                  <c:v>2010</c:v>
                </c:pt>
                <c:pt idx="1">
                  <c:v>2011</c:v>
                </c:pt>
                <c:pt idx="2">
                  <c:v>2012</c:v>
                </c:pt>
                <c:pt idx="3">
                  <c:v>2013</c:v>
                </c:pt>
                <c:pt idx="4">
                  <c:v>2014</c:v>
                </c:pt>
                <c:pt idx="5">
                  <c:v>2015</c:v>
                </c:pt>
                <c:pt idx="6">
                  <c:v>2016</c:v>
                </c:pt>
              </c:strCache>
            </c:strRef>
          </c:cat>
          <c:val>
            <c:numRef>
              <c:f>Sheet6!$B$360:$K$360</c:f>
              <c:numCache>
                <c:formatCode>#\ ##0.0</c:formatCode>
                <c:ptCount val="7"/>
                <c:pt idx="0">
                  <c:v>26.152658330000023</c:v>
                </c:pt>
                <c:pt idx="1">
                  <c:v>29.426994070000003</c:v>
                </c:pt>
                <c:pt idx="2">
                  <c:v>35.329439909999998</c:v>
                </c:pt>
                <c:pt idx="3">
                  <c:v>40.366237309999995</c:v>
                </c:pt>
                <c:pt idx="4">
                  <c:v>55.452440669999994</c:v>
                </c:pt>
                <c:pt idx="5">
                  <c:v>48.446026999999994</c:v>
                </c:pt>
                <c:pt idx="6">
                  <c:v>57.253945950000016</c:v>
                </c:pt>
              </c:numCache>
            </c:numRef>
          </c:val>
          <c:extLst>
            <c:ext xmlns:c16="http://schemas.microsoft.com/office/drawing/2014/chart" uri="{C3380CC4-5D6E-409C-BE32-E72D297353CC}">
              <c16:uniqueId val="{00000000-271E-4FF6-B97C-94D2E095D9CF}"/>
            </c:ext>
          </c:extLst>
        </c:ser>
        <c:ser>
          <c:idx val="1"/>
          <c:order val="1"/>
          <c:tx>
            <c:strRef>
              <c:f>Sheet6!$A$361</c:f>
              <c:strCache>
                <c:ptCount val="1"/>
                <c:pt idx="0">
                  <c:v>Ārvalstu finanšu palīdzība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Sheet6!$B$341:$K$341</c:f>
              <c:strCache>
                <c:ptCount val="7"/>
                <c:pt idx="0">
                  <c:v>2010</c:v>
                </c:pt>
                <c:pt idx="1">
                  <c:v>2011</c:v>
                </c:pt>
                <c:pt idx="2">
                  <c:v>2012</c:v>
                </c:pt>
                <c:pt idx="3">
                  <c:v>2013</c:v>
                </c:pt>
                <c:pt idx="4">
                  <c:v>2014</c:v>
                </c:pt>
                <c:pt idx="5">
                  <c:v>2015</c:v>
                </c:pt>
                <c:pt idx="6">
                  <c:v>2016</c:v>
                </c:pt>
              </c:strCache>
            </c:strRef>
          </c:cat>
          <c:val>
            <c:numRef>
              <c:f>Sheet6!$B$361:$K$361</c:f>
              <c:numCache>
                <c:formatCode>#\ ##0.0</c:formatCode>
                <c:ptCount val="7"/>
                <c:pt idx="0">
                  <c:v>19.424778459999999</c:v>
                </c:pt>
                <c:pt idx="1">
                  <c:v>28.42151007</c:v>
                </c:pt>
                <c:pt idx="2">
                  <c:v>24.764575910000005</c:v>
                </c:pt>
                <c:pt idx="3">
                  <c:v>21.221659219999999</c:v>
                </c:pt>
                <c:pt idx="4">
                  <c:v>25.044201999999999</c:v>
                </c:pt>
                <c:pt idx="5">
                  <c:v>19.492267000000005</c:v>
                </c:pt>
                <c:pt idx="6">
                  <c:v>6.38861627</c:v>
                </c:pt>
              </c:numCache>
            </c:numRef>
          </c:val>
          <c:extLst>
            <c:ext xmlns:c16="http://schemas.microsoft.com/office/drawing/2014/chart" uri="{C3380CC4-5D6E-409C-BE32-E72D297353CC}">
              <c16:uniqueId val="{00000001-271E-4FF6-B97C-94D2E095D9CF}"/>
            </c:ext>
          </c:extLst>
        </c:ser>
        <c:dLbls>
          <c:showLegendKey val="0"/>
          <c:showVal val="0"/>
          <c:showCatName val="0"/>
          <c:showSerName val="0"/>
          <c:showPercent val="0"/>
          <c:showBubbleSize val="0"/>
        </c:dLbls>
        <c:gapWidth val="60"/>
        <c:overlap val="100"/>
        <c:axId val="301130776"/>
        <c:axId val="301131168"/>
      </c:barChart>
      <c:catAx>
        <c:axId val="301130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1131168"/>
        <c:crosses val="autoZero"/>
        <c:auto val="1"/>
        <c:lblAlgn val="ctr"/>
        <c:lblOffset val="100"/>
        <c:noMultiLvlLbl val="0"/>
      </c:catAx>
      <c:valAx>
        <c:axId val="301131168"/>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011307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1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98-445D-A471-1B87C0EFCB0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98-445D-A471-1B87C0EFCB0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298-445D-A471-1B87C0EFCB0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298-445D-A471-1B87C0EFCB0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298-445D-A471-1B87C0EFCB0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298-445D-A471-1B87C0EFCB0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298-445D-A471-1B87C0EFCB0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298-445D-A471-1B87C0EFCB0F}"/>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298-445D-A471-1B87C0EFCB0F}"/>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298-445D-A471-1B87C0EFCB0F}"/>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298-445D-A471-1B87C0EFCB0F}"/>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D298-445D-A471-1B87C0EFCB0F}"/>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D298-445D-A471-1B87C0EFCB0F}"/>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D298-445D-A471-1B87C0EFCB0F}"/>
              </c:ext>
            </c:extLst>
          </c:dPt>
          <c:dLbls>
            <c:dLbl>
              <c:idx val="0"/>
              <c:layout>
                <c:manualLayout>
                  <c:x val="-0.11388888888888894"/>
                  <c:y val="3.6392189238081876E-3"/>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1-D298-445D-A471-1B87C0EFCB0F}"/>
                </c:ext>
              </c:extLst>
            </c:dLbl>
            <c:dLbl>
              <c:idx val="1"/>
              <c:layout>
                <c:manualLayout>
                  <c:x val="-1.1111111111111112E-2"/>
                  <c:y val="9.4315637052124479E-3"/>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3-D298-445D-A471-1B87C0EFCB0F}"/>
                </c:ext>
              </c:extLst>
            </c:dLbl>
            <c:dLbl>
              <c:idx val="2"/>
              <c:layout>
                <c:manualLayout>
                  <c:x val="-2.7777777777777766E-2"/>
                  <c:y val="-2.1534513982459217E-3"/>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5-D298-445D-A471-1B87C0EFCB0F}"/>
                </c:ext>
              </c:extLst>
            </c:dLbl>
            <c:dLbl>
              <c:idx val="3"/>
              <c:layout>
                <c:manualLayout>
                  <c:x val="-6.1111111111111109E-2"/>
                  <c:y val="0"/>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7-D298-445D-A471-1B87C0EFCB0F}"/>
                </c:ext>
              </c:extLst>
            </c:dLbl>
            <c:dLbl>
              <c:idx val="4"/>
              <c:layout>
                <c:manualLayout>
                  <c:x val="-5.8333333333333334E-2"/>
                  <c:y val="-2.9608247637470123E-2"/>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9-D298-445D-A471-1B87C0EFCB0F}"/>
                </c:ext>
              </c:extLst>
            </c:dLbl>
            <c:dLbl>
              <c:idx val="5"/>
              <c:layout>
                <c:manualLayout>
                  <c:x val="2.7777777777777779E-3"/>
                  <c:y val="-4.7372399388787183E-18"/>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B-D298-445D-A471-1B87C0EFCB0F}"/>
                </c:ext>
              </c:extLst>
            </c:dLbl>
            <c:dLbl>
              <c:idx val="6"/>
              <c:layout>
                <c:manualLayout>
                  <c:x val="1.9444444444444445E-2"/>
                  <c:y val="-9.2593527014828425E-3"/>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D-D298-445D-A471-1B87C0EFCB0F}"/>
                </c:ext>
              </c:extLst>
            </c:dLbl>
            <c:dLbl>
              <c:idx val="7"/>
              <c:layout>
                <c:manualLayout>
                  <c:x val="1.5442101995315101E-2"/>
                  <c:y val="-1.3912068820578966E-2"/>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0F-D298-445D-A471-1B87C0EFCB0F}"/>
                </c:ext>
              </c:extLst>
            </c:dLbl>
            <c:dLbl>
              <c:idx val="8"/>
              <c:layout>
                <c:manualLayout>
                  <c:x val="7.9841202645368162E-2"/>
                  <c:y val="4.0190171958041738E-3"/>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11-D298-445D-A471-1B87C0EFCB0F}"/>
                </c:ext>
              </c:extLst>
            </c:dLbl>
            <c:dLbl>
              <c:idx val="9"/>
              <c:layout>
                <c:manualLayout>
                  <c:x val="4.4444444444444446E-2"/>
                  <c:y val="2.9715350511245312E-3"/>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13-D298-445D-A471-1B87C0EFCB0F}"/>
                </c:ext>
              </c:extLst>
            </c:dLbl>
            <c:dLbl>
              <c:idx val="10"/>
              <c:layout>
                <c:manualLayout>
                  <c:x val="0.1158005249343832"/>
                  <c:y val="-8.6989900581488925E-17"/>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15-D298-445D-A471-1B87C0EFCB0F}"/>
                </c:ext>
              </c:extLst>
            </c:dLbl>
            <c:dLbl>
              <c:idx val="11"/>
              <c:layout>
                <c:manualLayout>
                  <c:x val="0.11251488725199672"/>
                  <c:y val="4.9315436993863308E-2"/>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17-D298-445D-A471-1B87C0EFCB0F}"/>
                </c:ext>
              </c:extLst>
            </c:dLbl>
            <c:dLbl>
              <c:idx val="12"/>
              <c:layout>
                <c:manualLayout>
                  <c:x val="5.7945041816009381E-2"/>
                  <c:y val="8.1422740306927824E-2"/>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19-D298-445D-A471-1B87C0EFCB0F}"/>
                </c:ext>
              </c:extLst>
            </c:dLbl>
            <c:dLbl>
              <c:idx val="13"/>
              <c:layout>
                <c:manualLayout>
                  <c:x val="-2.2222222222222223E-2"/>
                  <c:y val="6.6149860033797636E-2"/>
                </c:manualLayout>
              </c:layout>
              <c:dLblPos val="bestFit"/>
              <c:showLegendKey val="1"/>
              <c:showVal val="1"/>
              <c:showCatName val="1"/>
              <c:showSerName val="0"/>
              <c:showPercent val="0"/>
              <c:showBubbleSize val="0"/>
              <c:separator>
</c:separator>
              <c:extLst>
                <c:ext xmlns:c15="http://schemas.microsoft.com/office/drawing/2012/chart" uri="{CE6537A1-D6FC-4f65-9D91-7224C49458BB}">
                  <c15:layout/>
                </c:ext>
                <c:ext xmlns:c16="http://schemas.microsoft.com/office/drawing/2014/chart" uri="{C3380CC4-5D6E-409C-BE32-E72D297353CC}">
                  <c16:uniqueId val="{0000001B-D298-445D-A471-1B87C0EFCB0F}"/>
                </c:ext>
              </c:extLst>
            </c:dLbl>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1"/>
            <c:showVal val="1"/>
            <c:showCatName val="1"/>
            <c:showSerName val="0"/>
            <c:showPercent val="0"/>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Sheet6!$A$436:$A$449</c:f>
              <c:strCache>
                <c:ptCount val="14"/>
                <c:pt idx="0">
                  <c:v>FM</c:v>
                </c:pt>
                <c:pt idx="1">
                  <c:v>AiM</c:v>
                </c:pt>
                <c:pt idx="2">
                  <c:v>IeM</c:v>
                </c:pt>
                <c:pt idx="3">
                  <c:v>TM</c:v>
                </c:pt>
                <c:pt idx="4">
                  <c:v>IZM</c:v>
                </c:pt>
                <c:pt idx="5">
                  <c:v>citas centrālās valsts iestādes</c:v>
                </c:pt>
                <c:pt idx="6">
                  <c:v>ZM</c:v>
                </c:pt>
                <c:pt idx="7">
                  <c:v>VM</c:v>
                </c:pt>
                <c:pt idx="8">
                  <c:v>LM</c:v>
                </c:pt>
                <c:pt idx="9">
                  <c:v>KM</c:v>
                </c:pt>
                <c:pt idx="10">
                  <c:v>VARAM</c:v>
                </c:pt>
                <c:pt idx="11">
                  <c:v>EM</c:v>
                </c:pt>
                <c:pt idx="12">
                  <c:v>ĀM</c:v>
                </c:pt>
                <c:pt idx="13">
                  <c:v>SM</c:v>
                </c:pt>
              </c:strCache>
            </c:strRef>
          </c:cat>
          <c:val>
            <c:numRef>
              <c:f>Sheet6!$B$436:$B$449</c:f>
              <c:numCache>
                <c:formatCode>#\ ##0.0</c:formatCode>
                <c:ptCount val="14"/>
                <c:pt idx="0">
                  <c:v>13.571118520000001</c:v>
                </c:pt>
                <c:pt idx="1">
                  <c:v>8.5126274199999976</c:v>
                </c:pt>
                <c:pt idx="2">
                  <c:v>8.0087611699999979</c:v>
                </c:pt>
                <c:pt idx="3">
                  <c:v>5.0946404499999991</c:v>
                </c:pt>
                <c:pt idx="4">
                  <c:v>4.6830686400000019</c:v>
                </c:pt>
                <c:pt idx="5">
                  <c:v>3.8957599799999998</c:v>
                </c:pt>
                <c:pt idx="6">
                  <c:v>3.1694079099999999</c:v>
                </c:pt>
                <c:pt idx="7">
                  <c:v>2.0113299399999995</c:v>
                </c:pt>
                <c:pt idx="8">
                  <c:v>1.97374253</c:v>
                </c:pt>
                <c:pt idx="9">
                  <c:v>1.9410197599999999</c:v>
                </c:pt>
                <c:pt idx="10">
                  <c:v>1.54413003</c:v>
                </c:pt>
                <c:pt idx="11">
                  <c:v>1.3133905299999999</c:v>
                </c:pt>
                <c:pt idx="12">
                  <c:v>1.26380647</c:v>
                </c:pt>
                <c:pt idx="13">
                  <c:v>0.27114259999999996</c:v>
                </c:pt>
              </c:numCache>
            </c:numRef>
          </c:val>
          <c:extLst>
            <c:ext xmlns:c16="http://schemas.microsoft.com/office/drawing/2014/chart" uri="{C3380CC4-5D6E-409C-BE32-E72D297353CC}">
              <c16:uniqueId val="{0000001C-D298-445D-A471-1B87C0EFCB0F}"/>
            </c:ext>
          </c:extLst>
        </c:ser>
        <c:dLbls>
          <c:showLegendKey val="0"/>
          <c:showVal val="0"/>
          <c:showCatName val="0"/>
          <c:showSerName val="0"/>
          <c:showPercent val="0"/>
          <c:showBubbleSize val="0"/>
          <c:showLeaderLines val="1"/>
        </c:dLbls>
        <c:firstSliceAng val="14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366486020549553E-2"/>
          <c:y val="2.7784510922750336E-2"/>
          <c:w val="0.89111416396875986"/>
          <c:h val="0.56007699037620295"/>
        </c:manualLayout>
      </c:layout>
      <c:barChart>
        <c:barDir val="col"/>
        <c:grouping val="percentStacked"/>
        <c:varyColors val="0"/>
        <c:ser>
          <c:idx val="0"/>
          <c:order val="0"/>
          <c:tx>
            <c:strRef>
              <c:f>Sheet6!$A$467</c:f>
              <c:strCache>
                <c:ptCount val="1"/>
                <c:pt idx="0">
                  <c:v>Informācijas sistēmas uzturēšana</c:v>
                </c:pt>
              </c:strCache>
            </c:strRef>
          </c:tx>
          <c:spPr>
            <a:solidFill>
              <a:schemeClr val="accent1"/>
            </a:solidFill>
            <a:ln>
              <a:noFill/>
            </a:ln>
            <a:effectLst/>
          </c:spPr>
          <c:invertIfNegative val="0"/>
          <c:cat>
            <c:strRef>
              <c:f>Sheet6!$B$466:$N$466</c:f>
              <c:strCache>
                <c:ptCount val="13"/>
                <c:pt idx="0">
                  <c:v>FM</c:v>
                </c:pt>
                <c:pt idx="1">
                  <c:v>AiM</c:v>
                </c:pt>
                <c:pt idx="2">
                  <c:v>IeM</c:v>
                </c:pt>
                <c:pt idx="3">
                  <c:v>TM</c:v>
                </c:pt>
                <c:pt idx="4">
                  <c:v>IZM</c:v>
                </c:pt>
                <c:pt idx="5">
                  <c:v>ZM</c:v>
                </c:pt>
                <c:pt idx="6">
                  <c:v>VM</c:v>
                </c:pt>
                <c:pt idx="7">
                  <c:v>LM</c:v>
                </c:pt>
                <c:pt idx="8">
                  <c:v>KM</c:v>
                </c:pt>
                <c:pt idx="9">
                  <c:v>VARAM</c:v>
                </c:pt>
                <c:pt idx="10">
                  <c:v>EM</c:v>
                </c:pt>
                <c:pt idx="11">
                  <c:v>ĀM</c:v>
                </c:pt>
                <c:pt idx="12">
                  <c:v>SM</c:v>
                </c:pt>
              </c:strCache>
            </c:strRef>
          </c:cat>
          <c:val>
            <c:numRef>
              <c:f>Sheet6!$B$467:$N$467</c:f>
              <c:numCache>
                <c:formatCode>0.0%</c:formatCode>
                <c:ptCount val="13"/>
                <c:pt idx="0">
                  <c:v>0.53389342369401105</c:v>
                </c:pt>
                <c:pt idx="1">
                  <c:v>0.12524484831734831</c:v>
                </c:pt>
                <c:pt idx="2">
                  <c:v>0.34144991615476022</c:v>
                </c:pt>
                <c:pt idx="3">
                  <c:v>0.60881856736327666</c:v>
                </c:pt>
                <c:pt idx="4">
                  <c:v>0.20351581692810722</c:v>
                </c:pt>
                <c:pt idx="5">
                  <c:v>0.40469579695092006</c:v>
                </c:pt>
                <c:pt idx="6">
                  <c:v>0.57711855072370666</c:v>
                </c:pt>
                <c:pt idx="7">
                  <c:v>0.42567089031617511</c:v>
                </c:pt>
                <c:pt idx="8">
                  <c:v>0.36790941273055344</c:v>
                </c:pt>
                <c:pt idx="9">
                  <c:v>0.20594490996331444</c:v>
                </c:pt>
                <c:pt idx="10">
                  <c:v>0.23765252061014933</c:v>
                </c:pt>
                <c:pt idx="11">
                  <c:v>0.40228250295316181</c:v>
                </c:pt>
                <c:pt idx="12">
                  <c:v>0.72480443869757105</c:v>
                </c:pt>
              </c:numCache>
            </c:numRef>
          </c:val>
          <c:extLst>
            <c:ext xmlns:c16="http://schemas.microsoft.com/office/drawing/2014/chart" uri="{C3380CC4-5D6E-409C-BE32-E72D297353CC}">
              <c16:uniqueId val="{00000000-6F4B-4FA9-B479-0503FC97E86B}"/>
            </c:ext>
          </c:extLst>
        </c:ser>
        <c:ser>
          <c:idx val="1"/>
          <c:order val="1"/>
          <c:tx>
            <c:strRef>
              <c:f>Sheet6!$A$468</c:f>
              <c:strCache>
                <c:ptCount val="1"/>
                <c:pt idx="0">
                  <c:v>Informācijas sistēmas licenču nomas izdevumi</c:v>
                </c:pt>
              </c:strCache>
            </c:strRef>
          </c:tx>
          <c:spPr>
            <a:solidFill>
              <a:schemeClr val="accent2"/>
            </a:solidFill>
            <a:ln>
              <a:noFill/>
            </a:ln>
            <a:effectLst/>
          </c:spPr>
          <c:invertIfNegative val="0"/>
          <c:cat>
            <c:strRef>
              <c:f>Sheet6!$B$466:$N$466</c:f>
              <c:strCache>
                <c:ptCount val="13"/>
                <c:pt idx="0">
                  <c:v>FM</c:v>
                </c:pt>
                <c:pt idx="1">
                  <c:v>AiM</c:v>
                </c:pt>
                <c:pt idx="2">
                  <c:v>IeM</c:v>
                </c:pt>
                <c:pt idx="3">
                  <c:v>TM</c:v>
                </c:pt>
                <c:pt idx="4">
                  <c:v>IZM</c:v>
                </c:pt>
                <c:pt idx="5">
                  <c:v>ZM</c:v>
                </c:pt>
                <c:pt idx="6">
                  <c:v>VM</c:v>
                </c:pt>
                <c:pt idx="7">
                  <c:v>LM</c:v>
                </c:pt>
                <c:pt idx="8">
                  <c:v>KM</c:v>
                </c:pt>
                <c:pt idx="9">
                  <c:v>VARAM</c:v>
                </c:pt>
                <c:pt idx="10">
                  <c:v>EM</c:v>
                </c:pt>
                <c:pt idx="11">
                  <c:v>ĀM</c:v>
                </c:pt>
                <c:pt idx="12">
                  <c:v>SM</c:v>
                </c:pt>
              </c:strCache>
            </c:strRef>
          </c:cat>
          <c:val>
            <c:numRef>
              <c:f>Sheet6!$B$468:$N$468</c:f>
              <c:numCache>
                <c:formatCode>0.0%</c:formatCode>
                <c:ptCount val="13"/>
                <c:pt idx="0">
                  <c:v>9.0756598889389112E-2</c:v>
                </c:pt>
                <c:pt idx="1">
                  <c:v>0.13395077615178888</c:v>
                </c:pt>
                <c:pt idx="2">
                  <c:v>0.1253017999536625</c:v>
                </c:pt>
                <c:pt idx="3">
                  <c:v>0.12520700258641418</c:v>
                </c:pt>
                <c:pt idx="4">
                  <c:v>1.5842695399826547E-2</c:v>
                </c:pt>
                <c:pt idx="5">
                  <c:v>0.21090535487431153</c:v>
                </c:pt>
                <c:pt idx="6">
                  <c:v>0.17095800801334468</c:v>
                </c:pt>
                <c:pt idx="7">
                  <c:v>6.681486465207799E-2</c:v>
                </c:pt>
                <c:pt idx="8">
                  <c:v>0.27126398754436182</c:v>
                </c:pt>
                <c:pt idx="9">
                  <c:v>0.22244962750967284</c:v>
                </c:pt>
                <c:pt idx="10">
                  <c:v>0.25107572535946338</c:v>
                </c:pt>
                <c:pt idx="11">
                  <c:v>0.40560939682481606</c:v>
                </c:pt>
                <c:pt idx="12">
                  <c:v>0.21670593259782861</c:v>
                </c:pt>
              </c:numCache>
            </c:numRef>
          </c:val>
          <c:extLst>
            <c:ext xmlns:c16="http://schemas.microsoft.com/office/drawing/2014/chart" uri="{C3380CC4-5D6E-409C-BE32-E72D297353CC}">
              <c16:uniqueId val="{00000001-6F4B-4FA9-B479-0503FC97E86B}"/>
            </c:ext>
          </c:extLst>
        </c:ser>
        <c:ser>
          <c:idx val="2"/>
          <c:order val="2"/>
          <c:tx>
            <c:strRef>
              <c:f>Sheet6!$A$469</c:f>
              <c:strCache>
                <c:ptCount val="1"/>
                <c:pt idx="0">
                  <c:v>Pārējie informācijas tehnoloģiju pakalpojumi</c:v>
                </c:pt>
              </c:strCache>
            </c:strRef>
          </c:tx>
          <c:spPr>
            <a:solidFill>
              <a:schemeClr val="accent3"/>
            </a:solidFill>
            <a:ln>
              <a:noFill/>
            </a:ln>
            <a:effectLst/>
          </c:spPr>
          <c:invertIfNegative val="0"/>
          <c:cat>
            <c:strRef>
              <c:f>Sheet6!$B$466:$N$466</c:f>
              <c:strCache>
                <c:ptCount val="13"/>
                <c:pt idx="0">
                  <c:v>FM</c:v>
                </c:pt>
                <c:pt idx="1">
                  <c:v>AiM</c:v>
                </c:pt>
                <c:pt idx="2">
                  <c:v>IeM</c:v>
                </c:pt>
                <c:pt idx="3">
                  <c:v>TM</c:v>
                </c:pt>
                <c:pt idx="4">
                  <c:v>IZM</c:v>
                </c:pt>
                <c:pt idx="5">
                  <c:v>ZM</c:v>
                </c:pt>
                <c:pt idx="6">
                  <c:v>VM</c:v>
                </c:pt>
                <c:pt idx="7">
                  <c:v>LM</c:v>
                </c:pt>
                <c:pt idx="8">
                  <c:v>KM</c:v>
                </c:pt>
                <c:pt idx="9">
                  <c:v>VARAM</c:v>
                </c:pt>
                <c:pt idx="10">
                  <c:v>EM</c:v>
                </c:pt>
                <c:pt idx="11">
                  <c:v>ĀM</c:v>
                </c:pt>
                <c:pt idx="12">
                  <c:v>SM</c:v>
                </c:pt>
              </c:strCache>
            </c:strRef>
          </c:cat>
          <c:val>
            <c:numRef>
              <c:f>Sheet6!$B$469:$N$469</c:f>
              <c:numCache>
                <c:formatCode>0.0%</c:formatCode>
                <c:ptCount val="13"/>
                <c:pt idx="0">
                  <c:v>3.7640960046674173E-2</c:v>
                </c:pt>
                <c:pt idx="1">
                  <c:v>1.9187812638932579E-2</c:v>
                </c:pt>
                <c:pt idx="2">
                  <c:v>0.11455684974558933</c:v>
                </c:pt>
                <c:pt idx="3">
                  <c:v>1.5584247952178845E-2</c:v>
                </c:pt>
                <c:pt idx="4">
                  <c:v>0.65582260395824554</c:v>
                </c:pt>
                <c:pt idx="5">
                  <c:v>1.4646394947629192E-2</c:v>
                </c:pt>
                <c:pt idx="6">
                  <c:v>3.1821855145257767E-2</c:v>
                </c:pt>
                <c:pt idx="7">
                  <c:v>3.005688892968221E-2</c:v>
                </c:pt>
                <c:pt idx="8">
                  <c:v>3.1848202307842563E-2</c:v>
                </c:pt>
                <c:pt idx="9">
                  <c:v>0.22028553515017132</c:v>
                </c:pt>
                <c:pt idx="10">
                  <c:v>5.7640015114164063E-2</c:v>
                </c:pt>
                <c:pt idx="11">
                  <c:v>1.9692738240214894E-2</c:v>
                </c:pt>
                <c:pt idx="12">
                  <c:v>1.3322620643159725E-2</c:v>
                </c:pt>
              </c:numCache>
            </c:numRef>
          </c:val>
          <c:extLst>
            <c:ext xmlns:c16="http://schemas.microsoft.com/office/drawing/2014/chart" uri="{C3380CC4-5D6E-409C-BE32-E72D297353CC}">
              <c16:uniqueId val="{00000002-6F4B-4FA9-B479-0503FC97E86B}"/>
            </c:ext>
          </c:extLst>
        </c:ser>
        <c:ser>
          <c:idx val="3"/>
          <c:order val="3"/>
          <c:tx>
            <c:strRef>
              <c:f>Sheet6!$A$470</c:f>
              <c:strCache>
                <c:ptCount val="1"/>
                <c:pt idx="0">
                  <c:v>Datorprogrammas</c:v>
                </c:pt>
              </c:strCache>
            </c:strRef>
          </c:tx>
          <c:spPr>
            <a:solidFill>
              <a:schemeClr val="accent4"/>
            </a:solidFill>
            <a:ln>
              <a:noFill/>
            </a:ln>
            <a:effectLst/>
          </c:spPr>
          <c:invertIfNegative val="0"/>
          <c:cat>
            <c:strRef>
              <c:f>Sheet6!$B$466:$N$466</c:f>
              <c:strCache>
                <c:ptCount val="13"/>
                <c:pt idx="0">
                  <c:v>FM</c:v>
                </c:pt>
                <c:pt idx="1">
                  <c:v>AiM</c:v>
                </c:pt>
                <c:pt idx="2">
                  <c:v>IeM</c:v>
                </c:pt>
                <c:pt idx="3">
                  <c:v>TM</c:v>
                </c:pt>
                <c:pt idx="4">
                  <c:v>IZM</c:v>
                </c:pt>
                <c:pt idx="5">
                  <c:v>ZM</c:v>
                </c:pt>
                <c:pt idx="6">
                  <c:v>VM</c:v>
                </c:pt>
                <c:pt idx="7">
                  <c:v>LM</c:v>
                </c:pt>
                <c:pt idx="8">
                  <c:v>KM</c:v>
                </c:pt>
                <c:pt idx="9">
                  <c:v>VARAM</c:v>
                </c:pt>
                <c:pt idx="10">
                  <c:v>EM</c:v>
                </c:pt>
                <c:pt idx="11">
                  <c:v>ĀM</c:v>
                </c:pt>
                <c:pt idx="12">
                  <c:v>SM</c:v>
                </c:pt>
              </c:strCache>
            </c:strRef>
          </c:cat>
          <c:val>
            <c:numRef>
              <c:f>Sheet6!$B$470:$N$470</c:f>
              <c:numCache>
                <c:formatCode>0.0%</c:formatCode>
                <c:ptCount val="13"/>
                <c:pt idx="0">
                  <c:v>0.13724079538876505</c:v>
                </c:pt>
                <c:pt idx="1">
                  <c:v>0.22705478163638462</c:v>
                </c:pt>
                <c:pt idx="2">
                  <c:v>0.18404178358086815</c:v>
                </c:pt>
                <c:pt idx="3">
                  <c:v>3.695851588506114E-2</c:v>
                </c:pt>
                <c:pt idx="4">
                  <c:v>5.8884661148165422E-2</c:v>
                </c:pt>
                <c:pt idx="5">
                  <c:v>0.15215122940738798</c:v>
                </c:pt>
                <c:pt idx="6">
                  <c:v>6.5160055241856557E-2</c:v>
                </c:pt>
                <c:pt idx="7">
                  <c:v>0.17734525890770567</c:v>
                </c:pt>
                <c:pt idx="8">
                  <c:v>2.1327722083571168E-2</c:v>
                </c:pt>
                <c:pt idx="9">
                  <c:v>6.7463534790525387E-2</c:v>
                </c:pt>
                <c:pt idx="10">
                  <c:v>0.20382054224191798</c:v>
                </c:pt>
                <c:pt idx="11">
                  <c:v>2.5725386577582561E-2</c:v>
                </c:pt>
                <c:pt idx="12">
                  <c:v>0</c:v>
                </c:pt>
              </c:numCache>
            </c:numRef>
          </c:val>
          <c:extLst>
            <c:ext xmlns:c16="http://schemas.microsoft.com/office/drawing/2014/chart" uri="{C3380CC4-5D6E-409C-BE32-E72D297353CC}">
              <c16:uniqueId val="{00000003-6F4B-4FA9-B479-0503FC97E86B}"/>
            </c:ext>
          </c:extLst>
        </c:ser>
        <c:ser>
          <c:idx val="4"/>
          <c:order val="4"/>
          <c:tx>
            <c:strRef>
              <c:f>Sheet6!$A$471</c:f>
              <c:strCache>
                <c:ptCount val="1"/>
                <c:pt idx="0">
                  <c:v>Datortehnika, sakaru un cita biroja tehnika</c:v>
                </c:pt>
              </c:strCache>
            </c:strRef>
          </c:tx>
          <c:spPr>
            <a:solidFill>
              <a:schemeClr val="accent5"/>
            </a:solidFill>
            <a:ln>
              <a:noFill/>
            </a:ln>
            <a:effectLst/>
          </c:spPr>
          <c:invertIfNegative val="0"/>
          <c:cat>
            <c:strRef>
              <c:f>Sheet6!$B$466:$N$466</c:f>
              <c:strCache>
                <c:ptCount val="13"/>
                <c:pt idx="0">
                  <c:v>FM</c:v>
                </c:pt>
                <c:pt idx="1">
                  <c:v>AiM</c:v>
                </c:pt>
                <c:pt idx="2">
                  <c:v>IeM</c:v>
                </c:pt>
                <c:pt idx="3">
                  <c:v>TM</c:v>
                </c:pt>
                <c:pt idx="4">
                  <c:v>IZM</c:v>
                </c:pt>
                <c:pt idx="5">
                  <c:v>ZM</c:v>
                </c:pt>
                <c:pt idx="6">
                  <c:v>VM</c:v>
                </c:pt>
                <c:pt idx="7">
                  <c:v>LM</c:v>
                </c:pt>
                <c:pt idx="8">
                  <c:v>KM</c:v>
                </c:pt>
                <c:pt idx="9">
                  <c:v>VARAM</c:v>
                </c:pt>
                <c:pt idx="10">
                  <c:v>EM</c:v>
                </c:pt>
                <c:pt idx="11">
                  <c:v>ĀM</c:v>
                </c:pt>
                <c:pt idx="12">
                  <c:v>SM</c:v>
                </c:pt>
              </c:strCache>
            </c:strRef>
          </c:cat>
          <c:val>
            <c:numRef>
              <c:f>Sheet6!$B$471:$N$471</c:f>
              <c:numCache>
                <c:formatCode>0.0%</c:formatCode>
                <c:ptCount val="13"/>
                <c:pt idx="0">
                  <c:v>0.20046822198116057</c:v>
                </c:pt>
                <c:pt idx="1">
                  <c:v>0.49456178125554573</c:v>
                </c:pt>
                <c:pt idx="2">
                  <c:v>0.23464965056511988</c:v>
                </c:pt>
                <c:pt idx="3">
                  <c:v>0.21343166621306911</c:v>
                </c:pt>
                <c:pt idx="4">
                  <c:v>6.5934222565655148E-2</c:v>
                </c:pt>
                <c:pt idx="5">
                  <c:v>0.21760122381975125</c:v>
                </c:pt>
                <c:pt idx="6">
                  <c:v>0.15494153087583432</c:v>
                </c:pt>
                <c:pt idx="7">
                  <c:v>0.300112097194359</c:v>
                </c:pt>
                <c:pt idx="8">
                  <c:v>0.30765067533367108</c:v>
                </c:pt>
                <c:pt idx="9">
                  <c:v>0.28385639258631601</c:v>
                </c:pt>
                <c:pt idx="10">
                  <c:v>0.24981119667430521</c:v>
                </c:pt>
                <c:pt idx="11">
                  <c:v>0.14668997540422465</c:v>
                </c:pt>
                <c:pt idx="12">
                  <c:v>4.5167008061440729E-2</c:v>
                </c:pt>
              </c:numCache>
            </c:numRef>
          </c:val>
          <c:extLst>
            <c:ext xmlns:c16="http://schemas.microsoft.com/office/drawing/2014/chart" uri="{C3380CC4-5D6E-409C-BE32-E72D297353CC}">
              <c16:uniqueId val="{00000004-6F4B-4FA9-B479-0503FC97E86B}"/>
            </c:ext>
          </c:extLst>
        </c:ser>
        <c:dLbls>
          <c:showLegendKey val="0"/>
          <c:showVal val="0"/>
          <c:showCatName val="0"/>
          <c:showSerName val="0"/>
          <c:showPercent val="0"/>
          <c:showBubbleSize val="0"/>
        </c:dLbls>
        <c:gapWidth val="150"/>
        <c:overlap val="100"/>
        <c:axId val="280677872"/>
        <c:axId val="280678264"/>
      </c:barChart>
      <c:catAx>
        <c:axId val="280677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78264"/>
        <c:crosses val="autoZero"/>
        <c:auto val="1"/>
        <c:lblAlgn val="ctr"/>
        <c:lblOffset val="100"/>
        <c:noMultiLvlLbl val="0"/>
      </c:catAx>
      <c:valAx>
        <c:axId val="280678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77872"/>
        <c:crosses val="autoZero"/>
        <c:crossBetween val="between"/>
      </c:valAx>
      <c:spPr>
        <a:noFill/>
        <a:ln>
          <a:noFill/>
        </a:ln>
        <a:effectLst/>
      </c:spPr>
    </c:plotArea>
    <c:legend>
      <c:legendPos val="b"/>
      <c:layout>
        <c:manualLayout>
          <c:xMode val="edge"/>
          <c:yMode val="edge"/>
          <c:x val="3.7388358847703369E-2"/>
          <c:y val="0.77041617166275267"/>
          <c:w val="0.93377577321757166"/>
          <c:h val="0.20296062992125985"/>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537457435382419E-2"/>
          <c:y val="3.2774670270863761E-2"/>
          <c:w val="0.78172404941131368"/>
          <c:h val="0.698797377015976"/>
        </c:manualLayout>
      </c:layout>
      <c:barChart>
        <c:barDir val="col"/>
        <c:grouping val="clustered"/>
        <c:varyColors val="0"/>
        <c:ser>
          <c:idx val="0"/>
          <c:order val="0"/>
          <c:tx>
            <c:strRef>
              <c:f>Sheet7!$B$2</c:f>
              <c:strCache>
                <c:ptCount val="1"/>
                <c:pt idx="0">
                  <c:v>VIS skaits</c:v>
                </c:pt>
              </c:strCache>
            </c:strRef>
          </c:tx>
          <c:spPr>
            <a:solidFill>
              <a:srgbClr val="00B050"/>
            </a:solidFill>
            <a:ln>
              <a:noFill/>
            </a:ln>
            <a:effectLst/>
          </c:spPr>
          <c:invertIfNegative val="0"/>
          <c:cat>
            <c:strRef>
              <c:f>Sheet7!$A$3:$A$24</c:f>
              <c:strCache>
                <c:ptCount val="22"/>
                <c:pt idx="0">
                  <c:v>IeM</c:v>
                </c:pt>
                <c:pt idx="1">
                  <c:v>FM</c:v>
                </c:pt>
                <c:pt idx="2">
                  <c:v>VM</c:v>
                </c:pt>
                <c:pt idx="3">
                  <c:v>TM</c:v>
                </c:pt>
                <c:pt idx="4">
                  <c:v>VARAM</c:v>
                </c:pt>
                <c:pt idx="5">
                  <c:v>LM</c:v>
                </c:pt>
                <c:pt idx="6">
                  <c:v>EM</c:v>
                </c:pt>
                <c:pt idx="7">
                  <c:v>IZM</c:v>
                </c:pt>
                <c:pt idx="8">
                  <c:v>SM</c:v>
                </c:pt>
                <c:pt idx="9">
                  <c:v>ZM</c:v>
                </c:pt>
                <c:pt idx="10">
                  <c:v>KM</c:v>
                </c:pt>
                <c:pt idx="11">
                  <c:v>AiM</c:v>
                </c:pt>
                <c:pt idx="12">
                  <c:v>PKC</c:v>
                </c:pt>
                <c:pt idx="13">
                  <c:v>Vkanc</c:v>
                </c:pt>
                <c:pt idx="14">
                  <c:v>ĀM</c:v>
                </c:pt>
                <c:pt idx="15">
                  <c:v>KNAB</c:v>
                </c:pt>
                <c:pt idx="16">
                  <c:v>NEPLP</c:v>
                </c:pt>
                <c:pt idx="17">
                  <c:v>Prokuratūra</c:v>
                </c:pt>
                <c:pt idx="18">
                  <c:v>SIF</c:v>
                </c:pt>
                <c:pt idx="19">
                  <c:v>AT</c:v>
                </c:pt>
                <c:pt idx="20">
                  <c:v>CVK</c:v>
                </c:pt>
                <c:pt idx="21">
                  <c:v>ST</c:v>
                </c:pt>
              </c:strCache>
            </c:strRef>
          </c:cat>
          <c:val>
            <c:numRef>
              <c:f>Sheet7!$B$3:$B$24</c:f>
              <c:numCache>
                <c:formatCode>General</c:formatCode>
                <c:ptCount val="22"/>
                <c:pt idx="0">
                  <c:v>29</c:v>
                </c:pt>
                <c:pt idx="1">
                  <c:v>28</c:v>
                </c:pt>
                <c:pt idx="2">
                  <c:v>23</c:v>
                </c:pt>
                <c:pt idx="3">
                  <c:v>21</c:v>
                </c:pt>
                <c:pt idx="4">
                  <c:v>16</c:v>
                </c:pt>
                <c:pt idx="5">
                  <c:v>12</c:v>
                </c:pt>
                <c:pt idx="6">
                  <c:v>9</c:v>
                </c:pt>
                <c:pt idx="7">
                  <c:v>8</c:v>
                </c:pt>
                <c:pt idx="8">
                  <c:v>8</c:v>
                </c:pt>
                <c:pt idx="9">
                  <c:v>8</c:v>
                </c:pt>
                <c:pt idx="10">
                  <c:v>4</c:v>
                </c:pt>
                <c:pt idx="11">
                  <c:v>2</c:v>
                </c:pt>
                <c:pt idx="12">
                  <c:v>2</c:v>
                </c:pt>
                <c:pt idx="13">
                  <c:v>2</c:v>
                </c:pt>
                <c:pt idx="14">
                  <c:v>1</c:v>
                </c:pt>
                <c:pt idx="15">
                  <c:v>1</c:v>
                </c:pt>
                <c:pt idx="16">
                  <c:v>1</c:v>
                </c:pt>
                <c:pt idx="17">
                  <c:v>1</c:v>
                </c:pt>
                <c:pt idx="18">
                  <c:v>1</c:v>
                </c:pt>
                <c:pt idx="19">
                  <c:v>0</c:v>
                </c:pt>
                <c:pt idx="20">
                  <c:v>0</c:v>
                </c:pt>
                <c:pt idx="21">
                  <c:v>0</c:v>
                </c:pt>
              </c:numCache>
            </c:numRef>
          </c:val>
          <c:extLst>
            <c:ext xmlns:c16="http://schemas.microsoft.com/office/drawing/2014/chart" uri="{C3380CC4-5D6E-409C-BE32-E72D297353CC}">
              <c16:uniqueId val="{00000000-34F9-4D80-97EC-5961726EC020}"/>
            </c:ext>
          </c:extLst>
        </c:ser>
        <c:dLbls>
          <c:showLegendKey val="0"/>
          <c:showVal val="0"/>
          <c:showCatName val="0"/>
          <c:showSerName val="0"/>
          <c:showPercent val="0"/>
          <c:showBubbleSize val="0"/>
        </c:dLbls>
        <c:gapWidth val="70"/>
        <c:axId val="280679048"/>
        <c:axId val="280679440"/>
      </c:barChart>
      <c:lineChart>
        <c:grouping val="standard"/>
        <c:varyColors val="0"/>
        <c:ser>
          <c:idx val="1"/>
          <c:order val="1"/>
          <c:tx>
            <c:strRef>
              <c:f>Sheet7!$C$2</c:f>
              <c:strCache>
                <c:ptCount val="1"/>
                <c:pt idx="0">
                  <c:v>Darbinieku skaits</c:v>
                </c:pt>
              </c:strCache>
            </c:strRef>
          </c:tx>
          <c:spPr>
            <a:ln w="28575" cap="rnd">
              <a:solidFill>
                <a:srgbClr val="C00000"/>
              </a:solidFill>
              <a:round/>
            </a:ln>
            <a:effectLst/>
          </c:spPr>
          <c:marker>
            <c:symbol val="none"/>
          </c:marker>
          <c:cat>
            <c:strRef>
              <c:f>Sheet7!$A$3:$A$24</c:f>
              <c:strCache>
                <c:ptCount val="22"/>
                <c:pt idx="0">
                  <c:v>IeM</c:v>
                </c:pt>
                <c:pt idx="1">
                  <c:v>FM</c:v>
                </c:pt>
                <c:pt idx="2">
                  <c:v>VM</c:v>
                </c:pt>
                <c:pt idx="3">
                  <c:v>TM</c:v>
                </c:pt>
                <c:pt idx="4">
                  <c:v>VARAM</c:v>
                </c:pt>
                <c:pt idx="5">
                  <c:v>LM</c:v>
                </c:pt>
                <c:pt idx="6">
                  <c:v>EM</c:v>
                </c:pt>
                <c:pt idx="7">
                  <c:v>IZM</c:v>
                </c:pt>
                <c:pt idx="8">
                  <c:v>SM</c:v>
                </c:pt>
                <c:pt idx="9">
                  <c:v>ZM</c:v>
                </c:pt>
                <c:pt idx="10">
                  <c:v>KM</c:v>
                </c:pt>
                <c:pt idx="11">
                  <c:v>AiM</c:v>
                </c:pt>
                <c:pt idx="12">
                  <c:v>PKC</c:v>
                </c:pt>
                <c:pt idx="13">
                  <c:v>Vkanc</c:v>
                </c:pt>
                <c:pt idx="14">
                  <c:v>ĀM</c:v>
                </c:pt>
                <c:pt idx="15">
                  <c:v>KNAB</c:v>
                </c:pt>
                <c:pt idx="16">
                  <c:v>NEPLP</c:v>
                </c:pt>
                <c:pt idx="17">
                  <c:v>Prokuratūra</c:v>
                </c:pt>
                <c:pt idx="18">
                  <c:v>SIF</c:v>
                </c:pt>
                <c:pt idx="19">
                  <c:v>AT</c:v>
                </c:pt>
                <c:pt idx="20">
                  <c:v>CVK</c:v>
                </c:pt>
                <c:pt idx="21">
                  <c:v>ST</c:v>
                </c:pt>
              </c:strCache>
            </c:strRef>
          </c:cat>
          <c:val>
            <c:numRef>
              <c:f>Sheet7!$C$3:$C$24</c:f>
              <c:numCache>
                <c:formatCode>#,##0</c:formatCode>
                <c:ptCount val="22"/>
                <c:pt idx="0">
                  <c:v>194</c:v>
                </c:pt>
                <c:pt idx="1">
                  <c:v>169</c:v>
                </c:pt>
                <c:pt idx="2">
                  <c:v>78</c:v>
                </c:pt>
                <c:pt idx="3">
                  <c:v>80</c:v>
                </c:pt>
                <c:pt idx="4">
                  <c:v>79</c:v>
                </c:pt>
                <c:pt idx="5">
                  <c:v>150</c:v>
                </c:pt>
                <c:pt idx="6">
                  <c:v>70</c:v>
                </c:pt>
                <c:pt idx="7">
                  <c:v>82</c:v>
                </c:pt>
                <c:pt idx="8">
                  <c:v>6</c:v>
                </c:pt>
                <c:pt idx="9">
                  <c:v>92</c:v>
                </c:pt>
                <c:pt idx="10">
                  <c:v>75</c:v>
                </c:pt>
                <c:pt idx="11">
                  <c:v>66</c:v>
                </c:pt>
                <c:pt idx="12" formatCode="General">
                  <c:v>0</c:v>
                </c:pt>
                <c:pt idx="13">
                  <c:v>7</c:v>
                </c:pt>
                <c:pt idx="14">
                  <c:v>17</c:v>
                </c:pt>
                <c:pt idx="15">
                  <c:v>4</c:v>
                </c:pt>
                <c:pt idx="16" formatCode="General">
                  <c:v>0</c:v>
                </c:pt>
                <c:pt idx="17">
                  <c:v>19</c:v>
                </c:pt>
                <c:pt idx="18">
                  <c:v>1</c:v>
                </c:pt>
                <c:pt idx="19">
                  <c:v>3</c:v>
                </c:pt>
                <c:pt idx="20">
                  <c:v>2</c:v>
                </c:pt>
                <c:pt idx="21">
                  <c:v>1</c:v>
                </c:pt>
              </c:numCache>
            </c:numRef>
          </c:val>
          <c:smooth val="0"/>
          <c:extLst>
            <c:ext xmlns:c16="http://schemas.microsoft.com/office/drawing/2014/chart" uri="{C3380CC4-5D6E-409C-BE32-E72D297353CC}">
              <c16:uniqueId val="{00000001-34F9-4D80-97EC-5961726EC020}"/>
            </c:ext>
          </c:extLst>
        </c:ser>
        <c:dLbls>
          <c:showLegendKey val="0"/>
          <c:showVal val="0"/>
          <c:showCatName val="0"/>
          <c:showSerName val="0"/>
          <c:showPercent val="0"/>
          <c:showBubbleSize val="0"/>
        </c:dLbls>
        <c:marker val="1"/>
        <c:smooth val="0"/>
        <c:axId val="280680224"/>
        <c:axId val="280679832"/>
      </c:lineChart>
      <c:catAx>
        <c:axId val="280679048"/>
        <c:scaling>
          <c:orientation val="minMax"/>
        </c:scaling>
        <c:delete val="0"/>
        <c:axPos val="b"/>
        <c:title>
          <c:tx>
            <c:rich>
              <a:bodyPr rot="-540000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Darbinieku skaits</a:t>
                </a:r>
              </a:p>
            </c:rich>
          </c:tx>
          <c:layout>
            <c:manualLayout>
              <c:xMode val="edge"/>
              <c:yMode val="edge"/>
              <c:x val="0.934282632492202"/>
              <c:y val="0.32192562097090915"/>
            </c:manualLayout>
          </c:layout>
          <c:overlay val="0"/>
          <c:spPr>
            <a:noFill/>
            <a:ln>
              <a:noFill/>
            </a:ln>
            <a:effectLst/>
          </c:spPr>
          <c:txPr>
            <a:bodyPr rot="-5400000" spcFirstLastPara="1" vertOverflow="ellipsis"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79440"/>
        <c:crosses val="autoZero"/>
        <c:auto val="1"/>
        <c:lblAlgn val="ctr"/>
        <c:lblOffset val="200"/>
        <c:noMultiLvlLbl val="0"/>
      </c:catAx>
      <c:valAx>
        <c:axId val="280679440"/>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VIS skaits</a:t>
                </a:r>
              </a:p>
            </c:rich>
          </c:tx>
          <c:layout>
            <c:manualLayout>
              <c:xMode val="edge"/>
              <c:yMode val="edge"/>
              <c:x val="1.6601814467206759E-2"/>
              <c:y val="0.34948238543293769"/>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79048"/>
        <c:crosses val="autoZero"/>
        <c:crossBetween val="between"/>
      </c:valAx>
      <c:valAx>
        <c:axId val="280679832"/>
        <c:scaling>
          <c:orientation val="minMax"/>
          <c:max val="2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80224"/>
        <c:crosses val="max"/>
        <c:crossBetween val="between"/>
      </c:valAx>
      <c:catAx>
        <c:axId val="280680224"/>
        <c:scaling>
          <c:orientation val="minMax"/>
        </c:scaling>
        <c:delete val="1"/>
        <c:axPos val="b"/>
        <c:numFmt formatCode="General" sourceLinked="1"/>
        <c:majorTickMark val="out"/>
        <c:minorTickMark val="none"/>
        <c:tickLblPos val="nextTo"/>
        <c:crossAx val="280679832"/>
        <c:crosses val="autoZero"/>
        <c:auto val="1"/>
        <c:lblAlgn val="ctr"/>
        <c:lblOffset val="100"/>
        <c:noMultiLvlLbl val="0"/>
      </c:catAx>
      <c:spPr>
        <a:noFill/>
        <a:ln>
          <a:noFill/>
        </a:ln>
        <a:effectLst/>
      </c:spPr>
    </c:plotArea>
    <c:legend>
      <c:legendPos val="b"/>
      <c:layout>
        <c:manualLayout>
          <c:xMode val="edge"/>
          <c:yMode val="edge"/>
          <c:x val="0.24108882738971874"/>
          <c:y val="0.91826601672453045"/>
          <c:w val="0.36895037894178806"/>
          <c:h val="6.0873490694084979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46868241469817"/>
          <c:y val="3.864732695776929E-2"/>
          <c:w val="0.7044120524934383"/>
          <c:h val="0.64936916102270437"/>
        </c:manualLayout>
      </c:layout>
      <c:barChart>
        <c:barDir val="col"/>
        <c:grouping val="clustered"/>
        <c:varyColors val="0"/>
        <c:ser>
          <c:idx val="0"/>
          <c:order val="0"/>
          <c:tx>
            <c:strRef>
              <c:f>Iestades!$J$1</c:f>
              <c:strCache>
                <c:ptCount val="1"/>
                <c:pt idx="0">
                  <c:v>Finansējums darba algai un VSAOI gadā, euro</c:v>
                </c:pt>
              </c:strCache>
            </c:strRef>
          </c:tx>
          <c:spPr>
            <a:solidFill>
              <a:schemeClr val="accent1"/>
            </a:solidFill>
            <a:ln>
              <a:noFill/>
            </a:ln>
            <a:effectLst/>
          </c:spPr>
          <c:invertIfNegative val="0"/>
          <c:cat>
            <c:strRef>
              <c:f>Iestades!$H$2:$H$21</c:f>
              <c:strCache>
                <c:ptCount val="20"/>
                <c:pt idx="0">
                  <c:v>IEM</c:v>
                </c:pt>
                <c:pt idx="1">
                  <c:v>FM</c:v>
                </c:pt>
                <c:pt idx="2">
                  <c:v>LM</c:v>
                </c:pt>
                <c:pt idx="3">
                  <c:v>ZM</c:v>
                </c:pt>
                <c:pt idx="4">
                  <c:v>VARAM</c:v>
                </c:pt>
                <c:pt idx="5">
                  <c:v>TM</c:v>
                </c:pt>
                <c:pt idx="6">
                  <c:v>VM</c:v>
                </c:pt>
                <c:pt idx="7">
                  <c:v>EM</c:v>
                </c:pt>
                <c:pt idx="8">
                  <c:v>KM</c:v>
                </c:pt>
                <c:pt idx="9">
                  <c:v>AIM</c:v>
                </c:pt>
                <c:pt idx="10">
                  <c:v>IZM</c:v>
                </c:pt>
                <c:pt idx="11">
                  <c:v>Prokuratūra</c:v>
                </c:pt>
                <c:pt idx="12">
                  <c:v>ĀM</c:v>
                </c:pt>
                <c:pt idx="13">
                  <c:v>SM</c:v>
                </c:pt>
                <c:pt idx="14">
                  <c:v>Vkanc</c:v>
                </c:pt>
                <c:pt idx="15">
                  <c:v>KNAB</c:v>
                </c:pt>
                <c:pt idx="16">
                  <c:v>AT</c:v>
                </c:pt>
                <c:pt idx="17">
                  <c:v>CVK</c:v>
                </c:pt>
                <c:pt idx="18">
                  <c:v>SIF</c:v>
                </c:pt>
                <c:pt idx="19">
                  <c:v>ST</c:v>
                </c:pt>
              </c:strCache>
            </c:strRef>
          </c:cat>
          <c:val>
            <c:numRef>
              <c:f>Iestades!$J$2:$J$21</c:f>
              <c:numCache>
                <c:formatCode>#,##0</c:formatCode>
                <c:ptCount val="20"/>
                <c:pt idx="0">
                  <c:v>2741063.9016120005</c:v>
                </c:pt>
                <c:pt idx="1">
                  <c:v>2734553.7736439994</c:v>
                </c:pt>
                <c:pt idx="2">
                  <c:v>2484798.8430857155</c:v>
                </c:pt>
                <c:pt idx="3">
                  <c:v>1610610.0492000002</c:v>
                </c:pt>
                <c:pt idx="4">
                  <c:v>1555513.6271999998</c:v>
                </c:pt>
                <c:pt idx="5">
                  <c:v>1376505.8711999999</c:v>
                </c:pt>
                <c:pt idx="6">
                  <c:v>1212114.8573199995</c:v>
                </c:pt>
                <c:pt idx="7">
                  <c:v>1185396.1824000003</c:v>
                </c:pt>
                <c:pt idx="8">
                  <c:v>1105146.7236000001</c:v>
                </c:pt>
                <c:pt idx="9">
                  <c:v>1101261.0539999995</c:v>
                </c:pt>
                <c:pt idx="10">
                  <c:v>891753.9061079995</c:v>
                </c:pt>
                <c:pt idx="11">
                  <c:v>375486.19439999998</c:v>
                </c:pt>
                <c:pt idx="12">
                  <c:v>358312.12800000008</c:v>
                </c:pt>
                <c:pt idx="13">
                  <c:v>142642.63440000001</c:v>
                </c:pt>
                <c:pt idx="14">
                  <c:v>127826.66519999999</c:v>
                </c:pt>
                <c:pt idx="15">
                  <c:v>72670.92</c:v>
                </c:pt>
                <c:pt idx="16">
                  <c:v>56950.271999999997</c:v>
                </c:pt>
                <c:pt idx="17">
                  <c:v>37254.969599999997</c:v>
                </c:pt>
                <c:pt idx="18">
                  <c:v>19087.239600000001</c:v>
                </c:pt>
                <c:pt idx="19">
                  <c:v>17945.268</c:v>
                </c:pt>
              </c:numCache>
            </c:numRef>
          </c:val>
          <c:extLst>
            <c:ext xmlns:c16="http://schemas.microsoft.com/office/drawing/2014/chart" uri="{C3380CC4-5D6E-409C-BE32-E72D297353CC}">
              <c16:uniqueId val="{00000000-7792-4768-BD70-41E73FFA32E2}"/>
            </c:ext>
          </c:extLst>
        </c:ser>
        <c:dLbls>
          <c:showLegendKey val="0"/>
          <c:showVal val="0"/>
          <c:showCatName val="0"/>
          <c:showSerName val="0"/>
          <c:showPercent val="0"/>
          <c:showBubbleSize val="0"/>
        </c:dLbls>
        <c:gapWidth val="150"/>
        <c:axId val="280681008"/>
        <c:axId val="280681400"/>
      </c:barChart>
      <c:lineChart>
        <c:grouping val="standard"/>
        <c:varyColors val="0"/>
        <c:ser>
          <c:idx val="1"/>
          <c:order val="1"/>
          <c:tx>
            <c:strRef>
              <c:f>Iestades!$K$1</c:f>
              <c:strCache>
                <c:ptCount val="1"/>
                <c:pt idx="0">
                  <c:v>Vidējā darba alga mēnesī, euro</c:v>
                </c:pt>
              </c:strCache>
            </c:strRef>
          </c:tx>
          <c:spPr>
            <a:ln w="28575" cap="rnd">
              <a:solidFill>
                <a:schemeClr val="accent2"/>
              </a:solidFill>
              <a:round/>
            </a:ln>
            <a:effectLst/>
          </c:spPr>
          <c:marker>
            <c:symbol val="none"/>
          </c:marker>
          <c:cat>
            <c:strRef>
              <c:f>Iestades!$H$2:$H$21</c:f>
              <c:strCache>
                <c:ptCount val="20"/>
                <c:pt idx="0">
                  <c:v>IEM</c:v>
                </c:pt>
                <c:pt idx="1">
                  <c:v>FM</c:v>
                </c:pt>
                <c:pt idx="2">
                  <c:v>LM</c:v>
                </c:pt>
                <c:pt idx="3">
                  <c:v>ZM</c:v>
                </c:pt>
                <c:pt idx="4">
                  <c:v>VARAM</c:v>
                </c:pt>
                <c:pt idx="5">
                  <c:v>TM</c:v>
                </c:pt>
                <c:pt idx="6">
                  <c:v>VM</c:v>
                </c:pt>
                <c:pt idx="7">
                  <c:v>EM</c:v>
                </c:pt>
                <c:pt idx="8">
                  <c:v>KM</c:v>
                </c:pt>
                <c:pt idx="9">
                  <c:v>AIM</c:v>
                </c:pt>
                <c:pt idx="10">
                  <c:v>IZM</c:v>
                </c:pt>
                <c:pt idx="11">
                  <c:v>Prokuratūra</c:v>
                </c:pt>
                <c:pt idx="12">
                  <c:v>ĀM</c:v>
                </c:pt>
                <c:pt idx="13">
                  <c:v>SM</c:v>
                </c:pt>
                <c:pt idx="14">
                  <c:v>Vkanc</c:v>
                </c:pt>
                <c:pt idx="15">
                  <c:v>KNAB</c:v>
                </c:pt>
                <c:pt idx="16">
                  <c:v>AT</c:v>
                </c:pt>
                <c:pt idx="17">
                  <c:v>CVK</c:v>
                </c:pt>
                <c:pt idx="18">
                  <c:v>SIF</c:v>
                </c:pt>
                <c:pt idx="19">
                  <c:v>ST</c:v>
                </c:pt>
              </c:strCache>
            </c:strRef>
          </c:cat>
          <c:val>
            <c:numRef>
              <c:f>Iestades!$K$2:$K$21</c:f>
              <c:numCache>
                <c:formatCode>#,##0</c:formatCode>
                <c:ptCount val="20"/>
                <c:pt idx="0">
                  <c:v>952.69273195876315</c:v>
                </c:pt>
                <c:pt idx="1">
                  <c:v>1091.0262130177514</c:v>
                </c:pt>
                <c:pt idx="2">
                  <c:v>1116.9542857142862</c:v>
                </c:pt>
                <c:pt idx="3">
                  <c:v>1180.4239130434785</c:v>
                </c:pt>
                <c:pt idx="4">
                  <c:v>1327.6455696202529</c:v>
                </c:pt>
                <c:pt idx="5">
                  <c:v>1160.175</c:v>
                </c:pt>
                <c:pt idx="6">
                  <c:v>1047.8149572649568</c:v>
                </c:pt>
                <c:pt idx="7">
                  <c:v>1141.8285714285716</c:v>
                </c:pt>
                <c:pt idx="8">
                  <c:v>993.56000000000006</c:v>
                </c:pt>
                <c:pt idx="9">
                  <c:v>1125.0757575757573</c:v>
                </c:pt>
                <c:pt idx="10">
                  <c:v>733.27451219512159</c:v>
                </c:pt>
                <c:pt idx="11">
                  <c:v>1332.5263157894738</c:v>
                </c:pt>
                <c:pt idx="12">
                  <c:v>1421.1764705882354</c:v>
                </c:pt>
                <c:pt idx="13">
                  <c:v>1603.0000000000002</c:v>
                </c:pt>
                <c:pt idx="14">
                  <c:v>1231.285714285714</c:v>
                </c:pt>
                <c:pt idx="15">
                  <c:v>1225</c:v>
                </c:pt>
                <c:pt idx="16">
                  <c:v>1280</c:v>
                </c:pt>
                <c:pt idx="17">
                  <c:v>1255.9999999999998</c:v>
                </c:pt>
                <c:pt idx="18">
                  <c:v>1287</c:v>
                </c:pt>
                <c:pt idx="19">
                  <c:v>1210</c:v>
                </c:pt>
              </c:numCache>
            </c:numRef>
          </c:val>
          <c:smooth val="0"/>
          <c:extLst>
            <c:ext xmlns:c16="http://schemas.microsoft.com/office/drawing/2014/chart" uri="{C3380CC4-5D6E-409C-BE32-E72D297353CC}">
              <c16:uniqueId val="{00000001-7792-4768-BD70-41E73FFA32E2}"/>
            </c:ext>
          </c:extLst>
        </c:ser>
        <c:dLbls>
          <c:showLegendKey val="0"/>
          <c:showVal val="0"/>
          <c:showCatName val="0"/>
          <c:showSerName val="0"/>
          <c:showPercent val="0"/>
          <c:showBubbleSize val="0"/>
        </c:dLbls>
        <c:marker val="1"/>
        <c:smooth val="0"/>
        <c:axId val="280682184"/>
        <c:axId val="280681792"/>
      </c:lineChart>
      <c:catAx>
        <c:axId val="28068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81400"/>
        <c:crosses val="autoZero"/>
        <c:auto val="1"/>
        <c:lblAlgn val="ctr"/>
        <c:lblOffset val="100"/>
        <c:noMultiLvlLbl val="0"/>
      </c:catAx>
      <c:valAx>
        <c:axId val="280681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Finansējums darba algai un VSAOI</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81008"/>
        <c:crosses val="autoZero"/>
        <c:crossBetween val="between"/>
      </c:valAx>
      <c:valAx>
        <c:axId val="2806817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82184"/>
        <c:crosses val="max"/>
        <c:crossBetween val="between"/>
      </c:valAx>
      <c:catAx>
        <c:axId val="280682184"/>
        <c:scaling>
          <c:orientation val="minMax"/>
        </c:scaling>
        <c:delete val="1"/>
        <c:axPos val="b"/>
        <c:numFmt formatCode="General" sourceLinked="1"/>
        <c:majorTickMark val="out"/>
        <c:minorTickMark val="none"/>
        <c:tickLblPos val="nextTo"/>
        <c:crossAx val="280681792"/>
        <c:crosses val="autoZero"/>
        <c:auto val="1"/>
        <c:lblAlgn val="ctr"/>
        <c:lblOffset val="100"/>
        <c:noMultiLvlLbl val="0"/>
      </c:catAx>
      <c:spPr>
        <a:noFill/>
        <a:ln>
          <a:noFill/>
        </a:ln>
        <a:effectLst/>
      </c:spPr>
    </c:plotArea>
    <c:legend>
      <c:legendPos val="b"/>
      <c:layout>
        <c:manualLayout>
          <c:xMode val="edge"/>
          <c:yMode val="edge"/>
          <c:x val="4.9999915821939835E-2"/>
          <c:y val="0.91837417175999858"/>
          <c:w val="0.9"/>
          <c:h val="8.1625828240001475E-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057097660772204"/>
          <c:y val="4.0731051475708394E-2"/>
          <c:w val="0.37212421679613283"/>
          <c:h val="0.90221136643633837"/>
        </c:manualLayout>
      </c:layout>
      <c:pieChart>
        <c:varyColors val="1"/>
        <c:ser>
          <c:idx val="0"/>
          <c:order val="0"/>
          <c:dPt>
            <c:idx val="0"/>
            <c:bubble3D val="0"/>
            <c:spPr>
              <a:solidFill>
                <a:srgbClr val="7030A0"/>
              </a:solidFill>
              <a:ln w="19050">
                <a:solidFill>
                  <a:schemeClr val="lt1"/>
                </a:solidFill>
              </a:ln>
              <a:effectLst/>
            </c:spPr>
            <c:extLst>
              <c:ext xmlns:c16="http://schemas.microsoft.com/office/drawing/2014/chart" uri="{C3380CC4-5D6E-409C-BE32-E72D297353CC}">
                <c16:uniqueId val="{00000001-AEEA-4BEF-9FBE-927595230A6E}"/>
              </c:ext>
            </c:extLst>
          </c:dPt>
          <c:dPt>
            <c:idx val="1"/>
            <c:bubble3D val="0"/>
            <c:spPr>
              <a:solidFill>
                <a:srgbClr val="0070C0"/>
              </a:solidFill>
              <a:ln w="19050">
                <a:solidFill>
                  <a:schemeClr val="lt1"/>
                </a:solidFill>
              </a:ln>
              <a:effectLst/>
            </c:spPr>
            <c:extLst>
              <c:ext xmlns:c16="http://schemas.microsoft.com/office/drawing/2014/chart" uri="{C3380CC4-5D6E-409C-BE32-E72D297353CC}">
                <c16:uniqueId val="{00000003-AEEA-4BEF-9FBE-927595230A6E}"/>
              </c:ext>
            </c:extLst>
          </c:dPt>
          <c:dPt>
            <c:idx val="2"/>
            <c:bubble3D val="0"/>
            <c:spPr>
              <a:solidFill>
                <a:srgbClr val="00B0F0"/>
              </a:solidFill>
              <a:ln w="19050">
                <a:solidFill>
                  <a:schemeClr val="lt1"/>
                </a:solidFill>
              </a:ln>
              <a:effectLst/>
            </c:spPr>
            <c:extLst>
              <c:ext xmlns:c16="http://schemas.microsoft.com/office/drawing/2014/chart" uri="{C3380CC4-5D6E-409C-BE32-E72D297353CC}">
                <c16:uniqueId val="{00000005-AEEA-4BEF-9FBE-927595230A6E}"/>
              </c:ext>
            </c:extLst>
          </c:dPt>
          <c:dPt>
            <c:idx val="3"/>
            <c:bubble3D val="0"/>
            <c:spPr>
              <a:solidFill>
                <a:srgbClr val="00B050"/>
              </a:solidFill>
              <a:ln w="19050">
                <a:solidFill>
                  <a:schemeClr val="lt1"/>
                </a:solidFill>
              </a:ln>
              <a:effectLst/>
            </c:spPr>
            <c:extLst>
              <c:ext xmlns:c16="http://schemas.microsoft.com/office/drawing/2014/chart" uri="{C3380CC4-5D6E-409C-BE32-E72D297353CC}">
                <c16:uniqueId val="{00000007-AEEA-4BEF-9FBE-927595230A6E}"/>
              </c:ext>
            </c:extLst>
          </c:dPt>
          <c:dPt>
            <c:idx val="4"/>
            <c:bubble3D val="0"/>
            <c:spPr>
              <a:solidFill>
                <a:srgbClr val="92D050"/>
              </a:solidFill>
              <a:ln w="19050">
                <a:solidFill>
                  <a:schemeClr val="lt1"/>
                </a:solidFill>
              </a:ln>
              <a:effectLst/>
            </c:spPr>
            <c:extLst>
              <c:ext xmlns:c16="http://schemas.microsoft.com/office/drawing/2014/chart" uri="{C3380CC4-5D6E-409C-BE32-E72D297353CC}">
                <c16:uniqueId val="{00000009-AEEA-4BEF-9FBE-927595230A6E}"/>
              </c:ext>
            </c:extLst>
          </c:dPt>
          <c:dPt>
            <c:idx val="5"/>
            <c:bubble3D val="0"/>
            <c:spPr>
              <a:solidFill>
                <a:srgbClr val="FFC000"/>
              </a:solidFill>
              <a:ln w="19050">
                <a:solidFill>
                  <a:schemeClr val="lt1"/>
                </a:solidFill>
              </a:ln>
              <a:effectLst/>
            </c:spPr>
            <c:extLst>
              <c:ext xmlns:c16="http://schemas.microsoft.com/office/drawing/2014/chart" uri="{C3380CC4-5D6E-409C-BE32-E72D297353CC}">
                <c16:uniqueId val="{0000000B-AEEA-4BEF-9FBE-927595230A6E}"/>
              </c:ext>
            </c:extLst>
          </c:dPt>
          <c:dLbls>
            <c:dLbl>
              <c:idx val="0"/>
              <c:layout>
                <c:manualLayout>
                  <c:x val="9.6520763187429859E-2"/>
                  <c:y val="0.15625"/>
                </c:manualLayout>
              </c:layout>
              <c:tx>
                <c:rich>
                  <a:bodyPr/>
                  <a:lstStyle/>
                  <a:p>
                    <a:fld id="{CA063316-2896-4909-9BE0-36B8F91BCAB3}" type="CATEGORYNAME">
                      <a:rPr lang="en-US"/>
                      <a:pPr/>
                      <a:t>[CATEGORY NAME]</a:t>
                    </a:fld>
                    <a:endParaRPr lang="en-US" baseline="0"/>
                  </a:p>
                  <a:p>
                    <a:fld id="{F543107D-7469-4A83-8B3F-9DFF2BD6F004}" type="VALUE">
                      <a:rPr lang="en-US"/>
                      <a:pPr/>
                      <a:t>[VALUE]</a:t>
                    </a:fld>
                    <a:r>
                      <a:rPr lang="en-US"/>
                      <a:t> milj. </a:t>
                    </a:r>
                    <a:r>
                      <a:rPr lang="en-US" i="1"/>
                      <a:t>euro</a:t>
                    </a:r>
                    <a:endParaRPr lang="en-US" i="1" baseline="0"/>
                  </a:p>
                  <a:p>
                    <a:fld id="{0A2C89BC-0572-4262-A2B9-4B3590AD916A}" type="PERCENTAGE">
                      <a:rPr lang="en-US"/>
                      <a:pPr/>
                      <a:t>[PERCENTAGE]</a:t>
                    </a:fld>
                    <a:endParaRPr lang="lv-LV"/>
                  </a:p>
                </c:rich>
              </c:tx>
              <c:dLblPos val="bestFit"/>
              <c:showLegendKey val="1"/>
              <c:showVal val="1"/>
              <c:showCatName val="1"/>
              <c:showSerName val="0"/>
              <c:showPercent val="1"/>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AEEA-4BEF-9FBE-927595230A6E}"/>
                </c:ext>
              </c:extLst>
            </c:dLbl>
            <c:dLbl>
              <c:idx val="1"/>
              <c:layout>
                <c:manualLayout>
                  <c:x val="8.3052749719416216E-2"/>
                  <c:y val="0.18229166666666666"/>
                </c:manualLayout>
              </c:layout>
              <c:tx>
                <c:rich>
                  <a:bodyPr/>
                  <a:lstStyle/>
                  <a:p>
                    <a:fld id="{21F17166-76D6-4622-9FDC-B3DAE164ED31}" type="CATEGORYNAME">
                      <a:rPr lang="en-US"/>
                      <a:pPr/>
                      <a:t>[CATEGORY NAME]</a:t>
                    </a:fld>
                    <a:endParaRPr lang="en-US" baseline="0"/>
                  </a:p>
                  <a:p>
                    <a:fld id="{9B167EF5-0653-448D-AE5F-288B4D737BE3}" type="VALUE">
                      <a:rPr lang="en-US"/>
                      <a:pPr/>
                      <a:t>[VALUE]</a:t>
                    </a:fld>
                    <a:r>
                      <a:rPr lang="en-US"/>
                      <a:t> </a:t>
                    </a:r>
                    <a:r>
                      <a:rPr lang="en-US" sz="1050" b="0" i="0" u="none" strike="noStrike" kern="1200" baseline="0">
                        <a:solidFill>
                          <a:sysClr val="windowText" lastClr="000000"/>
                        </a:solidFill>
                        <a:latin typeface="Times New Roman" panose="02020603050405020304" pitchFamily="18" charset="0"/>
                        <a:cs typeface="Times New Roman" panose="02020603050405020304" pitchFamily="18" charset="0"/>
                      </a:rPr>
                      <a:t>milj. </a:t>
                    </a:r>
                    <a:r>
                      <a:rPr lang="en-US" sz="1050" b="0" i="1" u="none" strike="noStrike" kern="1200" baseline="0">
                        <a:solidFill>
                          <a:sysClr val="windowText" lastClr="000000"/>
                        </a:solidFill>
                        <a:latin typeface="Times New Roman" panose="02020603050405020304" pitchFamily="18" charset="0"/>
                        <a:cs typeface="Times New Roman" panose="02020603050405020304" pitchFamily="18" charset="0"/>
                      </a:rPr>
                      <a:t>euro</a:t>
                    </a:r>
                    <a:endParaRPr lang="en-US" sz="1050" i="1" baseline="0">
                      <a:solidFill>
                        <a:sysClr val="windowText" lastClr="000000"/>
                      </a:solidFill>
                    </a:endParaRPr>
                  </a:p>
                  <a:p>
                    <a:fld id="{28E1DC6A-19A0-4CA5-8D0B-1B449C2D6E2D}" type="PERCENTAGE">
                      <a:rPr lang="en-US"/>
                      <a:pPr/>
                      <a:t>[PERCENTAGE]</a:t>
                    </a:fld>
                    <a:endParaRPr lang="lv-LV"/>
                  </a:p>
                </c:rich>
              </c:tx>
              <c:dLblPos val="bestFit"/>
              <c:showLegendKey val="1"/>
              <c:showVal val="1"/>
              <c:showCatName val="1"/>
              <c:showSerName val="0"/>
              <c:showPercent val="1"/>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AEEA-4BEF-9FBE-927595230A6E}"/>
                </c:ext>
              </c:extLst>
            </c:dLbl>
            <c:dLbl>
              <c:idx val="2"/>
              <c:layout>
                <c:manualLayout>
                  <c:x val="7.1829405162738502E-2"/>
                  <c:y val="-5.208333333333333E-3"/>
                </c:manualLayout>
              </c:layout>
              <c:tx>
                <c:rich>
                  <a:bodyPr/>
                  <a:lstStyle/>
                  <a:p>
                    <a:fld id="{7D6D78A6-6DE8-4EE5-A931-DAC45B9B9C00}" type="CATEGORYNAME">
                      <a:rPr lang="en-US"/>
                      <a:pPr/>
                      <a:t>[CATEGORY NAME]</a:t>
                    </a:fld>
                    <a:endParaRPr lang="en-US" baseline="0"/>
                  </a:p>
                  <a:p>
                    <a:fld id="{AA6DFE98-9F19-45B2-8963-A88F5F93CED0}" type="VALUE">
                      <a:rPr lang="en-US"/>
                      <a:pPr/>
                      <a:t>[VALUE]</a:t>
                    </a:fld>
                    <a:r>
                      <a:rPr lang="en-US"/>
                      <a:t> milj. </a:t>
                    </a:r>
                    <a:r>
                      <a:rPr lang="en-US" i="1"/>
                      <a:t>euro</a:t>
                    </a:r>
                    <a:endParaRPr lang="en-US" i="1" baseline="0"/>
                  </a:p>
                  <a:p>
                    <a:fld id="{6EAF71E7-CC54-4047-B922-7290E5105520}" type="PERCENTAGE">
                      <a:rPr lang="en-US"/>
                      <a:pPr/>
                      <a:t>[PERCENTAGE]</a:t>
                    </a:fld>
                    <a:r>
                      <a:rPr lang="en-US"/>
                      <a:t> </a:t>
                    </a:r>
                  </a:p>
                </c:rich>
              </c:tx>
              <c:dLblPos val="bestFit"/>
              <c:showLegendKey val="1"/>
              <c:showVal val="1"/>
              <c:showCatName val="1"/>
              <c:showSerName val="0"/>
              <c:showPercent val="1"/>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AEEA-4BEF-9FBE-927595230A6E}"/>
                </c:ext>
              </c:extLst>
            </c:dLbl>
            <c:dLbl>
              <c:idx val="3"/>
              <c:layout>
                <c:manualLayout>
                  <c:x val="-0.12794612794612795"/>
                  <c:y val="-3.6458333333333336E-2"/>
                </c:manualLayout>
              </c:layout>
              <c:tx>
                <c:rich>
                  <a:bodyPr/>
                  <a:lstStyle/>
                  <a:p>
                    <a:fld id="{855DDFC9-950E-450E-9794-E7465DDFDD7B}" type="CATEGORYNAME">
                      <a:rPr lang="en-US"/>
                      <a:pPr/>
                      <a:t>[CATEGORY NAME]</a:t>
                    </a:fld>
                    <a:endParaRPr lang="en-US" baseline="0"/>
                  </a:p>
                  <a:p>
                    <a:fld id="{D0E0DDFA-254E-4F7B-9E23-6DF48E055E84}" type="VALUE">
                      <a:rPr lang="en-US"/>
                      <a:pPr/>
                      <a:t>[VALUE]</a:t>
                    </a:fld>
                    <a:r>
                      <a:rPr lang="en-US"/>
                      <a:t> milj. </a:t>
                    </a:r>
                    <a:r>
                      <a:rPr lang="en-US" i="1"/>
                      <a:t>euro</a:t>
                    </a:r>
                    <a:endParaRPr lang="en-US" i="1" baseline="0"/>
                  </a:p>
                  <a:p>
                    <a:fld id="{7FFC56F9-1EC5-4AF1-9374-5409B806A9F5}" type="PERCENTAGE">
                      <a:rPr lang="en-US"/>
                      <a:pPr/>
                      <a:t>[PERCENTAGE]</a:t>
                    </a:fld>
                    <a:endParaRPr lang="lv-LV"/>
                  </a:p>
                </c:rich>
              </c:tx>
              <c:dLblPos val="bestFit"/>
              <c:showLegendKey val="1"/>
              <c:showVal val="1"/>
              <c:showCatName val="1"/>
              <c:showSerName val="0"/>
              <c:showPercent val="1"/>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AEEA-4BEF-9FBE-927595230A6E}"/>
                </c:ext>
              </c:extLst>
            </c:dLbl>
            <c:dLbl>
              <c:idx val="4"/>
              <c:layout>
                <c:manualLayout>
                  <c:x val="-0.1122334455667789"/>
                  <c:y val="5.7291666666666664E-2"/>
                </c:manualLayout>
              </c:layout>
              <c:tx>
                <c:rich>
                  <a:bodyPr/>
                  <a:lstStyle/>
                  <a:p>
                    <a:fld id="{A831B601-BD91-4C7F-9675-8743E7AF8313}" type="CATEGORYNAME">
                      <a:rPr lang="en-US"/>
                      <a:pPr/>
                      <a:t>[CATEGORY NAME]</a:t>
                    </a:fld>
                    <a:endParaRPr lang="en-US" baseline="0"/>
                  </a:p>
                  <a:p>
                    <a:fld id="{A35C92AB-D2D6-4F42-9D59-9B7A7C6E5B75}" type="VALUE">
                      <a:rPr lang="en-US"/>
                      <a:pPr/>
                      <a:t>[VALUE]</a:t>
                    </a:fld>
                    <a:r>
                      <a:rPr lang="en-US"/>
                      <a:t> milj. </a:t>
                    </a:r>
                    <a:r>
                      <a:rPr lang="en-US" i="1"/>
                      <a:t>euro</a:t>
                    </a:r>
                    <a:endParaRPr lang="en-US" i="1" baseline="0"/>
                  </a:p>
                  <a:p>
                    <a:fld id="{F312AF88-B313-46C5-B85E-CAEF58C7E0D8}" type="PERCENTAGE">
                      <a:rPr lang="en-US"/>
                      <a:pPr/>
                      <a:t>[PERCENTAGE]</a:t>
                    </a:fld>
                    <a:endParaRPr lang="lv-LV"/>
                  </a:p>
                </c:rich>
              </c:tx>
              <c:dLblPos val="bestFit"/>
              <c:showLegendKey val="1"/>
              <c:showVal val="1"/>
              <c:showCatName val="1"/>
              <c:showSerName val="0"/>
              <c:showPercent val="1"/>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AEEA-4BEF-9FBE-927595230A6E}"/>
                </c:ext>
              </c:extLst>
            </c:dLbl>
            <c:dLbl>
              <c:idx val="5"/>
              <c:layout>
                <c:manualLayout>
                  <c:x val="7.8563411896745233E-2"/>
                  <c:y val="0"/>
                </c:manualLayout>
              </c:layout>
              <c:tx>
                <c:rich>
                  <a:bodyPr/>
                  <a:lstStyle/>
                  <a:p>
                    <a:fld id="{73E8BDC9-7E70-4001-8A0D-12F9868CDD06}" type="CATEGORYNAME">
                      <a:rPr lang="en-US"/>
                      <a:pPr/>
                      <a:t>[CATEGORY NAME]</a:t>
                    </a:fld>
                    <a:endParaRPr lang="en-US" baseline="0"/>
                  </a:p>
                  <a:p>
                    <a:fld id="{A8517614-9E9C-4A9F-A6DC-8E0705D2E119}" type="VALUE">
                      <a:rPr lang="en-US"/>
                      <a:pPr/>
                      <a:t>[VALUE]</a:t>
                    </a:fld>
                    <a:r>
                      <a:rPr lang="en-US"/>
                      <a:t> milj. </a:t>
                    </a:r>
                    <a:r>
                      <a:rPr lang="en-US" i="1"/>
                      <a:t>euro</a:t>
                    </a:r>
                    <a:endParaRPr lang="en-US" i="1" baseline="0"/>
                  </a:p>
                  <a:p>
                    <a:fld id="{587921EA-3386-48A2-8937-CCF4BDE909F0}" type="PERCENTAGE">
                      <a:rPr lang="en-US"/>
                      <a:pPr/>
                      <a:t>[PERCENTAGE]</a:t>
                    </a:fld>
                    <a:endParaRPr lang="lv-LV"/>
                  </a:p>
                </c:rich>
              </c:tx>
              <c:dLblPos val="bestFit"/>
              <c:showLegendKey val="1"/>
              <c:showVal val="1"/>
              <c:showCatName val="1"/>
              <c:showSerName val="0"/>
              <c:showPercent val="1"/>
              <c:showBubbleSize val="0"/>
              <c:separator>
</c:separator>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AEEA-4BEF-9FBE-927595230A6E}"/>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1"/>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Apakssaimes!$C$486:$C$491</c:f>
              <c:strCache>
                <c:ptCount val="6"/>
                <c:pt idx="0">
                  <c:v>19.1.apakšsaime</c:v>
                </c:pt>
                <c:pt idx="1">
                  <c:v>19.2.apakšsaime</c:v>
                </c:pt>
                <c:pt idx="2">
                  <c:v>19.3.apakšsaime</c:v>
                </c:pt>
                <c:pt idx="3">
                  <c:v>19.4.apakšsaime</c:v>
                </c:pt>
                <c:pt idx="4">
                  <c:v>19.5.apakšsaime</c:v>
                </c:pt>
                <c:pt idx="5">
                  <c:v>19.6.apakšsaime</c:v>
                </c:pt>
              </c:strCache>
            </c:strRef>
          </c:cat>
          <c:val>
            <c:numRef>
              <c:f>Apakssaimes!$E$486:$E$491</c:f>
              <c:numCache>
                <c:formatCode>#\ ##0.0</c:formatCode>
                <c:ptCount val="6"/>
                <c:pt idx="0">
                  <c:v>0.22614003839999999</c:v>
                </c:pt>
                <c:pt idx="1">
                  <c:v>2.1794220988440007</c:v>
                </c:pt>
                <c:pt idx="2">
                  <c:v>3.9939740382359945</c:v>
                </c:pt>
                <c:pt idx="3">
                  <c:v>3.7767379672320023</c:v>
                </c:pt>
                <c:pt idx="4">
                  <c:v>8.3340345757376983</c:v>
                </c:pt>
                <c:pt idx="5">
                  <c:v>0.6965863621199998</c:v>
                </c:pt>
              </c:numCache>
            </c:numRef>
          </c:val>
          <c:extLst>
            <c:ext xmlns:c16="http://schemas.microsoft.com/office/drawing/2014/chart" uri="{C3380CC4-5D6E-409C-BE32-E72D297353CC}">
              <c16:uniqueId val="{0000000C-AEEA-4BEF-9FBE-927595230A6E}"/>
            </c:ext>
          </c:extLst>
        </c:ser>
        <c:dLbls>
          <c:showLegendKey val="0"/>
          <c:showVal val="0"/>
          <c:showCatName val="0"/>
          <c:showSerName val="0"/>
          <c:showPercent val="0"/>
          <c:showBubbleSize val="0"/>
          <c:showLeaderLines val="1"/>
        </c:dLbls>
        <c:firstSliceAng val="6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05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Sheet10!$B$1</c:f>
              <c:strCache>
                <c:ptCount val="1"/>
                <c:pt idx="0">
                  <c:v>19.1.apakšsaime</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Sheet10!$A$2:$A$21</c:f>
              <c:strCache>
                <c:ptCount val="20"/>
                <c:pt idx="0">
                  <c:v>IEM</c:v>
                </c:pt>
                <c:pt idx="1">
                  <c:v>FM</c:v>
                </c:pt>
                <c:pt idx="2">
                  <c:v>LM</c:v>
                </c:pt>
                <c:pt idx="3">
                  <c:v>ZM</c:v>
                </c:pt>
                <c:pt idx="4">
                  <c:v>IZM</c:v>
                </c:pt>
                <c:pt idx="5">
                  <c:v>TM</c:v>
                </c:pt>
                <c:pt idx="6">
                  <c:v>VARAM</c:v>
                </c:pt>
                <c:pt idx="7">
                  <c:v>VM</c:v>
                </c:pt>
                <c:pt idx="8">
                  <c:v>KM</c:v>
                </c:pt>
                <c:pt idx="9">
                  <c:v>EM</c:v>
                </c:pt>
                <c:pt idx="10">
                  <c:v>AIM</c:v>
                </c:pt>
                <c:pt idx="11">
                  <c:v>Prokuratūra</c:v>
                </c:pt>
                <c:pt idx="12">
                  <c:v>ĀM</c:v>
                </c:pt>
                <c:pt idx="13">
                  <c:v>Vkanc</c:v>
                </c:pt>
                <c:pt idx="14">
                  <c:v>SM</c:v>
                </c:pt>
                <c:pt idx="15">
                  <c:v>KNAB</c:v>
                </c:pt>
                <c:pt idx="16">
                  <c:v>AT</c:v>
                </c:pt>
                <c:pt idx="17">
                  <c:v>CVK</c:v>
                </c:pt>
                <c:pt idx="18">
                  <c:v>ST</c:v>
                </c:pt>
                <c:pt idx="19">
                  <c:v>SIF</c:v>
                </c:pt>
              </c:strCache>
            </c:strRef>
          </c:cat>
          <c:val>
            <c:numRef>
              <c:f>Sheet10!$B$2:$B$21</c:f>
              <c:numCache>
                <c:formatCode>General</c:formatCode>
                <c:ptCount val="20"/>
                <c:pt idx="3">
                  <c:v>1</c:v>
                </c:pt>
                <c:pt idx="4">
                  <c:v>6</c:v>
                </c:pt>
                <c:pt idx="6">
                  <c:v>1</c:v>
                </c:pt>
                <c:pt idx="7">
                  <c:v>2</c:v>
                </c:pt>
                <c:pt idx="8">
                  <c:v>4</c:v>
                </c:pt>
                <c:pt idx="9">
                  <c:v>5</c:v>
                </c:pt>
              </c:numCache>
            </c:numRef>
          </c:val>
          <c:extLst>
            <c:ext xmlns:c16="http://schemas.microsoft.com/office/drawing/2014/chart" uri="{C3380CC4-5D6E-409C-BE32-E72D297353CC}">
              <c16:uniqueId val="{00000000-28BE-40B6-9821-25D7513258C2}"/>
            </c:ext>
          </c:extLst>
        </c:ser>
        <c:ser>
          <c:idx val="1"/>
          <c:order val="1"/>
          <c:tx>
            <c:strRef>
              <c:f>Sheet10!$C$1</c:f>
              <c:strCache>
                <c:ptCount val="1"/>
                <c:pt idx="0">
                  <c:v>19.2.apakšsaime</c:v>
                </c:pt>
              </c:strCache>
            </c:strRef>
          </c:tx>
          <c:spPr>
            <a:solidFill>
              <a:srgbClr val="0070C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Sheet10!$A$2:$A$21</c:f>
              <c:strCache>
                <c:ptCount val="20"/>
                <c:pt idx="0">
                  <c:v>IEM</c:v>
                </c:pt>
                <c:pt idx="1">
                  <c:v>FM</c:v>
                </c:pt>
                <c:pt idx="2">
                  <c:v>LM</c:v>
                </c:pt>
                <c:pt idx="3">
                  <c:v>ZM</c:v>
                </c:pt>
                <c:pt idx="4">
                  <c:v>IZM</c:v>
                </c:pt>
                <c:pt idx="5">
                  <c:v>TM</c:v>
                </c:pt>
                <c:pt idx="6">
                  <c:v>VARAM</c:v>
                </c:pt>
                <c:pt idx="7">
                  <c:v>VM</c:v>
                </c:pt>
                <c:pt idx="8">
                  <c:v>KM</c:v>
                </c:pt>
                <c:pt idx="9">
                  <c:v>EM</c:v>
                </c:pt>
                <c:pt idx="10">
                  <c:v>AIM</c:v>
                </c:pt>
                <c:pt idx="11">
                  <c:v>Prokuratūra</c:v>
                </c:pt>
                <c:pt idx="12">
                  <c:v>ĀM</c:v>
                </c:pt>
                <c:pt idx="13">
                  <c:v>Vkanc</c:v>
                </c:pt>
                <c:pt idx="14">
                  <c:v>SM</c:v>
                </c:pt>
                <c:pt idx="15">
                  <c:v>KNAB</c:v>
                </c:pt>
                <c:pt idx="16">
                  <c:v>AT</c:v>
                </c:pt>
                <c:pt idx="17">
                  <c:v>CVK</c:v>
                </c:pt>
                <c:pt idx="18">
                  <c:v>ST</c:v>
                </c:pt>
                <c:pt idx="19">
                  <c:v>SIF</c:v>
                </c:pt>
              </c:strCache>
            </c:strRef>
          </c:cat>
          <c:val>
            <c:numRef>
              <c:f>Sheet10!$C$2:$C$21</c:f>
              <c:numCache>
                <c:formatCode>General</c:formatCode>
                <c:ptCount val="20"/>
                <c:pt idx="0">
                  <c:v>38</c:v>
                </c:pt>
                <c:pt idx="1">
                  <c:v>15</c:v>
                </c:pt>
                <c:pt idx="2">
                  <c:v>10</c:v>
                </c:pt>
                <c:pt idx="3">
                  <c:v>19</c:v>
                </c:pt>
                <c:pt idx="4">
                  <c:v>6</c:v>
                </c:pt>
                <c:pt idx="5">
                  <c:v>16</c:v>
                </c:pt>
                <c:pt idx="6">
                  <c:v>3</c:v>
                </c:pt>
                <c:pt idx="7">
                  <c:v>13</c:v>
                </c:pt>
                <c:pt idx="8">
                  <c:v>11</c:v>
                </c:pt>
                <c:pt idx="9">
                  <c:v>14</c:v>
                </c:pt>
                <c:pt idx="10">
                  <c:v>15</c:v>
                </c:pt>
                <c:pt idx="11">
                  <c:v>3</c:v>
                </c:pt>
              </c:numCache>
            </c:numRef>
          </c:val>
          <c:extLst>
            <c:ext xmlns:c16="http://schemas.microsoft.com/office/drawing/2014/chart" uri="{C3380CC4-5D6E-409C-BE32-E72D297353CC}">
              <c16:uniqueId val="{00000001-28BE-40B6-9821-25D7513258C2}"/>
            </c:ext>
          </c:extLst>
        </c:ser>
        <c:ser>
          <c:idx val="2"/>
          <c:order val="2"/>
          <c:tx>
            <c:strRef>
              <c:f>Sheet10!$D$1</c:f>
              <c:strCache>
                <c:ptCount val="1"/>
                <c:pt idx="0">
                  <c:v>19.3.apakšsaime</c:v>
                </c:pt>
              </c:strCache>
            </c:strRef>
          </c:tx>
          <c:spPr>
            <a:solidFill>
              <a:srgbClr val="00B0F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Sheet10!$A$2:$A$21</c:f>
              <c:strCache>
                <c:ptCount val="20"/>
                <c:pt idx="0">
                  <c:v>IEM</c:v>
                </c:pt>
                <c:pt idx="1">
                  <c:v>FM</c:v>
                </c:pt>
                <c:pt idx="2">
                  <c:v>LM</c:v>
                </c:pt>
                <c:pt idx="3">
                  <c:v>ZM</c:v>
                </c:pt>
                <c:pt idx="4">
                  <c:v>IZM</c:v>
                </c:pt>
                <c:pt idx="5">
                  <c:v>TM</c:v>
                </c:pt>
                <c:pt idx="6">
                  <c:v>VARAM</c:v>
                </c:pt>
                <c:pt idx="7">
                  <c:v>VM</c:v>
                </c:pt>
                <c:pt idx="8">
                  <c:v>KM</c:v>
                </c:pt>
                <c:pt idx="9">
                  <c:v>EM</c:v>
                </c:pt>
                <c:pt idx="10">
                  <c:v>AIM</c:v>
                </c:pt>
                <c:pt idx="11">
                  <c:v>Prokuratūra</c:v>
                </c:pt>
                <c:pt idx="12">
                  <c:v>ĀM</c:v>
                </c:pt>
                <c:pt idx="13">
                  <c:v>Vkanc</c:v>
                </c:pt>
                <c:pt idx="14">
                  <c:v>SM</c:v>
                </c:pt>
                <c:pt idx="15">
                  <c:v>KNAB</c:v>
                </c:pt>
                <c:pt idx="16">
                  <c:v>AT</c:v>
                </c:pt>
                <c:pt idx="17">
                  <c:v>CVK</c:v>
                </c:pt>
                <c:pt idx="18">
                  <c:v>ST</c:v>
                </c:pt>
                <c:pt idx="19">
                  <c:v>SIF</c:v>
                </c:pt>
              </c:strCache>
            </c:strRef>
          </c:cat>
          <c:val>
            <c:numRef>
              <c:f>Sheet10!$D$2:$D$21</c:f>
              <c:numCache>
                <c:formatCode>General</c:formatCode>
                <c:ptCount val="20"/>
                <c:pt idx="0">
                  <c:v>13</c:v>
                </c:pt>
                <c:pt idx="1">
                  <c:v>31</c:v>
                </c:pt>
                <c:pt idx="2">
                  <c:v>11</c:v>
                </c:pt>
                <c:pt idx="3">
                  <c:v>24</c:v>
                </c:pt>
                <c:pt idx="4">
                  <c:v>7</c:v>
                </c:pt>
                <c:pt idx="5">
                  <c:v>8</c:v>
                </c:pt>
                <c:pt idx="6">
                  <c:v>48</c:v>
                </c:pt>
                <c:pt idx="7">
                  <c:v>12</c:v>
                </c:pt>
                <c:pt idx="8">
                  <c:v>5</c:v>
                </c:pt>
                <c:pt idx="9">
                  <c:v>3</c:v>
                </c:pt>
                <c:pt idx="10">
                  <c:v>7</c:v>
                </c:pt>
                <c:pt idx="11">
                  <c:v>4</c:v>
                </c:pt>
                <c:pt idx="12">
                  <c:v>15</c:v>
                </c:pt>
                <c:pt idx="13">
                  <c:v>2</c:v>
                </c:pt>
                <c:pt idx="14">
                  <c:v>2</c:v>
                </c:pt>
                <c:pt idx="16">
                  <c:v>1</c:v>
                </c:pt>
              </c:numCache>
            </c:numRef>
          </c:val>
          <c:extLst>
            <c:ext xmlns:c16="http://schemas.microsoft.com/office/drawing/2014/chart" uri="{C3380CC4-5D6E-409C-BE32-E72D297353CC}">
              <c16:uniqueId val="{00000002-28BE-40B6-9821-25D7513258C2}"/>
            </c:ext>
          </c:extLst>
        </c:ser>
        <c:ser>
          <c:idx val="3"/>
          <c:order val="3"/>
          <c:tx>
            <c:strRef>
              <c:f>Sheet10!$E$1</c:f>
              <c:strCache>
                <c:ptCount val="1"/>
                <c:pt idx="0">
                  <c:v>19.4.apakšsaime</c:v>
                </c:pt>
              </c:strCache>
            </c:strRef>
          </c:tx>
          <c:spPr>
            <a:solidFill>
              <a:srgbClr val="00B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Sheet10!$A$2:$A$21</c:f>
              <c:strCache>
                <c:ptCount val="20"/>
                <c:pt idx="0">
                  <c:v>IEM</c:v>
                </c:pt>
                <c:pt idx="1">
                  <c:v>FM</c:v>
                </c:pt>
                <c:pt idx="2">
                  <c:v>LM</c:v>
                </c:pt>
                <c:pt idx="3">
                  <c:v>ZM</c:v>
                </c:pt>
                <c:pt idx="4">
                  <c:v>IZM</c:v>
                </c:pt>
                <c:pt idx="5">
                  <c:v>TM</c:v>
                </c:pt>
                <c:pt idx="6">
                  <c:v>VARAM</c:v>
                </c:pt>
                <c:pt idx="7">
                  <c:v>VM</c:v>
                </c:pt>
                <c:pt idx="8">
                  <c:v>KM</c:v>
                </c:pt>
                <c:pt idx="9">
                  <c:v>EM</c:v>
                </c:pt>
                <c:pt idx="10">
                  <c:v>AIM</c:v>
                </c:pt>
                <c:pt idx="11">
                  <c:v>Prokuratūra</c:v>
                </c:pt>
                <c:pt idx="12">
                  <c:v>ĀM</c:v>
                </c:pt>
                <c:pt idx="13">
                  <c:v>Vkanc</c:v>
                </c:pt>
                <c:pt idx="14">
                  <c:v>SM</c:v>
                </c:pt>
                <c:pt idx="15">
                  <c:v>KNAB</c:v>
                </c:pt>
                <c:pt idx="16">
                  <c:v>AT</c:v>
                </c:pt>
                <c:pt idx="17">
                  <c:v>CVK</c:v>
                </c:pt>
                <c:pt idx="18">
                  <c:v>ST</c:v>
                </c:pt>
                <c:pt idx="19">
                  <c:v>SIF</c:v>
                </c:pt>
              </c:strCache>
            </c:strRef>
          </c:cat>
          <c:val>
            <c:numRef>
              <c:f>Sheet10!$E$2:$E$21</c:f>
              <c:numCache>
                <c:formatCode>General</c:formatCode>
                <c:ptCount val="20"/>
                <c:pt idx="0">
                  <c:v>34</c:v>
                </c:pt>
                <c:pt idx="1">
                  <c:v>37</c:v>
                </c:pt>
                <c:pt idx="2">
                  <c:v>58</c:v>
                </c:pt>
                <c:pt idx="3">
                  <c:v>11</c:v>
                </c:pt>
                <c:pt idx="5">
                  <c:v>13</c:v>
                </c:pt>
                <c:pt idx="6">
                  <c:v>16</c:v>
                </c:pt>
                <c:pt idx="7">
                  <c:v>4</c:v>
                </c:pt>
                <c:pt idx="8">
                  <c:v>9</c:v>
                </c:pt>
                <c:pt idx="9">
                  <c:v>22</c:v>
                </c:pt>
                <c:pt idx="10">
                  <c:v>8</c:v>
                </c:pt>
                <c:pt idx="11">
                  <c:v>1</c:v>
                </c:pt>
                <c:pt idx="16">
                  <c:v>1</c:v>
                </c:pt>
              </c:numCache>
            </c:numRef>
          </c:val>
          <c:extLst>
            <c:ext xmlns:c16="http://schemas.microsoft.com/office/drawing/2014/chart" uri="{C3380CC4-5D6E-409C-BE32-E72D297353CC}">
              <c16:uniqueId val="{00000003-28BE-40B6-9821-25D7513258C2}"/>
            </c:ext>
          </c:extLst>
        </c:ser>
        <c:ser>
          <c:idx val="4"/>
          <c:order val="4"/>
          <c:tx>
            <c:strRef>
              <c:f>Sheet10!$F$1</c:f>
              <c:strCache>
                <c:ptCount val="1"/>
                <c:pt idx="0">
                  <c:v>19.5.apakšsaime</c:v>
                </c:pt>
              </c:strCache>
            </c:strRef>
          </c:tx>
          <c:spPr>
            <a:solidFill>
              <a:srgbClr val="92D0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Sheet10!$A$2:$A$21</c:f>
              <c:strCache>
                <c:ptCount val="20"/>
                <c:pt idx="0">
                  <c:v>IEM</c:v>
                </c:pt>
                <c:pt idx="1">
                  <c:v>FM</c:v>
                </c:pt>
                <c:pt idx="2">
                  <c:v>LM</c:v>
                </c:pt>
                <c:pt idx="3">
                  <c:v>ZM</c:v>
                </c:pt>
                <c:pt idx="4">
                  <c:v>IZM</c:v>
                </c:pt>
                <c:pt idx="5">
                  <c:v>TM</c:v>
                </c:pt>
                <c:pt idx="6">
                  <c:v>VARAM</c:v>
                </c:pt>
                <c:pt idx="7">
                  <c:v>VM</c:v>
                </c:pt>
                <c:pt idx="8">
                  <c:v>KM</c:v>
                </c:pt>
                <c:pt idx="9">
                  <c:v>EM</c:v>
                </c:pt>
                <c:pt idx="10">
                  <c:v>AIM</c:v>
                </c:pt>
                <c:pt idx="11">
                  <c:v>Prokuratūra</c:v>
                </c:pt>
                <c:pt idx="12">
                  <c:v>ĀM</c:v>
                </c:pt>
                <c:pt idx="13">
                  <c:v>Vkanc</c:v>
                </c:pt>
                <c:pt idx="14">
                  <c:v>SM</c:v>
                </c:pt>
                <c:pt idx="15">
                  <c:v>KNAB</c:v>
                </c:pt>
                <c:pt idx="16">
                  <c:v>AT</c:v>
                </c:pt>
                <c:pt idx="17">
                  <c:v>CVK</c:v>
                </c:pt>
                <c:pt idx="18">
                  <c:v>ST</c:v>
                </c:pt>
                <c:pt idx="19">
                  <c:v>SIF</c:v>
                </c:pt>
              </c:strCache>
            </c:strRef>
          </c:cat>
          <c:val>
            <c:numRef>
              <c:f>Sheet10!$F$2:$F$21</c:f>
              <c:numCache>
                <c:formatCode>General</c:formatCode>
                <c:ptCount val="20"/>
                <c:pt idx="0">
                  <c:v>106</c:v>
                </c:pt>
                <c:pt idx="1">
                  <c:v>85</c:v>
                </c:pt>
                <c:pt idx="2">
                  <c:v>69</c:v>
                </c:pt>
                <c:pt idx="3">
                  <c:v>36</c:v>
                </c:pt>
                <c:pt idx="4">
                  <c:v>55</c:v>
                </c:pt>
                <c:pt idx="5">
                  <c:v>34</c:v>
                </c:pt>
                <c:pt idx="6">
                  <c:v>9</c:v>
                </c:pt>
                <c:pt idx="7">
                  <c:v>31</c:v>
                </c:pt>
                <c:pt idx="8">
                  <c:v>42</c:v>
                </c:pt>
                <c:pt idx="9">
                  <c:v>26</c:v>
                </c:pt>
                <c:pt idx="10">
                  <c:v>33</c:v>
                </c:pt>
                <c:pt idx="11">
                  <c:v>11</c:v>
                </c:pt>
                <c:pt idx="12">
                  <c:v>2</c:v>
                </c:pt>
                <c:pt idx="13">
                  <c:v>5</c:v>
                </c:pt>
                <c:pt idx="14">
                  <c:v>4</c:v>
                </c:pt>
                <c:pt idx="15">
                  <c:v>4</c:v>
                </c:pt>
                <c:pt idx="16">
                  <c:v>1</c:v>
                </c:pt>
                <c:pt idx="17">
                  <c:v>1</c:v>
                </c:pt>
                <c:pt idx="18">
                  <c:v>1</c:v>
                </c:pt>
              </c:numCache>
            </c:numRef>
          </c:val>
          <c:extLst>
            <c:ext xmlns:c16="http://schemas.microsoft.com/office/drawing/2014/chart" uri="{C3380CC4-5D6E-409C-BE32-E72D297353CC}">
              <c16:uniqueId val="{00000004-28BE-40B6-9821-25D7513258C2}"/>
            </c:ext>
          </c:extLst>
        </c:ser>
        <c:ser>
          <c:idx val="5"/>
          <c:order val="5"/>
          <c:tx>
            <c:strRef>
              <c:f>Sheet10!$G$1</c:f>
              <c:strCache>
                <c:ptCount val="1"/>
                <c:pt idx="0">
                  <c:v>19.6.apakšsaime</c:v>
                </c:pt>
              </c:strCache>
            </c:strRef>
          </c:tx>
          <c:spPr>
            <a:solidFill>
              <a:srgbClr val="FFC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Sheet10!$A$2:$A$21</c:f>
              <c:strCache>
                <c:ptCount val="20"/>
                <c:pt idx="0">
                  <c:v>IEM</c:v>
                </c:pt>
                <c:pt idx="1">
                  <c:v>FM</c:v>
                </c:pt>
                <c:pt idx="2">
                  <c:v>LM</c:v>
                </c:pt>
                <c:pt idx="3">
                  <c:v>ZM</c:v>
                </c:pt>
                <c:pt idx="4">
                  <c:v>IZM</c:v>
                </c:pt>
                <c:pt idx="5">
                  <c:v>TM</c:v>
                </c:pt>
                <c:pt idx="6">
                  <c:v>VARAM</c:v>
                </c:pt>
                <c:pt idx="7">
                  <c:v>VM</c:v>
                </c:pt>
                <c:pt idx="8">
                  <c:v>KM</c:v>
                </c:pt>
                <c:pt idx="9">
                  <c:v>EM</c:v>
                </c:pt>
                <c:pt idx="10">
                  <c:v>AIM</c:v>
                </c:pt>
                <c:pt idx="11">
                  <c:v>Prokuratūra</c:v>
                </c:pt>
                <c:pt idx="12">
                  <c:v>ĀM</c:v>
                </c:pt>
                <c:pt idx="13">
                  <c:v>Vkanc</c:v>
                </c:pt>
                <c:pt idx="14">
                  <c:v>SM</c:v>
                </c:pt>
                <c:pt idx="15">
                  <c:v>KNAB</c:v>
                </c:pt>
                <c:pt idx="16">
                  <c:v>AT</c:v>
                </c:pt>
                <c:pt idx="17">
                  <c:v>CVK</c:v>
                </c:pt>
                <c:pt idx="18">
                  <c:v>ST</c:v>
                </c:pt>
                <c:pt idx="19">
                  <c:v>SIF</c:v>
                </c:pt>
              </c:strCache>
            </c:strRef>
          </c:cat>
          <c:val>
            <c:numRef>
              <c:f>Sheet10!$G$2:$G$21</c:f>
              <c:numCache>
                <c:formatCode>General</c:formatCode>
                <c:ptCount val="20"/>
                <c:pt idx="0">
                  <c:v>3</c:v>
                </c:pt>
                <c:pt idx="1">
                  <c:v>1</c:v>
                </c:pt>
                <c:pt idx="2">
                  <c:v>2</c:v>
                </c:pt>
                <c:pt idx="3">
                  <c:v>1</c:v>
                </c:pt>
                <c:pt idx="4">
                  <c:v>8</c:v>
                </c:pt>
                <c:pt idx="5">
                  <c:v>9</c:v>
                </c:pt>
                <c:pt idx="6">
                  <c:v>2</c:v>
                </c:pt>
                <c:pt idx="7">
                  <c:v>16</c:v>
                </c:pt>
                <c:pt idx="8">
                  <c:v>4</c:v>
                </c:pt>
                <c:pt idx="10">
                  <c:v>3</c:v>
                </c:pt>
                <c:pt idx="17">
                  <c:v>1</c:v>
                </c:pt>
                <c:pt idx="19">
                  <c:v>1</c:v>
                </c:pt>
              </c:numCache>
            </c:numRef>
          </c:val>
          <c:extLst>
            <c:ext xmlns:c16="http://schemas.microsoft.com/office/drawing/2014/chart" uri="{C3380CC4-5D6E-409C-BE32-E72D297353CC}">
              <c16:uniqueId val="{00000005-28BE-40B6-9821-25D7513258C2}"/>
            </c:ext>
          </c:extLst>
        </c:ser>
        <c:dLbls>
          <c:showLegendKey val="0"/>
          <c:showVal val="0"/>
          <c:showCatName val="0"/>
          <c:showSerName val="0"/>
          <c:showPercent val="0"/>
          <c:showBubbleSize val="0"/>
        </c:dLbls>
        <c:gapWidth val="150"/>
        <c:overlap val="100"/>
        <c:axId val="280683360"/>
        <c:axId val="280683752"/>
      </c:barChart>
      <c:catAx>
        <c:axId val="28068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83752"/>
        <c:crosses val="autoZero"/>
        <c:auto val="1"/>
        <c:lblAlgn val="ctr"/>
        <c:lblOffset val="100"/>
        <c:noMultiLvlLbl val="0"/>
      </c:catAx>
      <c:valAx>
        <c:axId val="280683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0683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progr!$B$1</c:f>
              <c:strCache>
                <c:ptCount val="1"/>
                <c:pt idx="0">
                  <c:v>Izmaiņas pamatfunkciju programmās/ apakšprogrammās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progr!$A$2:$A$9</c:f>
              <c:strCache>
                <c:ptCount val="8"/>
                <c:pt idx="0">
                  <c:v>Starp progr., kodiem</c:v>
                </c:pt>
                <c:pt idx="1">
                  <c:v>No/uz 80.progr.</c:v>
                </c:pt>
                <c:pt idx="2">
                  <c:v>Transferti, āfp</c:v>
                </c:pt>
                <c:pt idx="3">
                  <c:v>Maksas pak.</c:v>
                </c:pt>
                <c:pt idx="4">
                  <c:v>Starp ministrijām</c:v>
                </c:pt>
                <c:pt idx="5">
                  <c:v>Apropriācijas rezerve</c:v>
                </c:pt>
                <c:pt idx="6">
                  <c:v>LNG</c:v>
                </c:pt>
                <c:pt idx="7">
                  <c:v>Budžeta likuma panti </c:v>
                </c:pt>
              </c:strCache>
            </c:strRef>
          </c:cat>
          <c:val>
            <c:numRef>
              <c:f>progr!$B$2:$B$9</c:f>
              <c:numCache>
                <c:formatCode>General</c:formatCode>
                <c:ptCount val="8"/>
                <c:pt idx="0">
                  <c:v>433</c:v>
                </c:pt>
                <c:pt idx="2">
                  <c:v>80</c:v>
                </c:pt>
                <c:pt idx="3">
                  <c:v>88</c:v>
                </c:pt>
                <c:pt idx="4">
                  <c:v>49</c:v>
                </c:pt>
                <c:pt idx="5">
                  <c:v>26</c:v>
                </c:pt>
                <c:pt idx="6">
                  <c:v>180</c:v>
                </c:pt>
                <c:pt idx="7">
                  <c:v>54</c:v>
                </c:pt>
              </c:numCache>
            </c:numRef>
          </c:val>
          <c:extLst>
            <c:ext xmlns:c16="http://schemas.microsoft.com/office/drawing/2014/chart" uri="{C3380CC4-5D6E-409C-BE32-E72D297353CC}">
              <c16:uniqueId val="{00000000-A936-4AC1-8514-AE9C4AFD0B96}"/>
            </c:ext>
          </c:extLst>
        </c:ser>
        <c:ser>
          <c:idx val="1"/>
          <c:order val="1"/>
          <c:tx>
            <c:strRef>
              <c:f>progr!$C$1</c:f>
              <c:strCache>
                <c:ptCount val="1"/>
                <c:pt idx="0">
                  <c:v>Izmaiņas ES bloka programmās/ apakšprogrammās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progr!$A$2:$A$9</c:f>
              <c:strCache>
                <c:ptCount val="8"/>
                <c:pt idx="0">
                  <c:v>Starp progr., kodiem</c:v>
                </c:pt>
                <c:pt idx="1">
                  <c:v>No/uz 80.progr.</c:v>
                </c:pt>
                <c:pt idx="2">
                  <c:v>Transferti, āfp</c:v>
                </c:pt>
                <c:pt idx="3">
                  <c:v>Maksas pak.</c:v>
                </c:pt>
                <c:pt idx="4">
                  <c:v>Starp ministrijām</c:v>
                </c:pt>
                <c:pt idx="5">
                  <c:v>Apropriācijas rezerve</c:v>
                </c:pt>
                <c:pt idx="6">
                  <c:v>LNG</c:v>
                </c:pt>
                <c:pt idx="7">
                  <c:v>Budžeta likuma panti </c:v>
                </c:pt>
              </c:strCache>
            </c:strRef>
          </c:cat>
          <c:val>
            <c:numRef>
              <c:f>progr!$C$2:$C$9</c:f>
              <c:numCache>
                <c:formatCode>General</c:formatCode>
                <c:ptCount val="8"/>
                <c:pt idx="0">
                  <c:v>252</c:v>
                </c:pt>
                <c:pt idx="1">
                  <c:v>194</c:v>
                </c:pt>
                <c:pt idx="2">
                  <c:v>189</c:v>
                </c:pt>
                <c:pt idx="3">
                  <c:v>1</c:v>
                </c:pt>
              </c:numCache>
            </c:numRef>
          </c:val>
          <c:extLst>
            <c:ext xmlns:c16="http://schemas.microsoft.com/office/drawing/2014/chart" uri="{C3380CC4-5D6E-409C-BE32-E72D297353CC}">
              <c16:uniqueId val="{00000001-A936-4AC1-8514-AE9C4AFD0B96}"/>
            </c:ext>
          </c:extLst>
        </c:ser>
        <c:dLbls>
          <c:showLegendKey val="0"/>
          <c:showVal val="0"/>
          <c:showCatName val="0"/>
          <c:showSerName val="0"/>
          <c:showPercent val="0"/>
          <c:showBubbleSize val="0"/>
        </c:dLbls>
        <c:gapWidth val="100"/>
        <c:overlap val="100"/>
        <c:axId val="188617152"/>
        <c:axId val="188617544"/>
      </c:barChart>
      <c:catAx>
        <c:axId val="188617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617544"/>
        <c:crosses val="autoZero"/>
        <c:auto val="1"/>
        <c:lblAlgn val="ctr"/>
        <c:lblOffset val="100"/>
        <c:noMultiLvlLbl val="0"/>
      </c:catAx>
      <c:valAx>
        <c:axId val="188617544"/>
        <c:scaling>
          <c:orientation val="minMax"/>
          <c:max val="7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617152"/>
        <c:crosses val="autoZero"/>
        <c:crossBetween val="between"/>
      </c:valAx>
      <c:spPr>
        <a:noFill/>
        <a:ln>
          <a:noFill/>
        </a:ln>
        <a:effectLst/>
      </c:spPr>
    </c:plotArea>
    <c:legend>
      <c:legendPos val="b"/>
      <c:layout>
        <c:manualLayout>
          <c:xMode val="edge"/>
          <c:yMode val="edge"/>
          <c:x val="0.16253103191137891"/>
          <c:y val="0.85061867266591673"/>
          <c:w val="0.70298237582776535"/>
          <c:h val="0.1260577121737333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'ministrijas-rik'!$B$1</c:f>
              <c:strCache>
                <c:ptCount val="1"/>
                <c:pt idx="0">
                  <c:v>Starp progr., kodiem</c:v>
                </c:pt>
              </c:strCache>
            </c:strRef>
          </c:tx>
          <c:spPr>
            <a:solidFill>
              <a:schemeClr val="accent1">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'ministrijas-rik'!$A$2:$A$14</c:f>
              <c:strCache>
                <c:ptCount val="13"/>
                <c:pt idx="0">
                  <c:v>IZM</c:v>
                </c:pt>
                <c:pt idx="1">
                  <c:v>VARAM</c:v>
                </c:pt>
                <c:pt idx="2">
                  <c:v>IeM</c:v>
                </c:pt>
                <c:pt idx="3">
                  <c:v>ĀM</c:v>
                </c:pt>
                <c:pt idx="4">
                  <c:v>KM</c:v>
                </c:pt>
                <c:pt idx="5">
                  <c:v>FM</c:v>
                </c:pt>
                <c:pt idx="6">
                  <c:v>ZM</c:v>
                </c:pt>
                <c:pt idx="7">
                  <c:v>TM</c:v>
                </c:pt>
                <c:pt idx="8">
                  <c:v>VM</c:v>
                </c:pt>
                <c:pt idx="9">
                  <c:v>EM</c:v>
                </c:pt>
                <c:pt idx="10">
                  <c:v>LM</c:v>
                </c:pt>
                <c:pt idx="11">
                  <c:v>AiM</c:v>
                </c:pt>
                <c:pt idx="12">
                  <c:v>SM</c:v>
                </c:pt>
              </c:strCache>
            </c:strRef>
          </c:cat>
          <c:val>
            <c:numRef>
              <c:f>'ministrijas-rik'!$B$2:$B$14</c:f>
              <c:numCache>
                <c:formatCode>General</c:formatCode>
                <c:ptCount val="13"/>
                <c:pt idx="0">
                  <c:v>20</c:v>
                </c:pt>
                <c:pt idx="1">
                  <c:v>19</c:v>
                </c:pt>
                <c:pt idx="2">
                  <c:v>9</c:v>
                </c:pt>
                <c:pt idx="3">
                  <c:v>11</c:v>
                </c:pt>
                <c:pt idx="4">
                  <c:v>10</c:v>
                </c:pt>
                <c:pt idx="5">
                  <c:v>12</c:v>
                </c:pt>
                <c:pt idx="6">
                  <c:v>10</c:v>
                </c:pt>
                <c:pt idx="7">
                  <c:v>8</c:v>
                </c:pt>
                <c:pt idx="8">
                  <c:v>6</c:v>
                </c:pt>
                <c:pt idx="9">
                  <c:v>7</c:v>
                </c:pt>
                <c:pt idx="10">
                  <c:v>8</c:v>
                </c:pt>
                <c:pt idx="11">
                  <c:v>16</c:v>
                </c:pt>
                <c:pt idx="12">
                  <c:v>11</c:v>
                </c:pt>
              </c:numCache>
            </c:numRef>
          </c:val>
          <c:extLst>
            <c:ext xmlns:c16="http://schemas.microsoft.com/office/drawing/2014/chart" uri="{C3380CC4-5D6E-409C-BE32-E72D297353CC}">
              <c16:uniqueId val="{00000000-6E2D-43D8-AF42-8E61E8CF9236}"/>
            </c:ext>
          </c:extLst>
        </c:ser>
        <c:ser>
          <c:idx val="1"/>
          <c:order val="1"/>
          <c:tx>
            <c:strRef>
              <c:f>'ministrijas-rik'!$C$1</c:f>
              <c:strCache>
                <c:ptCount val="1"/>
                <c:pt idx="0">
                  <c:v>No/uz 80 progr.</c:v>
                </c:pt>
              </c:strCache>
            </c:strRef>
          </c:tx>
          <c:spPr>
            <a:solidFill>
              <a:schemeClr val="accent2">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'ministrijas-rik'!$A$2:$A$14</c:f>
              <c:strCache>
                <c:ptCount val="13"/>
                <c:pt idx="0">
                  <c:v>IZM</c:v>
                </c:pt>
                <c:pt idx="1">
                  <c:v>VARAM</c:v>
                </c:pt>
                <c:pt idx="2">
                  <c:v>IeM</c:v>
                </c:pt>
                <c:pt idx="3">
                  <c:v>ĀM</c:v>
                </c:pt>
                <c:pt idx="4">
                  <c:v>KM</c:v>
                </c:pt>
                <c:pt idx="5">
                  <c:v>FM</c:v>
                </c:pt>
                <c:pt idx="6">
                  <c:v>ZM</c:v>
                </c:pt>
                <c:pt idx="7">
                  <c:v>TM</c:v>
                </c:pt>
                <c:pt idx="8">
                  <c:v>VM</c:v>
                </c:pt>
                <c:pt idx="9">
                  <c:v>EM</c:v>
                </c:pt>
                <c:pt idx="10">
                  <c:v>LM</c:v>
                </c:pt>
                <c:pt idx="11">
                  <c:v>AiM</c:v>
                </c:pt>
                <c:pt idx="12">
                  <c:v>SM</c:v>
                </c:pt>
              </c:strCache>
            </c:strRef>
          </c:cat>
          <c:val>
            <c:numRef>
              <c:f>'ministrijas-rik'!$C$2:$C$14</c:f>
              <c:numCache>
                <c:formatCode>General</c:formatCode>
                <c:ptCount val="13"/>
                <c:pt idx="0">
                  <c:v>12</c:v>
                </c:pt>
                <c:pt idx="1">
                  <c:v>6</c:v>
                </c:pt>
                <c:pt idx="2">
                  <c:v>11</c:v>
                </c:pt>
                <c:pt idx="4">
                  <c:v>9</c:v>
                </c:pt>
                <c:pt idx="5">
                  <c:v>6</c:v>
                </c:pt>
                <c:pt idx="6">
                  <c:v>10</c:v>
                </c:pt>
                <c:pt idx="7">
                  <c:v>6</c:v>
                </c:pt>
                <c:pt idx="8">
                  <c:v>5</c:v>
                </c:pt>
                <c:pt idx="9">
                  <c:v>5</c:v>
                </c:pt>
                <c:pt idx="10">
                  <c:v>2</c:v>
                </c:pt>
                <c:pt idx="11">
                  <c:v>2</c:v>
                </c:pt>
                <c:pt idx="12">
                  <c:v>9</c:v>
                </c:pt>
              </c:numCache>
            </c:numRef>
          </c:val>
          <c:extLst>
            <c:ext xmlns:c16="http://schemas.microsoft.com/office/drawing/2014/chart" uri="{C3380CC4-5D6E-409C-BE32-E72D297353CC}">
              <c16:uniqueId val="{00000001-6E2D-43D8-AF42-8E61E8CF9236}"/>
            </c:ext>
          </c:extLst>
        </c:ser>
        <c:ser>
          <c:idx val="2"/>
          <c:order val="2"/>
          <c:tx>
            <c:strRef>
              <c:f>'ministrijas-rik'!$D$1</c:f>
              <c:strCache>
                <c:ptCount val="1"/>
                <c:pt idx="0">
                  <c:v>Transferti, afp</c:v>
                </c:pt>
              </c:strCache>
            </c:strRef>
          </c:tx>
          <c:spPr>
            <a:solidFill>
              <a:schemeClr val="accent3">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'ministrijas-rik'!$A$2:$A$14</c:f>
              <c:strCache>
                <c:ptCount val="13"/>
                <c:pt idx="0">
                  <c:v>IZM</c:v>
                </c:pt>
                <c:pt idx="1">
                  <c:v>VARAM</c:v>
                </c:pt>
                <c:pt idx="2">
                  <c:v>IeM</c:v>
                </c:pt>
                <c:pt idx="3">
                  <c:v>ĀM</c:v>
                </c:pt>
                <c:pt idx="4">
                  <c:v>KM</c:v>
                </c:pt>
                <c:pt idx="5">
                  <c:v>FM</c:v>
                </c:pt>
                <c:pt idx="6">
                  <c:v>ZM</c:v>
                </c:pt>
                <c:pt idx="7">
                  <c:v>TM</c:v>
                </c:pt>
                <c:pt idx="8">
                  <c:v>VM</c:v>
                </c:pt>
                <c:pt idx="9">
                  <c:v>EM</c:v>
                </c:pt>
                <c:pt idx="10">
                  <c:v>LM</c:v>
                </c:pt>
                <c:pt idx="11">
                  <c:v>AiM</c:v>
                </c:pt>
                <c:pt idx="12">
                  <c:v>SM</c:v>
                </c:pt>
              </c:strCache>
            </c:strRef>
          </c:cat>
          <c:val>
            <c:numRef>
              <c:f>'ministrijas-rik'!$D$2:$D$14</c:f>
              <c:numCache>
                <c:formatCode>General</c:formatCode>
                <c:ptCount val="13"/>
                <c:pt idx="0">
                  <c:v>15</c:v>
                </c:pt>
                <c:pt idx="1">
                  <c:v>15</c:v>
                </c:pt>
                <c:pt idx="2">
                  <c:v>11</c:v>
                </c:pt>
                <c:pt idx="3">
                  <c:v>8</c:v>
                </c:pt>
                <c:pt idx="4">
                  <c:v>15</c:v>
                </c:pt>
                <c:pt idx="5">
                  <c:v>6</c:v>
                </c:pt>
                <c:pt idx="6">
                  <c:v>12</c:v>
                </c:pt>
                <c:pt idx="7">
                  <c:v>11</c:v>
                </c:pt>
                <c:pt idx="8">
                  <c:v>10</c:v>
                </c:pt>
                <c:pt idx="9">
                  <c:v>9</c:v>
                </c:pt>
                <c:pt idx="10">
                  <c:v>9</c:v>
                </c:pt>
                <c:pt idx="11">
                  <c:v>8</c:v>
                </c:pt>
                <c:pt idx="12">
                  <c:v>2</c:v>
                </c:pt>
              </c:numCache>
            </c:numRef>
          </c:val>
          <c:extLst>
            <c:ext xmlns:c16="http://schemas.microsoft.com/office/drawing/2014/chart" uri="{C3380CC4-5D6E-409C-BE32-E72D297353CC}">
              <c16:uniqueId val="{00000002-6E2D-43D8-AF42-8E61E8CF9236}"/>
            </c:ext>
          </c:extLst>
        </c:ser>
        <c:ser>
          <c:idx val="3"/>
          <c:order val="3"/>
          <c:tx>
            <c:strRef>
              <c:f>'ministrijas-rik'!$E$1</c:f>
              <c:strCache>
                <c:ptCount val="1"/>
                <c:pt idx="0">
                  <c:v>Maksas pak.</c:v>
                </c:pt>
              </c:strCache>
            </c:strRef>
          </c:tx>
          <c:spPr>
            <a:solidFill>
              <a:schemeClr val="accent4">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'ministrijas-rik'!$A$2:$A$14</c:f>
              <c:strCache>
                <c:ptCount val="13"/>
                <c:pt idx="0">
                  <c:v>IZM</c:v>
                </c:pt>
                <c:pt idx="1">
                  <c:v>VARAM</c:v>
                </c:pt>
                <c:pt idx="2">
                  <c:v>IeM</c:v>
                </c:pt>
                <c:pt idx="3">
                  <c:v>ĀM</c:v>
                </c:pt>
                <c:pt idx="4">
                  <c:v>KM</c:v>
                </c:pt>
                <c:pt idx="5">
                  <c:v>FM</c:v>
                </c:pt>
                <c:pt idx="6">
                  <c:v>ZM</c:v>
                </c:pt>
                <c:pt idx="7">
                  <c:v>TM</c:v>
                </c:pt>
                <c:pt idx="8">
                  <c:v>VM</c:v>
                </c:pt>
                <c:pt idx="9">
                  <c:v>EM</c:v>
                </c:pt>
                <c:pt idx="10">
                  <c:v>LM</c:v>
                </c:pt>
                <c:pt idx="11">
                  <c:v>AiM</c:v>
                </c:pt>
                <c:pt idx="12">
                  <c:v>SM</c:v>
                </c:pt>
              </c:strCache>
            </c:strRef>
          </c:cat>
          <c:val>
            <c:numRef>
              <c:f>'ministrijas-rik'!$E$2:$E$14</c:f>
              <c:numCache>
                <c:formatCode>General</c:formatCode>
                <c:ptCount val="13"/>
                <c:pt idx="0">
                  <c:v>2</c:v>
                </c:pt>
                <c:pt idx="1">
                  <c:v>1</c:v>
                </c:pt>
                <c:pt idx="2">
                  <c:v>4</c:v>
                </c:pt>
                <c:pt idx="3">
                  <c:v>2</c:v>
                </c:pt>
                <c:pt idx="4">
                  <c:v>2</c:v>
                </c:pt>
                <c:pt idx="5">
                  <c:v>4</c:v>
                </c:pt>
                <c:pt idx="6">
                  <c:v>2</c:v>
                </c:pt>
                <c:pt idx="7">
                  <c:v>3</c:v>
                </c:pt>
                <c:pt idx="8">
                  <c:v>5</c:v>
                </c:pt>
                <c:pt idx="9">
                  <c:v>2</c:v>
                </c:pt>
                <c:pt idx="10">
                  <c:v>3</c:v>
                </c:pt>
                <c:pt idx="11">
                  <c:v>3</c:v>
                </c:pt>
              </c:numCache>
            </c:numRef>
          </c:val>
          <c:extLst>
            <c:ext xmlns:c16="http://schemas.microsoft.com/office/drawing/2014/chart" uri="{C3380CC4-5D6E-409C-BE32-E72D297353CC}">
              <c16:uniqueId val="{00000003-6E2D-43D8-AF42-8E61E8CF9236}"/>
            </c:ext>
          </c:extLst>
        </c:ser>
        <c:ser>
          <c:idx val="4"/>
          <c:order val="4"/>
          <c:tx>
            <c:strRef>
              <c:f>'ministrijas-rik'!$F$1</c:f>
              <c:strCache>
                <c:ptCount val="1"/>
                <c:pt idx="0">
                  <c:v>LNG</c:v>
                </c:pt>
              </c:strCache>
            </c:strRef>
          </c:tx>
          <c:spPr>
            <a:solidFill>
              <a:schemeClr val="accent5">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'ministrijas-rik'!$A$2:$A$14</c:f>
              <c:strCache>
                <c:ptCount val="13"/>
                <c:pt idx="0">
                  <c:v>IZM</c:v>
                </c:pt>
                <c:pt idx="1">
                  <c:v>VARAM</c:v>
                </c:pt>
                <c:pt idx="2">
                  <c:v>IeM</c:v>
                </c:pt>
                <c:pt idx="3">
                  <c:v>ĀM</c:v>
                </c:pt>
                <c:pt idx="4">
                  <c:v>KM</c:v>
                </c:pt>
                <c:pt idx="5">
                  <c:v>FM</c:v>
                </c:pt>
                <c:pt idx="6">
                  <c:v>ZM</c:v>
                </c:pt>
                <c:pt idx="7">
                  <c:v>TM</c:v>
                </c:pt>
                <c:pt idx="8">
                  <c:v>VM</c:v>
                </c:pt>
                <c:pt idx="9">
                  <c:v>EM</c:v>
                </c:pt>
                <c:pt idx="10">
                  <c:v>LM</c:v>
                </c:pt>
                <c:pt idx="11">
                  <c:v>AiM</c:v>
                </c:pt>
                <c:pt idx="12">
                  <c:v>SM</c:v>
                </c:pt>
              </c:strCache>
            </c:strRef>
          </c:cat>
          <c:val>
            <c:numRef>
              <c:f>'ministrijas-rik'!$F$2:$F$14</c:f>
              <c:numCache>
                <c:formatCode>General</c:formatCode>
                <c:ptCount val="13"/>
                <c:pt idx="0">
                  <c:v>3</c:v>
                </c:pt>
                <c:pt idx="1">
                  <c:v>9</c:v>
                </c:pt>
                <c:pt idx="2">
                  <c:v>15</c:v>
                </c:pt>
                <c:pt idx="3">
                  <c:v>19</c:v>
                </c:pt>
                <c:pt idx="4">
                  <c:v>5</c:v>
                </c:pt>
                <c:pt idx="5">
                  <c:v>1</c:v>
                </c:pt>
                <c:pt idx="6">
                  <c:v>6</c:v>
                </c:pt>
                <c:pt idx="7">
                  <c:v>5</c:v>
                </c:pt>
                <c:pt idx="8">
                  <c:v>5</c:v>
                </c:pt>
                <c:pt idx="9">
                  <c:v>6</c:v>
                </c:pt>
                <c:pt idx="10">
                  <c:v>4</c:v>
                </c:pt>
                <c:pt idx="12">
                  <c:v>6</c:v>
                </c:pt>
              </c:numCache>
            </c:numRef>
          </c:val>
          <c:extLst>
            <c:ext xmlns:c16="http://schemas.microsoft.com/office/drawing/2014/chart" uri="{C3380CC4-5D6E-409C-BE32-E72D297353CC}">
              <c16:uniqueId val="{00000004-6E2D-43D8-AF42-8E61E8CF9236}"/>
            </c:ext>
          </c:extLst>
        </c:ser>
        <c:ser>
          <c:idx val="5"/>
          <c:order val="5"/>
          <c:tx>
            <c:strRef>
              <c:f>'ministrijas-rik'!$G$1</c:f>
              <c:strCache>
                <c:ptCount val="1"/>
                <c:pt idx="0">
                  <c:v>Pārējie rīkojumi</c:v>
                </c:pt>
              </c:strCache>
            </c:strRef>
          </c:tx>
          <c:spPr>
            <a:solidFill>
              <a:schemeClr val="accent6">
                <a:alpha val="70000"/>
              </a:schemeClr>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'ministrijas-rik'!$A$2:$A$14</c:f>
              <c:strCache>
                <c:ptCount val="13"/>
                <c:pt idx="0">
                  <c:v>IZM</c:v>
                </c:pt>
                <c:pt idx="1">
                  <c:v>VARAM</c:v>
                </c:pt>
                <c:pt idx="2">
                  <c:v>IeM</c:v>
                </c:pt>
                <c:pt idx="3">
                  <c:v>ĀM</c:v>
                </c:pt>
                <c:pt idx="4">
                  <c:v>KM</c:v>
                </c:pt>
                <c:pt idx="5">
                  <c:v>FM</c:v>
                </c:pt>
                <c:pt idx="6">
                  <c:v>ZM</c:v>
                </c:pt>
                <c:pt idx="7">
                  <c:v>TM</c:v>
                </c:pt>
                <c:pt idx="8">
                  <c:v>VM</c:v>
                </c:pt>
                <c:pt idx="9">
                  <c:v>EM</c:v>
                </c:pt>
                <c:pt idx="10">
                  <c:v>LM</c:v>
                </c:pt>
                <c:pt idx="11">
                  <c:v>AiM</c:v>
                </c:pt>
                <c:pt idx="12">
                  <c:v>SM</c:v>
                </c:pt>
              </c:strCache>
            </c:strRef>
          </c:cat>
          <c:val>
            <c:numRef>
              <c:f>'ministrijas-rik'!$G$2:$G$14</c:f>
              <c:numCache>
                <c:formatCode>General</c:formatCode>
                <c:ptCount val="13"/>
                <c:pt idx="0">
                  <c:v>9</c:v>
                </c:pt>
                <c:pt idx="1">
                  <c:v>5</c:v>
                </c:pt>
                <c:pt idx="2">
                  <c:v>3</c:v>
                </c:pt>
                <c:pt idx="3">
                  <c:v>6</c:v>
                </c:pt>
                <c:pt idx="4">
                  <c:v>4</c:v>
                </c:pt>
                <c:pt idx="5">
                  <c:v>12</c:v>
                </c:pt>
                <c:pt idx="7">
                  <c:v>5</c:v>
                </c:pt>
                <c:pt idx="8">
                  <c:v>6</c:v>
                </c:pt>
                <c:pt idx="9">
                  <c:v>3</c:v>
                </c:pt>
                <c:pt idx="10">
                  <c:v>5</c:v>
                </c:pt>
                <c:pt idx="11">
                  <c:v>2</c:v>
                </c:pt>
                <c:pt idx="12" formatCode="#\ ###">
                  <c:v>2</c:v>
                </c:pt>
              </c:numCache>
            </c:numRef>
          </c:val>
          <c:extLst>
            <c:ext xmlns:c16="http://schemas.microsoft.com/office/drawing/2014/chart" uri="{C3380CC4-5D6E-409C-BE32-E72D297353CC}">
              <c16:uniqueId val="{00000005-6E2D-43D8-AF42-8E61E8CF9236}"/>
            </c:ext>
          </c:extLst>
        </c:ser>
        <c:dLbls>
          <c:showLegendKey val="0"/>
          <c:showVal val="0"/>
          <c:showCatName val="0"/>
          <c:showSerName val="0"/>
          <c:showPercent val="0"/>
          <c:showBubbleSize val="0"/>
        </c:dLbls>
        <c:gapWidth val="50"/>
        <c:overlap val="100"/>
        <c:axId val="188618328"/>
        <c:axId val="188618720"/>
      </c:barChart>
      <c:catAx>
        <c:axId val="188618328"/>
        <c:scaling>
          <c:orientation val="minMax"/>
        </c:scaling>
        <c:delete val="0"/>
        <c:axPos val="b"/>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8618720"/>
        <c:crosses val="autoZero"/>
        <c:auto val="1"/>
        <c:lblAlgn val="ctr"/>
        <c:lblOffset val="100"/>
        <c:noMultiLvlLbl val="0"/>
      </c:catAx>
      <c:valAx>
        <c:axId val="188618720"/>
        <c:scaling>
          <c:orientation val="minMax"/>
          <c:max val="65"/>
        </c:scaling>
        <c:delete val="0"/>
        <c:axPos val="l"/>
        <c:majorGridlines>
          <c:spPr>
            <a:ln w="9525" cap="flat" cmpd="sng" algn="ctr">
              <a:gradFill>
                <a:gsLst>
                  <a:gs pos="0">
                    <a:schemeClr val="tx1">
                      <a:lumMod val="5000"/>
                      <a:lumOff val="95000"/>
                    </a:schemeClr>
                  </a:gs>
                  <a:gs pos="100000">
                    <a:schemeClr val="tx1">
                      <a:lumMod val="15000"/>
                      <a:lumOff val="85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88618328"/>
        <c:crosses val="autoZero"/>
        <c:crossBetween val="between"/>
        <c:majorUnit val="5"/>
        <c:min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 Id="rId4" Type="http://schemas.openxmlformats.org/officeDocument/2006/relationships/image" Target="../media/image9.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8.jpg"/><Relationship Id="rId2" Type="http://schemas.openxmlformats.org/officeDocument/2006/relationships/image" Target="../media/image7.jpg"/><Relationship Id="rId1" Type="http://schemas.openxmlformats.org/officeDocument/2006/relationships/image" Target="../media/image6.jpg"/><Relationship Id="rId4" Type="http://schemas.openxmlformats.org/officeDocument/2006/relationships/image" Target="../media/image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55428B-2793-46F3-8821-3F3CEBBD7B05}" type="doc">
      <dgm:prSet loTypeId="urn:microsoft.com/office/officeart/2008/layout/TitlePictureLineup" loCatId="picture" qsTypeId="urn:microsoft.com/office/officeart/2005/8/quickstyle/simple1" qsCatId="simple" csTypeId="urn:microsoft.com/office/officeart/2005/8/colors/accent1_2" csCatId="accent1" phldr="1"/>
      <dgm:spPr/>
      <dgm:t>
        <a:bodyPr/>
        <a:lstStyle/>
        <a:p>
          <a:endParaRPr lang="en-US"/>
        </a:p>
      </dgm:t>
    </dgm:pt>
    <dgm:pt modelId="{8CCD4F90-13EE-413D-9B25-AF463B9B6123}">
      <dgm:prSet phldrT="[Text]" custT="1"/>
      <dgm:spPr/>
      <dgm:t>
        <a:bodyPr/>
        <a:lstStyle/>
        <a:p>
          <a:pPr algn="ctr"/>
          <a:r>
            <a:rPr lang="lv-LV" sz="1100">
              <a:latin typeface="Times New Roman" panose="02020603050405020304" pitchFamily="18" charset="0"/>
              <a:cs typeface="Times New Roman" panose="02020603050405020304" pitchFamily="18" charset="0"/>
            </a:rPr>
            <a:t>n-gada janvāris</a:t>
          </a:r>
          <a:endParaRPr lang="en-US" sz="1100">
            <a:latin typeface="Times New Roman" panose="02020603050405020304" pitchFamily="18" charset="0"/>
            <a:cs typeface="Times New Roman" panose="02020603050405020304" pitchFamily="18" charset="0"/>
          </a:endParaRPr>
        </a:p>
      </dgm:t>
    </dgm:pt>
    <dgm:pt modelId="{EF63C9C5-EA5F-42D2-A5F4-222ABCA46D2A}" type="parTrans" cxnId="{006DA037-099C-4501-B2AA-A63D9216BE1D}">
      <dgm:prSet/>
      <dgm:spPr/>
      <dgm:t>
        <a:bodyPr/>
        <a:lstStyle/>
        <a:p>
          <a:pPr algn="ctr"/>
          <a:endParaRPr lang="en-US"/>
        </a:p>
      </dgm:t>
    </dgm:pt>
    <dgm:pt modelId="{5B7F3BF4-A31A-4B99-9287-70923C918A48}" type="sibTrans" cxnId="{006DA037-099C-4501-B2AA-A63D9216BE1D}">
      <dgm:prSet/>
      <dgm:spPr/>
      <dgm:t>
        <a:bodyPr/>
        <a:lstStyle/>
        <a:p>
          <a:pPr algn="ctr"/>
          <a:endParaRPr lang="en-US"/>
        </a:p>
      </dgm:t>
    </dgm:pt>
    <dgm:pt modelId="{9C0B452E-6130-4811-B102-4FF4E7891644}">
      <dgm:prSet phldrT="[Text]"/>
      <dgm:spPr/>
      <dgm:t>
        <a:bodyPr/>
        <a:lstStyle/>
        <a:p>
          <a:pPr algn="ctr"/>
          <a:r>
            <a:rPr lang="lv-LV">
              <a:latin typeface="Times New Roman" panose="02020603050405020304" pitchFamily="18" charset="0"/>
              <a:cs typeface="Times New Roman" panose="02020603050405020304" pitchFamily="18" charset="0"/>
            </a:rPr>
            <a:t>Līdz n-gada 31.janvārim FM aprēķina un nosūta saskaņošanai valsts pamatbudžeta un valsts speciālā budžeta bāzes izdevumus</a:t>
          </a:r>
          <a:endParaRPr lang="en-US">
            <a:latin typeface="Times New Roman" panose="02020603050405020304" pitchFamily="18" charset="0"/>
            <a:cs typeface="Times New Roman" panose="02020603050405020304" pitchFamily="18" charset="0"/>
          </a:endParaRPr>
        </a:p>
      </dgm:t>
    </dgm:pt>
    <dgm:pt modelId="{BF2AD09A-3A8E-464E-B485-BE906C534883}" type="parTrans" cxnId="{A9D0AC88-F44E-43AD-B6E5-62FD8A009B1F}">
      <dgm:prSet/>
      <dgm:spPr/>
      <dgm:t>
        <a:bodyPr/>
        <a:lstStyle/>
        <a:p>
          <a:pPr algn="ctr"/>
          <a:endParaRPr lang="en-US"/>
        </a:p>
      </dgm:t>
    </dgm:pt>
    <dgm:pt modelId="{95A58273-7924-4B4D-A318-30B2D5A551CA}" type="sibTrans" cxnId="{A9D0AC88-F44E-43AD-B6E5-62FD8A009B1F}">
      <dgm:prSet/>
      <dgm:spPr/>
      <dgm:t>
        <a:bodyPr/>
        <a:lstStyle/>
        <a:p>
          <a:pPr algn="ctr"/>
          <a:endParaRPr lang="en-US"/>
        </a:p>
      </dgm:t>
    </dgm:pt>
    <dgm:pt modelId="{324FDAC0-50AE-4A71-BCBE-ADA9A60BD83E}">
      <dgm:prSet phldrT="[Text]" custT="1"/>
      <dgm:spPr/>
      <dgm:t>
        <a:bodyPr/>
        <a:lstStyle/>
        <a:p>
          <a:pPr algn="ctr"/>
          <a:r>
            <a:rPr lang="lv-LV" sz="1050">
              <a:latin typeface="Times New Roman" panose="02020603050405020304" pitchFamily="18" charset="0"/>
              <a:cs typeface="Times New Roman" panose="02020603050405020304" pitchFamily="18" charset="0"/>
            </a:rPr>
            <a:t>n-gada janvāris līdz jūlijs</a:t>
          </a:r>
          <a:endParaRPr lang="en-US" sz="1050">
            <a:latin typeface="Times New Roman" panose="02020603050405020304" pitchFamily="18" charset="0"/>
            <a:cs typeface="Times New Roman" panose="02020603050405020304" pitchFamily="18" charset="0"/>
          </a:endParaRPr>
        </a:p>
      </dgm:t>
    </dgm:pt>
    <dgm:pt modelId="{9B39A54E-4CD2-4EC3-94A2-C8AA56734A82}" type="parTrans" cxnId="{B6CE36EF-8062-48DC-BE0C-E16EF5A163E1}">
      <dgm:prSet/>
      <dgm:spPr/>
      <dgm:t>
        <a:bodyPr/>
        <a:lstStyle/>
        <a:p>
          <a:pPr algn="ctr"/>
          <a:endParaRPr lang="en-US"/>
        </a:p>
      </dgm:t>
    </dgm:pt>
    <dgm:pt modelId="{C988C876-4C72-4C20-8EC2-2C8AE22429EE}" type="sibTrans" cxnId="{B6CE36EF-8062-48DC-BE0C-E16EF5A163E1}">
      <dgm:prSet/>
      <dgm:spPr/>
      <dgm:t>
        <a:bodyPr/>
        <a:lstStyle/>
        <a:p>
          <a:pPr algn="ctr"/>
          <a:endParaRPr lang="en-US"/>
        </a:p>
      </dgm:t>
    </dgm:pt>
    <dgm:pt modelId="{472150E0-994C-4002-9DF2-432FDC92E231}">
      <dgm:prSet phldrT="[Text]"/>
      <dgm:spPr/>
      <dgm:t>
        <a:bodyPr/>
        <a:lstStyle/>
        <a:p>
          <a:pPr algn="ctr"/>
          <a:r>
            <a:rPr lang="lv-LV">
              <a:latin typeface="Times New Roman" panose="02020603050405020304" pitchFamily="18" charset="0"/>
              <a:cs typeface="Times New Roman" panose="02020603050405020304" pitchFamily="18" charset="0"/>
            </a:rPr>
            <a:t>No kārtējā gada janvāra līdz jūlijam FM nodrošina valsts budžeta izdevumu pārskatīšanu un rezultātu iesniegšanu MK</a:t>
          </a:r>
          <a:endParaRPr lang="en-US">
            <a:latin typeface="Times New Roman" panose="02020603050405020304" pitchFamily="18" charset="0"/>
            <a:cs typeface="Times New Roman" panose="02020603050405020304" pitchFamily="18" charset="0"/>
          </a:endParaRPr>
        </a:p>
      </dgm:t>
    </dgm:pt>
    <dgm:pt modelId="{57D21882-1E0C-4C1F-8EEA-F79E63F7DE69}" type="parTrans" cxnId="{B88DCA27-445D-42FD-94FF-A0297F0D1574}">
      <dgm:prSet/>
      <dgm:spPr/>
      <dgm:t>
        <a:bodyPr/>
        <a:lstStyle/>
        <a:p>
          <a:pPr algn="ctr"/>
          <a:endParaRPr lang="en-US"/>
        </a:p>
      </dgm:t>
    </dgm:pt>
    <dgm:pt modelId="{9E74BC30-13B0-402B-903C-C66BCC4F0E76}" type="sibTrans" cxnId="{B88DCA27-445D-42FD-94FF-A0297F0D1574}">
      <dgm:prSet/>
      <dgm:spPr/>
      <dgm:t>
        <a:bodyPr/>
        <a:lstStyle/>
        <a:p>
          <a:pPr algn="ctr"/>
          <a:endParaRPr lang="en-US"/>
        </a:p>
      </dgm:t>
    </dgm:pt>
    <dgm:pt modelId="{0D7C3540-FFA5-499D-B9BC-BF47E0909AE5}">
      <dgm:prSet phldrT="[Text]" custT="1"/>
      <dgm:spPr/>
      <dgm:t>
        <a:bodyPr/>
        <a:lstStyle/>
        <a:p>
          <a:pPr algn="ctr"/>
          <a:r>
            <a:rPr lang="lv-LV" sz="1050">
              <a:latin typeface="Times New Roman" panose="02020603050405020304" pitchFamily="18" charset="0"/>
              <a:cs typeface="Times New Roman" panose="02020603050405020304" pitchFamily="18" charset="0"/>
            </a:rPr>
            <a:t>n-gada marts-augusts</a:t>
          </a:r>
          <a:endParaRPr lang="en-US" sz="1050">
            <a:latin typeface="Times New Roman" panose="02020603050405020304" pitchFamily="18" charset="0"/>
            <a:cs typeface="Times New Roman" panose="02020603050405020304" pitchFamily="18" charset="0"/>
          </a:endParaRPr>
        </a:p>
      </dgm:t>
    </dgm:pt>
    <dgm:pt modelId="{A36FCAD1-36FB-4216-996B-8419111FA157}" type="parTrans" cxnId="{6B15F8C0-7118-4A97-9D6D-5ED20B787188}">
      <dgm:prSet/>
      <dgm:spPr/>
      <dgm:t>
        <a:bodyPr/>
        <a:lstStyle/>
        <a:p>
          <a:pPr algn="ctr"/>
          <a:endParaRPr lang="en-US"/>
        </a:p>
      </dgm:t>
    </dgm:pt>
    <dgm:pt modelId="{5544928C-4BBA-4D89-894F-039DF930D29B}" type="sibTrans" cxnId="{6B15F8C0-7118-4A97-9D6D-5ED20B787188}">
      <dgm:prSet/>
      <dgm:spPr/>
      <dgm:t>
        <a:bodyPr/>
        <a:lstStyle/>
        <a:p>
          <a:pPr algn="ctr"/>
          <a:endParaRPr lang="en-US"/>
        </a:p>
      </dgm:t>
    </dgm:pt>
    <dgm:pt modelId="{C4FF317E-9D33-4B98-8991-476B510A77CB}">
      <dgm:prSet phldrT="[Text]"/>
      <dgm:spPr/>
      <dgm:t>
        <a:bodyPr/>
        <a:lstStyle/>
        <a:p>
          <a:pPr algn="ctr"/>
          <a:r>
            <a:rPr lang="lv-LV">
              <a:latin typeface="Times New Roman" panose="02020603050405020304" pitchFamily="18" charset="0"/>
              <a:cs typeface="Times New Roman" panose="02020603050405020304" pitchFamily="18" charset="0"/>
            </a:rPr>
            <a:t>Budžeta attīstības daļas noteikšana (prioritāro pasākumu finansēšana)</a:t>
          </a:r>
          <a:endParaRPr lang="en-US">
            <a:latin typeface="Times New Roman" panose="02020603050405020304" pitchFamily="18" charset="0"/>
            <a:cs typeface="Times New Roman" panose="02020603050405020304" pitchFamily="18" charset="0"/>
          </a:endParaRPr>
        </a:p>
      </dgm:t>
    </dgm:pt>
    <dgm:pt modelId="{F6966151-EB77-47F8-A4D3-8EF27BF4CCB1}" type="parTrans" cxnId="{8A20AD3C-A15B-4499-9B8C-5EBDF661B144}">
      <dgm:prSet/>
      <dgm:spPr/>
      <dgm:t>
        <a:bodyPr/>
        <a:lstStyle/>
        <a:p>
          <a:pPr algn="ctr"/>
          <a:endParaRPr lang="en-US"/>
        </a:p>
      </dgm:t>
    </dgm:pt>
    <dgm:pt modelId="{30DB8DA1-EEE9-4D9D-B367-7CC91EDD5F4C}" type="sibTrans" cxnId="{8A20AD3C-A15B-4499-9B8C-5EBDF661B144}">
      <dgm:prSet/>
      <dgm:spPr/>
      <dgm:t>
        <a:bodyPr/>
        <a:lstStyle/>
        <a:p>
          <a:pPr algn="ctr"/>
          <a:endParaRPr lang="en-US"/>
        </a:p>
      </dgm:t>
    </dgm:pt>
    <dgm:pt modelId="{D7F29F53-01FC-4EC7-A6EA-C2691B8C4C64}">
      <dgm:prSet phldrT="[Text]" custT="1"/>
      <dgm:spPr/>
      <dgm:t>
        <a:bodyPr/>
        <a:lstStyle/>
        <a:p>
          <a:pPr algn="ctr"/>
          <a:r>
            <a:rPr lang="lv-LV" sz="1050">
              <a:latin typeface="Times New Roman" panose="02020603050405020304" pitchFamily="18" charset="0"/>
              <a:cs typeface="Times New Roman" panose="02020603050405020304" pitchFamily="18" charset="0"/>
            </a:rPr>
            <a:t>n-gada jūnijs līdz augusts</a:t>
          </a:r>
          <a:endParaRPr lang="en-US" sz="1050">
            <a:latin typeface="Times New Roman" panose="02020603050405020304" pitchFamily="18" charset="0"/>
            <a:cs typeface="Times New Roman" panose="02020603050405020304" pitchFamily="18" charset="0"/>
          </a:endParaRPr>
        </a:p>
      </dgm:t>
    </dgm:pt>
    <dgm:pt modelId="{BE9D6000-6359-4F21-83F2-8848B4C3F41F}" type="parTrans" cxnId="{22C1DF9C-F7C9-41C2-AE07-AE195C0BDFE9}">
      <dgm:prSet/>
      <dgm:spPr/>
      <dgm:t>
        <a:bodyPr/>
        <a:lstStyle/>
        <a:p>
          <a:pPr algn="ctr"/>
          <a:endParaRPr lang="en-US"/>
        </a:p>
      </dgm:t>
    </dgm:pt>
    <dgm:pt modelId="{1F5702DB-CFD4-4B53-98CB-AEE9A0CBA229}" type="sibTrans" cxnId="{22C1DF9C-F7C9-41C2-AE07-AE195C0BDFE9}">
      <dgm:prSet/>
      <dgm:spPr/>
      <dgm:t>
        <a:bodyPr/>
        <a:lstStyle/>
        <a:p>
          <a:pPr algn="ctr"/>
          <a:endParaRPr lang="en-US"/>
        </a:p>
      </dgm:t>
    </dgm:pt>
    <dgm:pt modelId="{3C50B738-74D4-4A92-8015-536BCE5B9FAA}">
      <dgm:prSet phldrT="[Text]" custT="1"/>
      <dgm:spPr/>
      <dgm:t>
        <a:bodyPr/>
        <a:lstStyle/>
        <a:p>
          <a:pPr algn="ctr"/>
          <a:r>
            <a:rPr lang="lv-LV" sz="1100">
              <a:latin typeface="Times New Roman" panose="02020603050405020304" pitchFamily="18" charset="0"/>
              <a:cs typeface="Times New Roman" panose="02020603050405020304" pitchFamily="18" charset="0"/>
            </a:rPr>
            <a:t>No kārtējā gada marta līdz augustam, atbilstoši MK sēdes protokollēmumā paredzētama FM ir atļauts precizēt valsts budžeta bāzes izdevumu</a:t>
          </a:r>
          <a:endParaRPr lang="en-US" sz="1100">
            <a:latin typeface="Times New Roman" panose="02020603050405020304" pitchFamily="18" charset="0"/>
            <a:cs typeface="Times New Roman" panose="02020603050405020304" pitchFamily="18" charset="0"/>
          </a:endParaRPr>
        </a:p>
      </dgm:t>
    </dgm:pt>
    <dgm:pt modelId="{F4659C83-EFBC-4424-A9D0-D0E316F173E5}" type="parTrans" cxnId="{157594DE-D117-4EA3-BD23-32C987CB097E}">
      <dgm:prSet/>
      <dgm:spPr/>
      <dgm:t>
        <a:bodyPr/>
        <a:lstStyle/>
        <a:p>
          <a:endParaRPr lang="en-US"/>
        </a:p>
      </dgm:t>
    </dgm:pt>
    <dgm:pt modelId="{BE24A83B-8C11-48AA-8EC8-5CCADAC322B8}" type="sibTrans" cxnId="{157594DE-D117-4EA3-BD23-32C987CB097E}">
      <dgm:prSet/>
      <dgm:spPr/>
      <dgm:t>
        <a:bodyPr/>
        <a:lstStyle/>
        <a:p>
          <a:endParaRPr lang="en-US"/>
        </a:p>
      </dgm:t>
    </dgm:pt>
    <dgm:pt modelId="{A91769F5-5F47-4BFF-AC86-56B9D8CE44BE}" type="pres">
      <dgm:prSet presAssocID="{5E55428B-2793-46F3-8821-3F3CEBBD7B05}" presName="Name0" presStyleCnt="0">
        <dgm:presLayoutVars>
          <dgm:dir/>
        </dgm:presLayoutVars>
      </dgm:prSet>
      <dgm:spPr/>
      <dgm:t>
        <a:bodyPr/>
        <a:lstStyle/>
        <a:p>
          <a:endParaRPr lang="en-US"/>
        </a:p>
      </dgm:t>
    </dgm:pt>
    <dgm:pt modelId="{6C9145E7-8B65-43F8-9F01-AA83EDE971E8}" type="pres">
      <dgm:prSet presAssocID="{8CCD4F90-13EE-413D-9B25-AF463B9B6123}" presName="composite" presStyleCnt="0"/>
      <dgm:spPr/>
    </dgm:pt>
    <dgm:pt modelId="{4F3FA939-09D1-4A53-B2B7-7AC862F9F36F}" type="pres">
      <dgm:prSet presAssocID="{8CCD4F90-13EE-413D-9B25-AF463B9B6123}" presName="Accent" presStyleLbl="alignAcc1" presStyleIdx="0" presStyleCnt="4"/>
      <dgm:spPr/>
    </dgm:pt>
    <dgm:pt modelId="{846DB316-182D-4691-A6D8-1662C9675544}" type="pres">
      <dgm:prSet presAssocID="{8CCD4F90-13EE-413D-9B25-AF463B9B6123}" presName="Image" presStyleLbl="node1" presStyleIdx="0" presStyleCnt="4"/>
      <dgm:spPr>
        <a:blipFill>
          <a:blip xmlns:r="http://schemas.openxmlformats.org/officeDocument/2006/relationships" r:embed="rId1">
            <a:extLst>
              <a:ext uri="{28A0092B-C50C-407E-A947-70E740481C1C}">
                <a14:useLocalDpi xmlns:a14="http://schemas.microsoft.com/office/drawing/2010/main" val="0"/>
              </a:ext>
            </a:extLst>
          </a:blip>
          <a:srcRect/>
          <a:stretch>
            <a:fillRect t="-8000" b="-8000"/>
          </a:stretch>
        </a:blipFill>
      </dgm:spPr>
      <dgm:t>
        <a:bodyPr/>
        <a:lstStyle/>
        <a:p>
          <a:endParaRPr lang="en-US"/>
        </a:p>
      </dgm:t>
    </dgm:pt>
    <dgm:pt modelId="{3B21E49C-84C8-41E6-BCA2-5B2E6C2EAC95}" type="pres">
      <dgm:prSet presAssocID="{8CCD4F90-13EE-413D-9B25-AF463B9B6123}" presName="Child" presStyleLbl="revTx" presStyleIdx="0" presStyleCnt="4" custScaleY="130225" custLinFactNeighborY="18756">
        <dgm:presLayoutVars>
          <dgm:bulletEnabled val="1"/>
        </dgm:presLayoutVars>
      </dgm:prSet>
      <dgm:spPr/>
      <dgm:t>
        <a:bodyPr/>
        <a:lstStyle/>
        <a:p>
          <a:endParaRPr lang="en-US"/>
        </a:p>
      </dgm:t>
    </dgm:pt>
    <dgm:pt modelId="{E719BE4A-9E0D-438D-A70E-1DE0345A1A1C}" type="pres">
      <dgm:prSet presAssocID="{8CCD4F90-13EE-413D-9B25-AF463B9B6123}" presName="Parent" presStyleLbl="alignNode1" presStyleIdx="0" presStyleCnt="4">
        <dgm:presLayoutVars>
          <dgm:bulletEnabled val="1"/>
        </dgm:presLayoutVars>
      </dgm:prSet>
      <dgm:spPr/>
      <dgm:t>
        <a:bodyPr/>
        <a:lstStyle/>
        <a:p>
          <a:endParaRPr lang="en-US"/>
        </a:p>
      </dgm:t>
    </dgm:pt>
    <dgm:pt modelId="{78CFF710-DE0E-470E-BB83-67875E6C8826}" type="pres">
      <dgm:prSet presAssocID="{5B7F3BF4-A31A-4B99-9287-70923C918A48}" presName="sibTrans" presStyleCnt="0"/>
      <dgm:spPr/>
    </dgm:pt>
    <dgm:pt modelId="{F16DF7CF-D331-41E3-B8E9-7C770E8490C5}" type="pres">
      <dgm:prSet presAssocID="{324FDAC0-50AE-4A71-BCBE-ADA9A60BD83E}" presName="composite" presStyleCnt="0"/>
      <dgm:spPr/>
    </dgm:pt>
    <dgm:pt modelId="{C5E9D8DC-7B34-4EA8-B285-8ED4E7D09FB9}" type="pres">
      <dgm:prSet presAssocID="{324FDAC0-50AE-4A71-BCBE-ADA9A60BD83E}" presName="Accent" presStyleLbl="alignAcc1" presStyleIdx="1" presStyleCnt="4"/>
      <dgm:spPr/>
    </dgm:pt>
    <dgm:pt modelId="{01348784-89F5-498C-9CFC-8F486E340D13}" type="pres">
      <dgm:prSet presAssocID="{324FDAC0-50AE-4A71-BCBE-ADA9A60BD83E}" presName="Image" presStyleLbl="node1" presStyleIdx="1" presStyleCnt="4"/>
      <dgm:spPr>
        <a:blipFill>
          <a:blip xmlns:r="http://schemas.openxmlformats.org/officeDocument/2006/relationships" r:embed="rId2">
            <a:extLst>
              <a:ext uri="{28A0092B-C50C-407E-A947-70E740481C1C}">
                <a14:useLocalDpi xmlns:a14="http://schemas.microsoft.com/office/drawing/2010/main" val="0"/>
              </a:ext>
            </a:extLst>
          </a:blip>
          <a:srcRect/>
          <a:stretch>
            <a:fillRect t="-8000" b="-8000"/>
          </a:stretch>
        </a:blipFill>
      </dgm:spPr>
      <dgm:t>
        <a:bodyPr/>
        <a:lstStyle/>
        <a:p>
          <a:endParaRPr lang="en-US"/>
        </a:p>
      </dgm:t>
    </dgm:pt>
    <dgm:pt modelId="{470B5D60-224F-4F20-9701-96727DA5EA24}" type="pres">
      <dgm:prSet presAssocID="{324FDAC0-50AE-4A71-BCBE-ADA9A60BD83E}" presName="Child" presStyleLbl="revTx" presStyleIdx="1" presStyleCnt="4" custScaleY="116758" custLinFactNeighborX="1182" custLinFactNeighborY="10831">
        <dgm:presLayoutVars>
          <dgm:bulletEnabled val="1"/>
        </dgm:presLayoutVars>
      </dgm:prSet>
      <dgm:spPr/>
      <dgm:t>
        <a:bodyPr/>
        <a:lstStyle/>
        <a:p>
          <a:endParaRPr lang="en-US"/>
        </a:p>
      </dgm:t>
    </dgm:pt>
    <dgm:pt modelId="{BA7C8F7F-357E-4577-9A8C-FC9A9FB461BF}" type="pres">
      <dgm:prSet presAssocID="{324FDAC0-50AE-4A71-BCBE-ADA9A60BD83E}" presName="Parent" presStyleLbl="alignNode1" presStyleIdx="1" presStyleCnt="4">
        <dgm:presLayoutVars>
          <dgm:bulletEnabled val="1"/>
        </dgm:presLayoutVars>
      </dgm:prSet>
      <dgm:spPr/>
      <dgm:t>
        <a:bodyPr/>
        <a:lstStyle/>
        <a:p>
          <a:endParaRPr lang="en-US"/>
        </a:p>
      </dgm:t>
    </dgm:pt>
    <dgm:pt modelId="{C867E699-B000-4C16-B7DC-98A081D7331C}" type="pres">
      <dgm:prSet presAssocID="{C988C876-4C72-4C20-8EC2-2C8AE22429EE}" presName="sibTrans" presStyleCnt="0"/>
      <dgm:spPr/>
    </dgm:pt>
    <dgm:pt modelId="{3F06CFFB-8997-4157-9388-88D8DE393B8F}" type="pres">
      <dgm:prSet presAssocID="{0D7C3540-FFA5-499D-B9BC-BF47E0909AE5}" presName="composite" presStyleCnt="0"/>
      <dgm:spPr/>
    </dgm:pt>
    <dgm:pt modelId="{9E98F425-176A-4122-BC2F-82A161EC2B26}" type="pres">
      <dgm:prSet presAssocID="{0D7C3540-FFA5-499D-B9BC-BF47E0909AE5}" presName="Accent" presStyleLbl="alignAcc1" presStyleIdx="2" presStyleCnt="4"/>
      <dgm:spPr/>
    </dgm:pt>
    <dgm:pt modelId="{6F4B196D-8200-41CF-9C75-AC42ED3A7D21}" type="pres">
      <dgm:prSet presAssocID="{0D7C3540-FFA5-499D-B9BC-BF47E0909AE5}" presName="Image" presStyleLbl="node1" presStyleIdx="2" presStyleCnt="4"/>
      <dgm:spPr>
        <a:blipFill>
          <a:blip xmlns:r="http://schemas.openxmlformats.org/officeDocument/2006/relationships" r:embed="rId3">
            <a:extLst>
              <a:ext uri="{28A0092B-C50C-407E-A947-70E740481C1C}">
                <a14:useLocalDpi xmlns:a14="http://schemas.microsoft.com/office/drawing/2010/main" val="0"/>
              </a:ext>
            </a:extLst>
          </a:blip>
          <a:srcRect/>
          <a:stretch>
            <a:fillRect t="-8000" b="-8000"/>
          </a:stretch>
        </a:blipFill>
      </dgm:spPr>
      <dgm:t>
        <a:bodyPr/>
        <a:lstStyle/>
        <a:p>
          <a:endParaRPr lang="en-US"/>
        </a:p>
      </dgm:t>
    </dgm:pt>
    <dgm:pt modelId="{C6955103-3FCD-4B84-B37D-1CC47FD7E9C1}" type="pres">
      <dgm:prSet presAssocID="{0D7C3540-FFA5-499D-B9BC-BF47E0909AE5}" presName="Child" presStyleLbl="revTx" presStyleIdx="2" presStyleCnt="4" custScaleY="122778" custLinFactNeighborY="13839">
        <dgm:presLayoutVars>
          <dgm:bulletEnabled val="1"/>
        </dgm:presLayoutVars>
      </dgm:prSet>
      <dgm:spPr/>
      <dgm:t>
        <a:bodyPr/>
        <a:lstStyle/>
        <a:p>
          <a:endParaRPr lang="en-US"/>
        </a:p>
      </dgm:t>
    </dgm:pt>
    <dgm:pt modelId="{EF72729C-449F-4EFD-B21E-99E0F760B855}" type="pres">
      <dgm:prSet presAssocID="{0D7C3540-FFA5-499D-B9BC-BF47E0909AE5}" presName="Parent" presStyleLbl="alignNode1" presStyleIdx="2" presStyleCnt="4">
        <dgm:presLayoutVars>
          <dgm:bulletEnabled val="1"/>
        </dgm:presLayoutVars>
      </dgm:prSet>
      <dgm:spPr/>
      <dgm:t>
        <a:bodyPr/>
        <a:lstStyle/>
        <a:p>
          <a:endParaRPr lang="en-US"/>
        </a:p>
      </dgm:t>
    </dgm:pt>
    <dgm:pt modelId="{FB3201F2-09B0-4F25-B3AD-0A472773B9D1}" type="pres">
      <dgm:prSet presAssocID="{5544928C-4BBA-4D89-894F-039DF930D29B}" presName="sibTrans" presStyleCnt="0"/>
      <dgm:spPr/>
    </dgm:pt>
    <dgm:pt modelId="{18B92843-F157-4E52-9464-C92BBEFB7F08}" type="pres">
      <dgm:prSet presAssocID="{D7F29F53-01FC-4EC7-A6EA-C2691B8C4C64}" presName="composite" presStyleCnt="0"/>
      <dgm:spPr/>
    </dgm:pt>
    <dgm:pt modelId="{CF72F411-447A-49A9-9680-8A9C5D7EAF1B}" type="pres">
      <dgm:prSet presAssocID="{D7F29F53-01FC-4EC7-A6EA-C2691B8C4C64}" presName="Accent" presStyleLbl="alignAcc1" presStyleIdx="3" presStyleCnt="4"/>
      <dgm:spPr/>
    </dgm:pt>
    <dgm:pt modelId="{8A6C018D-FB3D-4A03-ACFE-66D741736F35}" type="pres">
      <dgm:prSet presAssocID="{D7F29F53-01FC-4EC7-A6EA-C2691B8C4C64}" presName="Image" presStyleLbl="node1" presStyleIdx="3" presStyleCnt="4"/>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t="-8000" b="-8000"/>
          </a:stretch>
        </a:blipFill>
      </dgm:spPr>
    </dgm:pt>
    <dgm:pt modelId="{65BA27ED-0950-4A86-9AD3-BE41DF3A0F90}" type="pres">
      <dgm:prSet presAssocID="{D7F29F53-01FC-4EC7-A6EA-C2691B8C4C64}" presName="Child" presStyleLbl="revTx" presStyleIdx="3" presStyleCnt="4" custLinFactNeighborX="562" custLinFactNeighborY="3610">
        <dgm:presLayoutVars>
          <dgm:bulletEnabled val="1"/>
        </dgm:presLayoutVars>
      </dgm:prSet>
      <dgm:spPr/>
      <dgm:t>
        <a:bodyPr/>
        <a:lstStyle/>
        <a:p>
          <a:endParaRPr lang="en-US"/>
        </a:p>
      </dgm:t>
    </dgm:pt>
    <dgm:pt modelId="{D0951F02-2E1A-43EE-8A3F-33CA612AF46D}" type="pres">
      <dgm:prSet presAssocID="{D7F29F53-01FC-4EC7-A6EA-C2691B8C4C64}" presName="Parent" presStyleLbl="alignNode1" presStyleIdx="3" presStyleCnt="4">
        <dgm:presLayoutVars>
          <dgm:bulletEnabled val="1"/>
        </dgm:presLayoutVars>
      </dgm:prSet>
      <dgm:spPr/>
      <dgm:t>
        <a:bodyPr/>
        <a:lstStyle/>
        <a:p>
          <a:endParaRPr lang="en-US"/>
        </a:p>
      </dgm:t>
    </dgm:pt>
  </dgm:ptLst>
  <dgm:cxnLst>
    <dgm:cxn modelId="{2E14C0D0-44FE-4CE9-9423-0613852AE148}" type="presOf" srcId="{3C50B738-74D4-4A92-8015-536BCE5B9FAA}" destId="{C6955103-3FCD-4B84-B37D-1CC47FD7E9C1}" srcOrd="0" destOrd="0" presId="urn:microsoft.com/office/officeart/2008/layout/TitlePictureLineup"/>
    <dgm:cxn modelId="{6B15F8C0-7118-4A97-9D6D-5ED20B787188}" srcId="{5E55428B-2793-46F3-8821-3F3CEBBD7B05}" destId="{0D7C3540-FFA5-499D-B9BC-BF47E0909AE5}" srcOrd="2" destOrd="0" parTransId="{A36FCAD1-36FB-4216-996B-8419111FA157}" sibTransId="{5544928C-4BBA-4D89-894F-039DF930D29B}"/>
    <dgm:cxn modelId="{B6CE36EF-8062-48DC-BE0C-E16EF5A163E1}" srcId="{5E55428B-2793-46F3-8821-3F3CEBBD7B05}" destId="{324FDAC0-50AE-4A71-BCBE-ADA9A60BD83E}" srcOrd="1" destOrd="0" parTransId="{9B39A54E-4CD2-4EC3-94A2-C8AA56734A82}" sibTransId="{C988C876-4C72-4C20-8EC2-2C8AE22429EE}"/>
    <dgm:cxn modelId="{8A20AD3C-A15B-4499-9B8C-5EBDF661B144}" srcId="{D7F29F53-01FC-4EC7-A6EA-C2691B8C4C64}" destId="{C4FF317E-9D33-4B98-8991-476B510A77CB}" srcOrd="0" destOrd="0" parTransId="{F6966151-EB77-47F8-A4D3-8EF27BF4CCB1}" sibTransId="{30DB8DA1-EEE9-4D9D-B367-7CC91EDD5F4C}"/>
    <dgm:cxn modelId="{132E04B9-9E28-444D-B91A-FC41437E4C95}" type="presOf" srcId="{472150E0-994C-4002-9DF2-432FDC92E231}" destId="{470B5D60-224F-4F20-9701-96727DA5EA24}" srcOrd="0" destOrd="0" presId="urn:microsoft.com/office/officeart/2008/layout/TitlePictureLineup"/>
    <dgm:cxn modelId="{006DA037-099C-4501-B2AA-A63D9216BE1D}" srcId="{5E55428B-2793-46F3-8821-3F3CEBBD7B05}" destId="{8CCD4F90-13EE-413D-9B25-AF463B9B6123}" srcOrd="0" destOrd="0" parTransId="{EF63C9C5-EA5F-42D2-A5F4-222ABCA46D2A}" sibTransId="{5B7F3BF4-A31A-4B99-9287-70923C918A48}"/>
    <dgm:cxn modelId="{157594DE-D117-4EA3-BD23-32C987CB097E}" srcId="{0D7C3540-FFA5-499D-B9BC-BF47E0909AE5}" destId="{3C50B738-74D4-4A92-8015-536BCE5B9FAA}" srcOrd="0" destOrd="0" parTransId="{F4659C83-EFBC-4424-A9D0-D0E316F173E5}" sibTransId="{BE24A83B-8C11-48AA-8EC8-5CCADAC322B8}"/>
    <dgm:cxn modelId="{E777AC59-D2D6-43E2-B0CA-1CC8737246D3}" type="presOf" srcId="{C4FF317E-9D33-4B98-8991-476B510A77CB}" destId="{65BA27ED-0950-4A86-9AD3-BE41DF3A0F90}" srcOrd="0" destOrd="0" presId="urn:microsoft.com/office/officeart/2008/layout/TitlePictureLineup"/>
    <dgm:cxn modelId="{A1E3B46B-8C38-4672-99C9-21DD920A796B}" type="presOf" srcId="{5E55428B-2793-46F3-8821-3F3CEBBD7B05}" destId="{A91769F5-5F47-4BFF-AC86-56B9D8CE44BE}" srcOrd="0" destOrd="0" presId="urn:microsoft.com/office/officeart/2008/layout/TitlePictureLineup"/>
    <dgm:cxn modelId="{18222973-ECEA-4B50-90C1-C8436D062509}" type="presOf" srcId="{D7F29F53-01FC-4EC7-A6EA-C2691B8C4C64}" destId="{D0951F02-2E1A-43EE-8A3F-33CA612AF46D}" srcOrd="0" destOrd="0" presId="urn:microsoft.com/office/officeart/2008/layout/TitlePictureLineup"/>
    <dgm:cxn modelId="{22C1DF9C-F7C9-41C2-AE07-AE195C0BDFE9}" srcId="{5E55428B-2793-46F3-8821-3F3CEBBD7B05}" destId="{D7F29F53-01FC-4EC7-A6EA-C2691B8C4C64}" srcOrd="3" destOrd="0" parTransId="{BE9D6000-6359-4F21-83F2-8848B4C3F41F}" sibTransId="{1F5702DB-CFD4-4B53-98CB-AEE9A0CBA229}"/>
    <dgm:cxn modelId="{1831C6B1-0D4F-4CFA-A1E7-EBA73089CDE8}" type="presOf" srcId="{0D7C3540-FFA5-499D-B9BC-BF47E0909AE5}" destId="{EF72729C-449F-4EFD-B21E-99E0F760B855}" srcOrd="0" destOrd="0" presId="urn:microsoft.com/office/officeart/2008/layout/TitlePictureLineup"/>
    <dgm:cxn modelId="{0DB34119-6667-4D59-B3E3-256A295A0DCC}" type="presOf" srcId="{9C0B452E-6130-4811-B102-4FF4E7891644}" destId="{3B21E49C-84C8-41E6-BCA2-5B2E6C2EAC95}" srcOrd="0" destOrd="0" presId="urn:microsoft.com/office/officeart/2008/layout/TitlePictureLineup"/>
    <dgm:cxn modelId="{A9D0AC88-F44E-43AD-B6E5-62FD8A009B1F}" srcId="{8CCD4F90-13EE-413D-9B25-AF463B9B6123}" destId="{9C0B452E-6130-4811-B102-4FF4E7891644}" srcOrd="0" destOrd="0" parTransId="{BF2AD09A-3A8E-464E-B485-BE906C534883}" sibTransId="{95A58273-7924-4B4D-A318-30B2D5A551CA}"/>
    <dgm:cxn modelId="{B88DCA27-445D-42FD-94FF-A0297F0D1574}" srcId="{324FDAC0-50AE-4A71-BCBE-ADA9A60BD83E}" destId="{472150E0-994C-4002-9DF2-432FDC92E231}" srcOrd="0" destOrd="0" parTransId="{57D21882-1E0C-4C1F-8EEA-F79E63F7DE69}" sibTransId="{9E74BC30-13B0-402B-903C-C66BCC4F0E76}"/>
    <dgm:cxn modelId="{4C4B41E5-FE33-451B-AACB-5B8FD2EC49BA}" type="presOf" srcId="{8CCD4F90-13EE-413D-9B25-AF463B9B6123}" destId="{E719BE4A-9E0D-438D-A70E-1DE0345A1A1C}" srcOrd="0" destOrd="0" presId="urn:microsoft.com/office/officeart/2008/layout/TitlePictureLineup"/>
    <dgm:cxn modelId="{0EF0B5A9-C803-4693-9767-2BAC8730AEA0}" type="presOf" srcId="{324FDAC0-50AE-4A71-BCBE-ADA9A60BD83E}" destId="{BA7C8F7F-357E-4577-9A8C-FC9A9FB461BF}" srcOrd="0" destOrd="0" presId="urn:microsoft.com/office/officeart/2008/layout/TitlePictureLineup"/>
    <dgm:cxn modelId="{DFA48DCA-A18D-4055-B5DF-96AAEE8CAD00}" type="presParOf" srcId="{A91769F5-5F47-4BFF-AC86-56B9D8CE44BE}" destId="{6C9145E7-8B65-43F8-9F01-AA83EDE971E8}" srcOrd="0" destOrd="0" presId="urn:microsoft.com/office/officeart/2008/layout/TitlePictureLineup"/>
    <dgm:cxn modelId="{4C6D422C-0BAA-468C-8C20-AC9CFC978951}" type="presParOf" srcId="{6C9145E7-8B65-43F8-9F01-AA83EDE971E8}" destId="{4F3FA939-09D1-4A53-B2B7-7AC862F9F36F}" srcOrd="0" destOrd="0" presId="urn:microsoft.com/office/officeart/2008/layout/TitlePictureLineup"/>
    <dgm:cxn modelId="{27FDB7B4-49C4-489E-8457-12731C60A6D5}" type="presParOf" srcId="{6C9145E7-8B65-43F8-9F01-AA83EDE971E8}" destId="{846DB316-182D-4691-A6D8-1662C9675544}" srcOrd="1" destOrd="0" presId="urn:microsoft.com/office/officeart/2008/layout/TitlePictureLineup"/>
    <dgm:cxn modelId="{398CD8EF-2F54-40AC-AC58-AF8A1F709F50}" type="presParOf" srcId="{6C9145E7-8B65-43F8-9F01-AA83EDE971E8}" destId="{3B21E49C-84C8-41E6-BCA2-5B2E6C2EAC95}" srcOrd="2" destOrd="0" presId="urn:microsoft.com/office/officeart/2008/layout/TitlePictureLineup"/>
    <dgm:cxn modelId="{94846A27-7F11-468F-AA4D-4D3E6A977466}" type="presParOf" srcId="{6C9145E7-8B65-43F8-9F01-AA83EDE971E8}" destId="{E719BE4A-9E0D-438D-A70E-1DE0345A1A1C}" srcOrd="3" destOrd="0" presId="urn:microsoft.com/office/officeart/2008/layout/TitlePictureLineup"/>
    <dgm:cxn modelId="{07404082-4D87-43FE-A617-7E6D037F5A90}" type="presParOf" srcId="{A91769F5-5F47-4BFF-AC86-56B9D8CE44BE}" destId="{78CFF710-DE0E-470E-BB83-67875E6C8826}" srcOrd="1" destOrd="0" presId="urn:microsoft.com/office/officeart/2008/layout/TitlePictureLineup"/>
    <dgm:cxn modelId="{4CF0B31B-F1BD-4065-9F28-EB8043DEB141}" type="presParOf" srcId="{A91769F5-5F47-4BFF-AC86-56B9D8CE44BE}" destId="{F16DF7CF-D331-41E3-B8E9-7C770E8490C5}" srcOrd="2" destOrd="0" presId="urn:microsoft.com/office/officeart/2008/layout/TitlePictureLineup"/>
    <dgm:cxn modelId="{2E751E7E-B234-44B9-B8E8-D7FA18D233CE}" type="presParOf" srcId="{F16DF7CF-D331-41E3-B8E9-7C770E8490C5}" destId="{C5E9D8DC-7B34-4EA8-B285-8ED4E7D09FB9}" srcOrd="0" destOrd="0" presId="urn:microsoft.com/office/officeart/2008/layout/TitlePictureLineup"/>
    <dgm:cxn modelId="{E59CEB27-C6CF-45CB-8531-2F9D6F2B2FD7}" type="presParOf" srcId="{F16DF7CF-D331-41E3-B8E9-7C770E8490C5}" destId="{01348784-89F5-498C-9CFC-8F486E340D13}" srcOrd="1" destOrd="0" presId="urn:microsoft.com/office/officeart/2008/layout/TitlePictureLineup"/>
    <dgm:cxn modelId="{C1F81EE5-A350-4C17-BF51-F8988CD20751}" type="presParOf" srcId="{F16DF7CF-D331-41E3-B8E9-7C770E8490C5}" destId="{470B5D60-224F-4F20-9701-96727DA5EA24}" srcOrd="2" destOrd="0" presId="urn:microsoft.com/office/officeart/2008/layout/TitlePictureLineup"/>
    <dgm:cxn modelId="{DCBCA400-208D-4F4F-8876-9C2C7380377E}" type="presParOf" srcId="{F16DF7CF-D331-41E3-B8E9-7C770E8490C5}" destId="{BA7C8F7F-357E-4577-9A8C-FC9A9FB461BF}" srcOrd="3" destOrd="0" presId="urn:microsoft.com/office/officeart/2008/layout/TitlePictureLineup"/>
    <dgm:cxn modelId="{113B377B-33EF-427E-9C8B-31182E2E234A}" type="presParOf" srcId="{A91769F5-5F47-4BFF-AC86-56B9D8CE44BE}" destId="{C867E699-B000-4C16-B7DC-98A081D7331C}" srcOrd="3" destOrd="0" presId="urn:microsoft.com/office/officeart/2008/layout/TitlePictureLineup"/>
    <dgm:cxn modelId="{6ED68B6B-97C3-4D64-804D-30CC8E50FFD9}" type="presParOf" srcId="{A91769F5-5F47-4BFF-AC86-56B9D8CE44BE}" destId="{3F06CFFB-8997-4157-9388-88D8DE393B8F}" srcOrd="4" destOrd="0" presId="urn:microsoft.com/office/officeart/2008/layout/TitlePictureLineup"/>
    <dgm:cxn modelId="{F9636ADD-AB2A-4651-B9F3-256FB766360B}" type="presParOf" srcId="{3F06CFFB-8997-4157-9388-88D8DE393B8F}" destId="{9E98F425-176A-4122-BC2F-82A161EC2B26}" srcOrd="0" destOrd="0" presId="urn:microsoft.com/office/officeart/2008/layout/TitlePictureLineup"/>
    <dgm:cxn modelId="{2C1096EB-967D-4357-9257-FA2F07BEAECC}" type="presParOf" srcId="{3F06CFFB-8997-4157-9388-88D8DE393B8F}" destId="{6F4B196D-8200-41CF-9C75-AC42ED3A7D21}" srcOrd="1" destOrd="0" presId="urn:microsoft.com/office/officeart/2008/layout/TitlePictureLineup"/>
    <dgm:cxn modelId="{ED0D7A92-BB77-4D9F-9836-91610CCDE230}" type="presParOf" srcId="{3F06CFFB-8997-4157-9388-88D8DE393B8F}" destId="{C6955103-3FCD-4B84-B37D-1CC47FD7E9C1}" srcOrd="2" destOrd="0" presId="urn:microsoft.com/office/officeart/2008/layout/TitlePictureLineup"/>
    <dgm:cxn modelId="{A769AF21-3BDF-46F7-9CB0-094A6E686E7E}" type="presParOf" srcId="{3F06CFFB-8997-4157-9388-88D8DE393B8F}" destId="{EF72729C-449F-4EFD-B21E-99E0F760B855}" srcOrd="3" destOrd="0" presId="urn:microsoft.com/office/officeart/2008/layout/TitlePictureLineup"/>
    <dgm:cxn modelId="{8498789C-52C2-4252-A9EE-F68B9FDF5D81}" type="presParOf" srcId="{A91769F5-5F47-4BFF-AC86-56B9D8CE44BE}" destId="{FB3201F2-09B0-4F25-B3AD-0A472773B9D1}" srcOrd="5" destOrd="0" presId="urn:microsoft.com/office/officeart/2008/layout/TitlePictureLineup"/>
    <dgm:cxn modelId="{8F4D7851-2198-48A1-96B6-3BD4D78058B8}" type="presParOf" srcId="{A91769F5-5F47-4BFF-AC86-56B9D8CE44BE}" destId="{18B92843-F157-4E52-9464-C92BBEFB7F08}" srcOrd="6" destOrd="0" presId="urn:microsoft.com/office/officeart/2008/layout/TitlePictureLineup"/>
    <dgm:cxn modelId="{5486D9FD-B821-4703-968E-B4F5710EE77B}" type="presParOf" srcId="{18B92843-F157-4E52-9464-C92BBEFB7F08}" destId="{CF72F411-447A-49A9-9680-8A9C5D7EAF1B}" srcOrd="0" destOrd="0" presId="urn:microsoft.com/office/officeart/2008/layout/TitlePictureLineup"/>
    <dgm:cxn modelId="{F982E634-AB54-48DA-B5FF-20E0650081BC}" type="presParOf" srcId="{18B92843-F157-4E52-9464-C92BBEFB7F08}" destId="{8A6C018D-FB3D-4A03-ACFE-66D741736F35}" srcOrd="1" destOrd="0" presId="urn:microsoft.com/office/officeart/2008/layout/TitlePictureLineup"/>
    <dgm:cxn modelId="{C5AC7B38-DE8B-4C4D-AFC3-64B9A70EFC7F}" type="presParOf" srcId="{18B92843-F157-4E52-9464-C92BBEFB7F08}" destId="{65BA27ED-0950-4A86-9AD3-BE41DF3A0F90}" srcOrd="2" destOrd="0" presId="urn:microsoft.com/office/officeart/2008/layout/TitlePictureLineup"/>
    <dgm:cxn modelId="{707893DC-1064-4654-9282-EAB95BDC37D1}" type="presParOf" srcId="{18B92843-F157-4E52-9464-C92BBEFB7F08}" destId="{D0951F02-2E1A-43EE-8A3F-33CA612AF46D}" srcOrd="3" destOrd="0" presId="urn:microsoft.com/office/officeart/2008/layout/TitlePictureLineup"/>
  </dgm:cxnLst>
  <dgm:bg>
    <a:noFill/>
  </dgm:bg>
  <dgm:whole>
    <a:ln>
      <a:noFill/>
    </a:ln>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3D96BC-BB6F-4570-BA7F-75424055A122}" type="doc">
      <dgm:prSet loTypeId="urn:microsoft.com/office/officeart/2005/8/layout/vList5" loCatId="list" qsTypeId="urn:microsoft.com/office/officeart/2005/8/quickstyle/simple1" qsCatId="simple" csTypeId="urn:microsoft.com/office/officeart/2005/8/colors/accent6_2" csCatId="accent6" phldr="1"/>
      <dgm:spPr/>
      <dgm:t>
        <a:bodyPr/>
        <a:lstStyle/>
        <a:p>
          <a:endParaRPr lang="lv-LV"/>
        </a:p>
      </dgm:t>
    </dgm:pt>
    <dgm:pt modelId="{45237C67-2D11-4823-96AD-22C3C37B89B0}">
      <dgm:prSet phldrT="[Text]" custT="1"/>
      <dgm:spPr/>
      <dgm:t>
        <a:bodyPr/>
        <a:lstStyle/>
        <a:p>
          <a:r>
            <a:rPr lang="lv-LV" sz="1200" dirty="0" smtClean="0">
              <a:solidFill>
                <a:sysClr val="windowText" lastClr="000000"/>
              </a:solidFill>
              <a:latin typeface="Times New Roman" panose="02020603050405020304" pitchFamily="18" charset="0"/>
              <a:cs typeface="Times New Roman" panose="02020603050405020304" pitchFamily="18" charset="0"/>
            </a:rPr>
            <a:t>Saskaņā ar likuma "Par autoceļiem" 7.panta 3 </a:t>
          </a:r>
          <a:r>
            <a:rPr lang="lv-LV" sz="1200" baseline="30000" dirty="0" smtClean="0">
              <a:solidFill>
                <a:sysClr val="windowText" lastClr="000000"/>
              </a:solidFill>
              <a:latin typeface="Times New Roman" panose="02020603050405020304" pitchFamily="18" charset="0"/>
              <a:cs typeface="Times New Roman" panose="02020603050405020304" pitchFamily="18" charset="0"/>
            </a:rPr>
            <a:t>1</a:t>
          </a:r>
          <a:r>
            <a:rPr lang="lv-LV" sz="1200" dirty="0" smtClean="0">
              <a:solidFill>
                <a:sysClr val="windowText" lastClr="000000"/>
              </a:solidFill>
              <a:latin typeface="Times New Roman" panose="02020603050405020304" pitchFamily="18" charset="0"/>
              <a:cs typeface="Times New Roman" panose="02020603050405020304" pitchFamily="18" charset="0"/>
            </a:rPr>
            <a:t> daļu SM deleģē VAS "Latvijas </a:t>
          </a:r>
          <a:r>
            <a:rPr lang="lv-LV" sz="1200">
              <a:solidFill>
                <a:sysClr val="windowText" lastClr="000000"/>
              </a:solidFill>
              <a:latin typeface="Times New Roman" panose="02020603050405020304" pitchFamily="18" charset="0"/>
              <a:cs typeface="Times New Roman" panose="02020603050405020304" pitchFamily="18" charset="0"/>
            </a:rPr>
            <a:t>autoceļu uzturētājs</a:t>
          </a:r>
          <a:r>
            <a:rPr lang="lv-LV" sz="1200" dirty="0" smtClean="0">
              <a:solidFill>
                <a:sysClr val="windowText" lastClr="000000"/>
              </a:solidFill>
              <a:latin typeface="Times New Roman" panose="02020603050405020304" pitchFamily="18" charset="0"/>
              <a:cs typeface="Times New Roman" panose="02020603050405020304" pitchFamily="18" charset="0"/>
            </a:rPr>
            <a:t>" </a:t>
          </a:r>
          <a:endParaRPr lang="lv-LV" sz="1200">
            <a:solidFill>
              <a:sysClr val="windowText" lastClr="000000"/>
            </a:solidFill>
          </a:endParaRPr>
        </a:p>
      </dgm:t>
    </dgm:pt>
    <dgm:pt modelId="{3C5700F9-50F9-4301-9572-9F4A5E86DEC4}" type="parTrans" cxnId="{FB43F150-13FA-4028-95D9-1650617D2E81}">
      <dgm:prSet/>
      <dgm:spPr/>
      <dgm:t>
        <a:bodyPr/>
        <a:lstStyle/>
        <a:p>
          <a:endParaRPr lang="lv-LV" sz="1200">
            <a:solidFill>
              <a:sysClr val="windowText" lastClr="000000"/>
            </a:solidFill>
          </a:endParaRPr>
        </a:p>
      </dgm:t>
    </dgm:pt>
    <dgm:pt modelId="{9E185249-D233-4C70-A3AB-88408A2576DC}" type="sibTrans" cxnId="{FB43F150-13FA-4028-95D9-1650617D2E81}">
      <dgm:prSet/>
      <dgm:spPr/>
      <dgm:t>
        <a:bodyPr/>
        <a:lstStyle/>
        <a:p>
          <a:endParaRPr lang="lv-LV" sz="1200">
            <a:solidFill>
              <a:sysClr val="windowText" lastClr="000000"/>
            </a:solidFill>
          </a:endParaRPr>
        </a:p>
      </dgm:t>
    </dgm:pt>
    <dgm:pt modelId="{67C899C3-8584-42D2-BD8D-27A1AFA98CE8}">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valsts autoceļu kompleksās ikdienas uzturēšanas darbu plānošanu un veikšanu </a:t>
          </a:r>
          <a:endParaRPr lang="lv-LV" sz="1200">
            <a:solidFill>
              <a:sysClr val="windowText" lastClr="000000"/>
            </a:solidFill>
          </a:endParaRPr>
        </a:p>
      </dgm:t>
    </dgm:pt>
    <dgm:pt modelId="{71C006E6-6180-4EE7-B41F-2BC5E8F5C61A}" type="parTrans" cxnId="{900F2566-4865-47B1-BC36-9FD626C2C8DC}">
      <dgm:prSet/>
      <dgm:spPr/>
      <dgm:t>
        <a:bodyPr/>
        <a:lstStyle/>
        <a:p>
          <a:endParaRPr lang="lv-LV" sz="1200">
            <a:solidFill>
              <a:sysClr val="windowText" lastClr="000000"/>
            </a:solidFill>
          </a:endParaRPr>
        </a:p>
      </dgm:t>
    </dgm:pt>
    <dgm:pt modelId="{1C37D53A-07F1-4E64-8A85-37548DB9B076}" type="sibTrans" cxnId="{900F2566-4865-47B1-BC36-9FD626C2C8DC}">
      <dgm:prSet/>
      <dgm:spPr/>
      <dgm:t>
        <a:bodyPr/>
        <a:lstStyle/>
        <a:p>
          <a:endParaRPr lang="lv-LV" sz="1200">
            <a:solidFill>
              <a:sysClr val="windowText" lastClr="000000"/>
            </a:solidFill>
          </a:endParaRPr>
        </a:p>
      </dgm:t>
    </dgm:pt>
    <dgm:pt modelId="{6D9D51E4-F416-4830-8580-1D2A239DA01F}" type="pres">
      <dgm:prSet presAssocID="{5D3D96BC-BB6F-4570-BA7F-75424055A122}" presName="Name0" presStyleCnt="0">
        <dgm:presLayoutVars>
          <dgm:dir/>
          <dgm:animLvl val="lvl"/>
          <dgm:resizeHandles val="exact"/>
        </dgm:presLayoutVars>
      </dgm:prSet>
      <dgm:spPr/>
      <dgm:t>
        <a:bodyPr/>
        <a:lstStyle/>
        <a:p>
          <a:endParaRPr lang="lv-LV"/>
        </a:p>
      </dgm:t>
    </dgm:pt>
    <dgm:pt modelId="{BFE40ACF-2E86-42EC-92FA-73CBC390B0DD}" type="pres">
      <dgm:prSet presAssocID="{45237C67-2D11-4823-96AD-22C3C37B89B0}" presName="linNode" presStyleCnt="0"/>
      <dgm:spPr/>
      <dgm:t>
        <a:bodyPr/>
        <a:lstStyle/>
        <a:p>
          <a:endParaRPr lang="en-US"/>
        </a:p>
      </dgm:t>
    </dgm:pt>
    <dgm:pt modelId="{9D0E6034-0DE4-4A0D-A5BB-D26411B69BD6}" type="pres">
      <dgm:prSet presAssocID="{45237C67-2D11-4823-96AD-22C3C37B89B0}" presName="parentText" presStyleLbl="node1" presStyleIdx="0" presStyleCnt="1" custScaleX="100000">
        <dgm:presLayoutVars>
          <dgm:chMax val="1"/>
          <dgm:bulletEnabled val="1"/>
        </dgm:presLayoutVars>
      </dgm:prSet>
      <dgm:spPr/>
      <dgm:t>
        <a:bodyPr/>
        <a:lstStyle/>
        <a:p>
          <a:endParaRPr lang="lv-LV"/>
        </a:p>
      </dgm:t>
    </dgm:pt>
    <dgm:pt modelId="{5146C047-5052-4662-AF7E-6C1B4230FB9E}" type="pres">
      <dgm:prSet presAssocID="{45237C67-2D11-4823-96AD-22C3C37B89B0}" presName="descendantText" presStyleLbl="alignAccFollowNode1" presStyleIdx="0" presStyleCnt="1">
        <dgm:presLayoutVars>
          <dgm:bulletEnabled val="1"/>
        </dgm:presLayoutVars>
      </dgm:prSet>
      <dgm:spPr/>
      <dgm:t>
        <a:bodyPr/>
        <a:lstStyle/>
        <a:p>
          <a:endParaRPr lang="lv-LV"/>
        </a:p>
      </dgm:t>
    </dgm:pt>
  </dgm:ptLst>
  <dgm:cxnLst>
    <dgm:cxn modelId="{E5E91624-CA13-4454-B1BA-3AB7B27263D5}" type="presOf" srcId="{67C899C3-8584-42D2-BD8D-27A1AFA98CE8}" destId="{5146C047-5052-4662-AF7E-6C1B4230FB9E}" srcOrd="0" destOrd="0" presId="urn:microsoft.com/office/officeart/2005/8/layout/vList5"/>
    <dgm:cxn modelId="{FB43F150-13FA-4028-95D9-1650617D2E81}" srcId="{5D3D96BC-BB6F-4570-BA7F-75424055A122}" destId="{45237C67-2D11-4823-96AD-22C3C37B89B0}" srcOrd="0" destOrd="0" parTransId="{3C5700F9-50F9-4301-9572-9F4A5E86DEC4}" sibTransId="{9E185249-D233-4C70-A3AB-88408A2576DC}"/>
    <dgm:cxn modelId="{627A6FF5-96A2-48DC-BEAF-B7B258CF84DF}" type="presOf" srcId="{45237C67-2D11-4823-96AD-22C3C37B89B0}" destId="{9D0E6034-0DE4-4A0D-A5BB-D26411B69BD6}" srcOrd="0" destOrd="0" presId="urn:microsoft.com/office/officeart/2005/8/layout/vList5"/>
    <dgm:cxn modelId="{900F2566-4865-47B1-BC36-9FD626C2C8DC}" srcId="{45237C67-2D11-4823-96AD-22C3C37B89B0}" destId="{67C899C3-8584-42D2-BD8D-27A1AFA98CE8}" srcOrd="0" destOrd="0" parTransId="{71C006E6-6180-4EE7-B41F-2BC5E8F5C61A}" sibTransId="{1C37D53A-07F1-4E64-8A85-37548DB9B076}"/>
    <dgm:cxn modelId="{AF383EF6-C092-44A2-926F-D97A4290F8F3}" type="presOf" srcId="{5D3D96BC-BB6F-4570-BA7F-75424055A122}" destId="{6D9D51E4-F416-4830-8580-1D2A239DA01F}" srcOrd="0" destOrd="0" presId="urn:microsoft.com/office/officeart/2005/8/layout/vList5"/>
    <dgm:cxn modelId="{07CDFD31-8BA9-4050-8421-F706F1D6BA6C}" type="presParOf" srcId="{6D9D51E4-F416-4830-8580-1D2A239DA01F}" destId="{BFE40ACF-2E86-42EC-92FA-73CBC390B0DD}" srcOrd="0" destOrd="0" presId="urn:microsoft.com/office/officeart/2005/8/layout/vList5"/>
    <dgm:cxn modelId="{DDDD758E-0409-4B30-A349-B44D6D34A58F}" type="presParOf" srcId="{BFE40ACF-2E86-42EC-92FA-73CBC390B0DD}" destId="{9D0E6034-0DE4-4A0D-A5BB-D26411B69BD6}" srcOrd="0" destOrd="0" presId="urn:microsoft.com/office/officeart/2005/8/layout/vList5"/>
    <dgm:cxn modelId="{51311CDC-FA77-443C-BCD2-C1BCEF9DA4BA}" type="presParOf" srcId="{BFE40ACF-2E86-42EC-92FA-73CBC390B0DD}" destId="{5146C047-5052-4662-AF7E-6C1B4230FB9E}" srcOrd="1" destOrd="0" presId="urn:microsoft.com/office/officeart/2005/8/layout/vList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D3D96BC-BB6F-4570-BA7F-75424055A122}" type="doc">
      <dgm:prSet loTypeId="urn:microsoft.com/office/officeart/2005/8/layout/vList5" loCatId="list" qsTypeId="urn:microsoft.com/office/officeart/2005/8/quickstyle/simple1" qsCatId="simple" csTypeId="urn:microsoft.com/office/officeart/2005/8/colors/accent6_2" csCatId="accent6" phldr="1"/>
      <dgm:spPr/>
      <dgm:t>
        <a:bodyPr/>
        <a:lstStyle/>
        <a:p>
          <a:endParaRPr lang="lv-LV"/>
        </a:p>
      </dgm:t>
    </dgm:pt>
    <dgm:pt modelId="{45237C67-2D11-4823-96AD-22C3C37B89B0}">
      <dgm:prSet phldrT="[Text]" custT="1"/>
      <dgm:spPr/>
      <dgm:t>
        <a:bodyPr/>
        <a:lstStyle/>
        <a:p>
          <a:r>
            <a:rPr lang="lv-LV" sz="1200" dirty="0" smtClean="0">
              <a:solidFill>
                <a:sysClr val="windowText" lastClr="000000"/>
              </a:solidFill>
              <a:latin typeface="Times New Roman" panose="02020603050405020304" pitchFamily="18" charset="0"/>
              <a:cs typeface="Times New Roman" panose="02020603050405020304" pitchFamily="18" charset="0"/>
            </a:rPr>
            <a:t>Saskaņā ar likuma "Par autoceļiem" 7.panta trešo daļu SM deleģē VAS "Latvijas Valsts ceļi" </a:t>
          </a:r>
          <a:endParaRPr lang="lv-LV" sz="1200">
            <a:solidFill>
              <a:sysClr val="windowText" lastClr="000000"/>
            </a:solidFill>
          </a:endParaRPr>
        </a:p>
      </dgm:t>
    </dgm:pt>
    <dgm:pt modelId="{3C5700F9-50F9-4301-9572-9F4A5E86DEC4}" type="parTrans" cxnId="{FB43F150-13FA-4028-95D9-1650617D2E81}">
      <dgm:prSet/>
      <dgm:spPr/>
      <dgm:t>
        <a:bodyPr/>
        <a:lstStyle/>
        <a:p>
          <a:endParaRPr lang="lv-LV" sz="1200"/>
        </a:p>
      </dgm:t>
    </dgm:pt>
    <dgm:pt modelId="{9E185249-D233-4C70-A3AB-88408A2576DC}" type="sibTrans" cxnId="{FB43F150-13FA-4028-95D9-1650617D2E81}">
      <dgm:prSet/>
      <dgm:spPr/>
      <dgm:t>
        <a:bodyPr/>
        <a:lstStyle/>
        <a:p>
          <a:endParaRPr lang="lv-LV" sz="1200"/>
        </a:p>
      </dgm:t>
    </dgm:pt>
    <dgm:pt modelId="{67C899C3-8584-42D2-BD8D-27A1AFA98CE8}">
      <dgm:prSet phldrT="[Text]" custT="1"/>
      <dgm:spPr/>
      <dgm:t>
        <a:bodyPr/>
        <a:lstStyle/>
        <a:p>
          <a:r>
            <a:rPr lang="lv-LV" sz="1200" dirty="0" smtClean="0">
              <a:latin typeface="Times New Roman" panose="02020603050405020304" pitchFamily="18" charset="0"/>
              <a:cs typeface="Times New Roman" panose="02020603050405020304" pitchFamily="18" charset="0"/>
            </a:rPr>
            <a:t>valsts autoceļu tīkla pārvaldīšanu,</a:t>
          </a:r>
          <a:endParaRPr lang="lv-LV" sz="1200"/>
        </a:p>
      </dgm:t>
    </dgm:pt>
    <dgm:pt modelId="{71C006E6-6180-4EE7-B41F-2BC5E8F5C61A}" type="parTrans" cxnId="{900F2566-4865-47B1-BC36-9FD626C2C8DC}">
      <dgm:prSet/>
      <dgm:spPr/>
      <dgm:t>
        <a:bodyPr/>
        <a:lstStyle/>
        <a:p>
          <a:endParaRPr lang="lv-LV" sz="1200"/>
        </a:p>
      </dgm:t>
    </dgm:pt>
    <dgm:pt modelId="{1C37D53A-07F1-4E64-8A85-37548DB9B076}" type="sibTrans" cxnId="{900F2566-4865-47B1-BC36-9FD626C2C8DC}">
      <dgm:prSet/>
      <dgm:spPr/>
      <dgm:t>
        <a:bodyPr/>
        <a:lstStyle/>
        <a:p>
          <a:endParaRPr lang="lv-LV" sz="1200"/>
        </a:p>
      </dgm:t>
    </dgm:pt>
    <dgm:pt modelId="{409D4756-BEE2-4A7B-8BB7-FDF47F27CB2B}">
      <dgm:prSet custT="1"/>
      <dgm:spPr/>
      <dgm:t>
        <a:bodyPr/>
        <a:lstStyle/>
        <a:p>
          <a:r>
            <a:rPr lang="lv-LV" sz="1200" dirty="0" smtClean="0">
              <a:latin typeface="Times New Roman" panose="02020603050405020304" pitchFamily="18" charset="0"/>
              <a:cs typeface="Times New Roman" panose="02020603050405020304" pitchFamily="18" charset="0"/>
            </a:rPr>
            <a:t>valsts autoceļu tīkla finansējuma administrēšanu un ar to saistīto darbu programmu vadību un izpildes kontroli,</a:t>
          </a:r>
          <a:endParaRPr lang="lv-LV" sz="1200" dirty="0">
            <a:latin typeface="Times New Roman" panose="02020603050405020304" pitchFamily="18" charset="0"/>
            <a:cs typeface="Times New Roman" panose="02020603050405020304" pitchFamily="18" charset="0"/>
          </a:endParaRPr>
        </a:p>
      </dgm:t>
    </dgm:pt>
    <dgm:pt modelId="{33D10808-B4B0-4C2C-A8AB-1F74CE9BC16A}" type="parTrans" cxnId="{30042445-9967-4678-8C14-9A848ADA937A}">
      <dgm:prSet/>
      <dgm:spPr/>
      <dgm:t>
        <a:bodyPr/>
        <a:lstStyle/>
        <a:p>
          <a:endParaRPr lang="lv-LV" sz="1200"/>
        </a:p>
      </dgm:t>
    </dgm:pt>
    <dgm:pt modelId="{AA101F28-EBFF-4D37-863F-E1A4957CB201}" type="sibTrans" cxnId="{30042445-9967-4678-8C14-9A848ADA937A}">
      <dgm:prSet/>
      <dgm:spPr/>
      <dgm:t>
        <a:bodyPr/>
        <a:lstStyle/>
        <a:p>
          <a:endParaRPr lang="lv-LV" sz="1200"/>
        </a:p>
      </dgm:t>
    </dgm:pt>
    <dgm:pt modelId="{534AD4E5-0C09-48AF-9139-FD5DF5C07F51}">
      <dgm:prSet custT="1"/>
      <dgm:spPr/>
      <dgm:t>
        <a:bodyPr/>
        <a:lstStyle/>
        <a:p>
          <a:r>
            <a:rPr lang="lv-LV" sz="1200" dirty="0" smtClean="0">
              <a:latin typeface="Times New Roman" panose="02020603050405020304" pitchFamily="18" charset="0"/>
              <a:cs typeface="Times New Roman" panose="02020603050405020304" pitchFamily="18" charset="0"/>
            </a:rPr>
            <a:t>iepirkuma organizēšanu valsts vajadzībām, </a:t>
          </a:r>
          <a:endParaRPr lang="lv-LV" sz="1200" dirty="0">
            <a:latin typeface="Times New Roman" panose="02020603050405020304" pitchFamily="18" charset="0"/>
            <a:cs typeface="Times New Roman" panose="02020603050405020304" pitchFamily="18" charset="0"/>
          </a:endParaRPr>
        </a:p>
      </dgm:t>
    </dgm:pt>
    <dgm:pt modelId="{B3A65345-33A2-4EB6-BFA1-8D70B3CFA07E}" type="parTrans" cxnId="{1D7F6594-2D8C-4EE4-A5DC-A439AF55DBB5}">
      <dgm:prSet/>
      <dgm:spPr/>
      <dgm:t>
        <a:bodyPr/>
        <a:lstStyle/>
        <a:p>
          <a:endParaRPr lang="lv-LV" sz="1200"/>
        </a:p>
      </dgm:t>
    </dgm:pt>
    <dgm:pt modelId="{301BD4E7-9EE0-4A85-AF02-792B4CD0D82A}" type="sibTrans" cxnId="{1D7F6594-2D8C-4EE4-A5DC-A439AF55DBB5}">
      <dgm:prSet/>
      <dgm:spPr/>
      <dgm:t>
        <a:bodyPr/>
        <a:lstStyle/>
        <a:p>
          <a:endParaRPr lang="lv-LV" sz="1200"/>
        </a:p>
      </dgm:t>
    </dgm:pt>
    <dgm:pt modelId="{28423DA8-18C9-44CA-83F1-8EF76DD2BFBB}">
      <dgm:prSet custT="1"/>
      <dgm:spPr/>
      <dgm:t>
        <a:bodyPr/>
        <a:lstStyle/>
        <a:p>
          <a:r>
            <a:rPr lang="lv-LV" sz="1200" dirty="0" smtClean="0">
              <a:latin typeface="Times New Roman" panose="02020603050405020304" pitchFamily="18" charset="0"/>
              <a:cs typeface="Times New Roman" panose="02020603050405020304" pitchFamily="18" charset="0"/>
            </a:rPr>
            <a:t>valsts autoceļu būvniecības programmu vadību un būvniecības uzraudzību, </a:t>
          </a:r>
          <a:endParaRPr lang="lv-LV" sz="1200" dirty="0">
            <a:latin typeface="Times New Roman" panose="02020603050405020304" pitchFamily="18" charset="0"/>
            <a:cs typeface="Times New Roman" panose="02020603050405020304" pitchFamily="18" charset="0"/>
          </a:endParaRPr>
        </a:p>
      </dgm:t>
    </dgm:pt>
    <dgm:pt modelId="{EA32B791-06B8-42FE-85A9-6D9D958EB447}" type="parTrans" cxnId="{FA2ED402-5981-48E0-940D-6D2CC3175101}">
      <dgm:prSet/>
      <dgm:spPr/>
      <dgm:t>
        <a:bodyPr/>
        <a:lstStyle/>
        <a:p>
          <a:endParaRPr lang="lv-LV" sz="1200"/>
        </a:p>
      </dgm:t>
    </dgm:pt>
    <dgm:pt modelId="{9CEF35BC-EA47-4260-A3CB-1505D0FB905E}" type="sibTrans" cxnId="{FA2ED402-5981-48E0-940D-6D2CC3175101}">
      <dgm:prSet/>
      <dgm:spPr/>
      <dgm:t>
        <a:bodyPr/>
        <a:lstStyle/>
        <a:p>
          <a:endParaRPr lang="lv-LV" sz="1200"/>
        </a:p>
      </dgm:t>
    </dgm:pt>
    <dgm:pt modelId="{DE9C7C43-B0C3-47B4-8334-5A78851451BB}">
      <dgm:prSet custT="1"/>
      <dgm:spPr/>
      <dgm:t>
        <a:bodyPr/>
        <a:lstStyle/>
        <a:p>
          <a:r>
            <a:rPr lang="lv-LV" sz="1200" dirty="0" smtClean="0">
              <a:latin typeface="Times New Roman" panose="02020603050405020304" pitchFamily="18" charset="0"/>
              <a:cs typeface="Times New Roman" panose="02020603050405020304" pitchFamily="18" charset="0"/>
            </a:rPr>
            <a:t>ceļu satiksmes organizācijas uzraudzību, </a:t>
          </a:r>
          <a:endParaRPr lang="lv-LV" sz="1200" dirty="0">
            <a:latin typeface="Times New Roman" panose="02020603050405020304" pitchFamily="18" charset="0"/>
            <a:cs typeface="Times New Roman" panose="02020603050405020304" pitchFamily="18" charset="0"/>
          </a:endParaRPr>
        </a:p>
      </dgm:t>
    </dgm:pt>
    <dgm:pt modelId="{7269693D-3D48-4636-A3C0-3B90060B3358}" type="parTrans" cxnId="{8AD65C6A-623A-493A-878F-957392BE37E8}">
      <dgm:prSet/>
      <dgm:spPr/>
      <dgm:t>
        <a:bodyPr/>
        <a:lstStyle/>
        <a:p>
          <a:endParaRPr lang="lv-LV" sz="1200"/>
        </a:p>
      </dgm:t>
    </dgm:pt>
    <dgm:pt modelId="{4D0786BF-BE58-4A0B-BDE4-1F241B723574}" type="sibTrans" cxnId="{8AD65C6A-623A-493A-878F-957392BE37E8}">
      <dgm:prSet/>
      <dgm:spPr/>
      <dgm:t>
        <a:bodyPr/>
        <a:lstStyle/>
        <a:p>
          <a:endParaRPr lang="lv-LV" sz="1200"/>
        </a:p>
      </dgm:t>
    </dgm:pt>
    <dgm:pt modelId="{527F0B26-BB81-4FB0-A0D0-3DBD1E1FB282}">
      <dgm:prSet custT="1"/>
      <dgm:spPr/>
      <dgm:t>
        <a:bodyPr/>
        <a:lstStyle/>
        <a:p>
          <a:r>
            <a:rPr lang="lv-LV" sz="1200" dirty="0" smtClean="0">
              <a:latin typeface="Times New Roman" panose="02020603050405020304" pitchFamily="18" charset="0"/>
              <a:cs typeface="Times New Roman" panose="02020603050405020304" pitchFamily="18" charset="0"/>
            </a:rPr>
            <a:t>pašvaldību, komersantu un māju ceļu būvniecības, rekonstrukcijas, ikdienas uzturēšanas un periodiskās uzturēšanas pārraudzību.</a:t>
          </a:r>
          <a:endParaRPr lang="lv-LV" sz="1200" dirty="0">
            <a:latin typeface="Times New Roman" panose="02020603050405020304" pitchFamily="18" charset="0"/>
            <a:cs typeface="Times New Roman" panose="02020603050405020304" pitchFamily="18" charset="0"/>
          </a:endParaRPr>
        </a:p>
      </dgm:t>
    </dgm:pt>
    <dgm:pt modelId="{51B13A77-C3E7-4367-B0BA-7D5D19565730}" type="parTrans" cxnId="{491A5C1D-FD2D-4AA5-BA07-439AFC69DB5D}">
      <dgm:prSet/>
      <dgm:spPr/>
      <dgm:t>
        <a:bodyPr/>
        <a:lstStyle/>
        <a:p>
          <a:endParaRPr lang="lv-LV" sz="1200"/>
        </a:p>
      </dgm:t>
    </dgm:pt>
    <dgm:pt modelId="{EDD9A86A-CD2F-4FF9-839B-B3165E671629}" type="sibTrans" cxnId="{491A5C1D-FD2D-4AA5-BA07-439AFC69DB5D}">
      <dgm:prSet/>
      <dgm:spPr/>
      <dgm:t>
        <a:bodyPr/>
        <a:lstStyle/>
        <a:p>
          <a:endParaRPr lang="lv-LV" sz="1200"/>
        </a:p>
      </dgm:t>
    </dgm:pt>
    <dgm:pt modelId="{6D9D51E4-F416-4830-8580-1D2A239DA01F}" type="pres">
      <dgm:prSet presAssocID="{5D3D96BC-BB6F-4570-BA7F-75424055A122}" presName="Name0" presStyleCnt="0">
        <dgm:presLayoutVars>
          <dgm:dir/>
          <dgm:animLvl val="lvl"/>
          <dgm:resizeHandles val="exact"/>
        </dgm:presLayoutVars>
      </dgm:prSet>
      <dgm:spPr/>
      <dgm:t>
        <a:bodyPr/>
        <a:lstStyle/>
        <a:p>
          <a:endParaRPr lang="lv-LV"/>
        </a:p>
      </dgm:t>
    </dgm:pt>
    <dgm:pt modelId="{BFE40ACF-2E86-42EC-92FA-73CBC390B0DD}" type="pres">
      <dgm:prSet presAssocID="{45237C67-2D11-4823-96AD-22C3C37B89B0}" presName="linNode" presStyleCnt="0"/>
      <dgm:spPr/>
      <dgm:t>
        <a:bodyPr/>
        <a:lstStyle/>
        <a:p>
          <a:endParaRPr lang="en-US"/>
        </a:p>
      </dgm:t>
    </dgm:pt>
    <dgm:pt modelId="{9D0E6034-0DE4-4A0D-A5BB-D26411B69BD6}" type="pres">
      <dgm:prSet presAssocID="{45237C67-2D11-4823-96AD-22C3C37B89B0}" presName="parentText" presStyleLbl="node1" presStyleIdx="0" presStyleCnt="1" custScaleX="69703">
        <dgm:presLayoutVars>
          <dgm:chMax val="1"/>
          <dgm:bulletEnabled val="1"/>
        </dgm:presLayoutVars>
      </dgm:prSet>
      <dgm:spPr/>
      <dgm:t>
        <a:bodyPr/>
        <a:lstStyle/>
        <a:p>
          <a:endParaRPr lang="lv-LV"/>
        </a:p>
      </dgm:t>
    </dgm:pt>
    <dgm:pt modelId="{5146C047-5052-4662-AF7E-6C1B4230FB9E}" type="pres">
      <dgm:prSet presAssocID="{45237C67-2D11-4823-96AD-22C3C37B89B0}" presName="descendantText" presStyleLbl="alignAccFollowNode1" presStyleIdx="0" presStyleCnt="1" custScaleX="117156" custScaleY="116262">
        <dgm:presLayoutVars>
          <dgm:bulletEnabled val="1"/>
        </dgm:presLayoutVars>
      </dgm:prSet>
      <dgm:spPr/>
      <dgm:t>
        <a:bodyPr/>
        <a:lstStyle/>
        <a:p>
          <a:endParaRPr lang="lv-LV"/>
        </a:p>
      </dgm:t>
    </dgm:pt>
  </dgm:ptLst>
  <dgm:cxnLst>
    <dgm:cxn modelId="{1D7F6594-2D8C-4EE4-A5DC-A439AF55DBB5}" srcId="{45237C67-2D11-4823-96AD-22C3C37B89B0}" destId="{534AD4E5-0C09-48AF-9139-FD5DF5C07F51}" srcOrd="2" destOrd="0" parTransId="{B3A65345-33A2-4EB6-BFA1-8D70B3CFA07E}" sibTransId="{301BD4E7-9EE0-4A85-AF02-792B4CD0D82A}"/>
    <dgm:cxn modelId="{FB43F150-13FA-4028-95D9-1650617D2E81}" srcId="{5D3D96BC-BB6F-4570-BA7F-75424055A122}" destId="{45237C67-2D11-4823-96AD-22C3C37B89B0}" srcOrd="0" destOrd="0" parTransId="{3C5700F9-50F9-4301-9572-9F4A5E86DEC4}" sibTransId="{9E185249-D233-4C70-A3AB-88408A2576DC}"/>
    <dgm:cxn modelId="{6536786E-E149-4BF3-809F-190338AE2620}" type="presOf" srcId="{28423DA8-18C9-44CA-83F1-8EF76DD2BFBB}" destId="{5146C047-5052-4662-AF7E-6C1B4230FB9E}" srcOrd="0" destOrd="3" presId="urn:microsoft.com/office/officeart/2005/8/layout/vList5"/>
    <dgm:cxn modelId="{82F3C0F7-C140-4539-8F15-AF5E725587DE}" type="presOf" srcId="{409D4756-BEE2-4A7B-8BB7-FDF47F27CB2B}" destId="{5146C047-5052-4662-AF7E-6C1B4230FB9E}" srcOrd="0" destOrd="1" presId="urn:microsoft.com/office/officeart/2005/8/layout/vList5"/>
    <dgm:cxn modelId="{491A5C1D-FD2D-4AA5-BA07-439AFC69DB5D}" srcId="{45237C67-2D11-4823-96AD-22C3C37B89B0}" destId="{527F0B26-BB81-4FB0-A0D0-3DBD1E1FB282}" srcOrd="5" destOrd="0" parTransId="{51B13A77-C3E7-4367-B0BA-7D5D19565730}" sibTransId="{EDD9A86A-CD2F-4FF9-839B-B3165E671629}"/>
    <dgm:cxn modelId="{900F2566-4865-47B1-BC36-9FD626C2C8DC}" srcId="{45237C67-2D11-4823-96AD-22C3C37B89B0}" destId="{67C899C3-8584-42D2-BD8D-27A1AFA98CE8}" srcOrd="0" destOrd="0" parTransId="{71C006E6-6180-4EE7-B41F-2BC5E8F5C61A}" sibTransId="{1C37D53A-07F1-4E64-8A85-37548DB9B076}"/>
    <dgm:cxn modelId="{30042445-9967-4678-8C14-9A848ADA937A}" srcId="{45237C67-2D11-4823-96AD-22C3C37B89B0}" destId="{409D4756-BEE2-4A7B-8BB7-FDF47F27CB2B}" srcOrd="1" destOrd="0" parTransId="{33D10808-B4B0-4C2C-A8AB-1F74CE9BC16A}" sibTransId="{AA101F28-EBFF-4D37-863F-E1A4957CB201}"/>
    <dgm:cxn modelId="{8AD65C6A-623A-493A-878F-957392BE37E8}" srcId="{45237C67-2D11-4823-96AD-22C3C37B89B0}" destId="{DE9C7C43-B0C3-47B4-8334-5A78851451BB}" srcOrd="4" destOrd="0" parTransId="{7269693D-3D48-4636-A3C0-3B90060B3358}" sibTransId="{4D0786BF-BE58-4A0B-BDE4-1F241B723574}"/>
    <dgm:cxn modelId="{CCE8BC6F-1605-4924-977F-DD19CEABD5DD}" type="presOf" srcId="{45237C67-2D11-4823-96AD-22C3C37B89B0}" destId="{9D0E6034-0DE4-4A0D-A5BB-D26411B69BD6}" srcOrd="0" destOrd="0" presId="urn:microsoft.com/office/officeart/2005/8/layout/vList5"/>
    <dgm:cxn modelId="{06C4F249-0146-419B-BC68-E4AAD3CF9444}" type="presOf" srcId="{67C899C3-8584-42D2-BD8D-27A1AFA98CE8}" destId="{5146C047-5052-4662-AF7E-6C1B4230FB9E}" srcOrd="0" destOrd="0" presId="urn:microsoft.com/office/officeart/2005/8/layout/vList5"/>
    <dgm:cxn modelId="{A6A6FED1-3B3F-4E06-A7F8-760B2C7B4DAC}" type="presOf" srcId="{5D3D96BC-BB6F-4570-BA7F-75424055A122}" destId="{6D9D51E4-F416-4830-8580-1D2A239DA01F}" srcOrd="0" destOrd="0" presId="urn:microsoft.com/office/officeart/2005/8/layout/vList5"/>
    <dgm:cxn modelId="{1532A46C-6247-4B13-8C34-AF393D6FD98C}" type="presOf" srcId="{534AD4E5-0C09-48AF-9139-FD5DF5C07F51}" destId="{5146C047-5052-4662-AF7E-6C1B4230FB9E}" srcOrd="0" destOrd="2" presId="urn:microsoft.com/office/officeart/2005/8/layout/vList5"/>
    <dgm:cxn modelId="{E30963A2-80A8-4C84-BA43-63C881381DE1}" type="presOf" srcId="{DE9C7C43-B0C3-47B4-8334-5A78851451BB}" destId="{5146C047-5052-4662-AF7E-6C1B4230FB9E}" srcOrd="0" destOrd="4" presId="urn:microsoft.com/office/officeart/2005/8/layout/vList5"/>
    <dgm:cxn modelId="{6BC19F5B-D934-493C-A54F-297DCA2EF491}" type="presOf" srcId="{527F0B26-BB81-4FB0-A0D0-3DBD1E1FB282}" destId="{5146C047-5052-4662-AF7E-6C1B4230FB9E}" srcOrd="0" destOrd="5" presId="urn:microsoft.com/office/officeart/2005/8/layout/vList5"/>
    <dgm:cxn modelId="{FA2ED402-5981-48E0-940D-6D2CC3175101}" srcId="{45237C67-2D11-4823-96AD-22C3C37B89B0}" destId="{28423DA8-18C9-44CA-83F1-8EF76DD2BFBB}" srcOrd="3" destOrd="0" parTransId="{EA32B791-06B8-42FE-85A9-6D9D958EB447}" sibTransId="{9CEF35BC-EA47-4260-A3CB-1505D0FB905E}"/>
    <dgm:cxn modelId="{6512F66F-9B75-47C3-B063-D8A16195FFCC}" type="presParOf" srcId="{6D9D51E4-F416-4830-8580-1D2A239DA01F}" destId="{BFE40ACF-2E86-42EC-92FA-73CBC390B0DD}" srcOrd="0" destOrd="0" presId="urn:microsoft.com/office/officeart/2005/8/layout/vList5"/>
    <dgm:cxn modelId="{21EA1D16-AA3C-489A-A7AF-71E1EC0E27F8}" type="presParOf" srcId="{BFE40ACF-2E86-42EC-92FA-73CBC390B0DD}" destId="{9D0E6034-0DE4-4A0D-A5BB-D26411B69BD6}" srcOrd="0" destOrd="0" presId="urn:microsoft.com/office/officeart/2005/8/layout/vList5"/>
    <dgm:cxn modelId="{2B35394A-CEEF-48E6-A9BD-634A9BB4E13C}" type="presParOf" srcId="{BFE40ACF-2E86-42EC-92FA-73CBC390B0DD}" destId="{5146C047-5052-4662-AF7E-6C1B4230FB9E}"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682014F-9A23-4436-9838-1ED9E4A99055}" type="doc">
      <dgm:prSet loTypeId="urn:microsoft.com/office/officeart/2005/8/layout/orgChart1" loCatId="hierarchy" qsTypeId="urn:microsoft.com/office/officeart/2005/8/quickstyle/simple3" qsCatId="simple" csTypeId="urn:microsoft.com/office/officeart/2005/8/colors/accent3_1" csCatId="accent3" phldr="1"/>
      <dgm:spPr/>
      <dgm:t>
        <a:bodyPr/>
        <a:lstStyle/>
        <a:p>
          <a:endParaRPr lang="en-US"/>
        </a:p>
      </dgm:t>
    </dgm:pt>
    <dgm:pt modelId="{E0BDE2EB-E4C8-4E1F-AFAF-DF7E4223EB49}">
      <dgm:prSet phldrT="[Text]" custT="1"/>
      <dgm:spPr>
        <a:xfrm>
          <a:off x="1938873" y="557"/>
          <a:ext cx="1550775"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BNI</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6197C83-A4C6-4378-B99C-AC813A62AAB1}" type="parTrans" cxnId="{A7D20EEB-9F2F-4B93-81C4-493C1F30426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C17DD30E-E0E8-49B2-899E-04E92CC66801}" type="sibTrans" cxnId="{A7D20EEB-9F2F-4B93-81C4-493C1F30426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D8E646A9-FC10-4DF7-9E28-2D4D9B9F42DC}">
      <dgm:prSet phldrT="[Text]" custT="1"/>
      <dgm:spPr>
        <a:xfrm>
          <a:off x="166643" y="515599"/>
          <a:ext cx="1829050"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Satiksmes ministrija</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4AE3B68-1848-4F5D-959D-6997216977E7}" type="parTrans" cxnId="{8855A40B-76D1-40BB-98E4-22B394A2B0CD}">
      <dgm:prSet/>
      <dgm:spPr>
        <a:xfrm>
          <a:off x="1081168" y="363263"/>
          <a:ext cx="1633092" cy="152336"/>
        </a:xfrm>
        <a:custGeom>
          <a:avLst/>
          <a:gdLst/>
          <a:ahLst/>
          <a:cxnLst/>
          <a:rect l="0" t="0" r="0" b="0"/>
          <a:pathLst>
            <a:path>
              <a:moveTo>
                <a:pt x="1633092" y="0"/>
              </a:moveTo>
              <a:lnTo>
                <a:pt x="1633092" y="76168"/>
              </a:lnTo>
              <a:lnTo>
                <a:pt x="0" y="76168"/>
              </a:lnTo>
              <a:lnTo>
                <a:pt x="0" y="15233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2E6C1A22-59CC-4188-90A5-B05E928A918E}" type="sibTrans" cxnId="{8855A40B-76D1-40BB-98E4-22B394A2B0CD}">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F1346A30-AAD7-4711-8D86-610299526CC5}">
      <dgm:prSet phldrT="[Text]" custT="1"/>
      <dgm:spPr>
        <a:xfrm>
          <a:off x="2232462" y="515599"/>
          <a:ext cx="1438540"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Tieslietu ministrija</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1927B1CC-B913-4A08-BB27-D92ACC07DED7}" type="parTrans" cxnId="{D3476D76-C529-424D-9DEA-2467796E7146}">
      <dgm:prSet/>
      <dgm:spPr>
        <a:xfrm>
          <a:off x="2714261" y="363263"/>
          <a:ext cx="237471" cy="152336"/>
        </a:xfrm>
        <a:custGeom>
          <a:avLst/>
          <a:gdLst/>
          <a:ahLst/>
          <a:cxnLst/>
          <a:rect l="0" t="0" r="0" b="0"/>
          <a:pathLst>
            <a:path>
              <a:moveTo>
                <a:pt x="0" y="0"/>
              </a:moveTo>
              <a:lnTo>
                <a:pt x="0" y="76168"/>
              </a:lnTo>
              <a:lnTo>
                <a:pt x="237471" y="76168"/>
              </a:lnTo>
              <a:lnTo>
                <a:pt x="237471" y="15233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C2C75878-B8D0-4CA0-93B4-B1FC59B7C01C}" type="sibTrans" cxnId="{D3476D76-C529-424D-9DEA-2467796E7146}">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E48A4797-3209-4966-AA1F-A465F96B713E}">
      <dgm:prSet phldrT="[Text]" custT="1"/>
      <dgm:spPr>
        <a:xfrm>
          <a:off x="3823339" y="515599"/>
          <a:ext cx="1438540"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Veselības ministrija</a:t>
          </a:r>
          <a:endPar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E2B59BD-B485-45EA-99EA-99942A9D179F}" type="parTrans" cxnId="{78EE0509-314B-409B-8AF7-BBA0B6D3B53A}">
      <dgm:prSet/>
      <dgm:spPr>
        <a:xfrm>
          <a:off x="2714261" y="363263"/>
          <a:ext cx="1828347" cy="152336"/>
        </a:xfrm>
        <a:custGeom>
          <a:avLst/>
          <a:gdLst/>
          <a:ahLst/>
          <a:cxnLst/>
          <a:rect l="0" t="0" r="0" b="0"/>
          <a:pathLst>
            <a:path>
              <a:moveTo>
                <a:pt x="0" y="0"/>
              </a:moveTo>
              <a:lnTo>
                <a:pt x="0" y="76168"/>
              </a:lnTo>
              <a:lnTo>
                <a:pt x="1828347" y="76168"/>
              </a:lnTo>
              <a:lnTo>
                <a:pt x="1828347" y="152336"/>
              </a:lnTo>
            </a:path>
          </a:pathLst>
        </a:custGeom>
        <a:noFill/>
        <a:ln w="12700" cap="flat" cmpd="sng" algn="ctr">
          <a:solidFill>
            <a:srgbClr val="A5A5A5">
              <a:shade val="6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E421B106-720E-4464-93F3-C02651660BB3}" type="sibTrans" cxnId="{78EE0509-314B-409B-8AF7-BBA0B6D3B53A}">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F68BC3C7-1BBD-4C3B-8F08-BBF4755D6072}">
      <dgm:prSet phldrT="[Text]" custT="1"/>
      <dgm:spPr>
        <a:xfrm>
          <a:off x="623906" y="1030641"/>
          <a:ext cx="1815855"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a:t>
          </a: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dzelzceļa</a:t>
          </a: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tehniskā inspekcija (VDZTI)</a:t>
          </a:r>
          <a:endPar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F35EEE9-83EF-4823-B2C3-832221B669CE}" type="parTrans" cxnId="{A2232DC7-0607-42F4-B9D9-9612D4E8AF9F}">
      <dgm:prSet/>
      <dgm:spPr>
        <a:xfrm>
          <a:off x="349548" y="878304"/>
          <a:ext cx="274357" cy="333688"/>
        </a:xfrm>
        <a:custGeom>
          <a:avLst/>
          <a:gdLst/>
          <a:ahLst/>
          <a:cxnLst/>
          <a:rect l="0" t="0" r="0" b="0"/>
          <a:pathLst>
            <a:path>
              <a:moveTo>
                <a:pt x="0" y="0"/>
              </a:moveTo>
              <a:lnTo>
                <a:pt x="0" y="333688"/>
              </a:lnTo>
              <a:lnTo>
                <a:pt x="274357" y="333688"/>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ADDAD8BF-3491-4F9E-90F3-5E0B395CA3DE}" type="sibTrans" cxnId="{A2232DC7-0607-42F4-B9D9-9612D4E8AF9F}">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4ABF6F4D-5BCA-4943-9050-5EC2CDB87079}">
      <dgm:prSet phldrT="[Text]" custT="1"/>
      <dgm:spPr>
        <a:xfrm>
          <a:off x="623906" y="1545682"/>
          <a:ext cx="1815855" cy="417042"/>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Transporta nelaimes gadījumu un incidentu izmeklēšanas birojs</a:t>
          </a:r>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(TAIIB)</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0437756-B674-457B-BE55-C65A662C8E9A}" type="parTrans" cxnId="{A8B73ECC-C001-4FD6-A39A-0C8E86F8E24A}">
      <dgm:prSet/>
      <dgm:spPr>
        <a:xfrm>
          <a:off x="349548" y="878304"/>
          <a:ext cx="274357" cy="875898"/>
        </a:xfrm>
        <a:custGeom>
          <a:avLst/>
          <a:gdLst/>
          <a:ahLst/>
          <a:cxnLst/>
          <a:rect l="0" t="0" r="0" b="0"/>
          <a:pathLst>
            <a:path>
              <a:moveTo>
                <a:pt x="0" y="0"/>
              </a:moveTo>
              <a:lnTo>
                <a:pt x="0" y="875898"/>
              </a:lnTo>
              <a:lnTo>
                <a:pt x="274357" y="875898"/>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DC686F8B-87FE-4DF0-BB6A-D9E652A602FE}" type="sibTrans" cxnId="{A8B73ECC-C001-4FD6-A39A-0C8E86F8E24A}">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D9D46B06-7BC9-4878-8952-6D29EF820B72}">
      <dgm:prSet phldrT="[Text]" custT="1"/>
      <dgm:spPr>
        <a:xfrm>
          <a:off x="623906" y="2115061"/>
          <a:ext cx="1815855"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aģentūra "Civilās aviācijas aģentūra" (CAA)</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B33902C6-223A-4B81-B9F9-798E0D0407E6}" type="parTrans" cxnId="{7503B10E-9DAF-4D2D-9DD1-DCEF096D4FE2}">
      <dgm:prSet/>
      <dgm:spPr>
        <a:xfrm>
          <a:off x="349548" y="878304"/>
          <a:ext cx="274357" cy="1418109"/>
        </a:xfrm>
        <a:custGeom>
          <a:avLst/>
          <a:gdLst/>
          <a:ahLst/>
          <a:cxnLst/>
          <a:rect l="0" t="0" r="0" b="0"/>
          <a:pathLst>
            <a:path>
              <a:moveTo>
                <a:pt x="0" y="0"/>
              </a:moveTo>
              <a:lnTo>
                <a:pt x="0" y="1418109"/>
              </a:lnTo>
              <a:lnTo>
                <a:pt x="274357" y="1418109"/>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0ABA3AD3-F5C0-4013-8A6B-C91B2DB82669}" type="sibTrans" cxnId="{7503B10E-9DAF-4D2D-9DD1-DCEF096D4FE2}">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0ABAAD00-A1C2-40ED-AA6B-894737642C91}">
      <dgm:prSet phldrT="[Text]" custT="1"/>
      <dgm:spPr>
        <a:xfrm>
          <a:off x="623906" y="2630102"/>
          <a:ext cx="1815855"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dzelzceļa administrācija (VDA)</a:t>
          </a:r>
          <a:endParaRPr lang="en-US"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A6C19C9-11E0-48EB-8A55-F46D245814F3}" type="parTrans" cxnId="{D1509791-A210-49C3-AF8E-EB00F811E4C5}">
      <dgm:prSet/>
      <dgm:spPr>
        <a:xfrm>
          <a:off x="349548" y="878304"/>
          <a:ext cx="274357" cy="1933150"/>
        </a:xfrm>
        <a:custGeom>
          <a:avLst/>
          <a:gdLst/>
          <a:ahLst/>
          <a:cxnLst/>
          <a:rect l="0" t="0" r="0" b="0"/>
          <a:pathLst>
            <a:path>
              <a:moveTo>
                <a:pt x="0" y="0"/>
              </a:moveTo>
              <a:lnTo>
                <a:pt x="0" y="1933150"/>
              </a:lnTo>
              <a:lnTo>
                <a:pt x="274357" y="1933150"/>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03A2F824-A382-4758-BEEB-5B4BDA964106}" type="sibTrans" cxnId="{D1509791-A210-49C3-AF8E-EB00F811E4C5}">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848CD206-DB14-4AB2-82B9-3EE24B5B7A5B}">
      <dgm:prSet phldrT="[Text]" custT="1"/>
      <dgm:spPr>
        <a:xfrm>
          <a:off x="2592097" y="1030641"/>
          <a:ext cx="1133780"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Patentu valde</a:t>
          </a:r>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(LRPV)</a:t>
          </a:r>
          <a:endPar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FEED7FB-7923-4D5E-BD02-70A0389C362B}" type="parTrans" cxnId="{B6302945-BCA6-41FE-B7B7-0F1259593DBE}">
      <dgm:prSet/>
      <dgm:spPr>
        <a:xfrm>
          <a:off x="2376316" y="878304"/>
          <a:ext cx="215781" cy="333688"/>
        </a:xfrm>
        <a:custGeom>
          <a:avLst/>
          <a:gdLst/>
          <a:ahLst/>
          <a:cxnLst/>
          <a:rect l="0" t="0" r="0" b="0"/>
          <a:pathLst>
            <a:path>
              <a:moveTo>
                <a:pt x="0" y="0"/>
              </a:moveTo>
              <a:lnTo>
                <a:pt x="0" y="333688"/>
              </a:lnTo>
              <a:lnTo>
                <a:pt x="215781" y="333688"/>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7BE921BB-10F9-4F63-963D-A38B086A4F68}" type="sibTrans" cxnId="{B6302945-BCA6-41FE-B7B7-0F1259593DBE}">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EFD19365-55FE-4352-8BD8-19249E27CD7E}">
      <dgm:prSet phldrT="[Text]" custT="1"/>
      <dgm:spPr>
        <a:xfrm>
          <a:off x="4182974" y="1030641"/>
          <a:ext cx="1102276" cy="362705"/>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lv-LV"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Zāļu valsts aģentūra (ZVA)</a:t>
          </a:r>
          <a:endPar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2039BFD-9376-4C41-89A6-F5638EA9D338}" type="parTrans" cxnId="{EFAE765D-DF2F-4A3E-9302-9CD5CA034D71}">
      <dgm:prSet/>
      <dgm:spPr>
        <a:xfrm>
          <a:off x="3967193" y="878304"/>
          <a:ext cx="215781" cy="333688"/>
        </a:xfrm>
        <a:custGeom>
          <a:avLst/>
          <a:gdLst/>
          <a:ahLst/>
          <a:cxnLst/>
          <a:rect l="0" t="0" r="0" b="0"/>
          <a:pathLst>
            <a:path>
              <a:moveTo>
                <a:pt x="0" y="0"/>
              </a:moveTo>
              <a:lnTo>
                <a:pt x="0" y="333688"/>
              </a:lnTo>
              <a:lnTo>
                <a:pt x="215781" y="333688"/>
              </a:lnTo>
            </a:path>
          </a:pathLst>
        </a:custGeom>
        <a:noFill/>
        <a:ln w="12700" cap="flat" cmpd="sng" algn="ctr">
          <a:solidFill>
            <a:srgbClr val="A5A5A5">
              <a:shade val="80000"/>
              <a:hueOff val="0"/>
              <a:satOff val="0"/>
              <a:lumOff val="0"/>
              <a:alphaOff val="0"/>
            </a:srgbClr>
          </a:solidFill>
          <a:prstDash val="solid"/>
          <a:miter lim="800000"/>
        </a:ln>
        <a:effectLs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5D4980DA-DF1A-4B80-95EE-6427918EC123}" type="sibTrans" cxnId="{EFAE765D-DF2F-4A3E-9302-9CD5CA034D71}">
      <dgm:prSet/>
      <dgm:spPr/>
      <dgm:t>
        <a:bodyPr/>
        <a:lstStyle/>
        <a:p>
          <a:endParaRPr lang="en-US">
            <a:solidFill>
              <a:sysClr val="windowText" lastClr="000000"/>
            </a:solidFill>
            <a:latin typeface="Times New Roman" panose="02020603050405020304" pitchFamily="18" charset="0"/>
            <a:cs typeface="Times New Roman" panose="02020603050405020304" pitchFamily="18" charset="0"/>
          </a:endParaRPr>
        </a:p>
      </dgm:t>
    </dgm:pt>
    <dgm:pt modelId="{235DFA5B-9FF2-4EC8-B589-0282EF9D74E5}" type="pres">
      <dgm:prSet presAssocID="{E682014F-9A23-4436-9838-1ED9E4A99055}" presName="hierChild1" presStyleCnt="0">
        <dgm:presLayoutVars>
          <dgm:orgChart val="1"/>
          <dgm:chPref val="1"/>
          <dgm:dir/>
          <dgm:animOne val="branch"/>
          <dgm:animLvl val="lvl"/>
          <dgm:resizeHandles/>
        </dgm:presLayoutVars>
      </dgm:prSet>
      <dgm:spPr/>
      <dgm:t>
        <a:bodyPr/>
        <a:lstStyle/>
        <a:p>
          <a:endParaRPr lang="en-US"/>
        </a:p>
      </dgm:t>
    </dgm:pt>
    <dgm:pt modelId="{00FB8439-C817-4CCC-975D-2F79E3CD3803}" type="pres">
      <dgm:prSet presAssocID="{E0BDE2EB-E4C8-4E1F-AFAF-DF7E4223EB49}" presName="hierRoot1" presStyleCnt="0">
        <dgm:presLayoutVars>
          <dgm:hierBranch val="init"/>
        </dgm:presLayoutVars>
      </dgm:prSet>
      <dgm:spPr/>
    </dgm:pt>
    <dgm:pt modelId="{785BECA3-1D94-4333-A321-8CAFE45A4089}" type="pres">
      <dgm:prSet presAssocID="{E0BDE2EB-E4C8-4E1F-AFAF-DF7E4223EB49}" presName="rootComposite1" presStyleCnt="0"/>
      <dgm:spPr/>
    </dgm:pt>
    <dgm:pt modelId="{25FB4038-9D47-4B6A-9191-EC07F6CD4401}" type="pres">
      <dgm:prSet presAssocID="{E0BDE2EB-E4C8-4E1F-AFAF-DF7E4223EB49}" presName="rootText1" presStyleLbl="node0" presStyleIdx="0" presStyleCnt="1" custScaleX="213779">
        <dgm:presLayoutVars>
          <dgm:chPref val="3"/>
        </dgm:presLayoutVars>
      </dgm:prSet>
      <dgm:spPr/>
      <dgm:t>
        <a:bodyPr/>
        <a:lstStyle/>
        <a:p>
          <a:endParaRPr lang="en-US"/>
        </a:p>
      </dgm:t>
    </dgm:pt>
    <dgm:pt modelId="{6A14F943-D3ED-4B06-BE5B-147F856286A7}" type="pres">
      <dgm:prSet presAssocID="{E0BDE2EB-E4C8-4E1F-AFAF-DF7E4223EB49}" presName="rootConnector1" presStyleLbl="node1" presStyleIdx="0" presStyleCnt="0"/>
      <dgm:spPr/>
      <dgm:t>
        <a:bodyPr/>
        <a:lstStyle/>
        <a:p>
          <a:endParaRPr lang="en-US"/>
        </a:p>
      </dgm:t>
    </dgm:pt>
    <dgm:pt modelId="{BC36EEA3-5C70-4D85-8B2B-078508B51AE4}" type="pres">
      <dgm:prSet presAssocID="{E0BDE2EB-E4C8-4E1F-AFAF-DF7E4223EB49}" presName="hierChild2" presStyleCnt="0"/>
      <dgm:spPr/>
    </dgm:pt>
    <dgm:pt modelId="{42D960B7-25BC-400B-871A-CDE303B4B59E}" type="pres">
      <dgm:prSet presAssocID="{A4AE3B68-1848-4F5D-959D-6997216977E7}" presName="Name37" presStyleLbl="parChTrans1D2" presStyleIdx="0" presStyleCnt="3"/>
      <dgm:spPr/>
      <dgm:t>
        <a:bodyPr/>
        <a:lstStyle/>
        <a:p>
          <a:endParaRPr lang="en-US"/>
        </a:p>
      </dgm:t>
    </dgm:pt>
    <dgm:pt modelId="{A06AAE44-89F9-47DE-AED9-85B7C9C59E07}" type="pres">
      <dgm:prSet presAssocID="{D8E646A9-FC10-4DF7-9E28-2D4D9B9F42DC}" presName="hierRoot2" presStyleCnt="0">
        <dgm:presLayoutVars>
          <dgm:hierBranch val="init"/>
        </dgm:presLayoutVars>
      </dgm:prSet>
      <dgm:spPr/>
    </dgm:pt>
    <dgm:pt modelId="{4AA4F6BA-5258-49C2-BB1F-4A9472BD9BEA}" type="pres">
      <dgm:prSet presAssocID="{D8E646A9-FC10-4DF7-9E28-2D4D9B9F42DC}" presName="rootComposite" presStyleCnt="0"/>
      <dgm:spPr/>
    </dgm:pt>
    <dgm:pt modelId="{F1A32308-D15A-46D7-9D6D-6F0CE222DEEE}" type="pres">
      <dgm:prSet presAssocID="{D8E646A9-FC10-4DF7-9E28-2D4D9B9F42DC}" presName="rootText" presStyleLbl="node2" presStyleIdx="0" presStyleCnt="3" custScaleX="252140">
        <dgm:presLayoutVars>
          <dgm:chPref val="3"/>
        </dgm:presLayoutVars>
      </dgm:prSet>
      <dgm:spPr/>
      <dgm:t>
        <a:bodyPr/>
        <a:lstStyle/>
        <a:p>
          <a:endParaRPr lang="en-US"/>
        </a:p>
      </dgm:t>
    </dgm:pt>
    <dgm:pt modelId="{9BAD68CA-A461-48D1-94FC-F892D8D2D5BC}" type="pres">
      <dgm:prSet presAssocID="{D8E646A9-FC10-4DF7-9E28-2D4D9B9F42DC}" presName="rootConnector" presStyleLbl="node2" presStyleIdx="0" presStyleCnt="3"/>
      <dgm:spPr/>
      <dgm:t>
        <a:bodyPr/>
        <a:lstStyle/>
        <a:p>
          <a:endParaRPr lang="en-US"/>
        </a:p>
      </dgm:t>
    </dgm:pt>
    <dgm:pt modelId="{B765F982-E77E-46E7-B058-7C4B5C34564C}" type="pres">
      <dgm:prSet presAssocID="{D8E646A9-FC10-4DF7-9E28-2D4D9B9F42DC}" presName="hierChild4" presStyleCnt="0"/>
      <dgm:spPr/>
    </dgm:pt>
    <dgm:pt modelId="{87FFD210-0FDF-4DA3-9878-6DA2BDCB00A6}" type="pres">
      <dgm:prSet presAssocID="{6F35EEE9-83EF-4823-B2C3-832221B669CE}" presName="Name37" presStyleLbl="parChTrans1D3" presStyleIdx="0" presStyleCnt="6"/>
      <dgm:spPr/>
      <dgm:t>
        <a:bodyPr/>
        <a:lstStyle/>
        <a:p>
          <a:endParaRPr lang="en-US"/>
        </a:p>
      </dgm:t>
    </dgm:pt>
    <dgm:pt modelId="{B3824511-DC5D-42E2-816A-6D3AE8219EA5}" type="pres">
      <dgm:prSet presAssocID="{F68BC3C7-1BBD-4C3B-8F08-BBF4755D6072}" presName="hierRoot2" presStyleCnt="0">
        <dgm:presLayoutVars>
          <dgm:hierBranch val="init"/>
        </dgm:presLayoutVars>
      </dgm:prSet>
      <dgm:spPr/>
    </dgm:pt>
    <dgm:pt modelId="{DC089A14-12EE-4471-8586-4D0D485640C6}" type="pres">
      <dgm:prSet presAssocID="{F68BC3C7-1BBD-4C3B-8F08-BBF4755D6072}" presName="rootComposite" presStyleCnt="0"/>
      <dgm:spPr/>
    </dgm:pt>
    <dgm:pt modelId="{38C92DB4-8387-490D-967E-0F48BB69A9AA}" type="pres">
      <dgm:prSet presAssocID="{F68BC3C7-1BBD-4C3B-8F08-BBF4755D6072}" presName="rootText" presStyleLbl="node3" presStyleIdx="0" presStyleCnt="6" custScaleX="250321">
        <dgm:presLayoutVars>
          <dgm:chPref val="3"/>
        </dgm:presLayoutVars>
      </dgm:prSet>
      <dgm:spPr/>
      <dgm:t>
        <a:bodyPr/>
        <a:lstStyle/>
        <a:p>
          <a:endParaRPr lang="en-US"/>
        </a:p>
      </dgm:t>
    </dgm:pt>
    <dgm:pt modelId="{033008E1-6C03-4562-BBDD-15C5EDE08C39}" type="pres">
      <dgm:prSet presAssocID="{F68BC3C7-1BBD-4C3B-8F08-BBF4755D6072}" presName="rootConnector" presStyleLbl="node3" presStyleIdx="0" presStyleCnt="6"/>
      <dgm:spPr/>
      <dgm:t>
        <a:bodyPr/>
        <a:lstStyle/>
        <a:p>
          <a:endParaRPr lang="en-US"/>
        </a:p>
      </dgm:t>
    </dgm:pt>
    <dgm:pt modelId="{9F6F69BC-D45E-447F-9CE0-6B89D52B36BB}" type="pres">
      <dgm:prSet presAssocID="{F68BC3C7-1BBD-4C3B-8F08-BBF4755D6072}" presName="hierChild4" presStyleCnt="0"/>
      <dgm:spPr/>
    </dgm:pt>
    <dgm:pt modelId="{CFE116FB-07D5-48F8-BFB4-BBA0DD12D2A6}" type="pres">
      <dgm:prSet presAssocID="{F68BC3C7-1BBD-4C3B-8F08-BBF4755D6072}" presName="hierChild5" presStyleCnt="0"/>
      <dgm:spPr/>
    </dgm:pt>
    <dgm:pt modelId="{A01669BF-46B3-4932-9AD4-372713FD8364}" type="pres">
      <dgm:prSet presAssocID="{40437756-B674-457B-BE55-C65A662C8E9A}" presName="Name37" presStyleLbl="parChTrans1D3" presStyleIdx="1" presStyleCnt="6"/>
      <dgm:spPr/>
      <dgm:t>
        <a:bodyPr/>
        <a:lstStyle/>
        <a:p>
          <a:endParaRPr lang="en-US"/>
        </a:p>
      </dgm:t>
    </dgm:pt>
    <dgm:pt modelId="{0A3725B2-25A3-4557-BB0E-473C41A972B9}" type="pres">
      <dgm:prSet presAssocID="{4ABF6F4D-5BCA-4943-9050-5EC2CDB87079}" presName="hierRoot2" presStyleCnt="0">
        <dgm:presLayoutVars>
          <dgm:hierBranch val="init"/>
        </dgm:presLayoutVars>
      </dgm:prSet>
      <dgm:spPr/>
    </dgm:pt>
    <dgm:pt modelId="{FFC22AE9-0F9F-4102-8708-4D2C663A1814}" type="pres">
      <dgm:prSet presAssocID="{4ABF6F4D-5BCA-4943-9050-5EC2CDB87079}" presName="rootComposite" presStyleCnt="0"/>
      <dgm:spPr/>
    </dgm:pt>
    <dgm:pt modelId="{56947B3C-502D-46AB-8906-F460BACB9C93}" type="pres">
      <dgm:prSet presAssocID="{4ABF6F4D-5BCA-4943-9050-5EC2CDB87079}" presName="rootText" presStyleLbl="node3" presStyleIdx="1" presStyleCnt="6" custScaleX="250321" custScaleY="114981">
        <dgm:presLayoutVars>
          <dgm:chPref val="3"/>
        </dgm:presLayoutVars>
      </dgm:prSet>
      <dgm:spPr/>
      <dgm:t>
        <a:bodyPr/>
        <a:lstStyle/>
        <a:p>
          <a:endParaRPr lang="en-US"/>
        </a:p>
      </dgm:t>
    </dgm:pt>
    <dgm:pt modelId="{A2EC8531-0A53-470D-B750-E52DE44FB783}" type="pres">
      <dgm:prSet presAssocID="{4ABF6F4D-5BCA-4943-9050-5EC2CDB87079}" presName="rootConnector" presStyleLbl="node3" presStyleIdx="1" presStyleCnt="6"/>
      <dgm:spPr/>
      <dgm:t>
        <a:bodyPr/>
        <a:lstStyle/>
        <a:p>
          <a:endParaRPr lang="en-US"/>
        </a:p>
      </dgm:t>
    </dgm:pt>
    <dgm:pt modelId="{E202BD9C-66CD-4072-8744-03ADBF49E984}" type="pres">
      <dgm:prSet presAssocID="{4ABF6F4D-5BCA-4943-9050-5EC2CDB87079}" presName="hierChild4" presStyleCnt="0"/>
      <dgm:spPr/>
    </dgm:pt>
    <dgm:pt modelId="{06BAEDA7-42FC-4355-A6C7-B74C1437E991}" type="pres">
      <dgm:prSet presAssocID="{4ABF6F4D-5BCA-4943-9050-5EC2CDB87079}" presName="hierChild5" presStyleCnt="0"/>
      <dgm:spPr/>
    </dgm:pt>
    <dgm:pt modelId="{25FC8D13-6CEF-4517-8282-93757634181F}" type="pres">
      <dgm:prSet presAssocID="{B33902C6-223A-4B81-B9F9-798E0D0407E6}" presName="Name37" presStyleLbl="parChTrans1D3" presStyleIdx="2" presStyleCnt="6"/>
      <dgm:spPr/>
      <dgm:t>
        <a:bodyPr/>
        <a:lstStyle/>
        <a:p>
          <a:endParaRPr lang="en-US"/>
        </a:p>
      </dgm:t>
    </dgm:pt>
    <dgm:pt modelId="{899B1D79-FDA7-4AE5-BE98-DFB51FBBC749}" type="pres">
      <dgm:prSet presAssocID="{D9D46B06-7BC9-4878-8952-6D29EF820B72}" presName="hierRoot2" presStyleCnt="0">
        <dgm:presLayoutVars>
          <dgm:hierBranch val="init"/>
        </dgm:presLayoutVars>
      </dgm:prSet>
      <dgm:spPr/>
    </dgm:pt>
    <dgm:pt modelId="{19FDEE7D-F6BA-4FA1-9D7B-6690589CFC31}" type="pres">
      <dgm:prSet presAssocID="{D9D46B06-7BC9-4878-8952-6D29EF820B72}" presName="rootComposite" presStyleCnt="0"/>
      <dgm:spPr/>
    </dgm:pt>
    <dgm:pt modelId="{18F109C0-28C1-4DE6-80E2-55D25AFDE373}" type="pres">
      <dgm:prSet presAssocID="{D9D46B06-7BC9-4878-8952-6D29EF820B72}" presName="rootText" presStyleLbl="node3" presStyleIdx="2" presStyleCnt="6" custScaleX="250321">
        <dgm:presLayoutVars>
          <dgm:chPref val="3"/>
        </dgm:presLayoutVars>
      </dgm:prSet>
      <dgm:spPr/>
      <dgm:t>
        <a:bodyPr/>
        <a:lstStyle/>
        <a:p>
          <a:endParaRPr lang="en-US"/>
        </a:p>
      </dgm:t>
    </dgm:pt>
    <dgm:pt modelId="{C536411F-FBCC-45EB-8E00-5C76A02F6A57}" type="pres">
      <dgm:prSet presAssocID="{D9D46B06-7BC9-4878-8952-6D29EF820B72}" presName="rootConnector" presStyleLbl="node3" presStyleIdx="2" presStyleCnt="6"/>
      <dgm:spPr/>
      <dgm:t>
        <a:bodyPr/>
        <a:lstStyle/>
        <a:p>
          <a:endParaRPr lang="en-US"/>
        </a:p>
      </dgm:t>
    </dgm:pt>
    <dgm:pt modelId="{46B14497-B6A7-449F-99D0-2D26203812DD}" type="pres">
      <dgm:prSet presAssocID="{D9D46B06-7BC9-4878-8952-6D29EF820B72}" presName="hierChild4" presStyleCnt="0"/>
      <dgm:spPr/>
    </dgm:pt>
    <dgm:pt modelId="{E857982C-38BE-4866-8F49-4A9D7291C667}" type="pres">
      <dgm:prSet presAssocID="{D9D46B06-7BC9-4878-8952-6D29EF820B72}" presName="hierChild5" presStyleCnt="0"/>
      <dgm:spPr/>
    </dgm:pt>
    <dgm:pt modelId="{6E98F19B-4DF1-4BFC-9801-CEA8F30C1434}" type="pres">
      <dgm:prSet presAssocID="{EA6C19C9-11E0-48EB-8A55-F46D245814F3}" presName="Name37" presStyleLbl="parChTrans1D3" presStyleIdx="3" presStyleCnt="6"/>
      <dgm:spPr/>
      <dgm:t>
        <a:bodyPr/>
        <a:lstStyle/>
        <a:p>
          <a:endParaRPr lang="en-US"/>
        </a:p>
      </dgm:t>
    </dgm:pt>
    <dgm:pt modelId="{2D364484-7B78-4AED-A58B-D614E59C21D7}" type="pres">
      <dgm:prSet presAssocID="{0ABAAD00-A1C2-40ED-AA6B-894737642C91}" presName="hierRoot2" presStyleCnt="0">
        <dgm:presLayoutVars>
          <dgm:hierBranch val="init"/>
        </dgm:presLayoutVars>
      </dgm:prSet>
      <dgm:spPr/>
    </dgm:pt>
    <dgm:pt modelId="{F2A87C02-794A-409E-B174-3A577844DB79}" type="pres">
      <dgm:prSet presAssocID="{0ABAAD00-A1C2-40ED-AA6B-894737642C91}" presName="rootComposite" presStyleCnt="0"/>
      <dgm:spPr/>
    </dgm:pt>
    <dgm:pt modelId="{8D0A45E7-2A2A-44AC-8ECF-607C5D6942C8}" type="pres">
      <dgm:prSet presAssocID="{0ABAAD00-A1C2-40ED-AA6B-894737642C91}" presName="rootText" presStyleLbl="node3" presStyleIdx="3" presStyleCnt="6" custScaleX="250321">
        <dgm:presLayoutVars>
          <dgm:chPref val="3"/>
        </dgm:presLayoutVars>
      </dgm:prSet>
      <dgm:spPr/>
      <dgm:t>
        <a:bodyPr/>
        <a:lstStyle/>
        <a:p>
          <a:endParaRPr lang="en-US"/>
        </a:p>
      </dgm:t>
    </dgm:pt>
    <dgm:pt modelId="{21D3C5F4-99E6-4954-9DA6-CCE2712AD444}" type="pres">
      <dgm:prSet presAssocID="{0ABAAD00-A1C2-40ED-AA6B-894737642C91}" presName="rootConnector" presStyleLbl="node3" presStyleIdx="3" presStyleCnt="6"/>
      <dgm:spPr/>
      <dgm:t>
        <a:bodyPr/>
        <a:lstStyle/>
        <a:p>
          <a:endParaRPr lang="en-US"/>
        </a:p>
      </dgm:t>
    </dgm:pt>
    <dgm:pt modelId="{10D63473-036C-40BC-A6C2-6485C6506769}" type="pres">
      <dgm:prSet presAssocID="{0ABAAD00-A1C2-40ED-AA6B-894737642C91}" presName="hierChild4" presStyleCnt="0"/>
      <dgm:spPr/>
    </dgm:pt>
    <dgm:pt modelId="{DF199B73-89C7-43FF-B1D2-57DF7C41873E}" type="pres">
      <dgm:prSet presAssocID="{0ABAAD00-A1C2-40ED-AA6B-894737642C91}" presName="hierChild5" presStyleCnt="0"/>
      <dgm:spPr/>
    </dgm:pt>
    <dgm:pt modelId="{2314588B-F696-4A75-8181-76B2B74BF68D}" type="pres">
      <dgm:prSet presAssocID="{D8E646A9-FC10-4DF7-9E28-2D4D9B9F42DC}" presName="hierChild5" presStyleCnt="0"/>
      <dgm:spPr/>
    </dgm:pt>
    <dgm:pt modelId="{93746A5C-3ED3-4AB8-806C-A612B6C6C51C}" type="pres">
      <dgm:prSet presAssocID="{1927B1CC-B913-4A08-BB27-D92ACC07DED7}" presName="Name37" presStyleLbl="parChTrans1D2" presStyleIdx="1" presStyleCnt="3"/>
      <dgm:spPr/>
      <dgm:t>
        <a:bodyPr/>
        <a:lstStyle/>
        <a:p>
          <a:endParaRPr lang="en-US"/>
        </a:p>
      </dgm:t>
    </dgm:pt>
    <dgm:pt modelId="{85135D4A-A337-4133-A811-03E4DB248AF2}" type="pres">
      <dgm:prSet presAssocID="{F1346A30-AAD7-4711-8D86-610299526CC5}" presName="hierRoot2" presStyleCnt="0">
        <dgm:presLayoutVars>
          <dgm:hierBranch val="init"/>
        </dgm:presLayoutVars>
      </dgm:prSet>
      <dgm:spPr/>
    </dgm:pt>
    <dgm:pt modelId="{D484C92B-0CE2-42C8-AB69-35E09C1438A8}" type="pres">
      <dgm:prSet presAssocID="{F1346A30-AAD7-4711-8D86-610299526CC5}" presName="rootComposite" presStyleCnt="0"/>
      <dgm:spPr/>
    </dgm:pt>
    <dgm:pt modelId="{3689B683-94C0-4706-951B-03F9DBBEB0A0}" type="pres">
      <dgm:prSet presAssocID="{F1346A30-AAD7-4711-8D86-610299526CC5}" presName="rootText" presStyleLbl="node2" presStyleIdx="1" presStyleCnt="3" custScaleX="198307">
        <dgm:presLayoutVars>
          <dgm:chPref val="3"/>
        </dgm:presLayoutVars>
      </dgm:prSet>
      <dgm:spPr/>
      <dgm:t>
        <a:bodyPr/>
        <a:lstStyle/>
        <a:p>
          <a:endParaRPr lang="en-US"/>
        </a:p>
      </dgm:t>
    </dgm:pt>
    <dgm:pt modelId="{6437298B-3DE1-4560-8F90-CE3455D4435E}" type="pres">
      <dgm:prSet presAssocID="{F1346A30-AAD7-4711-8D86-610299526CC5}" presName="rootConnector" presStyleLbl="node2" presStyleIdx="1" presStyleCnt="3"/>
      <dgm:spPr/>
      <dgm:t>
        <a:bodyPr/>
        <a:lstStyle/>
        <a:p>
          <a:endParaRPr lang="en-US"/>
        </a:p>
      </dgm:t>
    </dgm:pt>
    <dgm:pt modelId="{7AD32329-A12A-4D9B-9F0A-E4ABCFFF028F}" type="pres">
      <dgm:prSet presAssocID="{F1346A30-AAD7-4711-8D86-610299526CC5}" presName="hierChild4" presStyleCnt="0"/>
      <dgm:spPr/>
    </dgm:pt>
    <dgm:pt modelId="{0AD25A08-C82E-4858-ABC3-04D0DE925AAC}" type="pres">
      <dgm:prSet presAssocID="{CFEED7FB-7923-4D5E-BD02-70A0389C362B}" presName="Name37" presStyleLbl="parChTrans1D3" presStyleIdx="4" presStyleCnt="6"/>
      <dgm:spPr/>
      <dgm:t>
        <a:bodyPr/>
        <a:lstStyle/>
        <a:p>
          <a:endParaRPr lang="en-US"/>
        </a:p>
      </dgm:t>
    </dgm:pt>
    <dgm:pt modelId="{DC581742-896A-47FC-9E65-3F8AE4FAAAE0}" type="pres">
      <dgm:prSet presAssocID="{848CD206-DB14-4AB2-82B9-3EE24B5B7A5B}" presName="hierRoot2" presStyleCnt="0">
        <dgm:presLayoutVars>
          <dgm:hierBranch val="init"/>
        </dgm:presLayoutVars>
      </dgm:prSet>
      <dgm:spPr/>
    </dgm:pt>
    <dgm:pt modelId="{295BEF61-94D4-403B-AEAC-359DCF9956AE}" type="pres">
      <dgm:prSet presAssocID="{848CD206-DB14-4AB2-82B9-3EE24B5B7A5B}" presName="rootComposite" presStyleCnt="0"/>
      <dgm:spPr/>
    </dgm:pt>
    <dgm:pt modelId="{AFF748C9-B917-453A-B80A-13F247BB607F}" type="pres">
      <dgm:prSet presAssocID="{848CD206-DB14-4AB2-82B9-3EE24B5B7A5B}" presName="rootText" presStyleLbl="node3" presStyleIdx="4" presStyleCnt="6" custScaleX="156295">
        <dgm:presLayoutVars>
          <dgm:chPref val="3"/>
        </dgm:presLayoutVars>
      </dgm:prSet>
      <dgm:spPr/>
      <dgm:t>
        <a:bodyPr/>
        <a:lstStyle/>
        <a:p>
          <a:endParaRPr lang="en-US"/>
        </a:p>
      </dgm:t>
    </dgm:pt>
    <dgm:pt modelId="{F39E626E-F45F-46AF-84BF-7368C3F13558}" type="pres">
      <dgm:prSet presAssocID="{848CD206-DB14-4AB2-82B9-3EE24B5B7A5B}" presName="rootConnector" presStyleLbl="node3" presStyleIdx="4" presStyleCnt="6"/>
      <dgm:spPr/>
      <dgm:t>
        <a:bodyPr/>
        <a:lstStyle/>
        <a:p>
          <a:endParaRPr lang="en-US"/>
        </a:p>
      </dgm:t>
    </dgm:pt>
    <dgm:pt modelId="{70C865DA-C6B1-4595-9D36-5690B2F7FB6F}" type="pres">
      <dgm:prSet presAssocID="{848CD206-DB14-4AB2-82B9-3EE24B5B7A5B}" presName="hierChild4" presStyleCnt="0"/>
      <dgm:spPr/>
    </dgm:pt>
    <dgm:pt modelId="{694AC224-116C-4E45-81AE-1B2943E9976E}" type="pres">
      <dgm:prSet presAssocID="{848CD206-DB14-4AB2-82B9-3EE24B5B7A5B}" presName="hierChild5" presStyleCnt="0"/>
      <dgm:spPr/>
    </dgm:pt>
    <dgm:pt modelId="{69E1E3FE-E7D0-47A2-BC6B-04218C33301D}" type="pres">
      <dgm:prSet presAssocID="{F1346A30-AAD7-4711-8D86-610299526CC5}" presName="hierChild5" presStyleCnt="0"/>
      <dgm:spPr/>
    </dgm:pt>
    <dgm:pt modelId="{89AAC9F8-2CED-4973-939E-7251489BF65C}" type="pres">
      <dgm:prSet presAssocID="{EE2B59BD-B485-45EA-99EA-99942A9D179F}" presName="Name37" presStyleLbl="parChTrans1D2" presStyleIdx="2" presStyleCnt="3"/>
      <dgm:spPr/>
      <dgm:t>
        <a:bodyPr/>
        <a:lstStyle/>
        <a:p>
          <a:endParaRPr lang="en-US"/>
        </a:p>
      </dgm:t>
    </dgm:pt>
    <dgm:pt modelId="{CD08275D-9FD0-4AC9-B7CC-D89F6465FC7B}" type="pres">
      <dgm:prSet presAssocID="{E48A4797-3209-4966-AA1F-A465F96B713E}" presName="hierRoot2" presStyleCnt="0">
        <dgm:presLayoutVars>
          <dgm:hierBranch val="init"/>
        </dgm:presLayoutVars>
      </dgm:prSet>
      <dgm:spPr/>
    </dgm:pt>
    <dgm:pt modelId="{97AACE73-627D-41B4-B7C1-F65E62269191}" type="pres">
      <dgm:prSet presAssocID="{E48A4797-3209-4966-AA1F-A465F96B713E}" presName="rootComposite" presStyleCnt="0"/>
      <dgm:spPr/>
    </dgm:pt>
    <dgm:pt modelId="{00969E47-5274-4328-A8E6-F1F42E090D26}" type="pres">
      <dgm:prSet presAssocID="{E48A4797-3209-4966-AA1F-A465F96B713E}" presName="rootText" presStyleLbl="node2" presStyleIdx="2" presStyleCnt="3" custScaleX="198307">
        <dgm:presLayoutVars>
          <dgm:chPref val="3"/>
        </dgm:presLayoutVars>
      </dgm:prSet>
      <dgm:spPr/>
      <dgm:t>
        <a:bodyPr/>
        <a:lstStyle/>
        <a:p>
          <a:endParaRPr lang="en-US"/>
        </a:p>
      </dgm:t>
    </dgm:pt>
    <dgm:pt modelId="{A0409CA9-6959-4821-B589-800EE29D0062}" type="pres">
      <dgm:prSet presAssocID="{E48A4797-3209-4966-AA1F-A465F96B713E}" presName="rootConnector" presStyleLbl="node2" presStyleIdx="2" presStyleCnt="3"/>
      <dgm:spPr/>
      <dgm:t>
        <a:bodyPr/>
        <a:lstStyle/>
        <a:p>
          <a:endParaRPr lang="en-US"/>
        </a:p>
      </dgm:t>
    </dgm:pt>
    <dgm:pt modelId="{6ECCC965-3A6A-42F4-8663-BC6A4F7D2CD0}" type="pres">
      <dgm:prSet presAssocID="{E48A4797-3209-4966-AA1F-A465F96B713E}" presName="hierChild4" presStyleCnt="0"/>
      <dgm:spPr/>
    </dgm:pt>
    <dgm:pt modelId="{F5BC8B4A-BA21-4A23-ABD7-FDD14C72D6E9}" type="pres">
      <dgm:prSet presAssocID="{42039BFD-9376-4C41-89A6-F5638EA9D338}" presName="Name37" presStyleLbl="parChTrans1D3" presStyleIdx="5" presStyleCnt="6"/>
      <dgm:spPr/>
      <dgm:t>
        <a:bodyPr/>
        <a:lstStyle/>
        <a:p>
          <a:endParaRPr lang="en-US"/>
        </a:p>
      </dgm:t>
    </dgm:pt>
    <dgm:pt modelId="{102C20C5-B6A8-49EB-BACF-2E8758E326BF}" type="pres">
      <dgm:prSet presAssocID="{EFD19365-55FE-4352-8BD8-19249E27CD7E}" presName="hierRoot2" presStyleCnt="0">
        <dgm:presLayoutVars>
          <dgm:hierBranch val="init"/>
        </dgm:presLayoutVars>
      </dgm:prSet>
      <dgm:spPr/>
    </dgm:pt>
    <dgm:pt modelId="{958A985D-D8C0-4AF3-8C87-78D5867BD2D1}" type="pres">
      <dgm:prSet presAssocID="{EFD19365-55FE-4352-8BD8-19249E27CD7E}" presName="rootComposite" presStyleCnt="0"/>
      <dgm:spPr/>
    </dgm:pt>
    <dgm:pt modelId="{D708E720-8D60-4D80-818D-68852D79C14F}" type="pres">
      <dgm:prSet presAssocID="{EFD19365-55FE-4352-8BD8-19249E27CD7E}" presName="rootText" presStyleLbl="node3" presStyleIdx="5" presStyleCnt="6" custScaleX="151952">
        <dgm:presLayoutVars>
          <dgm:chPref val="3"/>
        </dgm:presLayoutVars>
      </dgm:prSet>
      <dgm:spPr/>
      <dgm:t>
        <a:bodyPr/>
        <a:lstStyle/>
        <a:p>
          <a:endParaRPr lang="en-US"/>
        </a:p>
      </dgm:t>
    </dgm:pt>
    <dgm:pt modelId="{BC90E899-1F69-4F37-9DDB-24DFD5CAC962}" type="pres">
      <dgm:prSet presAssocID="{EFD19365-55FE-4352-8BD8-19249E27CD7E}" presName="rootConnector" presStyleLbl="node3" presStyleIdx="5" presStyleCnt="6"/>
      <dgm:spPr/>
      <dgm:t>
        <a:bodyPr/>
        <a:lstStyle/>
        <a:p>
          <a:endParaRPr lang="en-US"/>
        </a:p>
      </dgm:t>
    </dgm:pt>
    <dgm:pt modelId="{59DC00F1-A2B0-4445-9B75-731A21DC6651}" type="pres">
      <dgm:prSet presAssocID="{EFD19365-55FE-4352-8BD8-19249E27CD7E}" presName="hierChild4" presStyleCnt="0"/>
      <dgm:spPr/>
    </dgm:pt>
    <dgm:pt modelId="{6C6B6AA9-C553-4488-A912-7E4943100FB6}" type="pres">
      <dgm:prSet presAssocID="{EFD19365-55FE-4352-8BD8-19249E27CD7E}" presName="hierChild5" presStyleCnt="0"/>
      <dgm:spPr/>
    </dgm:pt>
    <dgm:pt modelId="{9EC0C7EF-33A9-46E4-9E70-22EEEE8C6F6F}" type="pres">
      <dgm:prSet presAssocID="{E48A4797-3209-4966-AA1F-A465F96B713E}" presName="hierChild5" presStyleCnt="0"/>
      <dgm:spPr/>
    </dgm:pt>
    <dgm:pt modelId="{DF90F508-5A24-46BA-AC7D-759F36734E88}" type="pres">
      <dgm:prSet presAssocID="{E0BDE2EB-E4C8-4E1F-AFAF-DF7E4223EB49}" presName="hierChild3" presStyleCnt="0"/>
      <dgm:spPr/>
    </dgm:pt>
  </dgm:ptLst>
  <dgm:cxnLst>
    <dgm:cxn modelId="{27D88D83-EDCA-4918-8CD7-18E3E42048ED}" type="presOf" srcId="{F68BC3C7-1BBD-4C3B-8F08-BBF4755D6072}" destId="{033008E1-6C03-4562-BBDD-15C5EDE08C39}" srcOrd="1" destOrd="0" presId="urn:microsoft.com/office/officeart/2005/8/layout/orgChart1"/>
    <dgm:cxn modelId="{441F735C-7006-47F0-B9EE-11E816475352}" type="presOf" srcId="{F1346A30-AAD7-4711-8D86-610299526CC5}" destId="{6437298B-3DE1-4560-8F90-CE3455D4435E}" srcOrd="1" destOrd="0" presId="urn:microsoft.com/office/officeart/2005/8/layout/orgChart1"/>
    <dgm:cxn modelId="{D7B32CD1-88F5-4340-9C7D-02EC8425B344}" type="presOf" srcId="{A4AE3B68-1848-4F5D-959D-6997216977E7}" destId="{42D960B7-25BC-400B-871A-CDE303B4B59E}" srcOrd="0" destOrd="0" presId="urn:microsoft.com/office/officeart/2005/8/layout/orgChart1"/>
    <dgm:cxn modelId="{FDAD488D-115C-4D35-A458-2DB34357F9F9}" type="presOf" srcId="{4ABF6F4D-5BCA-4943-9050-5EC2CDB87079}" destId="{56947B3C-502D-46AB-8906-F460BACB9C93}" srcOrd="0" destOrd="0" presId="urn:microsoft.com/office/officeart/2005/8/layout/orgChart1"/>
    <dgm:cxn modelId="{49309892-5B8E-4736-B7CD-67E5DB106B62}" type="presOf" srcId="{F1346A30-AAD7-4711-8D86-610299526CC5}" destId="{3689B683-94C0-4706-951B-03F9DBBEB0A0}" srcOrd="0" destOrd="0" presId="urn:microsoft.com/office/officeart/2005/8/layout/orgChart1"/>
    <dgm:cxn modelId="{48FD7279-646E-41FD-8147-7B1B53683321}" type="presOf" srcId="{E48A4797-3209-4966-AA1F-A465F96B713E}" destId="{00969E47-5274-4328-A8E6-F1F42E090D26}" srcOrd="0" destOrd="0" presId="urn:microsoft.com/office/officeart/2005/8/layout/orgChart1"/>
    <dgm:cxn modelId="{2E35AEBB-9B35-4F62-8D80-8E96718A6031}" type="presOf" srcId="{848CD206-DB14-4AB2-82B9-3EE24B5B7A5B}" destId="{AFF748C9-B917-453A-B80A-13F247BB607F}" srcOrd="0" destOrd="0" presId="urn:microsoft.com/office/officeart/2005/8/layout/orgChart1"/>
    <dgm:cxn modelId="{A7D20EEB-9F2F-4B93-81C4-493C1F30426E}" srcId="{E682014F-9A23-4436-9838-1ED9E4A99055}" destId="{E0BDE2EB-E4C8-4E1F-AFAF-DF7E4223EB49}" srcOrd="0" destOrd="0" parTransId="{86197C83-A4C6-4378-B99C-AC813A62AAB1}" sibTransId="{C17DD30E-E0E8-49B2-899E-04E92CC66801}"/>
    <dgm:cxn modelId="{D3476D76-C529-424D-9DEA-2467796E7146}" srcId="{E0BDE2EB-E4C8-4E1F-AFAF-DF7E4223EB49}" destId="{F1346A30-AAD7-4711-8D86-610299526CC5}" srcOrd="1" destOrd="0" parTransId="{1927B1CC-B913-4A08-BB27-D92ACC07DED7}" sibTransId="{C2C75878-B8D0-4CA0-93B4-B1FC59B7C01C}"/>
    <dgm:cxn modelId="{DEA53A33-F76C-4EA5-8307-A595A1D383DF}" type="presOf" srcId="{E682014F-9A23-4436-9838-1ED9E4A99055}" destId="{235DFA5B-9FF2-4EC8-B589-0282EF9D74E5}" srcOrd="0" destOrd="0" presId="urn:microsoft.com/office/officeart/2005/8/layout/orgChart1"/>
    <dgm:cxn modelId="{B6302945-BCA6-41FE-B7B7-0F1259593DBE}" srcId="{F1346A30-AAD7-4711-8D86-610299526CC5}" destId="{848CD206-DB14-4AB2-82B9-3EE24B5B7A5B}" srcOrd="0" destOrd="0" parTransId="{CFEED7FB-7923-4D5E-BD02-70A0389C362B}" sibTransId="{7BE921BB-10F9-4F63-963D-A38B086A4F68}"/>
    <dgm:cxn modelId="{78EE0509-314B-409B-8AF7-BBA0B6D3B53A}" srcId="{E0BDE2EB-E4C8-4E1F-AFAF-DF7E4223EB49}" destId="{E48A4797-3209-4966-AA1F-A465F96B713E}" srcOrd="2" destOrd="0" parTransId="{EE2B59BD-B485-45EA-99EA-99942A9D179F}" sibTransId="{E421B106-720E-4464-93F3-C02651660BB3}"/>
    <dgm:cxn modelId="{EFAE765D-DF2F-4A3E-9302-9CD5CA034D71}" srcId="{E48A4797-3209-4966-AA1F-A465F96B713E}" destId="{EFD19365-55FE-4352-8BD8-19249E27CD7E}" srcOrd="0" destOrd="0" parTransId="{42039BFD-9376-4C41-89A6-F5638EA9D338}" sibTransId="{5D4980DA-DF1A-4B80-95EE-6427918EC123}"/>
    <dgm:cxn modelId="{428FC2C5-71BB-4F4A-9A3E-8AB234E074CA}" type="presOf" srcId="{D8E646A9-FC10-4DF7-9E28-2D4D9B9F42DC}" destId="{F1A32308-D15A-46D7-9D6D-6F0CE222DEEE}" srcOrd="0" destOrd="0" presId="urn:microsoft.com/office/officeart/2005/8/layout/orgChart1"/>
    <dgm:cxn modelId="{F9213CD5-FC69-45BD-8FF6-93599A798C65}" type="presOf" srcId="{6F35EEE9-83EF-4823-B2C3-832221B669CE}" destId="{87FFD210-0FDF-4DA3-9878-6DA2BDCB00A6}" srcOrd="0" destOrd="0" presId="urn:microsoft.com/office/officeart/2005/8/layout/orgChart1"/>
    <dgm:cxn modelId="{E0D88987-772C-4291-94F6-875433D8D010}" type="presOf" srcId="{D9D46B06-7BC9-4878-8952-6D29EF820B72}" destId="{C536411F-FBCC-45EB-8E00-5C76A02F6A57}" srcOrd="1" destOrd="0" presId="urn:microsoft.com/office/officeart/2005/8/layout/orgChart1"/>
    <dgm:cxn modelId="{45ECDE4F-C1E8-4097-8FEE-C455DFB85985}" type="presOf" srcId="{D8E646A9-FC10-4DF7-9E28-2D4D9B9F42DC}" destId="{9BAD68CA-A461-48D1-94FC-F892D8D2D5BC}" srcOrd="1" destOrd="0" presId="urn:microsoft.com/office/officeart/2005/8/layout/orgChart1"/>
    <dgm:cxn modelId="{A2232DC7-0607-42F4-B9D9-9612D4E8AF9F}" srcId="{D8E646A9-FC10-4DF7-9E28-2D4D9B9F42DC}" destId="{F68BC3C7-1BBD-4C3B-8F08-BBF4755D6072}" srcOrd="0" destOrd="0" parTransId="{6F35EEE9-83EF-4823-B2C3-832221B669CE}" sibTransId="{ADDAD8BF-3491-4F9E-90F3-5E0B395CA3DE}"/>
    <dgm:cxn modelId="{F812364F-FFF1-47C9-9C84-521142618A1F}" type="presOf" srcId="{CFEED7FB-7923-4D5E-BD02-70A0389C362B}" destId="{0AD25A08-C82E-4858-ABC3-04D0DE925AAC}" srcOrd="0" destOrd="0" presId="urn:microsoft.com/office/officeart/2005/8/layout/orgChart1"/>
    <dgm:cxn modelId="{0458F499-56A4-4731-879E-E078CABD7811}" type="presOf" srcId="{0ABAAD00-A1C2-40ED-AA6B-894737642C91}" destId="{21D3C5F4-99E6-4954-9DA6-CCE2712AD444}" srcOrd="1" destOrd="0" presId="urn:microsoft.com/office/officeart/2005/8/layout/orgChart1"/>
    <dgm:cxn modelId="{A8B73ECC-C001-4FD6-A39A-0C8E86F8E24A}" srcId="{D8E646A9-FC10-4DF7-9E28-2D4D9B9F42DC}" destId="{4ABF6F4D-5BCA-4943-9050-5EC2CDB87079}" srcOrd="1" destOrd="0" parTransId="{40437756-B674-457B-BE55-C65A662C8E9A}" sibTransId="{DC686F8B-87FE-4DF0-BB6A-D9E652A602FE}"/>
    <dgm:cxn modelId="{D1509791-A210-49C3-AF8E-EB00F811E4C5}" srcId="{D8E646A9-FC10-4DF7-9E28-2D4D9B9F42DC}" destId="{0ABAAD00-A1C2-40ED-AA6B-894737642C91}" srcOrd="3" destOrd="0" parTransId="{EA6C19C9-11E0-48EB-8A55-F46D245814F3}" sibTransId="{03A2F824-A382-4758-BEEB-5B4BDA964106}"/>
    <dgm:cxn modelId="{8E5B6C03-0750-499D-8B2D-389C2F47D50D}" type="presOf" srcId="{1927B1CC-B913-4A08-BB27-D92ACC07DED7}" destId="{93746A5C-3ED3-4AB8-806C-A612B6C6C51C}" srcOrd="0" destOrd="0" presId="urn:microsoft.com/office/officeart/2005/8/layout/orgChart1"/>
    <dgm:cxn modelId="{53829A06-231F-4BB0-B224-458F0A00BFC5}" type="presOf" srcId="{E0BDE2EB-E4C8-4E1F-AFAF-DF7E4223EB49}" destId="{25FB4038-9D47-4B6A-9191-EC07F6CD4401}" srcOrd="0" destOrd="0" presId="urn:microsoft.com/office/officeart/2005/8/layout/orgChart1"/>
    <dgm:cxn modelId="{5B994F84-9CAC-4C8B-AD02-B2F24B70B95F}" type="presOf" srcId="{40437756-B674-457B-BE55-C65A662C8E9A}" destId="{A01669BF-46B3-4932-9AD4-372713FD8364}" srcOrd="0" destOrd="0" presId="urn:microsoft.com/office/officeart/2005/8/layout/orgChart1"/>
    <dgm:cxn modelId="{B7212A40-8189-48AA-8109-12820FDB70E8}" type="presOf" srcId="{E48A4797-3209-4966-AA1F-A465F96B713E}" destId="{A0409CA9-6959-4821-B589-800EE29D0062}" srcOrd="1" destOrd="0" presId="urn:microsoft.com/office/officeart/2005/8/layout/orgChart1"/>
    <dgm:cxn modelId="{A45ADE65-48F0-4318-8A4F-303E4E892A80}" type="presOf" srcId="{EE2B59BD-B485-45EA-99EA-99942A9D179F}" destId="{89AAC9F8-2CED-4973-939E-7251489BF65C}" srcOrd="0" destOrd="0" presId="urn:microsoft.com/office/officeart/2005/8/layout/orgChart1"/>
    <dgm:cxn modelId="{8965448D-27A5-4483-A013-CEEFE7893513}" type="presOf" srcId="{0ABAAD00-A1C2-40ED-AA6B-894737642C91}" destId="{8D0A45E7-2A2A-44AC-8ECF-607C5D6942C8}" srcOrd="0" destOrd="0" presId="urn:microsoft.com/office/officeart/2005/8/layout/orgChart1"/>
    <dgm:cxn modelId="{022B089D-95F2-4D78-8B23-F24AC0EB1EC4}" type="presOf" srcId="{848CD206-DB14-4AB2-82B9-3EE24B5B7A5B}" destId="{F39E626E-F45F-46AF-84BF-7368C3F13558}" srcOrd="1" destOrd="0" presId="urn:microsoft.com/office/officeart/2005/8/layout/orgChart1"/>
    <dgm:cxn modelId="{8D0A4E09-45BD-49A5-B07D-9316FFC321C3}" type="presOf" srcId="{EFD19365-55FE-4352-8BD8-19249E27CD7E}" destId="{BC90E899-1F69-4F37-9DDB-24DFD5CAC962}" srcOrd="1" destOrd="0" presId="urn:microsoft.com/office/officeart/2005/8/layout/orgChart1"/>
    <dgm:cxn modelId="{A2928745-A71A-4166-820E-9C5664FE7BDF}" type="presOf" srcId="{42039BFD-9376-4C41-89A6-F5638EA9D338}" destId="{F5BC8B4A-BA21-4A23-ABD7-FDD14C72D6E9}" srcOrd="0" destOrd="0" presId="urn:microsoft.com/office/officeart/2005/8/layout/orgChart1"/>
    <dgm:cxn modelId="{D0D53DB7-C93F-42EF-837D-784770EC8610}" type="presOf" srcId="{F68BC3C7-1BBD-4C3B-8F08-BBF4755D6072}" destId="{38C92DB4-8387-490D-967E-0F48BB69A9AA}" srcOrd="0" destOrd="0" presId="urn:microsoft.com/office/officeart/2005/8/layout/orgChart1"/>
    <dgm:cxn modelId="{90FD0626-5F91-4903-A919-382C2920A794}" type="presOf" srcId="{B33902C6-223A-4B81-B9F9-798E0D0407E6}" destId="{25FC8D13-6CEF-4517-8282-93757634181F}" srcOrd="0" destOrd="0" presId="urn:microsoft.com/office/officeart/2005/8/layout/orgChart1"/>
    <dgm:cxn modelId="{8855A40B-76D1-40BB-98E4-22B394A2B0CD}" srcId="{E0BDE2EB-E4C8-4E1F-AFAF-DF7E4223EB49}" destId="{D8E646A9-FC10-4DF7-9E28-2D4D9B9F42DC}" srcOrd="0" destOrd="0" parTransId="{A4AE3B68-1848-4F5D-959D-6997216977E7}" sibTransId="{2E6C1A22-59CC-4188-90A5-B05E928A918E}"/>
    <dgm:cxn modelId="{7503B10E-9DAF-4D2D-9DD1-DCEF096D4FE2}" srcId="{D8E646A9-FC10-4DF7-9E28-2D4D9B9F42DC}" destId="{D9D46B06-7BC9-4878-8952-6D29EF820B72}" srcOrd="2" destOrd="0" parTransId="{B33902C6-223A-4B81-B9F9-798E0D0407E6}" sibTransId="{0ABA3AD3-F5C0-4013-8A6B-C91B2DB82669}"/>
    <dgm:cxn modelId="{512B7719-C8A9-4060-84B4-45D0C8ABD1C2}" type="presOf" srcId="{4ABF6F4D-5BCA-4943-9050-5EC2CDB87079}" destId="{A2EC8531-0A53-470D-B750-E52DE44FB783}" srcOrd="1" destOrd="0" presId="urn:microsoft.com/office/officeart/2005/8/layout/orgChart1"/>
    <dgm:cxn modelId="{FA30EF1E-6418-44B5-B366-D074388AD7E6}" type="presOf" srcId="{E0BDE2EB-E4C8-4E1F-AFAF-DF7E4223EB49}" destId="{6A14F943-D3ED-4B06-BE5B-147F856286A7}" srcOrd="1" destOrd="0" presId="urn:microsoft.com/office/officeart/2005/8/layout/orgChart1"/>
    <dgm:cxn modelId="{8F1B2F61-6D45-437A-BA5A-55260C2C9B4F}" type="presOf" srcId="{EA6C19C9-11E0-48EB-8A55-F46D245814F3}" destId="{6E98F19B-4DF1-4BFC-9801-CEA8F30C1434}" srcOrd="0" destOrd="0" presId="urn:microsoft.com/office/officeart/2005/8/layout/orgChart1"/>
    <dgm:cxn modelId="{3C6BDF87-524A-4346-AE92-0849C6EDE206}" type="presOf" srcId="{EFD19365-55FE-4352-8BD8-19249E27CD7E}" destId="{D708E720-8D60-4D80-818D-68852D79C14F}" srcOrd="0" destOrd="0" presId="urn:microsoft.com/office/officeart/2005/8/layout/orgChart1"/>
    <dgm:cxn modelId="{E394B91F-5F25-462B-B214-EED169C84DE1}" type="presOf" srcId="{D9D46B06-7BC9-4878-8952-6D29EF820B72}" destId="{18F109C0-28C1-4DE6-80E2-55D25AFDE373}" srcOrd="0" destOrd="0" presId="urn:microsoft.com/office/officeart/2005/8/layout/orgChart1"/>
    <dgm:cxn modelId="{83488F12-8717-4FC0-9C39-4F7912A73F3F}" type="presParOf" srcId="{235DFA5B-9FF2-4EC8-B589-0282EF9D74E5}" destId="{00FB8439-C817-4CCC-975D-2F79E3CD3803}" srcOrd="0" destOrd="0" presId="urn:microsoft.com/office/officeart/2005/8/layout/orgChart1"/>
    <dgm:cxn modelId="{09C01351-74F9-4FDE-A9C9-B4E3B4C05551}" type="presParOf" srcId="{00FB8439-C817-4CCC-975D-2F79E3CD3803}" destId="{785BECA3-1D94-4333-A321-8CAFE45A4089}" srcOrd="0" destOrd="0" presId="urn:microsoft.com/office/officeart/2005/8/layout/orgChart1"/>
    <dgm:cxn modelId="{2EE51798-63DC-459F-AE37-76E72D32269B}" type="presParOf" srcId="{785BECA3-1D94-4333-A321-8CAFE45A4089}" destId="{25FB4038-9D47-4B6A-9191-EC07F6CD4401}" srcOrd="0" destOrd="0" presId="urn:microsoft.com/office/officeart/2005/8/layout/orgChart1"/>
    <dgm:cxn modelId="{82630556-076D-4E4D-BBA9-2714DC4157EA}" type="presParOf" srcId="{785BECA3-1D94-4333-A321-8CAFE45A4089}" destId="{6A14F943-D3ED-4B06-BE5B-147F856286A7}" srcOrd="1" destOrd="0" presId="urn:microsoft.com/office/officeart/2005/8/layout/orgChart1"/>
    <dgm:cxn modelId="{8F1E35D7-4376-48C1-B7AE-90797F633216}" type="presParOf" srcId="{00FB8439-C817-4CCC-975D-2F79E3CD3803}" destId="{BC36EEA3-5C70-4D85-8B2B-078508B51AE4}" srcOrd="1" destOrd="0" presId="urn:microsoft.com/office/officeart/2005/8/layout/orgChart1"/>
    <dgm:cxn modelId="{483EF8D8-AA8B-4C99-8E3F-66EDF74E4AE9}" type="presParOf" srcId="{BC36EEA3-5C70-4D85-8B2B-078508B51AE4}" destId="{42D960B7-25BC-400B-871A-CDE303B4B59E}" srcOrd="0" destOrd="0" presId="urn:microsoft.com/office/officeart/2005/8/layout/orgChart1"/>
    <dgm:cxn modelId="{DD0EB2DC-1867-4871-BA29-736836A7A21C}" type="presParOf" srcId="{BC36EEA3-5C70-4D85-8B2B-078508B51AE4}" destId="{A06AAE44-89F9-47DE-AED9-85B7C9C59E07}" srcOrd="1" destOrd="0" presId="urn:microsoft.com/office/officeart/2005/8/layout/orgChart1"/>
    <dgm:cxn modelId="{EAAFB12E-3E6C-4D21-8BEC-BF49736326A5}" type="presParOf" srcId="{A06AAE44-89F9-47DE-AED9-85B7C9C59E07}" destId="{4AA4F6BA-5258-49C2-BB1F-4A9472BD9BEA}" srcOrd="0" destOrd="0" presId="urn:microsoft.com/office/officeart/2005/8/layout/orgChart1"/>
    <dgm:cxn modelId="{F455932E-25B4-4226-B892-A92FB208E40F}" type="presParOf" srcId="{4AA4F6BA-5258-49C2-BB1F-4A9472BD9BEA}" destId="{F1A32308-D15A-46D7-9D6D-6F0CE222DEEE}" srcOrd="0" destOrd="0" presId="urn:microsoft.com/office/officeart/2005/8/layout/orgChart1"/>
    <dgm:cxn modelId="{45704BA4-7EAF-4A92-A29B-3E5B4AE4C2ED}" type="presParOf" srcId="{4AA4F6BA-5258-49C2-BB1F-4A9472BD9BEA}" destId="{9BAD68CA-A461-48D1-94FC-F892D8D2D5BC}" srcOrd="1" destOrd="0" presId="urn:microsoft.com/office/officeart/2005/8/layout/orgChart1"/>
    <dgm:cxn modelId="{5216249D-9A9C-43FE-B240-50F0D8E4546E}" type="presParOf" srcId="{A06AAE44-89F9-47DE-AED9-85B7C9C59E07}" destId="{B765F982-E77E-46E7-B058-7C4B5C34564C}" srcOrd="1" destOrd="0" presId="urn:microsoft.com/office/officeart/2005/8/layout/orgChart1"/>
    <dgm:cxn modelId="{FBCEF50A-25B5-4028-9D11-7ACA024EDA40}" type="presParOf" srcId="{B765F982-E77E-46E7-B058-7C4B5C34564C}" destId="{87FFD210-0FDF-4DA3-9878-6DA2BDCB00A6}" srcOrd="0" destOrd="0" presId="urn:microsoft.com/office/officeart/2005/8/layout/orgChart1"/>
    <dgm:cxn modelId="{78AA6D1C-8B6D-4871-AB22-78227408E8C3}" type="presParOf" srcId="{B765F982-E77E-46E7-B058-7C4B5C34564C}" destId="{B3824511-DC5D-42E2-816A-6D3AE8219EA5}" srcOrd="1" destOrd="0" presId="urn:microsoft.com/office/officeart/2005/8/layout/orgChart1"/>
    <dgm:cxn modelId="{16025541-DF4E-43D2-8A67-2A588F095703}" type="presParOf" srcId="{B3824511-DC5D-42E2-816A-6D3AE8219EA5}" destId="{DC089A14-12EE-4471-8586-4D0D485640C6}" srcOrd="0" destOrd="0" presId="urn:microsoft.com/office/officeart/2005/8/layout/orgChart1"/>
    <dgm:cxn modelId="{1BC81D02-B8EA-4C97-B301-927626252B74}" type="presParOf" srcId="{DC089A14-12EE-4471-8586-4D0D485640C6}" destId="{38C92DB4-8387-490D-967E-0F48BB69A9AA}" srcOrd="0" destOrd="0" presId="urn:microsoft.com/office/officeart/2005/8/layout/orgChart1"/>
    <dgm:cxn modelId="{7C0C6831-2E9E-4703-B0C3-CD2C7C7CF1CA}" type="presParOf" srcId="{DC089A14-12EE-4471-8586-4D0D485640C6}" destId="{033008E1-6C03-4562-BBDD-15C5EDE08C39}" srcOrd="1" destOrd="0" presId="urn:microsoft.com/office/officeart/2005/8/layout/orgChart1"/>
    <dgm:cxn modelId="{2B667F76-81BB-4F59-9C26-ECCA133621B3}" type="presParOf" srcId="{B3824511-DC5D-42E2-816A-6D3AE8219EA5}" destId="{9F6F69BC-D45E-447F-9CE0-6B89D52B36BB}" srcOrd="1" destOrd="0" presId="urn:microsoft.com/office/officeart/2005/8/layout/orgChart1"/>
    <dgm:cxn modelId="{895CB861-A6E3-4BA1-8C91-7B13509BB53D}" type="presParOf" srcId="{B3824511-DC5D-42E2-816A-6D3AE8219EA5}" destId="{CFE116FB-07D5-48F8-BFB4-BBA0DD12D2A6}" srcOrd="2" destOrd="0" presId="urn:microsoft.com/office/officeart/2005/8/layout/orgChart1"/>
    <dgm:cxn modelId="{A0A87AFF-B6D4-4549-AB42-91A0680FF722}" type="presParOf" srcId="{B765F982-E77E-46E7-B058-7C4B5C34564C}" destId="{A01669BF-46B3-4932-9AD4-372713FD8364}" srcOrd="2" destOrd="0" presId="urn:microsoft.com/office/officeart/2005/8/layout/orgChart1"/>
    <dgm:cxn modelId="{ECBD5FB2-A436-4570-9795-B684DE8780F9}" type="presParOf" srcId="{B765F982-E77E-46E7-B058-7C4B5C34564C}" destId="{0A3725B2-25A3-4557-BB0E-473C41A972B9}" srcOrd="3" destOrd="0" presId="urn:microsoft.com/office/officeart/2005/8/layout/orgChart1"/>
    <dgm:cxn modelId="{8D42032E-33E2-4BF8-BB80-3DF4552501AB}" type="presParOf" srcId="{0A3725B2-25A3-4557-BB0E-473C41A972B9}" destId="{FFC22AE9-0F9F-4102-8708-4D2C663A1814}" srcOrd="0" destOrd="0" presId="urn:microsoft.com/office/officeart/2005/8/layout/orgChart1"/>
    <dgm:cxn modelId="{FBAC0784-6455-4438-B597-C3719F1B39FE}" type="presParOf" srcId="{FFC22AE9-0F9F-4102-8708-4D2C663A1814}" destId="{56947B3C-502D-46AB-8906-F460BACB9C93}" srcOrd="0" destOrd="0" presId="urn:microsoft.com/office/officeart/2005/8/layout/orgChart1"/>
    <dgm:cxn modelId="{20D4F838-F901-4287-A8EC-3BB02DFD4A28}" type="presParOf" srcId="{FFC22AE9-0F9F-4102-8708-4D2C663A1814}" destId="{A2EC8531-0A53-470D-B750-E52DE44FB783}" srcOrd="1" destOrd="0" presId="urn:microsoft.com/office/officeart/2005/8/layout/orgChart1"/>
    <dgm:cxn modelId="{2C025A96-A085-49D8-B97A-8FC64D2238DA}" type="presParOf" srcId="{0A3725B2-25A3-4557-BB0E-473C41A972B9}" destId="{E202BD9C-66CD-4072-8744-03ADBF49E984}" srcOrd="1" destOrd="0" presId="urn:microsoft.com/office/officeart/2005/8/layout/orgChart1"/>
    <dgm:cxn modelId="{AFF5FD12-C19C-438E-9A9F-A835BCABE69C}" type="presParOf" srcId="{0A3725B2-25A3-4557-BB0E-473C41A972B9}" destId="{06BAEDA7-42FC-4355-A6C7-B74C1437E991}" srcOrd="2" destOrd="0" presId="urn:microsoft.com/office/officeart/2005/8/layout/orgChart1"/>
    <dgm:cxn modelId="{DBA0D652-A94E-46BC-BCE0-172440505065}" type="presParOf" srcId="{B765F982-E77E-46E7-B058-7C4B5C34564C}" destId="{25FC8D13-6CEF-4517-8282-93757634181F}" srcOrd="4" destOrd="0" presId="urn:microsoft.com/office/officeart/2005/8/layout/orgChart1"/>
    <dgm:cxn modelId="{494B6698-8F34-4DB3-931F-0CF6FA69761F}" type="presParOf" srcId="{B765F982-E77E-46E7-B058-7C4B5C34564C}" destId="{899B1D79-FDA7-4AE5-BE98-DFB51FBBC749}" srcOrd="5" destOrd="0" presId="urn:microsoft.com/office/officeart/2005/8/layout/orgChart1"/>
    <dgm:cxn modelId="{E40F338A-7EFA-4DE2-9A6D-4CFAA52136AA}" type="presParOf" srcId="{899B1D79-FDA7-4AE5-BE98-DFB51FBBC749}" destId="{19FDEE7D-F6BA-4FA1-9D7B-6690589CFC31}" srcOrd="0" destOrd="0" presId="urn:microsoft.com/office/officeart/2005/8/layout/orgChart1"/>
    <dgm:cxn modelId="{3D2B1A84-96C5-47B2-A2DF-42383CC50CC3}" type="presParOf" srcId="{19FDEE7D-F6BA-4FA1-9D7B-6690589CFC31}" destId="{18F109C0-28C1-4DE6-80E2-55D25AFDE373}" srcOrd="0" destOrd="0" presId="urn:microsoft.com/office/officeart/2005/8/layout/orgChart1"/>
    <dgm:cxn modelId="{47860F08-FB2F-44DC-AF64-5A256074090F}" type="presParOf" srcId="{19FDEE7D-F6BA-4FA1-9D7B-6690589CFC31}" destId="{C536411F-FBCC-45EB-8E00-5C76A02F6A57}" srcOrd="1" destOrd="0" presId="urn:microsoft.com/office/officeart/2005/8/layout/orgChart1"/>
    <dgm:cxn modelId="{5CE6106B-5CEC-48D3-8404-27A1F2D48118}" type="presParOf" srcId="{899B1D79-FDA7-4AE5-BE98-DFB51FBBC749}" destId="{46B14497-B6A7-449F-99D0-2D26203812DD}" srcOrd="1" destOrd="0" presId="urn:microsoft.com/office/officeart/2005/8/layout/orgChart1"/>
    <dgm:cxn modelId="{1B20924C-6169-49AA-B844-8A0ED7B88ECB}" type="presParOf" srcId="{899B1D79-FDA7-4AE5-BE98-DFB51FBBC749}" destId="{E857982C-38BE-4866-8F49-4A9D7291C667}" srcOrd="2" destOrd="0" presId="urn:microsoft.com/office/officeart/2005/8/layout/orgChart1"/>
    <dgm:cxn modelId="{CEA96080-3802-4E8D-8052-8A40F8909017}" type="presParOf" srcId="{B765F982-E77E-46E7-B058-7C4B5C34564C}" destId="{6E98F19B-4DF1-4BFC-9801-CEA8F30C1434}" srcOrd="6" destOrd="0" presId="urn:microsoft.com/office/officeart/2005/8/layout/orgChart1"/>
    <dgm:cxn modelId="{E83BDC22-1BE2-42BE-8365-D5F90ED2D399}" type="presParOf" srcId="{B765F982-E77E-46E7-B058-7C4B5C34564C}" destId="{2D364484-7B78-4AED-A58B-D614E59C21D7}" srcOrd="7" destOrd="0" presId="urn:microsoft.com/office/officeart/2005/8/layout/orgChart1"/>
    <dgm:cxn modelId="{3FD786E0-54E7-4A25-8563-7A094C356F55}" type="presParOf" srcId="{2D364484-7B78-4AED-A58B-D614E59C21D7}" destId="{F2A87C02-794A-409E-B174-3A577844DB79}" srcOrd="0" destOrd="0" presId="urn:microsoft.com/office/officeart/2005/8/layout/orgChart1"/>
    <dgm:cxn modelId="{00D046A6-7C27-47DA-880B-BCF351760D2A}" type="presParOf" srcId="{F2A87C02-794A-409E-B174-3A577844DB79}" destId="{8D0A45E7-2A2A-44AC-8ECF-607C5D6942C8}" srcOrd="0" destOrd="0" presId="urn:microsoft.com/office/officeart/2005/8/layout/orgChart1"/>
    <dgm:cxn modelId="{63389F93-4BCE-4278-BEE7-29E5CE8C24C9}" type="presParOf" srcId="{F2A87C02-794A-409E-B174-3A577844DB79}" destId="{21D3C5F4-99E6-4954-9DA6-CCE2712AD444}" srcOrd="1" destOrd="0" presId="urn:microsoft.com/office/officeart/2005/8/layout/orgChart1"/>
    <dgm:cxn modelId="{A8ACB6B4-130D-480C-B1F0-FD5AC5D4A2A8}" type="presParOf" srcId="{2D364484-7B78-4AED-A58B-D614E59C21D7}" destId="{10D63473-036C-40BC-A6C2-6485C6506769}" srcOrd="1" destOrd="0" presId="urn:microsoft.com/office/officeart/2005/8/layout/orgChart1"/>
    <dgm:cxn modelId="{90C5069B-8797-4CC3-925E-589352A3D24A}" type="presParOf" srcId="{2D364484-7B78-4AED-A58B-D614E59C21D7}" destId="{DF199B73-89C7-43FF-B1D2-57DF7C41873E}" srcOrd="2" destOrd="0" presId="urn:microsoft.com/office/officeart/2005/8/layout/orgChart1"/>
    <dgm:cxn modelId="{509A0514-5E40-4B73-B90F-70AD4F6EEC5A}" type="presParOf" srcId="{A06AAE44-89F9-47DE-AED9-85B7C9C59E07}" destId="{2314588B-F696-4A75-8181-76B2B74BF68D}" srcOrd="2" destOrd="0" presId="urn:microsoft.com/office/officeart/2005/8/layout/orgChart1"/>
    <dgm:cxn modelId="{C3EB22B2-C76D-4AB8-BD00-28F315285B89}" type="presParOf" srcId="{BC36EEA3-5C70-4D85-8B2B-078508B51AE4}" destId="{93746A5C-3ED3-4AB8-806C-A612B6C6C51C}" srcOrd="2" destOrd="0" presId="urn:microsoft.com/office/officeart/2005/8/layout/orgChart1"/>
    <dgm:cxn modelId="{4460C973-B307-4884-9E57-873A4D412302}" type="presParOf" srcId="{BC36EEA3-5C70-4D85-8B2B-078508B51AE4}" destId="{85135D4A-A337-4133-A811-03E4DB248AF2}" srcOrd="3" destOrd="0" presId="urn:microsoft.com/office/officeart/2005/8/layout/orgChart1"/>
    <dgm:cxn modelId="{88B3CEF8-0384-458A-BB95-CA9E5E237233}" type="presParOf" srcId="{85135D4A-A337-4133-A811-03E4DB248AF2}" destId="{D484C92B-0CE2-42C8-AB69-35E09C1438A8}" srcOrd="0" destOrd="0" presId="urn:microsoft.com/office/officeart/2005/8/layout/orgChart1"/>
    <dgm:cxn modelId="{5FBA42AA-A40A-4B5B-9F71-37996D82FDF0}" type="presParOf" srcId="{D484C92B-0CE2-42C8-AB69-35E09C1438A8}" destId="{3689B683-94C0-4706-951B-03F9DBBEB0A0}" srcOrd="0" destOrd="0" presId="urn:microsoft.com/office/officeart/2005/8/layout/orgChart1"/>
    <dgm:cxn modelId="{B017C18E-FD5E-4B83-B5FE-E2DCB3C9679B}" type="presParOf" srcId="{D484C92B-0CE2-42C8-AB69-35E09C1438A8}" destId="{6437298B-3DE1-4560-8F90-CE3455D4435E}" srcOrd="1" destOrd="0" presId="urn:microsoft.com/office/officeart/2005/8/layout/orgChart1"/>
    <dgm:cxn modelId="{73E691EE-CFE9-48F5-8634-3DE5822E57D1}" type="presParOf" srcId="{85135D4A-A337-4133-A811-03E4DB248AF2}" destId="{7AD32329-A12A-4D9B-9F0A-E4ABCFFF028F}" srcOrd="1" destOrd="0" presId="urn:microsoft.com/office/officeart/2005/8/layout/orgChart1"/>
    <dgm:cxn modelId="{51F6A89C-6847-425E-98C9-6449E5E39A8A}" type="presParOf" srcId="{7AD32329-A12A-4D9B-9F0A-E4ABCFFF028F}" destId="{0AD25A08-C82E-4858-ABC3-04D0DE925AAC}" srcOrd="0" destOrd="0" presId="urn:microsoft.com/office/officeart/2005/8/layout/orgChart1"/>
    <dgm:cxn modelId="{6EEA939C-5240-435A-AE05-B131B980857B}" type="presParOf" srcId="{7AD32329-A12A-4D9B-9F0A-E4ABCFFF028F}" destId="{DC581742-896A-47FC-9E65-3F8AE4FAAAE0}" srcOrd="1" destOrd="0" presId="urn:microsoft.com/office/officeart/2005/8/layout/orgChart1"/>
    <dgm:cxn modelId="{DA777317-FD11-4BCA-B818-F77ED3E8CAD7}" type="presParOf" srcId="{DC581742-896A-47FC-9E65-3F8AE4FAAAE0}" destId="{295BEF61-94D4-403B-AEAC-359DCF9956AE}" srcOrd="0" destOrd="0" presId="urn:microsoft.com/office/officeart/2005/8/layout/orgChart1"/>
    <dgm:cxn modelId="{75E4481C-9ED2-4A74-9EB6-FEFA1D52D805}" type="presParOf" srcId="{295BEF61-94D4-403B-AEAC-359DCF9956AE}" destId="{AFF748C9-B917-453A-B80A-13F247BB607F}" srcOrd="0" destOrd="0" presId="urn:microsoft.com/office/officeart/2005/8/layout/orgChart1"/>
    <dgm:cxn modelId="{8D516A5B-6E8B-4B2C-9F6B-49EA21C51AFB}" type="presParOf" srcId="{295BEF61-94D4-403B-AEAC-359DCF9956AE}" destId="{F39E626E-F45F-46AF-84BF-7368C3F13558}" srcOrd="1" destOrd="0" presId="urn:microsoft.com/office/officeart/2005/8/layout/orgChart1"/>
    <dgm:cxn modelId="{87DD00A6-8278-4B86-9511-8A09D962D3B3}" type="presParOf" srcId="{DC581742-896A-47FC-9E65-3F8AE4FAAAE0}" destId="{70C865DA-C6B1-4595-9D36-5690B2F7FB6F}" srcOrd="1" destOrd="0" presId="urn:microsoft.com/office/officeart/2005/8/layout/orgChart1"/>
    <dgm:cxn modelId="{CAEB2C74-9AB9-4CA2-9859-663E6BBE72D1}" type="presParOf" srcId="{DC581742-896A-47FC-9E65-3F8AE4FAAAE0}" destId="{694AC224-116C-4E45-81AE-1B2943E9976E}" srcOrd="2" destOrd="0" presId="urn:microsoft.com/office/officeart/2005/8/layout/orgChart1"/>
    <dgm:cxn modelId="{1A7DC890-D880-401D-B1CC-16E755961DEC}" type="presParOf" srcId="{85135D4A-A337-4133-A811-03E4DB248AF2}" destId="{69E1E3FE-E7D0-47A2-BC6B-04218C33301D}" srcOrd="2" destOrd="0" presId="urn:microsoft.com/office/officeart/2005/8/layout/orgChart1"/>
    <dgm:cxn modelId="{1A8FFA8E-3185-4366-B699-C10B03935412}" type="presParOf" srcId="{BC36EEA3-5C70-4D85-8B2B-078508B51AE4}" destId="{89AAC9F8-2CED-4973-939E-7251489BF65C}" srcOrd="4" destOrd="0" presId="urn:microsoft.com/office/officeart/2005/8/layout/orgChart1"/>
    <dgm:cxn modelId="{6716D78D-E041-43E8-89CD-7245B2393F50}" type="presParOf" srcId="{BC36EEA3-5C70-4D85-8B2B-078508B51AE4}" destId="{CD08275D-9FD0-4AC9-B7CC-D89F6465FC7B}" srcOrd="5" destOrd="0" presId="urn:microsoft.com/office/officeart/2005/8/layout/orgChart1"/>
    <dgm:cxn modelId="{4D564C88-0670-4029-B8DC-F9E762E9E493}" type="presParOf" srcId="{CD08275D-9FD0-4AC9-B7CC-D89F6465FC7B}" destId="{97AACE73-627D-41B4-B7C1-F65E62269191}" srcOrd="0" destOrd="0" presId="urn:microsoft.com/office/officeart/2005/8/layout/orgChart1"/>
    <dgm:cxn modelId="{8C84FE21-6ECF-45A8-9C37-6A9A4712334B}" type="presParOf" srcId="{97AACE73-627D-41B4-B7C1-F65E62269191}" destId="{00969E47-5274-4328-A8E6-F1F42E090D26}" srcOrd="0" destOrd="0" presId="urn:microsoft.com/office/officeart/2005/8/layout/orgChart1"/>
    <dgm:cxn modelId="{DE756DAB-4F5F-438E-BB3C-A155B272F0D4}" type="presParOf" srcId="{97AACE73-627D-41B4-B7C1-F65E62269191}" destId="{A0409CA9-6959-4821-B589-800EE29D0062}" srcOrd="1" destOrd="0" presId="urn:microsoft.com/office/officeart/2005/8/layout/orgChart1"/>
    <dgm:cxn modelId="{F86C972B-BCE5-4806-9527-D32E2A752A45}" type="presParOf" srcId="{CD08275D-9FD0-4AC9-B7CC-D89F6465FC7B}" destId="{6ECCC965-3A6A-42F4-8663-BC6A4F7D2CD0}" srcOrd="1" destOrd="0" presId="urn:microsoft.com/office/officeart/2005/8/layout/orgChart1"/>
    <dgm:cxn modelId="{4A7DF38F-6B13-4821-8FB4-403082862D5F}" type="presParOf" srcId="{6ECCC965-3A6A-42F4-8663-BC6A4F7D2CD0}" destId="{F5BC8B4A-BA21-4A23-ABD7-FDD14C72D6E9}" srcOrd="0" destOrd="0" presId="urn:microsoft.com/office/officeart/2005/8/layout/orgChart1"/>
    <dgm:cxn modelId="{B94E453C-C88E-4979-9085-C86A736D443C}" type="presParOf" srcId="{6ECCC965-3A6A-42F4-8663-BC6A4F7D2CD0}" destId="{102C20C5-B6A8-49EB-BACF-2E8758E326BF}" srcOrd="1" destOrd="0" presId="urn:microsoft.com/office/officeart/2005/8/layout/orgChart1"/>
    <dgm:cxn modelId="{52B8CA9E-E384-44A5-8F39-FB3D5FA517DE}" type="presParOf" srcId="{102C20C5-B6A8-49EB-BACF-2E8758E326BF}" destId="{958A985D-D8C0-4AF3-8C87-78D5867BD2D1}" srcOrd="0" destOrd="0" presId="urn:microsoft.com/office/officeart/2005/8/layout/orgChart1"/>
    <dgm:cxn modelId="{807079A7-1183-4780-8805-DAA5EACC364D}" type="presParOf" srcId="{958A985D-D8C0-4AF3-8C87-78D5867BD2D1}" destId="{D708E720-8D60-4D80-818D-68852D79C14F}" srcOrd="0" destOrd="0" presId="urn:microsoft.com/office/officeart/2005/8/layout/orgChart1"/>
    <dgm:cxn modelId="{680121A7-2258-4C2D-A4BE-38E552FD447A}" type="presParOf" srcId="{958A985D-D8C0-4AF3-8C87-78D5867BD2D1}" destId="{BC90E899-1F69-4F37-9DDB-24DFD5CAC962}" srcOrd="1" destOrd="0" presId="urn:microsoft.com/office/officeart/2005/8/layout/orgChart1"/>
    <dgm:cxn modelId="{3886F762-1E11-4B2B-AA7F-478BDDFA726F}" type="presParOf" srcId="{102C20C5-B6A8-49EB-BACF-2E8758E326BF}" destId="{59DC00F1-A2B0-4445-9B75-731A21DC6651}" srcOrd="1" destOrd="0" presId="urn:microsoft.com/office/officeart/2005/8/layout/orgChart1"/>
    <dgm:cxn modelId="{857BE07D-B2CF-4424-AD35-E8D0008AE35E}" type="presParOf" srcId="{102C20C5-B6A8-49EB-BACF-2E8758E326BF}" destId="{6C6B6AA9-C553-4488-A912-7E4943100FB6}" srcOrd="2" destOrd="0" presId="urn:microsoft.com/office/officeart/2005/8/layout/orgChart1"/>
    <dgm:cxn modelId="{F69105E4-C64C-4FC9-82AE-85601C570F36}" type="presParOf" srcId="{CD08275D-9FD0-4AC9-B7CC-D89F6465FC7B}" destId="{9EC0C7EF-33A9-46E4-9E70-22EEEE8C6F6F}" srcOrd="2" destOrd="0" presId="urn:microsoft.com/office/officeart/2005/8/layout/orgChart1"/>
    <dgm:cxn modelId="{B79BD4BA-B014-4C78-A221-ADD34BBBA687}" type="presParOf" srcId="{00FB8439-C817-4CCC-975D-2F79E3CD3803}" destId="{DF90F508-5A24-46BA-AC7D-759F36734E88}" srcOrd="2" destOrd="0" presId="urn:microsoft.com/office/officeart/2005/8/layout/orgChart1"/>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CF8CE1E-0E6F-44F6-826F-8AE69878C387}" type="doc">
      <dgm:prSet loTypeId="urn:microsoft.com/office/officeart/2005/8/layout/hierarchy1" loCatId="hierarchy" qsTypeId="urn:microsoft.com/office/officeart/2005/8/quickstyle/3d4" qsCatId="3D" csTypeId="urn:microsoft.com/office/officeart/2005/8/colors/accent6_2" csCatId="accent6" phldr="1"/>
      <dgm:spPr/>
      <dgm:t>
        <a:bodyPr/>
        <a:lstStyle/>
        <a:p>
          <a:endParaRPr lang="en-US"/>
        </a:p>
      </dgm:t>
    </dgm:pt>
    <dgm:pt modelId="{5BB0D847-67B4-473A-88CA-48C5587F87D0}">
      <dgm:prSet phldrT="[Text]" custT="1"/>
      <dgm:spPr/>
      <dgm:t>
        <a:bodyPr/>
        <a:lstStyle/>
        <a:p>
          <a:r>
            <a:rPr lang="lv-LV" sz="1300" b="1">
              <a:solidFill>
                <a:sysClr val="windowText" lastClr="000000"/>
              </a:solidFill>
              <a:latin typeface="Times New Roman" panose="02020603050405020304" pitchFamily="18" charset="0"/>
              <a:cs typeface="Times New Roman" panose="02020603050405020304" pitchFamily="18" charset="0"/>
            </a:rPr>
            <a:t>Papildu onkoloģijai</a:t>
          </a:r>
        </a:p>
        <a:p>
          <a:r>
            <a:rPr lang="lv-LV" sz="1400" b="1">
              <a:solidFill>
                <a:srgbClr val="C00000"/>
              </a:solidFill>
              <a:latin typeface="Times New Roman" panose="02020603050405020304" pitchFamily="18" charset="0"/>
              <a:cs typeface="Times New Roman" panose="02020603050405020304" pitchFamily="18" charset="0"/>
            </a:rPr>
            <a:t>4,0 milj. </a:t>
          </a:r>
          <a:r>
            <a:rPr lang="lv-LV" sz="1400" b="1" i="1">
              <a:solidFill>
                <a:srgbClr val="C00000"/>
              </a:solidFill>
              <a:latin typeface="Times New Roman" panose="02020603050405020304" pitchFamily="18" charset="0"/>
              <a:cs typeface="Times New Roman" panose="02020603050405020304" pitchFamily="18" charset="0"/>
            </a:rPr>
            <a:t>euro</a:t>
          </a:r>
          <a:endParaRPr lang="en-US" sz="1400">
            <a:solidFill>
              <a:srgbClr val="C00000"/>
            </a:solidFill>
            <a:latin typeface="Times New Roman" panose="02020603050405020304" pitchFamily="18" charset="0"/>
            <a:cs typeface="Times New Roman" panose="02020603050405020304" pitchFamily="18" charset="0"/>
          </a:endParaRPr>
        </a:p>
      </dgm:t>
    </dgm:pt>
    <dgm:pt modelId="{40356D5F-4EA5-4BE0-94B2-1C8C5C39125A}" type="parTrans" cxnId="{264FEA23-21A0-4590-A5D4-75DD3A257B92}">
      <dgm:prSet/>
      <dgm:spPr/>
      <dgm:t>
        <a:bodyPr/>
        <a:lstStyle/>
        <a:p>
          <a:endParaRPr lang="en-US">
            <a:latin typeface="Times New Roman" panose="02020603050405020304" pitchFamily="18" charset="0"/>
            <a:cs typeface="Times New Roman" panose="02020603050405020304" pitchFamily="18" charset="0"/>
          </a:endParaRPr>
        </a:p>
      </dgm:t>
    </dgm:pt>
    <dgm:pt modelId="{A12A0F00-8091-4A4B-A29B-281F18904B21}" type="sibTrans" cxnId="{264FEA23-21A0-4590-A5D4-75DD3A257B92}">
      <dgm:prSet/>
      <dgm:spPr/>
      <dgm:t>
        <a:bodyPr/>
        <a:lstStyle/>
        <a:p>
          <a:endParaRPr lang="en-US">
            <a:latin typeface="Times New Roman" panose="02020603050405020304" pitchFamily="18" charset="0"/>
            <a:cs typeface="Times New Roman" panose="02020603050405020304" pitchFamily="18" charset="0"/>
          </a:endParaRPr>
        </a:p>
      </dgm:t>
    </dgm:pt>
    <dgm:pt modelId="{A078BA8E-F734-4E4A-8C38-6940DB81B441}">
      <dgm:prSet phldrT="[Text]" custT="1"/>
      <dgm:spPr/>
      <dgm:t>
        <a:bodyPr/>
        <a:lstStyle/>
        <a:p>
          <a:r>
            <a:rPr lang="lv-LV" sz="1600" b="1">
              <a:solidFill>
                <a:srgbClr val="C00000"/>
              </a:solidFill>
              <a:latin typeface="Times New Roman" panose="02020603050405020304" pitchFamily="18" charset="0"/>
              <a:cs typeface="Times New Roman" panose="02020603050405020304" pitchFamily="18" charset="0"/>
            </a:rPr>
            <a:t>+ 6 285</a:t>
          </a:r>
        </a:p>
        <a:p>
          <a:r>
            <a:rPr lang="lv-LV" sz="1200">
              <a:latin typeface="Times New Roman" panose="02020603050405020304" pitchFamily="18" charset="0"/>
              <a:cs typeface="Times New Roman" panose="02020603050405020304" pitchFamily="18" charset="0"/>
            </a:rPr>
            <a:t>Pacientiem nodrošināti diagnostiskie izmeklējumi onkoloģijā sekundārajā ambulatorajā veselības aprūpē</a:t>
          </a:r>
          <a:endParaRPr lang="en-US" sz="1200">
            <a:latin typeface="Times New Roman" panose="02020603050405020304" pitchFamily="18" charset="0"/>
            <a:cs typeface="Times New Roman" panose="02020603050405020304" pitchFamily="18" charset="0"/>
          </a:endParaRPr>
        </a:p>
      </dgm:t>
    </dgm:pt>
    <dgm:pt modelId="{E29349C6-A411-401D-A558-5526554FEFFF}" type="parTrans" cxnId="{CB244487-DAA7-4154-9429-61748F988873}">
      <dgm:prSet/>
      <dgm:spPr/>
      <dgm:t>
        <a:bodyPr/>
        <a:lstStyle/>
        <a:p>
          <a:endParaRPr lang="en-US">
            <a:latin typeface="Times New Roman" panose="02020603050405020304" pitchFamily="18" charset="0"/>
            <a:cs typeface="Times New Roman" panose="02020603050405020304" pitchFamily="18" charset="0"/>
          </a:endParaRPr>
        </a:p>
      </dgm:t>
    </dgm:pt>
    <dgm:pt modelId="{0CCA4418-EB23-4E8E-B3F4-1F9482578680}" type="sibTrans" cxnId="{CB244487-DAA7-4154-9429-61748F988873}">
      <dgm:prSet/>
      <dgm:spPr/>
      <dgm:t>
        <a:bodyPr/>
        <a:lstStyle/>
        <a:p>
          <a:endParaRPr lang="en-US">
            <a:latin typeface="Times New Roman" panose="02020603050405020304" pitchFamily="18" charset="0"/>
            <a:cs typeface="Times New Roman" panose="02020603050405020304" pitchFamily="18" charset="0"/>
          </a:endParaRPr>
        </a:p>
      </dgm:t>
    </dgm:pt>
    <dgm:pt modelId="{F59C7203-9FBE-46D9-9524-67CA03C25C14}">
      <dgm:prSet phldrT="[Text]" custT="1"/>
      <dgm:spPr/>
      <dgm:t>
        <a:bodyPr/>
        <a:lstStyle/>
        <a:p>
          <a:r>
            <a:rPr lang="lv-LV" sz="1600" b="1">
              <a:solidFill>
                <a:srgbClr val="C00000"/>
              </a:solidFill>
              <a:latin typeface="Times New Roman" panose="02020603050405020304" pitchFamily="18" charset="0"/>
              <a:cs typeface="Times New Roman" panose="02020603050405020304" pitchFamily="18" charset="0"/>
            </a:rPr>
            <a:t>+ 2 172</a:t>
          </a:r>
        </a:p>
        <a:p>
          <a:r>
            <a:rPr lang="lv-LV" sz="1200">
              <a:latin typeface="Times New Roman" panose="02020603050405020304" pitchFamily="18" charset="0"/>
              <a:cs typeface="Times New Roman" panose="02020603050405020304" pitchFamily="18" charset="0"/>
            </a:rPr>
            <a:t>No jauna atklāti onkoloģiskie pacienti nodrošināti ar valsts kompensējamiem medikamentiem ambulatorai ārstēšanai</a:t>
          </a:r>
          <a:endParaRPr lang="en-US" sz="1200">
            <a:latin typeface="Times New Roman" panose="02020603050405020304" pitchFamily="18" charset="0"/>
            <a:cs typeface="Times New Roman" panose="02020603050405020304" pitchFamily="18" charset="0"/>
          </a:endParaRPr>
        </a:p>
      </dgm:t>
    </dgm:pt>
    <dgm:pt modelId="{08D1C252-2FA6-46EA-A806-7D1BC4107947}" type="parTrans" cxnId="{A7909265-5F0E-4657-B1D3-2CFBB879AE65}">
      <dgm:prSet/>
      <dgm:spPr/>
      <dgm:t>
        <a:bodyPr/>
        <a:lstStyle/>
        <a:p>
          <a:endParaRPr lang="en-US">
            <a:latin typeface="Times New Roman" panose="02020603050405020304" pitchFamily="18" charset="0"/>
            <a:cs typeface="Times New Roman" panose="02020603050405020304" pitchFamily="18" charset="0"/>
          </a:endParaRPr>
        </a:p>
      </dgm:t>
    </dgm:pt>
    <dgm:pt modelId="{0BD7CD3D-31B6-4E62-B87F-583938AAC2DF}" type="sibTrans" cxnId="{A7909265-5F0E-4657-B1D3-2CFBB879AE65}">
      <dgm:prSet/>
      <dgm:spPr/>
      <dgm:t>
        <a:bodyPr/>
        <a:lstStyle/>
        <a:p>
          <a:endParaRPr lang="en-US">
            <a:latin typeface="Times New Roman" panose="02020603050405020304" pitchFamily="18" charset="0"/>
            <a:cs typeface="Times New Roman" panose="02020603050405020304" pitchFamily="18" charset="0"/>
          </a:endParaRPr>
        </a:p>
      </dgm:t>
    </dgm:pt>
    <dgm:pt modelId="{987F5D0B-BE4C-4810-A953-CDB9D630EEA7}">
      <dgm:prSet phldrT="[Text]" custT="1"/>
      <dgm:spPr/>
      <dgm:t>
        <a:bodyPr/>
        <a:lstStyle/>
        <a:p>
          <a:pPr algn="ctr"/>
          <a:r>
            <a:rPr lang="lv-LV" sz="1600" b="1">
              <a:solidFill>
                <a:srgbClr val="C00000"/>
              </a:solidFill>
              <a:latin typeface="Times New Roman" panose="02020603050405020304" pitchFamily="18" charset="0"/>
              <a:cs typeface="Times New Roman" panose="02020603050405020304" pitchFamily="18" charset="0"/>
            </a:rPr>
            <a:t>+1 399</a:t>
          </a:r>
        </a:p>
        <a:p>
          <a:pPr algn="ctr"/>
          <a:r>
            <a:rPr lang="lv-LV" sz="1200">
              <a:latin typeface="Times New Roman" panose="02020603050405020304" pitchFamily="18" charset="0"/>
              <a:cs typeface="Times New Roman" panose="02020603050405020304" pitchFamily="18" charset="0"/>
            </a:rPr>
            <a:t>Stacionārā ārstēti onkoloģiskie pacienti</a:t>
          </a:r>
          <a:endParaRPr lang="en-US" sz="1200">
            <a:latin typeface="Times New Roman" panose="02020603050405020304" pitchFamily="18" charset="0"/>
            <a:cs typeface="Times New Roman" panose="02020603050405020304" pitchFamily="18" charset="0"/>
          </a:endParaRPr>
        </a:p>
      </dgm:t>
    </dgm:pt>
    <dgm:pt modelId="{E4D3092D-4D2C-43E8-BBD3-D08F578E2C14}" type="parTrans" cxnId="{71E87B83-42C9-47AD-9769-8D80EB5259E6}">
      <dgm:prSet/>
      <dgm:spPr/>
      <dgm:t>
        <a:bodyPr/>
        <a:lstStyle/>
        <a:p>
          <a:endParaRPr lang="en-US">
            <a:latin typeface="Times New Roman" panose="02020603050405020304" pitchFamily="18" charset="0"/>
            <a:cs typeface="Times New Roman" panose="02020603050405020304" pitchFamily="18" charset="0"/>
          </a:endParaRPr>
        </a:p>
      </dgm:t>
    </dgm:pt>
    <dgm:pt modelId="{EEE35CDE-DA99-4917-86DE-16846C5D0D68}" type="sibTrans" cxnId="{71E87B83-42C9-47AD-9769-8D80EB5259E6}">
      <dgm:prSet/>
      <dgm:spPr/>
      <dgm:t>
        <a:bodyPr/>
        <a:lstStyle/>
        <a:p>
          <a:endParaRPr lang="en-US">
            <a:latin typeface="Times New Roman" panose="02020603050405020304" pitchFamily="18" charset="0"/>
            <a:cs typeface="Times New Roman" panose="02020603050405020304" pitchFamily="18" charset="0"/>
          </a:endParaRPr>
        </a:p>
      </dgm:t>
    </dgm:pt>
    <dgm:pt modelId="{27B797AE-E884-402E-ADC8-02ADBE82A0C8}" type="pres">
      <dgm:prSet presAssocID="{ECF8CE1E-0E6F-44F6-826F-8AE69878C387}" presName="hierChild1" presStyleCnt="0">
        <dgm:presLayoutVars>
          <dgm:chPref val="1"/>
          <dgm:dir/>
          <dgm:animOne val="branch"/>
          <dgm:animLvl val="lvl"/>
          <dgm:resizeHandles/>
        </dgm:presLayoutVars>
      </dgm:prSet>
      <dgm:spPr/>
      <dgm:t>
        <a:bodyPr/>
        <a:lstStyle/>
        <a:p>
          <a:endParaRPr lang="en-US"/>
        </a:p>
      </dgm:t>
    </dgm:pt>
    <dgm:pt modelId="{FCFB08EF-DC4D-489E-B643-C18EDAC6EB33}" type="pres">
      <dgm:prSet presAssocID="{5BB0D847-67B4-473A-88CA-48C5587F87D0}" presName="hierRoot1" presStyleCnt="0"/>
      <dgm:spPr/>
    </dgm:pt>
    <dgm:pt modelId="{6DE62958-60DB-45B9-9EBC-3164C6BAA23A}" type="pres">
      <dgm:prSet presAssocID="{5BB0D847-67B4-473A-88CA-48C5587F87D0}" presName="composite" presStyleCnt="0"/>
      <dgm:spPr/>
    </dgm:pt>
    <dgm:pt modelId="{E6C7DB8D-3BEE-49E0-878A-1A3AC7851EE5}" type="pres">
      <dgm:prSet presAssocID="{5BB0D847-67B4-473A-88CA-48C5587F87D0}" presName="background" presStyleLbl="node0" presStyleIdx="0" presStyleCnt="1"/>
      <dgm:spPr/>
    </dgm:pt>
    <dgm:pt modelId="{6E416048-BA14-40A6-97CF-69729DF0981C}" type="pres">
      <dgm:prSet presAssocID="{5BB0D847-67B4-473A-88CA-48C5587F87D0}" presName="text" presStyleLbl="fgAcc0" presStyleIdx="0" presStyleCnt="1">
        <dgm:presLayoutVars>
          <dgm:chPref val="3"/>
        </dgm:presLayoutVars>
      </dgm:prSet>
      <dgm:spPr/>
      <dgm:t>
        <a:bodyPr/>
        <a:lstStyle/>
        <a:p>
          <a:endParaRPr lang="en-US"/>
        </a:p>
      </dgm:t>
    </dgm:pt>
    <dgm:pt modelId="{BEC622F6-F163-48F4-BCB0-4F48AC5186B9}" type="pres">
      <dgm:prSet presAssocID="{5BB0D847-67B4-473A-88CA-48C5587F87D0}" presName="hierChild2" presStyleCnt="0"/>
      <dgm:spPr/>
    </dgm:pt>
    <dgm:pt modelId="{B7171643-D471-47B4-87D4-192E41A5596B}" type="pres">
      <dgm:prSet presAssocID="{E29349C6-A411-401D-A558-5526554FEFFF}" presName="Name10" presStyleLbl="parChTrans1D2" presStyleIdx="0" presStyleCnt="3"/>
      <dgm:spPr/>
      <dgm:t>
        <a:bodyPr/>
        <a:lstStyle/>
        <a:p>
          <a:endParaRPr lang="en-US"/>
        </a:p>
      </dgm:t>
    </dgm:pt>
    <dgm:pt modelId="{B565021E-84AF-4423-A547-21564FCE12AB}" type="pres">
      <dgm:prSet presAssocID="{A078BA8E-F734-4E4A-8C38-6940DB81B441}" presName="hierRoot2" presStyleCnt="0"/>
      <dgm:spPr/>
    </dgm:pt>
    <dgm:pt modelId="{8577FDD5-413E-41A9-9BE7-9F0D67CFB581}" type="pres">
      <dgm:prSet presAssocID="{A078BA8E-F734-4E4A-8C38-6940DB81B441}" presName="composite2" presStyleCnt="0"/>
      <dgm:spPr/>
    </dgm:pt>
    <dgm:pt modelId="{4A33D6CF-34B3-47C6-A347-AD1FB470BE44}" type="pres">
      <dgm:prSet presAssocID="{A078BA8E-F734-4E4A-8C38-6940DB81B441}" presName="background2" presStyleLbl="node2" presStyleIdx="0" presStyleCnt="3"/>
      <dgm:spPr/>
    </dgm:pt>
    <dgm:pt modelId="{F972EDF6-0C87-4EB0-B5BD-07A5D7702D52}" type="pres">
      <dgm:prSet presAssocID="{A078BA8E-F734-4E4A-8C38-6940DB81B441}" presName="text2" presStyleLbl="fgAcc2" presStyleIdx="0" presStyleCnt="3" custScaleX="112827" custScaleY="149443">
        <dgm:presLayoutVars>
          <dgm:chPref val="3"/>
        </dgm:presLayoutVars>
      </dgm:prSet>
      <dgm:spPr/>
      <dgm:t>
        <a:bodyPr/>
        <a:lstStyle/>
        <a:p>
          <a:endParaRPr lang="en-US"/>
        </a:p>
      </dgm:t>
    </dgm:pt>
    <dgm:pt modelId="{6F54A0C0-40D3-4E10-82D5-E90C73342AD9}" type="pres">
      <dgm:prSet presAssocID="{A078BA8E-F734-4E4A-8C38-6940DB81B441}" presName="hierChild3" presStyleCnt="0"/>
      <dgm:spPr/>
    </dgm:pt>
    <dgm:pt modelId="{F7A1CB6C-9CF9-4266-AA07-E7D330CC42C7}" type="pres">
      <dgm:prSet presAssocID="{E4D3092D-4D2C-43E8-BBD3-D08F578E2C14}" presName="Name10" presStyleLbl="parChTrans1D2" presStyleIdx="1" presStyleCnt="3"/>
      <dgm:spPr/>
      <dgm:t>
        <a:bodyPr/>
        <a:lstStyle/>
        <a:p>
          <a:endParaRPr lang="en-US"/>
        </a:p>
      </dgm:t>
    </dgm:pt>
    <dgm:pt modelId="{868D16B3-8518-42E0-93DE-6DCE90D54C8E}" type="pres">
      <dgm:prSet presAssocID="{987F5D0B-BE4C-4810-A953-CDB9D630EEA7}" presName="hierRoot2" presStyleCnt="0"/>
      <dgm:spPr/>
    </dgm:pt>
    <dgm:pt modelId="{92569829-3DF3-4F95-8520-09C22B87D27B}" type="pres">
      <dgm:prSet presAssocID="{987F5D0B-BE4C-4810-A953-CDB9D630EEA7}" presName="composite2" presStyleCnt="0"/>
      <dgm:spPr/>
    </dgm:pt>
    <dgm:pt modelId="{24F748F1-A1D1-463F-90E7-4E63A5D05763}" type="pres">
      <dgm:prSet presAssocID="{987F5D0B-BE4C-4810-A953-CDB9D630EEA7}" presName="background2" presStyleLbl="node2" presStyleIdx="1" presStyleCnt="3"/>
      <dgm:spPr/>
    </dgm:pt>
    <dgm:pt modelId="{E7D14535-DC88-4FAB-99B4-61740D793CA3}" type="pres">
      <dgm:prSet presAssocID="{987F5D0B-BE4C-4810-A953-CDB9D630EEA7}" presName="text2" presStyleLbl="fgAcc2" presStyleIdx="1" presStyleCnt="3" custScaleY="141536">
        <dgm:presLayoutVars>
          <dgm:chPref val="3"/>
        </dgm:presLayoutVars>
      </dgm:prSet>
      <dgm:spPr/>
      <dgm:t>
        <a:bodyPr/>
        <a:lstStyle/>
        <a:p>
          <a:endParaRPr lang="en-US"/>
        </a:p>
      </dgm:t>
    </dgm:pt>
    <dgm:pt modelId="{CD6FDDA3-A6E9-4CEB-9B00-EC45B58B4FDF}" type="pres">
      <dgm:prSet presAssocID="{987F5D0B-BE4C-4810-A953-CDB9D630EEA7}" presName="hierChild3" presStyleCnt="0"/>
      <dgm:spPr/>
    </dgm:pt>
    <dgm:pt modelId="{7FF19F0D-E2C1-4991-BD78-BA3C604D8039}" type="pres">
      <dgm:prSet presAssocID="{08D1C252-2FA6-46EA-A806-7D1BC4107947}" presName="Name10" presStyleLbl="parChTrans1D2" presStyleIdx="2" presStyleCnt="3"/>
      <dgm:spPr/>
      <dgm:t>
        <a:bodyPr/>
        <a:lstStyle/>
        <a:p>
          <a:endParaRPr lang="en-US"/>
        </a:p>
      </dgm:t>
    </dgm:pt>
    <dgm:pt modelId="{DB727C81-C156-47F5-A8FE-F5A8EC831234}" type="pres">
      <dgm:prSet presAssocID="{F59C7203-9FBE-46D9-9524-67CA03C25C14}" presName="hierRoot2" presStyleCnt="0"/>
      <dgm:spPr/>
    </dgm:pt>
    <dgm:pt modelId="{1F445D30-0233-41CF-B885-62A3AA7A4684}" type="pres">
      <dgm:prSet presAssocID="{F59C7203-9FBE-46D9-9524-67CA03C25C14}" presName="composite2" presStyleCnt="0"/>
      <dgm:spPr/>
    </dgm:pt>
    <dgm:pt modelId="{45B2833F-E1BB-4E4A-B65B-98F953DA3B0D}" type="pres">
      <dgm:prSet presAssocID="{F59C7203-9FBE-46D9-9524-67CA03C25C14}" presName="background2" presStyleLbl="node2" presStyleIdx="2" presStyleCnt="3"/>
      <dgm:spPr/>
    </dgm:pt>
    <dgm:pt modelId="{B260096B-653B-4E3C-9758-8128F4BC5E16}" type="pres">
      <dgm:prSet presAssocID="{F59C7203-9FBE-46D9-9524-67CA03C25C14}" presName="text2" presStyleLbl="fgAcc2" presStyleIdx="2" presStyleCnt="3" custScaleX="109718" custScaleY="147038">
        <dgm:presLayoutVars>
          <dgm:chPref val="3"/>
        </dgm:presLayoutVars>
      </dgm:prSet>
      <dgm:spPr/>
      <dgm:t>
        <a:bodyPr/>
        <a:lstStyle/>
        <a:p>
          <a:endParaRPr lang="en-US"/>
        </a:p>
      </dgm:t>
    </dgm:pt>
    <dgm:pt modelId="{3A4ED5CD-9753-408B-89CC-115B20D7920A}" type="pres">
      <dgm:prSet presAssocID="{F59C7203-9FBE-46D9-9524-67CA03C25C14}" presName="hierChild3" presStyleCnt="0"/>
      <dgm:spPr/>
    </dgm:pt>
  </dgm:ptLst>
  <dgm:cxnLst>
    <dgm:cxn modelId="{C00543F8-1A5D-4267-B78E-47E250F90F2C}" type="presOf" srcId="{F59C7203-9FBE-46D9-9524-67CA03C25C14}" destId="{B260096B-653B-4E3C-9758-8128F4BC5E16}" srcOrd="0" destOrd="0" presId="urn:microsoft.com/office/officeart/2005/8/layout/hierarchy1"/>
    <dgm:cxn modelId="{A7909265-5F0E-4657-B1D3-2CFBB879AE65}" srcId="{5BB0D847-67B4-473A-88CA-48C5587F87D0}" destId="{F59C7203-9FBE-46D9-9524-67CA03C25C14}" srcOrd="2" destOrd="0" parTransId="{08D1C252-2FA6-46EA-A806-7D1BC4107947}" sibTransId="{0BD7CD3D-31B6-4E62-B87F-583938AAC2DF}"/>
    <dgm:cxn modelId="{884F72EF-DAA1-4974-BEA9-DB0078391712}" type="presOf" srcId="{E29349C6-A411-401D-A558-5526554FEFFF}" destId="{B7171643-D471-47B4-87D4-192E41A5596B}" srcOrd="0" destOrd="0" presId="urn:microsoft.com/office/officeart/2005/8/layout/hierarchy1"/>
    <dgm:cxn modelId="{FA8D5E82-2EDA-4DE7-9249-905860E7F1D7}" type="presOf" srcId="{A078BA8E-F734-4E4A-8C38-6940DB81B441}" destId="{F972EDF6-0C87-4EB0-B5BD-07A5D7702D52}" srcOrd="0" destOrd="0" presId="urn:microsoft.com/office/officeart/2005/8/layout/hierarchy1"/>
    <dgm:cxn modelId="{D0C86C0B-8D89-4A51-97F3-24C223337F5E}" type="presOf" srcId="{E4D3092D-4D2C-43E8-BBD3-D08F578E2C14}" destId="{F7A1CB6C-9CF9-4266-AA07-E7D330CC42C7}" srcOrd="0" destOrd="0" presId="urn:microsoft.com/office/officeart/2005/8/layout/hierarchy1"/>
    <dgm:cxn modelId="{665C0C38-4E51-4873-B19A-2F49EF4D29E9}" type="presOf" srcId="{ECF8CE1E-0E6F-44F6-826F-8AE69878C387}" destId="{27B797AE-E884-402E-ADC8-02ADBE82A0C8}" srcOrd="0" destOrd="0" presId="urn:microsoft.com/office/officeart/2005/8/layout/hierarchy1"/>
    <dgm:cxn modelId="{C533D5C0-3813-4491-9497-92EE1D4407F5}" type="presOf" srcId="{987F5D0B-BE4C-4810-A953-CDB9D630EEA7}" destId="{E7D14535-DC88-4FAB-99B4-61740D793CA3}" srcOrd="0" destOrd="0" presId="urn:microsoft.com/office/officeart/2005/8/layout/hierarchy1"/>
    <dgm:cxn modelId="{CB244487-DAA7-4154-9429-61748F988873}" srcId="{5BB0D847-67B4-473A-88CA-48C5587F87D0}" destId="{A078BA8E-F734-4E4A-8C38-6940DB81B441}" srcOrd="0" destOrd="0" parTransId="{E29349C6-A411-401D-A558-5526554FEFFF}" sibTransId="{0CCA4418-EB23-4E8E-B3F4-1F9482578680}"/>
    <dgm:cxn modelId="{73A51851-C4FD-4AE0-AEFD-B7DCA2B85329}" type="presOf" srcId="{5BB0D847-67B4-473A-88CA-48C5587F87D0}" destId="{6E416048-BA14-40A6-97CF-69729DF0981C}" srcOrd="0" destOrd="0" presId="urn:microsoft.com/office/officeart/2005/8/layout/hierarchy1"/>
    <dgm:cxn modelId="{71E87B83-42C9-47AD-9769-8D80EB5259E6}" srcId="{5BB0D847-67B4-473A-88CA-48C5587F87D0}" destId="{987F5D0B-BE4C-4810-A953-CDB9D630EEA7}" srcOrd="1" destOrd="0" parTransId="{E4D3092D-4D2C-43E8-BBD3-D08F578E2C14}" sibTransId="{EEE35CDE-DA99-4917-86DE-16846C5D0D68}"/>
    <dgm:cxn modelId="{E002A282-CE50-4F0E-84A3-24CD41FE5FDD}" type="presOf" srcId="{08D1C252-2FA6-46EA-A806-7D1BC4107947}" destId="{7FF19F0D-E2C1-4991-BD78-BA3C604D8039}" srcOrd="0" destOrd="0" presId="urn:microsoft.com/office/officeart/2005/8/layout/hierarchy1"/>
    <dgm:cxn modelId="{264FEA23-21A0-4590-A5D4-75DD3A257B92}" srcId="{ECF8CE1E-0E6F-44F6-826F-8AE69878C387}" destId="{5BB0D847-67B4-473A-88CA-48C5587F87D0}" srcOrd="0" destOrd="0" parTransId="{40356D5F-4EA5-4BE0-94B2-1C8C5C39125A}" sibTransId="{A12A0F00-8091-4A4B-A29B-281F18904B21}"/>
    <dgm:cxn modelId="{4FCA64F6-0324-4496-96F0-338F78C44299}" type="presParOf" srcId="{27B797AE-E884-402E-ADC8-02ADBE82A0C8}" destId="{FCFB08EF-DC4D-489E-B643-C18EDAC6EB33}" srcOrd="0" destOrd="0" presId="urn:microsoft.com/office/officeart/2005/8/layout/hierarchy1"/>
    <dgm:cxn modelId="{A13CB917-B0DE-4487-A54D-F0104957FCD1}" type="presParOf" srcId="{FCFB08EF-DC4D-489E-B643-C18EDAC6EB33}" destId="{6DE62958-60DB-45B9-9EBC-3164C6BAA23A}" srcOrd="0" destOrd="0" presId="urn:microsoft.com/office/officeart/2005/8/layout/hierarchy1"/>
    <dgm:cxn modelId="{58DEE6C7-76F2-4DC1-BCC3-FFCDE874073F}" type="presParOf" srcId="{6DE62958-60DB-45B9-9EBC-3164C6BAA23A}" destId="{E6C7DB8D-3BEE-49E0-878A-1A3AC7851EE5}" srcOrd="0" destOrd="0" presId="urn:microsoft.com/office/officeart/2005/8/layout/hierarchy1"/>
    <dgm:cxn modelId="{927F9CEB-CC5E-4261-8721-C31315311972}" type="presParOf" srcId="{6DE62958-60DB-45B9-9EBC-3164C6BAA23A}" destId="{6E416048-BA14-40A6-97CF-69729DF0981C}" srcOrd="1" destOrd="0" presId="urn:microsoft.com/office/officeart/2005/8/layout/hierarchy1"/>
    <dgm:cxn modelId="{2A5243E8-E1C9-4331-BC38-C0869AAB6D65}" type="presParOf" srcId="{FCFB08EF-DC4D-489E-B643-C18EDAC6EB33}" destId="{BEC622F6-F163-48F4-BCB0-4F48AC5186B9}" srcOrd="1" destOrd="0" presId="urn:microsoft.com/office/officeart/2005/8/layout/hierarchy1"/>
    <dgm:cxn modelId="{F0E40980-41AD-43D1-B230-F6B4F8AC2F86}" type="presParOf" srcId="{BEC622F6-F163-48F4-BCB0-4F48AC5186B9}" destId="{B7171643-D471-47B4-87D4-192E41A5596B}" srcOrd="0" destOrd="0" presId="urn:microsoft.com/office/officeart/2005/8/layout/hierarchy1"/>
    <dgm:cxn modelId="{D326526D-48ED-4569-8E42-39E88364AD51}" type="presParOf" srcId="{BEC622F6-F163-48F4-BCB0-4F48AC5186B9}" destId="{B565021E-84AF-4423-A547-21564FCE12AB}" srcOrd="1" destOrd="0" presId="urn:microsoft.com/office/officeart/2005/8/layout/hierarchy1"/>
    <dgm:cxn modelId="{BDA27946-CFDB-48ED-992A-9013EB512FE4}" type="presParOf" srcId="{B565021E-84AF-4423-A547-21564FCE12AB}" destId="{8577FDD5-413E-41A9-9BE7-9F0D67CFB581}" srcOrd="0" destOrd="0" presId="urn:microsoft.com/office/officeart/2005/8/layout/hierarchy1"/>
    <dgm:cxn modelId="{C7BF48D5-C641-4C08-A75C-615AE86D5EF3}" type="presParOf" srcId="{8577FDD5-413E-41A9-9BE7-9F0D67CFB581}" destId="{4A33D6CF-34B3-47C6-A347-AD1FB470BE44}" srcOrd="0" destOrd="0" presId="urn:microsoft.com/office/officeart/2005/8/layout/hierarchy1"/>
    <dgm:cxn modelId="{4EFB8540-1BDA-4300-9E17-0164DAEA376A}" type="presParOf" srcId="{8577FDD5-413E-41A9-9BE7-9F0D67CFB581}" destId="{F972EDF6-0C87-4EB0-B5BD-07A5D7702D52}" srcOrd="1" destOrd="0" presId="urn:microsoft.com/office/officeart/2005/8/layout/hierarchy1"/>
    <dgm:cxn modelId="{777D7D1A-8B30-4650-8DF5-4EC163C4540B}" type="presParOf" srcId="{B565021E-84AF-4423-A547-21564FCE12AB}" destId="{6F54A0C0-40D3-4E10-82D5-E90C73342AD9}" srcOrd="1" destOrd="0" presId="urn:microsoft.com/office/officeart/2005/8/layout/hierarchy1"/>
    <dgm:cxn modelId="{55E54356-D867-43D3-B1A2-7A64652A5655}" type="presParOf" srcId="{BEC622F6-F163-48F4-BCB0-4F48AC5186B9}" destId="{F7A1CB6C-9CF9-4266-AA07-E7D330CC42C7}" srcOrd="2" destOrd="0" presId="urn:microsoft.com/office/officeart/2005/8/layout/hierarchy1"/>
    <dgm:cxn modelId="{BBD372C6-0DDB-46D3-83D5-16DB3CF43E90}" type="presParOf" srcId="{BEC622F6-F163-48F4-BCB0-4F48AC5186B9}" destId="{868D16B3-8518-42E0-93DE-6DCE90D54C8E}" srcOrd="3" destOrd="0" presId="urn:microsoft.com/office/officeart/2005/8/layout/hierarchy1"/>
    <dgm:cxn modelId="{7C655F7D-82CA-4F6A-A18D-205122BA5542}" type="presParOf" srcId="{868D16B3-8518-42E0-93DE-6DCE90D54C8E}" destId="{92569829-3DF3-4F95-8520-09C22B87D27B}" srcOrd="0" destOrd="0" presId="urn:microsoft.com/office/officeart/2005/8/layout/hierarchy1"/>
    <dgm:cxn modelId="{02BE1B2C-84EE-4EDB-AB55-4096D93F9011}" type="presParOf" srcId="{92569829-3DF3-4F95-8520-09C22B87D27B}" destId="{24F748F1-A1D1-463F-90E7-4E63A5D05763}" srcOrd="0" destOrd="0" presId="urn:microsoft.com/office/officeart/2005/8/layout/hierarchy1"/>
    <dgm:cxn modelId="{18D32613-AF06-43EC-A772-0DFB101474E4}" type="presParOf" srcId="{92569829-3DF3-4F95-8520-09C22B87D27B}" destId="{E7D14535-DC88-4FAB-99B4-61740D793CA3}" srcOrd="1" destOrd="0" presId="urn:microsoft.com/office/officeart/2005/8/layout/hierarchy1"/>
    <dgm:cxn modelId="{5A04EE5A-2EE3-45D8-B42D-9AFE49ECF9D9}" type="presParOf" srcId="{868D16B3-8518-42E0-93DE-6DCE90D54C8E}" destId="{CD6FDDA3-A6E9-4CEB-9B00-EC45B58B4FDF}" srcOrd="1" destOrd="0" presId="urn:microsoft.com/office/officeart/2005/8/layout/hierarchy1"/>
    <dgm:cxn modelId="{E466464B-6B27-4C02-A540-4A55F344250A}" type="presParOf" srcId="{BEC622F6-F163-48F4-BCB0-4F48AC5186B9}" destId="{7FF19F0D-E2C1-4991-BD78-BA3C604D8039}" srcOrd="4" destOrd="0" presId="urn:microsoft.com/office/officeart/2005/8/layout/hierarchy1"/>
    <dgm:cxn modelId="{67D6E979-4168-467B-85B9-125D181E45A1}" type="presParOf" srcId="{BEC622F6-F163-48F4-BCB0-4F48AC5186B9}" destId="{DB727C81-C156-47F5-A8FE-F5A8EC831234}" srcOrd="5" destOrd="0" presId="urn:microsoft.com/office/officeart/2005/8/layout/hierarchy1"/>
    <dgm:cxn modelId="{6642D5B1-2F3A-489E-B0B9-EDBA8A99CF96}" type="presParOf" srcId="{DB727C81-C156-47F5-A8FE-F5A8EC831234}" destId="{1F445D30-0233-41CF-B885-62A3AA7A4684}" srcOrd="0" destOrd="0" presId="urn:microsoft.com/office/officeart/2005/8/layout/hierarchy1"/>
    <dgm:cxn modelId="{A02EEF77-3523-4E9C-B684-A1B74E92ED12}" type="presParOf" srcId="{1F445D30-0233-41CF-B885-62A3AA7A4684}" destId="{45B2833F-E1BB-4E4A-B65B-98F953DA3B0D}" srcOrd="0" destOrd="0" presId="urn:microsoft.com/office/officeart/2005/8/layout/hierarchy1"/>
    <dgm:cxn modelId="{1F9C54EB-A49E-4468-B3E7-BA8B8028BD84}" type="presParOf" srcId="{1F445D30-0233-41CF-B885-62A3AA7A4684}" destId="{B260096B-653B-4E3C-9758-8128F4BC5E16}" srcOrd="1" destOrd="0" presId="urn:microsoft.com/office/officeart/2005/8/layout/hierarchy1"/>
    <dgm:cxn modelId="{04AF579F-634D-4A0D-8473-A13A09C80BA5}" type="presParOf" srcId="{DB727C81-C156-47F5-A8FE-F5A8EC831234}" destId="{3A4ED5CD-9753-408B-89CC-115B20D7920A}" srcOrd="1" destOrd="0" presId="urn:microsoft.com/office/officeart/2005/8/layout/hierarchy1"/>
  </dgm:cxnLst>
  <dgm:bg/>
  <dgm:whole/>
  <dgm:extLst>
    <a:ext uri="http://schemas.microsoft.com/office/drawing/2008/diagram">
      <dsp:dataModelExt xmlns:dsp="http://schemas.microsoft.com/office/drawing/2008/diagram" relId="rId1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3FA939-09D1-4A53-B2B7-7AC862F9F36F}">
      <dsp:nvSpPr>
        <dsp:cNvPr id="0" name=""/>
        <dsp:cNvSpPr/>
      </dsp:nvSpPr>
      <dsp:spPr>
        <a:xfrm>
          <a:off x="44" y="592809"/>
          <a:ext cx="0" cy="2374856"/>
        </a:xfrm>
        <a:prstGeom prst="lin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46DB316-182D-4691-A6D8-1662C9675544}">
      <dsp:nvSpPr>
        <dsp:cNvPr id="0" name=""/>
        <dsp:cNvSpPr/>
      </dsp:nvSpPr>
      <dsp:spPr>
        <a:xfrm>
          <a:off x="66012" y="671971"/>
          <a:ext cx="1249042" cy="1068685"/>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8000" b="-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B21E49C-84C8-41E6-BCA2-5B2E6C2EAC95}">
      <dsp:nvSpPr>
        <dsp:cNvPr id="0" name=""/>
        <dsp:cNvSpPr/>
      </dsp:nvSpPr>
      <dsp:spPr>
        <a:xfrm>
          <a:off x="66012" y="1785363"/>
          <a:ext cx="1249042" cy="15978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27940" rIns="27940" bIns="27940" numCol="1" spcCol="1270" anchor="t"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Līdz n-gada 31.janvārim FM aprēķina un nosūta saskaņošanai valsts pamatbudžeta un valsts speciālā budžeta bāzes izdevumus</a:t>
          </a:r>
          <a:endParaRPr lang="en-US" sz="1100" kern="1200">
            <a:latin typeface="Times New Roman" panose="02020603050405020304" pitchFamily="18" charset="0"/>
            <a:cs typeface="Times New Roman" panose="02020603050405020304" pitchFamily="18" charset="0"/>
          </a:endParaRPr>
        </a:p>
      </dsp:txBody>
      <dsp:txXfrm>
        <a:off x="66012" y="1785363"/>
        <a:ext cx="1249042" cy="1597872"/>
      </dsp:txXfrm>
    </dsp:sp>
    <dsp:sp modelId="{E719BE4A-9E0D-438D-A70E-1DE0345A1A1C}">
      <dsp:nvSpPr>
        <dsp:cNvPr id="0" name=""/>
        <dsp:cNvSpPr/>
      </dsp:nvSpPr>
      <dsp:spPr>
        <a:xfrm>
          <a:off x="44" y="328936"/>
          <a:ext cx="1319364" cy="26387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n-gada janvāris</a:t>
          </a:r>
          <a:endParaRPr lang="en-US" sz="1100" kern="1200">
            <a:latin typeface="Times New Roman" panose="02020603050405020304" pitchFamily="18" charset="0"/>
            <a:cs typeface="Times New Roman" panose="02020603050405020304" pitchFamily="18" charset="0"/>
          </a:endParaRPr>
        </a:p>
      </dsp:txBody>
      <dsp:txXfrm>
        <a:off x="44" y="328936"/>
        <a:ext cx="1319364" cy="263872"/>
      </dsp:txXfrm>
    </dsp:sp>
    <dsp:sp modelId="{C5E9D8DC-7B34-4EA8-B285-8ED4E7D09FB9}">
      <dsp:nvSpPr>
        <dsp:cNvPr id="0" name=""/>
        <dsp:cNvSpPr/>
      </dsp:nvSpPr>
      <dsp:spPr>
        <a:xfrm>
          <a:off x="1545024" y="592809"/>
          <a:ext cx="0" cy="2374856"/>
        </a:xfrm>
        <a:prstGeom prst="lin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348784-89F5-498C-9CFC-8F486E340D13}">
      <dsp:nvSpPr>
        <dsp:cNvPr id="0" name=""/>
        <dsp:cNvSpPr/>
      </dsp:nvSpPr>
      <dsp:spPr>
        <a:xfrm>
          <a:off x="1610993" y="671971"/>
          <a:ext cx="1249042" cy="1068685"/>
        </a:xfrm>
        <a:prstGeom prst="rect">
          <a:avLst/>
        </a:prstGeom>
        <a:blipFill>
          <a:blip xmlns:r="http://schemas.openxmlformats.org/officeDocument/2006/relationships" r:embed="rId2">
            <a:extLst>
              <a:ext uri="{28A0092B-C50C-407E-A947-70E740481C1C}">
                <a14:useLocalDpi xmlns:a14="http://schemas.microsoft.com/office/drawing/2010/main" val="0"/>
              </a:ext>
            </a:extLst>
          </a:blip>
          <a:srcRect/>
          <a:stretch>
            <a:fillRect t="-8000" b="-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70B5D60-224F-4F20-9701-96727DA5EA24}">
      <dsp:nvSpPr>
        <dsp:cNvPr id="0" name=""/>
        <dsp:cNvSpPr/>
      </dsp:nvSpPr>
      <dsp:spPr>
        <a:xfrm>
          <a:off x="1625756" y="1770743"/>
          <a:ext cx="1249042" cy="14326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27940" rIns="27940" bIns="27940" numCol="1" spcCol="1270" anchor="t"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No kārtējā gada janvāra līdz jūlijam FM nodrošina valsts budžeta izdevumu pārskatīšanu un rezultātu iesniegšanu MK</a:t>
          </a:r>
          <a:endParaRPr lang="en-US" sz="1100" kern="1200">
            <a:latin typeface="Times New Roman" panose="02020603050405020304" pitchFamily="18" charset="0"/>
            <a:cs typeface="Times New Roman" panose="02020603050405020304" pitchFamily="18" charset="0"/>
          </a:endParaRPr>
        </a:p>
      </dsp:txBody>
      <dsp:txXfrm>
        <a:off x="1625756" y="1770743"/>
        <a:ext cx="1249042" cy="1432631"/>
      </dsp:txXfrm>
    </dsp:sp>
    <dsp:sp modelId="{BA7C8F7F-357E-4577-9A8C-FC9A9FB461BF}">
      <dsp:nvSpPr>
        <dsp:cNvPr id="0" name=""/>
        <dsp:cNvSpPr/>
      </dsp:nvSpPr>
      <dsp:spPr>
        <a:xfrm>
          <a:off x="1545024" y="328936"/>
          <a:ext cx="1319364" cy="26387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lv-LV" sz="1050" kern="1200">
              <a:latin typeface="Times New Roman" panose="02020603050405020304" pitchFamily="18" charset="0"/>
              <a:cs typeface="Times New Roman" panose="02020603050405020304" pitchFamily="18" charset="0"/>
            </a:rPr>
            <a:t>n-gada janvāris līdz jūlijs</a:t>
          </a:r>
          <a:endParaRPr lang="en-US" sz="1050" kern="1200">
            <a:latin typeface="Times New Roman" panose="02020603050405020304" pitchFamily="18" charset="0"/>
            <a:cs typeface="Times New Roman" panose="02020603050405020304" pitchFamily="18" charset="0"/>
          </a:endParaRPr>
        </a:p>
      </dsp:txBody>
      <dsp:txXfrm>
        <a:off x="1545024" y="328936"/>
        <a:ext cx="1319364" cy="263872"/>
      </dsp:txXfrm>
    </dsp:sp>
    <dsp:sp modelId="{9E98F425-176A-4122-BC2F-82A161EC2B26}">
      <dsp:nvSpPr>
        <dsp:cNvPr id="0" name=""/>
        <dsp:cNvSpPr/>
      </dsp:nvSpPr>
      <dsp:spPr>
        <a:xfrm>
          <a:off x="3090005" y="592809"/>
          <a:ext cx="0" cy="2374856"/>
        </a:xfrm>
        <a:prstGeom prst="lin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F4B196D-8200-41CF-9C75-AC42ED3A7D21}">
      <dsp:nvSpPr>
        <dsp:cNvPr id="0" name=""/>
        <dsp:cNvSpPr/>
      </dsp:nvSpPr>
      <dsp:spPr>
        <a:xfrm>
          <a:off x="3155973" y="671971"/>
          <a:ext cx="1249042" cy="1068685"/>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t="-8000" b="-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6955103-3FCD-4B84-B37D-1CC47FD7E9C1}">
      <dsp:nvSpPr>
        <dsp:cNvPr id="0" name=""/>
        <dsp:cNvSpPr/>
      </dsp:nvSpPr>
      <dsp:spPr>
        <a:xfrm>
          <a:off x="3155973" y="1770718"/>
          <a:ext cx="1249042" cy="15064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27940" rIns="27940" bIns="27940" numCol="1" spcCol="1270" anchor="t"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No kārtējā gada marta līdz augustam, atbilstoši MK sēdes protokollēmumā paredzētama FM ir atļauts precizēt valsts budžeta bāzes izdevumu</a:t>
          </a:r>
          <a:endParaRPr lang="en-US" sz="1100" kern="1200">
            <a:latin typeface="Times New Roman" panose="02020603050405020304" pitchFamily="18" charset="0"/>
            <a:cs typeface="Times New Roman" panose="02020603050405020304" pitchFamily="18" charset="0"/>
          </a:endParaRPr>
        </a:p>
      </dsp:txBody>
      <dsp:txXfrm>
        <a:off x="3155973" y="1770718"/>
        <a:ext cx="1249042" cy="1506497"/>
      </dsp:txXfrm>
    </dsp:sp>
    <dsp:sp modelId="{EF72729C-449F-4EFD-B21E-99E0F760B855}">
      <dsp:nvSpPr>
        <dsp:cNvPr id="0" name=""/>
        <dsp:cNvSpPr/>
      </dsp:nvSpPr>
      <dsp:spPr>
        <a:xfrm>
          <a:off x="3090005" y="328936"/>
          <a:ext cx="1319364" cy="26387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lv-LV" sz="1050" kern="1200">
              <a:latin typeface="Times New Roman" panose="02020603050405020304" pitchFamily="18" charset="0"/>
              <a:cs typeface="Times New Roman" panose="02020603050405020304" pitchFamily="18" charset="0"/>
            </a:rPr>
            <a:t>n-gada marts-augusts</a:t>
          </a:r>
          <a:endParaRPr lang="en-US" sz="1050" kern="1200">
            <a:latin typeface="Times New Roman" panose="02020603050405020304" pitchFamily="18" charset="0"/>
            <a:cs typeface="Times New Roman" panose="02020603050405020304" pitchFamily="18" charset="0"/>
          </a:endParaRPr>
        </a:p>
      </dsp:txBody>
      <dsp:txXfrm>
        <a:off x="3090005" y="328936"/>
        <a:ext cx="1319364" cy="263872"/>
      </dsp:txXfrm>
    </dsp:sp>
    <dsp:sp modelId="{CF72F411-447A-49A9-9680-8A9C5D7EAF1B}">
      <dsp:nvSpPr>
        <dsp:cNvPr id="0" name=""/>
        <dsp:cNvSpPr/>
      </dsp:nvSpPr>
      <dsp:spPr>
        <a:xfrm>
          <a:off x="4634985" y="592809"/>
          <a:ext cx="0" cy="2374856"/>
        </a:xfrm>
        <a:prstGeom prst="lin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A6C018D-FB3D-4A03-ACFE-66D741736F35}">
      <dsp:nvSpPr>
        <dsp:cNvPr id="0" name=""/>
        <dsp:cNvSpPr/>
      </dsp:nvSpPr>
      <dsp:spPr>
        <a:xfrm>
          <a:off x="4700954" y="671971"/>
          <a:ext cx="1249042" cy="1068685"/>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t="-8000" b="-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5BA27ED-0950-4A86-9AD3-BE41DF3A0F90}">
      <dsp:nvSpPr>
        <dsp:cNvPr id="0" name=""/>
        <dsp:cNvSpPr/>
      </dsp:nvSpPr>
      <dsp:spPr>
        <a:xfrm>
          <a:off x="4705352" y="1784952"/>
          <a:ext cx="1249042" cy="122700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7940" tIns="27940" rIns="27940" bIns="27940" numCol="1" spcCol="1270" anchor="t" anchorCtr="0">
          <a:noAutofit/>
        </a:bodyPr>
        <a:lstStyle/>
        <a:p>
          <a:pPr lvl="0" algn="ctr" defTabSz="488950">
            <a:lnSpc>
              <a:spcPct val="90000"/>
            </a:lnSpc>
            <a:spcBef>
              <a:spcPct val="0"/>
            </a:spcBef>
            <a:spcAft>
              <a:spcPct val="35000"/>
            </a:spcAft>
          </a:pPr>
          <a:r>
            <a:rPr lang="lv-LV" sz="1100" kern="1200">
              <a:latin typeface="Times New Roman" panose="02020603050405020304" pitchFamily="18" charset="0"/>
              <a:cs typeface="Times New Roman" panose="02020603050405020304" pitchFamily="18" charset="0"/>
            </a:rPr>
            <a:t>Budžeta attīstības daļas noteikšana (prioritāro pasākumu finansēšana)</a:t>
          </a:r>
          <a:endParaRPr lang="en-US" sz="1100" kern="1200">
            <a:latin typeface="Times New Roman" panose="02020603050405020304" pitchFamily="18" charset="0"/>
            <a:cs typeface="Times New Roman" panose="02020603050405020304" pitchFamily="18" charset="0"/>
          </a:endParaRPr>
        </a:p>
      </dsp:txBody>
      <dsp:txXfrm>
        <a:off x="4705352" y="1784952"/>
        <a:ext cx="1249042" cy="1227009"/>
      </dsp:txXfrm>
    </dsp:sp>
    <dsp:sp modelId="{D0951F02-2E1A-43EE-8A3F-33CA612AF46D}">
      <dsp:nvSpPr>
        <dsp:cNvPr id="0" name=""/>
        <dsp:cNvSpPr/>
      </dsp:nvSpPr>
      <dsp:spPr>
        <a:xfrm>
          <a:off x="4634985" y="328936"/>
          <a:ext cx="1319364" cy="263872"/>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66725">
            <a:lnSpc>
              <a:spcPct val="90000"/>
            </a:lnSpc>
            <a:spcBef>
              <a:spcPct val="0"/>
            </a:spcBef>
            <a:spcAft>
              <a:spcPct val="35000"/>
            </a:spcAft>
          </a:pPr>
          <a:r>
            <a:rPr lang="lv-LV" sz="1050" kern="1200">
              <a:latin typeface="Times New Roman" panose="02020603050405020304" pitchFamily="18" charset="0"/>
              <a:cs typeface="Times New Roman" panose="02020603050405020304" pitchFamily="18" charset="0"/>
            </a:rPr>
            <a:t>n-gada jūnijs līdz augusts</a:t>
          </a:r>
          <a:endParaRPr lang="en-US" sz="1050" kern="1200">
            <a:latin typeface="Times New Roman" panose="02020603050405020304" pitchFamily="18" charset="0"/>
            <a:cs typeface="Times New Roman" panose="02020603050405020304" pitchFamily="18" charset="0"/>
          </a:endParaRPr>
        </a:p>
      </dsp:txBody>
      <dsp:txXfrm>
        <a:off x="4634985" y="328936"/>
        <a:ext cx="1319364" cy="2638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46C047-5052-4662-AF7E-6C1B4230FB9E}">
      <dsp:nvSpPr>
        <dsp:cNvPr id="0" name=""/>
        <dsp:cNvSpPr/>
      </dsp:nvSpPr>
      <dsp:spPr>
        <a:xfrm rot="5400000">
          <a:off x="3595416" y="-1441425"/>
          <a:ext cx="642883" cy="3686454"/>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kern="1200">
              <a:solidFill>
                <a:sysClr val="windowText" lastClr="000000"/>
              </a:solidFill>
              <a:latin typeface="Times New Roman" panose="02020603050405020304" pitchFamily="18" charset="0"/>
              <a:cs typeface="Times New Roman" panose="02020603050405020304" pitchFamily="18" charset="0"/>
            </a:rPr>
            <a:t>valsts autoceļu kompleksās ikdienas uzturēšanas darbu plānošanu un veikšanu </a:t>
          </a:r>
          <a:endParaRPr lang="lv-LV" sz="1200" kern="1200">
            <a:solidFill>
              <a:sysClr val="windowText" lastClr="000000"/>
            </a:solidFill>
          </a:endParaRPr>
        </a:p>
      </dsp:txBody>
      <dsp:txXfrm rot="-5400000">
        <a:off x="2073631" y="111743"/>
        <a:ext cx="3655071" cy="580117"/>
      </dsp:txXfrm>
    </dsp:sp>
    <dsp:sp modelId="{9D0E6034-0DE4-4A0D-A5BB-D26411B69BD6}">
      <dsp:nvSpPr>
        <dsp:cNvPr id="0" name=""/>
        <dsp:cNvSpPr/>
      </dsp:nvSpPr>
      <dsp:spPr>
        <a:xfrm>
          <a:off x="0" y="0"/>
          <a:ext cx="2073630" cy="803604"/>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lv-LV" sz="1200" kern="1200" dirty="0" smtClean="0">
              <a:solidFill>
                <a:sysClr val="windowText" lastClr="000000"/>
              </a:solidFill>
              <a:latin typeface="Times New Roman" panose="02020603050405020304" pitchFamily="18" charset="0"/>
              <a:cs typeface="Times New Roman" panose="02020603050405020304" pitchFamily="18" charset="0"/>
            </a:rPr>
            <a:t>Saskaņā ar likuma "Par autoceļiem" 7.panta 3 </a:t>
          </a:r>
          <a:r>
            <a:rPr lang="lv-LV" sz="1200" kern="1200" baseline="30000" dirty="0" smtClean="0">
              <a:solidFill>
                <a:sysClr val="windowText" lastClr="000000"/>
              </a:solidFill>
              <a:latin typeface="Times New Roman" panose="02020603050405020304" pitchFamily="18" charset="0"/>
              <a:cs typeface="Times New Roman" panose="02020603050405020304" pitchFamily="18" charset="0"/>
            </a:rPr>
            <a:t>1</a:t>
          </a:r>
          <a:r>
            <a:rPr lang="lv-LV" sz="1200" kern="1200" dirty="0" smtClean="0">
              <a:solidFill>
                <a:sysClr val="windowText" lastClr="000000"/>
              </a:solidFill>
              <a:latin typeface="Times New Roman" panose="02020603050405020304" pitchFamily="18" charset="0"/>
              <a:cs typeface="Times New Roman" panose="02020603050405020304" pitchFamily="18" charset="0"/>
            </a:rPr>
            <a:t> daļu SM deleģē VAS "Latvijas </a:t>
          </a:r>
          <a:r>
            <a:rPr lang="lv-LV" sz="1200" kern="1200">
              <a:solidFill>
                <a:sysClr val="windowText" lastClr="000000"/>
              </a:solidFill>
              <a:latin typeface="Times New Roman" panose="02020603050405020304" pitchFamily="18" charset="0"/>
              <a:cs typeface="Times New Roman" panose="02020603050405020304" pitchFamily="18" charset="0"/>
            </a:rPr>
            <a:t>autoceļu uzturētājs</a:t>
          </a:r>
          <a:r>
            <a:rPr lang="lv-LV" sz="1200" kern="1200" dirty="0" smtClean="0">
              <a:solidFill>
                <a:sysClr val="windowText" lastClr="000000"/>
              </a:solidFill>
              <a:latin typeface="Times New Roman" panose="02020603050405020304" pitchFamily="18" charset="0"/>
              <a:cs typeface="Times New Roman" panose="02020603050405020304" pitchFamily="18" charset="0"/>
            </a:rPr>
            <a:t>" </a:t>
          </a:r>
          <a:endParaRPr lang="lv-LV" sz="1200" kern="1200">
            <a:solidFill>
              <a:sysClr val="windowText" lastClr="000000"/>
            </a:solidFill>
          </a:endParaRPr>
        </a:p>
      </dsp:txBody>
      <dsp:txXfrm>
        <a:off x="39229" y="39229"/>
        <a:ext cx="1995172" cy="72514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46C047-5052-4662-AF7E-6C1B4230FB9E}">
      <dsp:nvSpPr>
        <dsp:cNvPr id="0" name=""/>
        <dsp:cNvSpPr/>
      </dsp:nvSpPr>
      <dsp:spPr>
        <a:xfrm rot="5400000">
          <a:off x="2841631" y="-1289909"/>
          <a:ext cx="1726487" cy="4437880"/>
        </a:xfrm>
        <a:prstGeom prst="round2SameRect">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lv-LV" sz="1200" kern="1200" dirty="0" smtClean="0">
              <a:latin typeface="Times New Roman" panose="02020603050405020304" pitchFamily="18" charset="0"/>
              <a:cs typeface="Times New Roman" panose="02020603050405020304" pitchFamily="18" charset="0"/>
            </a:rPr>
            <a:t>valsts autoceļu tīkla pārvaldīšanu,</a:t>
          </a:r>
          <a:endParaRPr lang="lv-LV" sz="1200" kern="1200"/>
        </a:p>
        <a:p>
          <a:pPr marL="114300" lvl="1" indent="-114300" algn="l" defTabSz="533400">
            <a:lnSpc>
              <a:spcPct val="90000"/>
            </a:lnSpc>
            <a:spcBef>
              <a:spcPct val="0"/>
            </a:spcBef>
            <a:spcAft>
              <a:spcPct val="15000"/>
            </a:spcAft>
            <a:buChar char="••"/>
          </a:pPr>
          <a:r>
            <a:rPr lang="lv-LV" sz="1200" kern="1200" dirty="0" smtClean="0">
              <a:latin typeface="Times New Roman" panose="02020603050405020304" pitchFamily="18" charset="0"/>
              <a:cs typeface="Times New Roman" panose="02020603050405020304" pitchFamily="18" charset="0"/>
            </a:rPr>
            <a:t>valsts autoceļu tīkla finansējuma administrēšanu un ar to saistīto darbu programmu vadību un izpildes kontroli,</a:t>
          </a:r>
          <a:endParaRPr lang="lv-LV"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dirty="0" smtClean="0">
              <a:latin typeface="Times New Roman" panose="02020603050405020304" pitchFamily="18" charset="0"/>
              <a:cs typeface="Times New Roman" panose="02020603050405020304" pitchFamily="18" charset="0"/>
            </a:rPr>
            <a:t>iepirkuma organizēšanu valsts vajadzībām, </a:t>
          </a:r>
          <a:endParaRPr lang="lv-LV"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dirty="0" smtClean="0">
              <a:latin typeface="Times New Roman" panose="02020603050405020304" pitchFamily="18" charset="0"/>
              <a:cs typeface="Times New Roman" panose="02020603050405020304" pitchFamily="18" charset="0"/>
            </a:rPr>
            <a:t>valsts autoceļu būvniecības programmu vadību un būvniecības uzraudzību, </a:t>
          </a:r>
          <a:endParaRPr lang="lv-LV"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dirty="0" smtClean="0">
              <a:latin typeface="Times New Roman" panose="02020603050405020304" pitchFamily="18" charset="0"/>
              <a:cs typeface="Times New Roman" panose="02020603050405020304" pitchFamily="18" charset="0"/>
            </a:rPr>
            <a:t>ceļu satiksmes organizācijas uzraudzību, </a:t>
          </a:r>
          <a:endParaRPr lang="lv-LV" sz="1200" kern="1200" dirty="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lv-LV" sz="1200" kern="1200" dirty="0" smtClean="0">
              <a:latin typeface="Times New Roman" panose="02020603050405020304" pitchFamily="18" charset="0"/>
              <a:cs typeface="Times New Roman" panose="02020603050405020304" pitchFamily="18" charset="0"/>
            </a:rPr>
            <a:t>pašvaldību, komersantu un māju ceļu būvniecības, rekonstrukcijas, ikdienas uzturēšanas un periodiskās uzturēšanas pārraudzību.</a:t>
          </a:r>
          <a:endParaRPr lang="lv-LV" sz="1200" kern="1200" dirty="0">
            <a:latin typeface="Times New Roman" panose="02020603050405020304" pitchFamily="18" charset="0"/>
            <a:cs typeface="Times New Roman" panose="02020603050405020304" pitchFamily="18" charset="0"/>
          </a:endParaRPr>
        </a:p>
      </dsp:txBody>
      <dsp:txXfrm rot="-5400000">
        <a:off x="1485935" y="150067"/>
        <a:ext cx="4353600" cy="1557927"/>
      </dsp:txXfrm>
    </dsp:sp>
    <dsp:sp modelId="{9D0E6034-0DE4-4A0D-A5BB-D26411B69BD6}">
      <dsp:nvSpPr>
        <dsp:cNvPr id="0" name=""/>
        <dsp:cNvSpPr/>
      </dsp:nvSpPr>
      <dsp:spPr>
        <a:xfrm>
          <a:off x="734" y="907"/>
          <a:ext cx="1485200" cy="1856246"/>
        </a:xfrm>
        <a:prstGeom prst="roundRect">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lv-LV" sz="1200" kern="1200" dirty="0" smtClean="0">
              <a:solidFill>
                <a:sysClr val="windowText" lastClr="000000"/>
              </a:solidFill>
              <a:latin typeface="Times New Roman" panose="02020603050405020304" pitchFamily="18" charset="0"/>
              <a:cs typeface="Times New Roman" panose="02020603050405020304" pitchFamily="18" charset="0"/>
            </a:rPr>
            <a:t>Saskaņā ar likuma "Par autoceļiem" 7.panta trešo daļu SM deleģē VAS "Latvijas Valsts ceļi" </a:t>
          </a:r>
          <a:endParaRPr lang="lv-LV" sz="1200" kern="1200">
            <a:solidFill>
              <a:sysClr val="windowText" lastClr="000000"/>
            </a:solidFill>
          </a:endParaRPr>
        </a:p>
      </dsp:txBody>
      <dsp:txXfrm>
        <a:off x="73235" y="73408"/>
        <a:ext cx="1340198" cy="171124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BC8B4A-BA21-4A23-ABD7-FDD14C72D6E9}">
      <dsp:nvSpPr>
        <dsp:cNvPr id="0" name=""/>
        <dsp:cNvSpPr/>
      </dsp:nvSpPr>
      <dsp:spPr>
        <a:xfrm>
          <a:off x="4273430" y="1188483"/>
          <a:ext cx="242492" cy="374996"/>
        </a:xfrm>
        <a:custGeom>
          <a:avLst/>
          <a:gdLst/>
          <a:ahLst/>
          <a:cxnLst/>
          <a:rect l="0" t="0" r="0" b="0"/>
          <a:pathLst>
            <a:path>
              <a:moveTo>
                <a:pt x="0" y="0"/>
              </a:moveTo>
              <a:lnTo>
                <a:pt x="0" y="333688"/>
              </a:lnTo>
              <a:lnTo>
                <a:pt x="215781" y="333688"/>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9AAC9F8-2CED-4973-939E-7251489BF65C}">
      <dsp:nvSpPr>
        <dsp:cNvPr id="0" name=""/>
        <dsp:cNvSpPr/>
      </dsp:nvSpPr>
      <dsp:spPr>
        <a:xfrm>
          <a:off x="2865399" y="609684"/>
          <a:ext cx="2054678" cy="171193"/>
        </a:xfrm>
        <a:custGeom>
          <a:avLst/>
          <a:gdLst/>
          <a:ahLst/>
          <a:cxnLst/>
          <a:rect l="0" t="0" r="0" b="0"/>
          <a:pathLst>
            <a:path>
              <a:moveTo>
                <a:pt x="0" y="0"/>
              </a:moveTo>
              <a:lnTo>
                <a:pt x="0" y="76168"/>
              </a:lnTo>
              <a:lnTo>
                <a:pt x="1828347" y="76168"/>
              </a:lnTo>
              <a:lnTo>
                <a:pt x="1828347" y="15233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AD25A08-C82E-4858-ABC3-04D0DE925AAC}">
      <dsp:nvSpPr>
        <dsp:cNvPr id="0" name=""/>
        <dsp:cNvSpPr/>
      </dsp:nvSpPr>
      <dsp:spPr>
        <a:xfrm>
          <a:off x="2485620" y="1188483"/>
          <a:ext cx="242492" cy="374996"/>
        </a:xfrm>
        <a:custGeom>
          <a:avLst/>
          <a:gdLst/>
          <a:ahLst/>
          <a:cxnLst/>
          <a:rect l="0" t="0" r="0" b="0"/>
          <a:pathLst>
            <a:path>
              <a:moveTo>
                <a:pt x="0" y="0"/>
              </a:moveTo>
              <a:lnTo>
                <a:pt x="0" y="333688"/>
              </a:lnTo>
              <a:lnTo>
                <a:pt x="215781" y="333688"/>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3746A5C-3ED3-4AB8-806C-A612B6C6C51C}">
      <dsp:nvSpPr>
        <dsp:cNvPr id="0" name=""/>
        <dsp:cNvSpPr/>
      </dsp:nvSpPr>
      <dsp:spPr>
        <a:xfrm>
          <a:off x="2865399" y="609684"/>
          <a:ext cx="266867" cy="171193"/>
        </a:xfrm>
        <a:custGeom>
          <a:avLst/>
          <a:gdLst/>
          <a:ahLst/>
          <a:cxnLst/>
          <a:rect l="0" t="0" r="0" b="0"/>
          <a:pathLst>
            <a:path>
              <a:moveTo>
                <a:pt x="0" y="0"/>
              </a:moveTo>
              <a:lnTo>
                <a:pt x="0" y="76168"/>
              </a:lnTo>
              <a:lnTo>
                <a:pt x="237471" y="76168"/>
              </a:lnTo>
              <a:lnTo>
                <a:pt x="237471" y="15233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E98F19B-4DF1-4BFC-9801-CEA8F30C1434}">
      <dsp:nvSpPr>
        <dsp:cNvPr id="0" name=""/>
        <dsp:cNvSpPr/>
      </dsp:nvSpPr>
      <dsp:spPr>
        <a:xfrm>
          <a:off x="207959" y="1188483"/>
          <a:ext cx="308320" cy="2172454"/>
        </a:xfrm>
        <a:custGeom>
          <a:avLst/>
          <a:gdLst/>
          <a:ahLst/>
          <a:cxnLst/>
          <a:rect l="0" t="0" r="0" b="0"/>
          <a:pathLst>
            <a:path>
              <a:moveTo>
                <a:pt x="0" y="0"/>
              </a:moveTo>
              <a:lnTo>
                <a:pt x="0" y="1933150"/>
              </a:lnTo>
              <a:lnTo>
                <a:pt x="274357" y="1933150"/>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5FC8D13-6CEF-4517-8282-93757634181F}">
      <dsp:nvSpPr>
        <dsp:cNvPr id="0" name=""/>
        <dsp:cNvSpPr/>
      </dsp:nvSpPr>
      <dsp:spPr>
        <a:xfrm>
          <a:off x="207959" y="1188483"/>
          <a:ext cx="308320" cy="1593656"/>
        </a:xfrm>
        <a:custGeom>
          <a:avLst/>
          <a:gdLst/>
          <a:ahLst/>
          <a:cxnLst/>
          <a:rect l="0" t="0" r="0" b="0"/>
          <a:pathLst>
            <a:path>
              <a:moveTo>
                <a:pt x="0" y="0"/>
              </a:moveTo>
              <a:lnTo>
                <a:pt x="0" y="1418109"/>
              </a:lnTo>
              <a:lnTo>
                <a:pt x="274357" y="1418109"/>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01669BF-46B3-4932-9AD4-372713FD8364}">
      <dsp:nvSpPr>
        <dsp:cNvPr id="0" name=""/>
        <dsp:cNvSpPr/>
      </dsp:nvSpPr>
      <dsp:spPr>
        <a:xfrm>
          <a:off x="207959" y="1188483"/>
          <a:ext cx="308320" cy="984326"/>
        </a:xfrm>
        <a:custGeom>
          <a:avLst/>
          <a:gdLst/>
          <a:ahLst/>
          <a:cxnLst/>
          <a:rect l="0" t="0" r="0" b="0"/>
          <a:pathLst>
            <a:path>
              <a:moveTo>
                <a:pt x="0" y="0"/>
              </a:moveTo>
              <a:lnTo>
                <a:pt x="0" y="875898"/>
              </a:lnTo>
              <a:lnTo>
                <a:pt x="274357" y="875898"/>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7FFD210-0FDF-4DA3-9878-6DA2BDCB00A6}">
      <dsp:nvSpPr>
        <dsp:cNvPr id="0" name=""/>
        <dsp:cNvSpPr/>
      </dsp:nvSpPr>
      <dsp:spPr>
        <a:xfrm>
          <a:off x="207959" y="1188483"/>
          <a:ext cx="308320" cy="374996"/>
        </a:xfrm>
        <a:custGeom>
          <a:avLst/>
          <a:gdLst/>
          <a:ahLst/>
          <a:cxnLst/>
          <a:rect l="0" t="0" r="0" b="0"/>
          <a:pathLst>
            <a:path>
              <a:moveTo>
                <a:pt x="0" y="0"/>
              </a:moveTo>
              <a:lnTo>
                <a:pt x="0" y="333688"/>
              </a:lnTo>
              <a:lnTo>
                <a:pt x="274357" y="333688"/>
              </a:lnTo>
            </a:path>
          </a:pathLst>
        </a:custGeom>
        <a:noFill/>
        <a:ln w="12700" cap="flat" cmpd="sng" algn="ctr">
          <a:solidFill>
            <a:srgbClr val="A5A5A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D960B7-25BC-400B-871A-CDE303B4B59E}">
      <dsp:nvSpPr>
        <dsp:cNvPr id="0" name=""/>
        <dsp:cNvSpPr/>
      </dsp:nvSpPr>
      <dsp:spPr>
        <a:xfrm>
          <a:off x="1030146" y="609684"/>
          <a:ext cx="1835252" cy="171193"/>
        </a:xfrm>
        <a:custGeom>
          <a:avLst/>
          <a:gdLst/>
          <a:ahLst/>
          <a:cxnLst/>
          <a:rect l="0" t="0" r="0" b="0"/>
          <a:pathLst>
            <a:path>
              <a:moveTo>
                <a:pt x="1633092" y="0"/>
              </a:moveTo>
              <a:lnTo>
                <a:pt x="1633092" y="76168"/>
              </a:lnTo>
              <a:lnTo>
                <a:pt x="0" y="76168"/>
              </a:lnTo>
              <a:lnTo>
                <a:pt x="0" y="152336"/>
              </a:lnTo>
            </a:path>
          </a:pathLst>
        </a:custGeom>
        <a:noFill/>
        <a:ln w="12700" cap="flat" cmpd="sng" algn="ctr">
          <a:solidFill>
            <a:srgbClr val="A5A5A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5FB4038-9D47-4B6A-9191-EC07F6CD4401}">
      <dsp:nvSpPr>
        <dsp:cNvPr id="0" name=""/>
        <dsp:cNvSpPr/>
      </dsp:nvSpPr>
      <dsp:spPr>
        <a:xfrm>
          <a:off x="1994026" y="202080"/>
          <a:ext cx="1742745"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BNI</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94026" y="202080"/>
        <a:ext cx="1742745" cy="407604"/>
      </dsp:txXfrm>
    </dsp:sp>
    <dsp:sp modelId="{F1A32308-D15A-46D7-9D6D-6F0CE222DEEE}">
      <dsp:nvSpPr>
        <dsp:cNvPr id="0" name=""/>
        <dsp:cNvSpPr/>
      </dsp:nvSpPr>
      <dsp:spPr>
        <a:xfrm>
          <a:off x="2412" y="780878"/>
          <a:ext cx="2055467"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Satiksmes ministrija</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412" y="780878"/>
        <a:ext cx="2055467" cy="407604"/>
      </dsp:txXfrm>
    </dsp:sp>
    <dsp:sp modelId="{38C92DB4-8387-490D-967E-0F48BB69A9AA}">
      <dsp:nvSpPr>
        <dsp:cNvPr id="0" name=""/>
        <dsp:cNvSpPr/>
      </dsp:nvSpPr>
      <dsp:spPr>
        <a:xfrm>
          <a:off x="516279" y="1359676"/>
          <a:ext cx="2040639"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a:t>
          </a: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dzelzceļa</a:t>
          </a: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tehniskā inspekcija (VDZTI)</a:t>
          </a:r>
          <a:endPar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16279" y="1359676"/>
        <a:ext cx="2040639" cy="407604"/>
      </dsp:txXfrm>
    </dsp:sp>
    <dsp:sp modelId="{56947B3C-502D-46AB-8906-F460BACB9C93}">
      <dsp:nvSpPr>
        <dsp:cNvPr id="0" name=""/>
        <dsp:cNvSpPr/>
      </dsp:nvSpPr>
      <dsp:spPr>
        <a:xfrm>
          <a:off x="516279" y="1938475"/>
          <a:ext cx="2040639" cy="468667"/>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Transporta nelaimes gadījumu un incidentu izmeklēšanas birojs</a:t>
          </a: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(TAIIB)</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16279" y="1938475"/>
        <a:ext cx="2040639" cy="468667"/>
      </dsp:txXfrm>
    </dsp:sp>
    <dsp:sp modelId="{18F109C0-28C1-4DE6-80E2-55D25AFDE373}">
      <dsp:nvSpPr>
        <dsp:cNvPr id="0" name=""/>
        <dsp:cNvSpPr/>
      </dsp:nvSpPr>
      <dsp:spPr>
        <a:xfrm>
          <a:off x="516279" y="2578336"/>
          <a:ext cx="2040639"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aģentūra "Civilās aviācijas aģentūra" (CAA)</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16279" y="2578336"/>
        <a:ext cx="2040639" cy="407604"/>
      </dsp:txXfrm>
    </dsp:sp>
    <dsp:sp modelId="{8D0A45E7-2A2A-44AC-8ECF-607C5D6942C8}">
      <dsp:nvSpPr>
        <dsp:cNvPr id="0" name=""/>
        <dsp:cNvSpPr/>
      </dsp:nvSpPr>
      <dsp:spPr>
        <a:xfrm>
          <a:off x="516279" y="3157135"/>
          <a:ext cx="2040639"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lv-LV"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dzelzceļa administrācija (VDA)</a:t>
          </a:r>
          <a:endParaRPr lang="en-US"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516279" y="3157135"/>
        <a:ext cx="2040639" cy="407604"/>
      </dsp:txXfrm>
    </dsp:sp>
    <dsp:sp modelId="{3689B683-94C0-4706-951B-03F9DBBEB0A0}">
      <dsp:nvSpPr>
        <dsp:cNvPr id="0" name=""/>
        <dsp:cNvSpPr/>
      </dsp:nvSpPr>
      <dsp:spPr>
        <a:xfrm>
          <a:off x="2323958" y="780878"/>
          <a:ext cx="1616616"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Tieslietu ministrija</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323958" y="780878"/>
        <a:ext cx="1616616" cy="407604"/>
      </dsp:txXfrm>
    </dsp:sp>
    <dsp:sp modelId="{AFF748C9-B917-453A-B80A-13F247BB607F}">
      <dsp:nvSpPr>
        <dsp:cNvPr id="0" name=""/>
        <dsp:cNvSpPr/>
      </dsp:nvSpPr>
      <dsp:spPr>
        <a:xfrm>
          <a:off x="2728112" y="1359676"/>
          <a:ext cx="1274130"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Patentu valde</a:t>
          </a: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(LRPV)</a:t>
          </a:r>
          <a:endPar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2728112" y="1359676"/>
        <a:ext cx="1274130" cy="407604"/>
      </dsp:txXfrm>
    </dsp:sp>
    <dsp:sp modelId="{00969E47-5274-4328-A8E6-F1F42E090D26}">
      <dsp:nvSpPr>
        <dsp:cNvPr id="0" name=""/>
        <dsp:cNvSpPr/>
      </dsp:nvSpPr>
      <dsp:spPr>
        <a:xfrm>
          <a:off x="4111768" y="780878"/>
          <a:ext cx="1616616"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Veselības ministrija</a:t>
          </a:r>
          <a:endPar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111768" y="780878"/>
        <a:ext cx="1616616" cy="407604"/>
      </dsp:txXfrm>
    </dsp:sp>
    <dsp:sp modelId="{D708E720-8D60-4D80-818D-68852D79C14F}">
      <dsp:nvSpPr>
        <dsp:cNvPr id="0" name=""/>
        <dsp:cNvSpPr/>
      </dsp:nvSpPr>
      <dsp:spPr>
        <a:xfrm>
          <a:off x="4515923" y="1359676"/>
          <a:ext cx="1238726" cy="407604"/>
        </a:xfrm>
        <a:prstGeom prst="rect">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lv-LV"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Zāļu valsts aģentūra (ZVA)</a:t>
          </a:r>
          <a:endPar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515923" y="1359676"/>
        <a:ext cx="1238726" cy="40760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F19F0D-E2C1-4991-BD78-BA3C604D8039}">
      <dsp:nvSpPr>
        <dsp:cNvPr id="0" name=""/>
        <dsp:cNvSpPr/>
      </dsp:nvSpPr>
      <dsp:spPr>
        <a:xfrm>
          <a:off x="2866514" y="931693"/>
          <a:ext cx="1886453" cy="426509"/>
        </a:xfrm>
        <a:custGeom>
          <a:avLst/>
          <a:gdLst/>
          <a:ahLst/>
          <a:cxnLst/>
          <a:rect l="0" t="0" r="0" b="0"/>
          <a:pathLst>
            <a:path>
              <a:moveTo>
                <a:pt x="0" y="0"/>
              </a:moveTo>
              <a:lnTo>
                <a:pt x="0" y="290653"/>
              </a:lnTo>
              <a:lnTo>
                <a:pt x="1886453" y="290653"/>
              </a:lnTo>
              <a:lnTo>
                <a:pt x="1886453" y="426509"/>
              </a:lnTo>
            </a:path>
          </a:pathLst>
        </a:custGeom>
        <a:noFill/>
        <a:ln w="12700" cap="flat" cmpd="sng" algn="ctr">
          <a:solidFill>
            <a:schemeClr val="accent6">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F7A1CB6C-9CF9-4266-AA07-E7D330CC42C7}">
      <dsp:nvSpPr>
        <dsp:cNvPr id="0" name=""/>
        <dsp:cNvSpPr/>
      </dsp:nvSpPr>
      <dsp:spPr>
        <a:xfrm>
          <a:off x="2820794" y="931693"/>
          <a:ext cx="91440" cy="426509"/>
        </a:xfrm>
        <a:custGeom>
          <a:avLst/>
          <a:gdLst/>
          <a:ahLst/>
          <a:cxnLst/>
          <a:rect l="0" t="0" r="0" b="0"/>
          <a:pathLst>
            <a:path>
              <a:moveTo>
                <a:pt x="45720" y="0"/>
              </a:moveTo>
              <a:lnTo>
                <a:pt x="45720" y="290653"/>
              </a:lnTo>
              <a:lnTo>
                <a:pt x="68516" y="290653"/>
              </a:lnTo>
              <a:lnTo>
                <a:pt x="68516" y="426509"/>
              </a:lnTo>
            </a:path>
          </a:pathLst>
        </a:custGeom>
        <a:noFill/>
        <a:ln w="12700" cap="flat" cmpd="sng" algn="ctr">
          <a:solidFill>
            <a:schemeClr val="accent6">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B7171643-D471-47B4-87D4-192E41A5596B}">
      <dsp:nvSpPr>
        <dsp:cNvPr id="0" name=""/>
        <dsp:cNvSpPr/>
      </dsp:nvSpPr>
      <dsp:spPr>
        <a:xfrm>
          <a:off x="1002857" y="931693"/>
          <a:ext cx="1863657" cy="426509"/>
        </a:xfrm>
        <a:custGeom>
          <a:avLst/>
          <a:gdLst/>
          <a:ahLst/>
          <a:cxnLst/>
          <a:rect l="0" t="0" r="0" b="0"/>
          <a:pathLst>
            <a:path>
              <a:moveTo>
                <a:pt x="1863657" y="0"/>
              </a:moveTo>
              <a:lnTo>
                <a:pt x="1863657" y="290653"/>
              </a:lnTo>
              <a:lnTo>
                <a:pt x="0" y="290653"/>
              </a:lnTo>
              <a:lnTo>
                <a:pt x="0" y="426509"/>
              </a:lnTo>
            </a:path>
          </a:pathLst>
        </a:custGeom>
        <a:noFill/>
        <a:ln w="12700" cap="flat" cmpd="sng" algn="ctr">
          <a:solidFill>
            <a:schemeClr val="accent6">
              <a:shade val="60000"/>
              <a:hueOff val="0"/>
              <a:satOff val="0"/>
              <a:lumOff val="0"/>
              <a:alphaOff val="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E6C7DB8D-3BEE-49E0-878A-1A3AC7851EE5}">
      <dsp:nvSpPr>
        <dsp:cNvPr id="0" name=""/>
        <dsp:cNvSpPr/>
      </dsp:nvSpPr>
      <dsp:spPr>
        <a:xfrm>
          <a:off x="2133260" y="460"/>
          <a:ext cx="1466508" cy="931232"/>
        </a:xfrm>
        <a:prstGeom prst="roundRect">
          <a:avLst>
            <a:gd name="adj" fmla="val 10000"/>
          </a:avLst>
        </a:prstGeom>
        <a:solidFill>
          <a:schemeClr val="accent6">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E416048-BA14-40A6-97CF-69729DF0981C}">
      <dsp:nvSpPr>
        <dsp:cNvPr id="0" name=""/>
        <dsp:cNvSpPr/>
      </dsp:nvSpPr>
      <dsp:spPr>
        <a:xfrm>
          <a:off x="2296205" y="155259"/>
          <a:ext cx="1466508" cy="931232"/>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lv-LV" sz="1300" b="1" kern="1200">
              <a:solidFill>
                <a:sysClr val="windowText" lastClr="000000"/>
              </a:solidFill>
              <a:latin typeface="Times New Roman" panose="02020603050405020304" pitchFamily="18" charset="0"/>
              <a:cs typeface="Times New Roman" panose="02020603050405020304" pitchFamily="18" charset="0"/>
            </a:rPr>
            <a:t>Papildu onkoloģijai</a:t>
          </a:r>
        </a:p>
        <a:p>
          <a:pPr lvl="0" algn="ctr" defTabSz="577850">
            <a:lnSpc>
              <a:spcPct val="90000"/>
            </a:lnSpc>
            <a:spcBef>
              <a:spcPct val="0"/>
            </a:spcBef>
            <a:spcAft>
              <a:spcPct val="35000"/>
            </a:spcAft>
          </a:pPr>
          <a:r>
            <a:rPr lang="lv-LV" sz="1400" b="1" kern="1200">
              <a:solidFill>
                <a:srgbClr val="C00000"/>
              </a:solidFill>
              <a:latin typeface="Times New Roman" panose="02020603050405020304" pitchFamily="18" charset="0"/>
              <a:cs typeface="Times New Roman" panose="02020603050405020304" pitchFamily="18" charset="0"/>
            </a:rPr>
            <a:t>4,0 milj. </a:t>
          </a:r>
          <a:r>
            <a:rPr lang="lv-LV" sz="1400" b="1" i="1" kern="1200">
              <a:solidFill>
                <a:srgbClr val="C00000"/>
              </a:solidFill>
              <a:latin typeface="Times New Roman" panose="02020603050405020304" pitchFamily="18" charset="0"/>
              <a:cs typeface="Times New Roman" panose="02020603050405020304" pitchFamily="18" charset="0"/>
            </a:rPr>
            <a:t>euro</a:t>
          </a:r>
          <a:endParaRPr lang="en-US" sz="1400" kern="1200">
            <a:solidFill>
              <a:srgbClr val="C00000"/>
            </a:solidFill>
            <a:latin typeface="Times New Roman" panose="02020603050405020304" pitchFamily="18" charset="0"/>
            <a:cs typeface="Times New Roman" panose="02020603050405020304" pitchFamily="18" charset="0"/>
          </a:endParaRPr>
        </a:p>
      </dsp:txBody>
      <dsp:txXfrm>
        <a:off x="2323480" y="182534"/>
        <a:ext cx="1411958" cy="876682"/>
      </dsp:txXfrm>
    </dsp:sp>
    <dsp:sp modelId="{4A33D6CF-34B3-47C6-A347-AD1FB470BE44}">
      <dsp:nvSpPr>
        <dsp:cNvPr id="0" name=""/>
        <dsp:cNvSpPr/>
      </dsp:nvSpPr>
      <dsp:spPr>
        <a:xfrm>
          <a:off x="175548" y="1358203"/>
          <a:ext cx="1654617" cy="1391662"/>
        </a:xfrm>
        <a:prstGeom prst="roundRect">
          <a:avLst>
            <a:gd name="adj" fmla="val 10000"/>
          </a:avLst>
        </a:prstGeom>
        <a:solidFill>
          <a:schemeClr val="accent6">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F972EDF6-0C87-4EB0-B5BD-07A5D7702D52}">
      <dsp:nvSpPr>
        <dsp:cNvPr id="0" name=""/>
        <dsp:cNvSpPr/>
      </dsp:nvSpPr>
      <dsp:spPr>
        <a:xfrm>
          <a:off x="338494" y="1513001"/>
          <a:ext cx="1654617" cy="1391662"/>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lv-LV" sz="1600" b="1" kern="1200">
              <a:solidFill>
                <a:srgbClr val="C00000"/>
              </a:solidFill>
              <a:latin typeface="Times New Roman" panose="02020603050405020304" pitchFamily="18" charset="0"/>
              <a:cs typeface="Times New Roman" panose="02020603050405020304" pitchFamily="18" charset="0"/>
            </a:rPr>
            <a:t>+ 6 285</a:t>
          </a:r>
        </a:p>
        <a:p>
          <a:pPr lvl="0" algn="ctr" defTabSz="7112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Pacientiem nodrošināti diagnostiskie izmeklējumi onkoloģijā sekundārajā ambulatorajā veselības aprūpē</a:t>
          </a:r>
          <a:endParaRPr lang="en-US" sz="1200" kern="1200">
            <a:latin typeface="Times New Roman" panose="02020603050405020304" pitchFamily="18" charset="0"/>
            <a:cs typeface="Times New Roman" panose="02020603050405020304" pitchFamily="18" charset="0"/>
          </a:endParaRPr>
        </a:p>
      </dsp:txBody>
      <dsp:txXfrm>
        <a:off x="379254" y="1553761"/>
        <a:ext cx="1573097" cy="1310142"/>
      </dsp:txXfrm>
    </dsp:sp>
    <dsp:sp modelId="{24F748F1-A1D1-463F-90E7-4E63A5D05763}">
      <dsp:nvSpPr>
        <dsp:cNvPr id="0" name=""/>
        <dsp:cNvSpPr/>
      </dsp:nvSpPr>
      <dsp:spPr>
        <a:xfrm>
          <a:off x="2156057" y="1358203"/>
          <a:ext cx="1466508" cy="1318029"/>
        </a:xfrm>
        <a:prstGeom prst="roundRect">
          <a:avLst>
            <a:gd name="adj" fmla="val 10000"/>
          </a:avLst>
        </a:prstGeom>
        <a:solidFill>
          <a:schemeClr val="accent6">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E7D14535-DC88-4FAB-99B4-61740D793CA3}">
      <dsp:nvSpPr>
        <dsp:cNvPr id="0" name=""/>
        <dsp:cNvSpPr/>
      </dsp:nvSpPr>
      <dsp:spPr>
        <a:xfrm>
          <a:off x="2319002" y="1513001"/>
          <a:ext cx="1466508" cy="1318029"/>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lv-LV" sz="1600" b="1" kern="1200">
              <a:solidFill>
                <a:srgbClr val="C00000"/>
              </a:solidFill>
              <a:latin typeface="Times New Roman" panose="02020603050405020304" pitchFamily="18" charset="0"/>
              <a:cs typeface="Times New Roman" panose="02020603050405020304" pitchFamily="18" charset="0"/>
            </a:rPr>
            <a:t>+1 399</a:t>
          </a:r>
        </a:p>
        <a:p>
          <a:pPr lvl="0" algn="ctr" defTabSz="7112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Stacionārā ārstēti onkoloģiskie pacienti</a:t>
          </a:r>
          <a:endParaRPr lang="en-US" sz="1200" kern="1200">
            <a:latin typeface="Times New Roman" panose="02020603050405020304" pitchFamily="18" charset="0"/>
            <a:cs typeface="Times New Roman" panose="02020603050405020304" pitchFamily="18" charset="0"/>
          </a:endParaRPr>
        </a:p>
      </dsp:txBody>
      <dsp:txXfrm>
        <a:off x="2357606" y="1551605"/>
        <a:ext cx="1389300" cy="1240821"/>
      </dsp:txXfrm>
    </dsp:sp>
    <dsp:sp modelId="{45B2833F-E1BB-4E4A-B65B-98F953DA3B0D}">
      <dsp:nvSpPr>
        <dsp:cNvPr id="0" name=""/>
        <dsp:cNvSpPr/>
      </dsp:nvSpPr>
      <dsp:spPr>
        <a:xfrm>
          <a:off x="3948456" y="1358203"/>
          <a:ext cx="1609023" cy="1369266"/>
        </a:xfrm>
        <a:prstGeom prst="roundRect">
          <a:avLst>
            <a:gd name="adj" fmla="val 10000"/>
          </a:avLst>
        </a:prstGeom>
        <a:solidFill>
          <a:schemeClr val="accent6">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260096B-653B-4E3C-9758-8128F4BC5E16}">
      <dsp:nvSpPr>
        <dsp:cNvPr id="0" name=""/>
        <dsp:cNvSpPr/>
      </dsp:nvSpPr>
      <dsp:spPr>
        <a:xfrm>
          <a:off x="4111402" y="1513001"/>
          <a:ext cx="1609023" cy="1369266"/>
        </a:xfrm>
        <a:prstGeom prst="roundRect">
          <a:avLst>
            <a:gd name="adj" fmla="val 10000"/>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lv-LV" sz="1600" b="1" kern="1200">
              <a:solidFill>
                <a:srgbClr val="C00000"/>
              </a:solidFill>
              <a:latin typeface="Times New Roman" panose="02020603050405020304" pitchFamily="18" charset="0"/>
              <a:cs typeface="Times New Roman" panose="02020603050405020304" pitchFamily="18" charset="0"/>
            </a:rPr>
            <a:t>+ 2 172</a:t>
          </a:r>
        </a:p>
        <a:p>
          <a:pPr lvl="0" algn="ctr" defTabSz="711200">
            <a:lnSpc>
              <a:spcPct val="90000"/>
            </a:lnSpc>
            <a:spcBef>
              <a:spcPct val="0"/>
            </a:spcBef>
            <a:spcAft>
              <a:spcPct val="35000"/>
            </a:spcAft>
          </a:pPr>
          <a:r>
            <a:rPr lang="lv-LV" sz="1200" kern="1200">
              <a:latin typeface="Times New Roman" panose="02020603050405020304" pitchFamily="18" charset="0"/>
              <a:cs typeface="Times New Roman" panose="02020603050405020304" pitchFamily="18" charset="0"/>
            </a:rPr>
            <a:t>No jauna atklāti onkoloģiskie pacienti nodrošināti ar valsts kompensējamiem medikamentiem ambulatorai ārstēšanai</a:t>
          </a:r>
          <a:endParaRPr lang="en-US" sz="1200" kern="1200">
            <a:latin typeface="Times New Roman" panose="02020603050405020304" pitchFamily="18" charset="0"/>
            <a:cs typeface="Times New Roman" panose="02020603050405020304" pitchFamily="18" charset="0"/>
          </a:endParaRPr>
        </a:p>
      </dsp:txBody>
      <dsp:txXfrm>
        <a:off x="4151506" y="1553105"/>
        <a:ext cx="1528815" cy="1289058"/>
      </dsp:txXfrm>
    </dsp:sp>
  </dsp:spTree>
</dsp:drawing>
</file>

<file path=word/diagrams/layout1.xml><?xml version="1.0" encoding="utf-8"?>
<dgm:layoutDef xmlns:dgm="http://schemas.openxmlformats.org/drawingml/2006/diagram" xmlns:a="http://schemas.openxmlformats.org/drawingml/2006/main" uniqueId="urn:microsoft.com/office/officeart/2008/layout/TitlePictureLineup">
  <dgm:title val=""/>
  <dgm:desc val=""/>
  <dgm:catLst>
    <dgm:cat type="picture" pri="18000"/>
    <dgm:cat type="pictureconvert" pri="18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dir/>
    </dgm:varLst>
    <dgm:choose name="Name1">
      <dgm:if name="Name2" func="var" arg="dir" op="equ" val="norm">
        <dgm:alg type="lin">
          <dgm:param type="linDir" val="fromL"/>
          <dgm:param type="fallback" val="1D"/>
          <dgm:param type="horzAlign" val="ctr"/>
          <dgm:param type="vertAlign" val="mid"/>
          <dgm:param type="nodeVertAlign" val="t"/>
        </dgm:alg>
      </dgm:if>
      <dgm:else name="Name3">
        <dgm:alg type="lin">
          <dgm:param type="linDir" val="fromR"/>
          <dgm:param type="fallback" val="1D"/>
          <dgm:param type="horzAlign" val="ctr"/>
          <dgm:param type="vertAlign" val="mid"/>
          <dgm:param type="nodeVertAlign" val="t"/>
        </dgm:alg>
      </dgm:else>
    </dgm:choose>
    <dgm:shape xmlns:r="http://schemas.openxmlformats.org/officeDocument/2006/relationships" r:blip="">
      <dgm:adjLst/>
    </dgm:shape>
    <dgm:constrLst>
      <dgm:constr type="h" for="des" forName="Child" op="equ"/>
      <dgm:constr type="w" for="des" forName="Child" op="equ"/>
      <dgm:constr type="h" for="des" forName="Accent" op="equ"/>
      <dgm:constr type="w" for="des" forName="Accent" op="equ"/>
      <dgm:constr type="primFontSz" for="des" forName="Parent" op="equ"/>
      <dgm:constr type="primFontSz" for="des" forName="Child" op="equ"/>
      <dgm:constr type="w" for="ch" forName="composite" refType="w"/>
      <dgm:constr type="h" for="ch" forName="composite" refType="h"/>
      <dgm:constr type="sp" refType="w" refFor="ch" refForName="composite" op="equ" fact="0.1"/>
      <dgm:constr type="w" for="ch" forName="sibTrans" refType="w" refFor="ch" refForName="composite" op="equ" fact="0.05"/>
      <dgm:constr type="h" for="ch" forName="sibTrans" refType="w" refFor="ch" refForName="sibTrans" op="equ"/>
    </dgm:constrLst>
    <dgm:forEach name="nodesForEach" axis="ch" ptType="node">
      <dgm:layoutNode name="composite">
        <dgm:alg type="composite">
          <dgm:param type="ar" val="0.5"/>
        </dgm:alg>
        <dgm:shape xmlns:r="http://schemas.openxmlformats.org/officeDocument/2006/relationships" r:blip="">
          <dgm:adjLst/>
        </dgm:shape>
        <dgm:choose name="Name4">
          <dgm:if name="Name5" func="var" arg="dir" op="equ" val="norm">
            <dgm:constrLst>
              <dgm:constr type="l" for="ch" forName="Parent" refType="w" fact="0"/>
              <dgm:constr type="t" for="ch" forName="Parent" refType="h" fact="0"/>
              <dgm:constr type="w" for="ch" forName="Parent" refType="w"/>
              <dgm:constr type="h" for="ch" forName="Parent" refType="h" fact="0.1"/>
              <dgm:constr type="l" for="ch" forName="Accent" refType="w" fact="0"/>
              <dgm:constr type="b" for="ch" forName="Accent" refType="h"/>
              <dgm:constr type="w" for="ch" forName="Accent" refType="w" fact="0"/>
              <dgm:constr type="h" for="ch" forName="Accent" refType="h" fact="0.9"/>
              <dgm:constr type="l" for="ch" forName="Image" refType="w" fact="0.05"/>
              <dgm:constr type="t" for="ch" forName="Image" refType="h" fact="0.13"/>
              <dgm:constr type="w" for="ch" forName="Image" refType="w" fact="0.9467"/>
              <dgm:constr type="h" for="ch" forName="Image" refType="h" fact="0.405"/>
              <dgm:constr type="l" for="ch" forName="Child" refType="w" fact="0.05"/>
              <dgm:constr type="t" for="ch" forName="Child" refType="h" fact="0.535"/>
              <dgm:constr type="w" for="ch" forName="Child" refType="w" fact="0.9467"/>
              <dgm:constr type="h" for="ch" forName="Child" refType="h" fact="0.465"/>
            </dgm:constrLst>
          </dgm:if>
          <dgm:else name="Name6">
            <dgm:constrLst>
              <dgm:constr type="l" for="ch" forName="Parent" refType="w" fact="0"/>
              <dgm:constr type="t" for="ch" forName="Parent" refType="h" fact="0"/>
              <dgm:constr type="w" for="ch" forName="Parent" refType="w"/>
              <dgm:constr type="h" for="ch" forName="Parent" refType="h" fact="0.1"/>
              <dgm:constr type="l" for="ch" forName="Accent" refType="w"/>
              <dgm:constr type="b" for="ch" forName="Accent" refType="h"/>
              <dgm:constr type="h" for="ch" forName="Accent" refType="h" fact="0.9"/>
              <dgm:constr type="l" for="ch" forName="Image" refType="w" fact="0"/>
              <dgm:constr type="t" for="ch" forName="Image" refType="h" fact="0.13"/>
              <dgm:constr type="w" for="ch" forName="Image" refType="w" fact="0.9467"/>
              <dgm:constr type="h" for="ch" forName="Image" refType="h" fact="0.405"/>
              <dgm:constr type="l" for="ch" forName="Child" refType="w" fact="0"/>
              <dgm:constr type="t" for="ch" forName="Child" refType="h" fact="0.535"/>
              <dgm:constr type="w" for="ch" forName="Child" refType="w" fact="0.9467"/>
              <dgm:constr type="h" for="ch" forName="Child" refType="h" fact="0.465"/>
            </dgm:constrLst>
          </dgm:else>
        </dgm:choose>
        <dgm:forEach name="Name7" axis="self" ptType="node">
          <dgm:layoutNode name="Accent" styleLbl="alignAcc1">
            <dgm:alg type="sp"/>
            <dgm:shape xmlns:r="http://schemas.openxmlformats.org/officeDocument/2006/relationships" type="line" r:blip="">
              <dgm:adjLst/>
            </dgm:shape>
            <dgm:presOf/>
          </dgm:layoutNode>
          <dgm:layoutNode name="Image">
            <dgm:alg type="sp"/>
            <dgm:shape xmlns:r="http://schemas.openxmlformats.org/officeDocument/2006/relationships" type="rect" r:blip="" blipPhldr="1">
              <dgm:adjLst/>
            </dgm:shape>
            <dgm:presOf/>
          </dgm:layoutNode>
          <dgm:layoutNode name="Child" styleLbl="revTx">
            <dgm:varLst>
              <dgm:bulletEnabled val="1"/>
            </dgm:varLst>
            <dgm:choose name="Name8">
              <dgm:if name="Name9" axis="ch" ptType="node" func="cnt" op="gt" val="1">
                <dgm:choose name="Name10">
                  <dgm:if name="Name11" func="var" arg="dir" op="equ" val="norm">
                    <dgm:alg type="tx">
                      <dgm:param type="shpTxLTRAlignCh" val="l"/>
                      <dgm:param type="shpTxRTLAlignCh" val="r"/>
                      <dgm:param type="txAnchorVert" val="t"/>
                      <dgm:param type="stBulletLvl" val="1"/>
                    </dgm:alg>
                  </dgm:if>
                  <dgm:else name="Name12">
                    <dgm:alg type="tx">
                      <dgm:param type="shpTxLTRAlignCh" val="l"/>
                      <dgm:param type="shpTxRTLAlignCh" val="r"/>
                      <dgm:param type="txAnchorVert" val="t"/>
                      <dgm:param type="stBulletLvl" val="1"/>
                    </dgm:alg>
                  </dgm:else>
                </dgm:choose>
              </dgm:if>
              <dgm:else name="Name13">
                <dgm:choose name="Name14">
                  <dgm:if name="Name15" func="var" arg="dir" op="equ" val="norm">
                    <dgm:alg type="tx">
                      <dgm:param type="shpTxLTRAlignCh" val="l"/>
                      <dgm:param type="shpTxRTLAlignCh" val="r"/>
                      <dgm:param type="txAnchorVert" val="t"/>
                      <dgm:param type="stBulletLvl" val="2"/>
                    </dgm:alg>
                  </dgm:if>
                  <dgm:else name="Name16">
                    <dgm:alg type="tx">
                      <dgm:param type="shpTxLTRAlignCh" val="l"/>
                      <dgm:param type="shpTxRTLAlignCh" val="r"/>
                      <dgm:param type="txAnchorVert" val="t"/>
                      <dgm:param type="stBulletLvl" val="2"/>
                    </dgm:alg>
                  </dgm:else>
                </dgm:choose>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Parent" styleLbl="alignNode1">
            <dgm:varLst>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0.28249</cdr:x>
      <cdr:y>0.05213</cdr:y>
    </cdr:from>
    <cdr:to>
      <cdr:x>0.68366</cdr:x>
      <cdr:y>0.24646</cdr:y>
    </cdr:to>
    <cdr:sp macro="" textlink="">
      <cdr:nvSpPr>
        <cdr:cNvPr id="2" name="Rounded Rectangle 1"/>
        <cdr:cNvSpPr/>
      </cdr:nvSpPr>
      <cdr:spPr>
        <a:xfrm xmlns:a="http://schemas.openxmlformats.org/drawingml/2006/main">
          <a:off x="1646719" y="140222"/>
          <a:ext cx="2338541" cy="522718"/>
        </a:xfrm>
        <a:prstGeom xmlns:a="http://schemas.openxmlformats.org/drawingml/2006/main" prst="round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b="1" dirty="0" smtClean="0">
              <a:latin typeface="Times New Roman" panose="02020603050405020304" pitchFamily="18" charset="0"/>
              <a:cs typeface="Times New Roman" panose="02020603050405020304" pitchFamily="18" charset="0"/>
            </a:rPr>
            <a:t>Kopā 232 rīkojumi (744 pieprasījumi no ministrijām) </a:t>
          </a:r>
          <a:endParaRPr lang="lv-LV" sz="1200" b="1" dirty="0">
            <a:latin typeface="Times New Roman" panose="02020603050405020304" pitchFamily="18" charset="0"/>
            <a:cs typeface="Times New Roman" panose="02020603050405020304" pitchFamily="18" charset="0"/>
          </a:endParaRPr>
        </a:p>
      </cdr:txBody>
    </cdr:sp>
  </cdr:relSizeAnchor>
</c:userShapes>
</file>

<file path=word/drawings/drawing10.xml><?xml version="1.0" encoding="utf-8"?>
<c:userShapes xmlns:c="http://schemas.openxmlformats.org/drawingml/2006/chart">
  <cdr:relSizeAnchor xmlns:cdr="http://schemas.openxmlformats.org/drawingml/2006/chartDrawing">
    <cdr:from>
      <cdr:x>0.12153</cdr:x>
      <cdr:y>0.23033</cdr:y>
    </cdr:from>
    <cdr:to>
      <cdr:x>0.27778</cdr:x>
      <cdr:y>0.33102</cdr:y>
    </cdr:to>
    <cdr:sp macro="" textlink="">
      <cdr:nvSpPr>
        <cdr:cNvPr id="2" name="Text Box 56"/>
        <cdr:cNvSpPr txBox="1"/>
      </cdr:nvSpPr>
      <cdr:spPr>
        <a:xfrm xmlns:a="http://schemas.openxmlformats.org/drawingml/2006/main">
          <a:off x="555620" y="631829"/>
          <a:ext cx="714375" cy="27621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lv-LV" sz="1000" b="1">
              <a:effectLst/>
              <a:latin typeface="Times New Roman" panose="02020603050405020304" pitchFamily="18" charset="0"/>
              <a:ea typeface="Calibri" panose="020F0502020204030204" pitchFamily="34" charset="0"/>
              <a:cs typeface="Times New Roman" panose="02020603050405020304" pitchFamily="18" charset="0"/>
            </a:rPr>
            <a:t>∑= 33,6</a:t>
          </a:r>
        </a:p>
      </cdr:txBody>
    </cdr:sp>
  </cdr:relSizeAnchor>
  <cdr:relSizeAnchor xmlns:cdr="http://schemas.openxmlformats.org/drawingml/2006/chartDrawing">
    <cdr:from>
      <cdr:x>0.34653</cdr:x>
      <cdr:y>0.20602</cdr:y>
    </cdr:from>
    <cdr:to>
      <cdr:x>0.50278</cdr:x>
      <cdr:y>0.30671</cdr:y>
    </cdr:to>
    <cdr:sp macro="" textlink="">
      <cdr:nvSpPr>
        <cdr:cNvPr id="3" name="Text Box 56"/>
        <cdr:cNvSpPr txBox="1"/>
      </cdr:nvSpPr>
      <cdr:spPr>
        <a:xfrm xmlns:a="http://schemas.openxmlformats.org/drawingml/2006/main">
          <a:off x="1584325" y="565150"/>
          <a:ext cx="714375" cy="2762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lv-LV" sz="1000" b="1">
              <a:effectLst/>
              <a:latin typeface="Times New Roman" panose="02020603050405020304" pitchFamily="18" charset="0"/>
              <a:ea typeface="Calibri" panose="020F0502020204030204" pitchFamily="34" charset="0"/>
              <a:cs typeface="Times New Roman" panose="02020603050405020304" pitchFamily="18" charset="0"/>
            </a:rPr>
            <a:t>∑= 33,8</a:t>
          </a:r>
        </a:p>
      </cdr:txBody>
    </cdr:sp>
  </cdr:relSizeAnchor>
  <cdr:relSizeAnchor xmlns:cdr="http://schemas.openxmlformats.org/drawingml/2006/chartDrawing">
    <cdr:from>
      <cdr:x>0.57361</cdr:x>
      <cdr:y>0.14005</cdr:y>
    </cdr:from>
    <cdr:to>
      <cdr:x>0.72986</cdr:x>
      <cdr:y>0.24074</cdr:y>
    </cdr:to>
    <cdr:sp macro="" textlink="">
      <cdr:nvSpPr>
        <cdr:cNvPr id="4" name="Text Box 56"/>
        <cdr:cNvSpPr txBox="1"/>
      </cdr:nvSpPr>
      <cdr:spPr>
        <a:xfrm xmlns:a="http://schemas.openxmlformats.org/drawingml/2006/main">
          <a:off x="2622550" y="384175"/>
          <a:ext cx="714375" cy="2762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lv-LV" sz="1000" b="1">
              <a:effectLst/>
              <a:latin typeface="Times New Roman" panose="02020603050405020304" pitchFamily="18" charset="0"/>
              <a:ea typeface="Calibri" panose="020F0502020204030204" pitchFamily="34" charset="0"/>
              <a:cs typeface="Times New Roman" panose="02020603050405020304" pitchFamily="18" charset="0"/>
            </a:rPr>
            <a:t>∑= 42,6</a:t>
          </a:r>
        </a:p>
      </cdr:txBody>
    </cdr:sp>
  </cdr:relSizeAnchor>
  <cdr:relSizeAnchor xmlns:cdr="http://schemas.openxmlformats.org/drawingml/2006/chartDrawing">
    <cdr:from>
      <cdr:x>0.79653</cdr:x>
      <cdr:y>0.13657</cdr:y>
    </cdr:from>
    <cdr:to>
      <cdr:x>0.95278</cdr:x>
      <cdr:y>0.23727</cdr:y>
    </cdr:to>
    <cdr:sp macro="" textlink="">
      <cdr:nvSpPr>
        <cdr:cNvPr id="5" name="Text Box 56"/>
        <cdr:cNvSpPr txBox="1"/>
      </cdr:nvSpPr>
      <cdr:spPr>
        <a:xfrm xmlns:a="http://schemas.openxmlformats.org/drawingml/2006/main">
          <a:off x="3641725" y="374650"/>
          <a:ext cx="714375" cy="2762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spcAft>
              <a:spcPts val="0"/>
            </a:spcAft>
          </a:pPr>
          <a:r>
            <a:rPr lang="lv-LV" sz="1000" b="1">
              <a:effectLst/>
              <a:latin typeface="Times New Roman" panose="02020603050405020304" pitchFamily="18" charset="0"/>
              <a:ea typeface="Calibri" panose="020F0502020204030204" pitchFamily="34" charset="0"/>
              <a:cs typeface="Times New Roman" panose="02020603050405020304" pitchFamily="18" charset="0"/>
            </a:rPr>
            <a:t>∑= 42,2</a:t>
          </a:r>
        </a:p>
      </cdr:txBody>
    </cdr:sp>
  </cdr:relSizeAnchor>
</c:userShapes>
</file>

<file path=word/drawings/drawing11.xml><?xml version="1.0" encoding="utf-8"?>
<c:userShapes xmlns:c="http://schemas.openxmlformats.org/drawingml/2006/chart">
  <cdr:relSizeAnchor xmlns:cdr="http://schemas.openxmlformats.org/drawingml/2006/chartDrawing">
    <cdr:from>
      <cdr:x>0.28804</cdr:x>
      <cdr:y>0.03427</cdr:y>
    </cdr:from>
    <cdr:to>
      <cdr:x>0.88891</cdr:x>
      <cdr:y>0.16846</cdr:y>
    </cdr:to>
    <cdr:sp macro="" textlink="">
      <cdr:nvSpPr>
        <cdr:cNvPr id="2" name="TextBox 2"/>
        <cdr:cNvSpPr txBox="1"/>
      </cdr:nvSpPr>
      <cdr:spPr>
        <a:xfrm xmlns:a="http://schemas.openxmlformats.org/drawingml/2006/main">
          <a:off x="1711970" y="104775"/>
          <a:ext cx="3571331" cy="410304"/>
        </a:xfrm>
        <a:prstGeom xmlns:a="http://schemas.openxmlformats.org/drawingml/2006/main" prst="rect">
          <a:avLst/>
        </a:prstGeom>
        <a:solidFill xmlns:a="http://schemas.openxmlformats.org/drawingml/2006/main">
          <a:schemeClr val="lt1"/>
        </a:solidFill>
        <a:ln xmlns:a="http://schemas.openxmlformats.org/drawingml/2006/main" w="9525" cmpd="sng">
          <a:solidFill>
            <a:srgbClr val="C00000"/>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00" b="1">
              <a:latin typeface="Times New Roman" panose="02020603050405020304" pitchFamily="18" charset="0"/>
              <a:cs typeface="Times New Roman" panose="02020603050405020304" pitchFamily="18" charset="0"/>
            </a:rPr>
            <a:t>Novirze plānotajiem atlikumiem no faktiskā atlikuma</a:t>
          </a:r>
          <a:endParaRPr lang="lv-LV" sz="1000" b="1" baseline="0">
            <a:latin typeface="Times New Roman" panose="02020603050405020304" pitchFamily="18" charset="0"/>
            <a:cs typeface="Times New Roman" panose="02020603050405020304" pitchFamily="18" charset="0"/>
          </a:endParaRPr>
        </a:p>
        <a:p xmlns:a="http://schemas.openxmlformats.org/drawingml/2006/main">
          <a:pPr algn="ctr"/>
          <a:r>
            <a:rPr lang="lv-LV" sz="1000" b="1" baseline="0">
              <a:latin typeface="Times New Roman" panose="02020603050405020304" pitchFamily="18" charset="0"/>
              <a:cs typeface="Times New Roman" panose="02020603050405020304" pitchFamily="18" charset="0"/>
            </a:rPr>
            <a:t>-78% 2015.gadā; -68% 2016. gadā un -66% 2017.gadā</a:t>
          </a:r>
        </a:p>
      </cdr:txBody>
    </cdr:sp>
  </cdr:relSizeAnchor>
</c:userShapes>
</file>

<file path=word/drawings/drawing12.xml><?xml version="1.0" encoding="utf-8"?>
<c:userShapes xmlns:c="http://schemas.openxmlformats.org/drawingml/2006/chart">
  <cdr:relSizeAnchor xmlns:cdr="http://schemas.openxmlformats.org/drawingml/2006/chartDrawing">
    <cdr:from>
      <cdr:x>0.34661</cdr:x>
      <cdr:y>0.1002</cdr:y>
    </cdr:from>
    <cdr:to>
      <cdr:x>0.92217</cdr:x>
      <cdr:y>0.47648</cdr:y>
    </cdr:to>
    <cdr:sp macro="" textlink="">
      <cdr:nvSpPr>
        <cdr:cNvPr id="2" name="TextBox 1"/>
        <cdr:cNvSpPr txBox="1"/>
      </cdr:nvSpPr>
      <cdr:spPr>
        <a:xfrm xmlns:a="http://schemas.openxmlformats.org/drawingml/2006/main">
          <a:off x="1824039" y="233363"/>
          <a:ext cx="3028950" cy="8763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0.40722</cdr:x>
      <cdr:y>0.11264</cdr:y>
    </cdr:from>
    <cdr:to>
      <cdr:x>0.96072</cdr:x>
      <cdr:y>0.2847</cdr:y>
    </cdr:to>
    <cdr:sp macro="" textlink="">
      <cdr:nvSpPr>
        <cdr:cNvPr id="3" name="TextBox 2"/>
        <cdr:cNvSpPr txBox="1"/>
      </cdr:nvSpPr>
      <cdr:spPr>
        <a:xfrm xmlns:a="http://schemas.openxmlformats.org/drawingml/2006/main">
          <a:off x="2288475" y="301484"/>
          <a:ext cx="3110531" cy="460516"/>
        </a:xfrm>
        <a:prstGeom xmlns:a="http://schemas.openxmlformats.org/drawingml/2006/main" prst="rect">
          <a:avLst/>
        </a:prstGeom>
        <a:solidFill xmlns:a="http://schemas.openxmlformats.org/drawingml/2006/main">
          <a:schemeClr val="bg1"/>
        </a:solidFill>
        <a:ln xmlns:a="http://schemas.openxmlformats.org/drawingml/2006/main">
          <a:solidFill>
            <a:srgbClr val="C00000"/>
          </a:solidFill>
        </a:ln>
      </cdr:spPr>
      <cdr:txBody>
        <a:bodyPr xmlns:a="http://schemas.openxmlformats.org/drawingml/2006/main" vertOverflow="clip" wrap="square" rtlCol="0"/>
        <a:lstStyle xmlns:a="http://schemas.openxmlformats.org/drawingml/2006/main"/>
        <a:p xmlns:a="http://schemas.openxmlformats.org/drawingml/2006/main">
          <a:pPr algn="ctr"/>
          <a:r>
            <a:rPr lang="lv-LV" sz="1100" b="1">
              <a:latin typeface="Times New Roman" panose="02020603050405020304" pitchFamily="18" charset="0"/>
              <a:cs typeface="Times New Roman" panose="02020603050405020304" pitchFamily="18" charset="0"/>
            </a:rPr>
            <a:t>Plānotajam atlikumam vidējā vēsturiskā novirze -70% no faktiskā atlikuma</a:t>
          </a:r>
        </a:p>
      </cdr:txBody>
    </cdr:sp>
  </cdr:relSizeAnchor>
</c:userShapes>
</file>

<file path=word/drawings/drawing13.xml><?xml version="1.0" encoding="utf-8"?>
<c:userShapes xmlns:c="http://schemas.openxmlformats.org/drawingml/2006/chart">
  <cdr:relSizeAnchor xmlns:cdr="http://schemas.openxmlformats.org/drawingml/2006/chartDrawing">
    <cdr:from>
      <cdr:x>0.27292</cdr:x>
      <cdr:y>0.03987</cdr:y>
    </cdr:from>
    <cdr:to>
      <cdr:x>0.83269</cdr:x>
      <cdr:y>0.13746</cdr:y>
    </cdr:to>
    <cdr:sp macro="" textlink="">
      <cdr:nvSpPr>
        <cdr:cNvPr id="3" name="TextBox 2"/>
        <cdr:cNvSpPr txBox="1"/>
      </cdr:nvSpPr>
      <cdr:spPr>
        <a:xfrm xmlns:a="http://schemas.openxmlformats.org/drawingml/2006/main">
          <a:off x="1570309" y="110511"/>
          <a:ext cx="3220766" cy="270489"/>
        </a:xfrm>
        <a:prstGeom xmlns:a="http://schemas.openxmlformats.org/drawingml/2006/main" prst="rect">
          <a:avLst/>
        </a:prstGeom>
        <a:ln xmlns:a="http://schemas.openxmlformats.org/drawingml/2006/main">
          <a:solidFill>
            <a:srgbClr val="C00000"/>
          </a:solidFill>
        </a:ln>
      </cdr:spPr>
      <cdr:txBody>
        <a:bodyPr xmlns:a="http://schemas.openxmlformats.org/drawingml/2006/main" vertOverflow="clip" wrap="square" rtlCol="0"/>
        <a:lstStyle xmlns:a="http://schemas.openxmlformats.org/drawingml/2006/main"/>
        <a:p xmlns:a="http://schemas.openxmlformats.org/drawingml/2006/main">
          <a:pPr algn="ctr"/>
          <a:r>
            <a:rPr lang="lv-LV" sz="1050" b="1">
              <a:latin typeface="Times New Roman" panose="02020603050405020304" pitchFamily="18" charset="0"/>
              <a:cs typeface="Times New Roman" panose="02020603050405020304" pitchFamily="18" charset="0"/>
            </a:rPr>
            <a:t>Kopējais</a:t>
          </a:r>
          <a:r>
            <a:rPr lang="lv-LV" sz="1050" b="1" baseline="0">
              <a:latin typeface="Times New Roman" panose="02020603050405020304" pitchFamily="18" charset="0"/>
              <a:cs typeface="Times New Roman" panose="02020603050405020304" pitchFamily="18" charset="0"/>
            </a:rPr>
            <a:t> neiestrādātais atlikums 2017.gadā 3,6 milj. </a:t>
          </a:r>
          <a:r>
            <a:rPr lang="lv-LV" sz="1050" b="1" i="1" baseline="0">
              <a:latin typeface="Times New Roman" panose="02020603050405020304" pitchFamily="18" charset="0"/>
              <a:cs typeface="Times New Roman" panose="02020603050405020304" pitchFamily="18" charset="0"/>
            </a:rPr>
            <a:t>euro</a:t>
          </a:r>
          <a:endParaRPr lang="lv-LV" sz="1050" b="1" i="1">
            <a:latin typeface="Times New Roman" panose="02020603050405020304" pitchFamily="18" charset="0"/>
            <a:cs typeface="Times New Roman" panose="02020603050405020304" pitchFamily="18" charset="0"/>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0.5932</cdr:x>
      <cdr:y>0.49531</cdr:y>
    </cdr:from>
    <cdr:to>
      <cdr:x>0.98383</cdr:x>
      <cdr:y>0.58451</cdr:y>
    </cdr:to>
    <cdr:sp macro="" textlink="">
      <cdr:nvSpPr>
        <cdr:cNvPr id="2" name="Text Box 1"/>
        <cdr:cNvSpPr txBox="1"/>
      </cdr:nvSpPr>
      <cdr:spPr>
        <a:xfrm xmlns:a="http://schemas.openxmlformats.org/drawingml/2006/main">
          <a:off x="3524250" y="2009775"/>
          <a:ext cx="2320743" cy="361950"/>
        </a:xfrm>
        <a:prstGeom xmlns:a="http://schemas.openxmlformats.org/drawingml/2006/main" prst="rect">
          <a:avLst/>
        </a:prstGeom>
        <a:solidFill xmlns:a="http://schemas.openxmlformats.org/drawingml/2006/main">
          <a:schemeClr val="bg1"/>
        </a:solidFill>
        <a:ln xmlns:a="http://schemas.openxmlformats.org/drawingml/2006/main" w="19050">
          <a:solidFill>
            <a:srgbClr val="FF0000"/>
          </a:solidFill>
        </a:ln>
      </cdr:spPr>
      <cdr:txBody>
        <a:bodyPr xmlns:a="http://schemas.openxmlformats.org/drawingml/2006/main" vertOverflow="clip" wrap="square" rtlCol="0"/>
        <a:lstStyle xmlns:a="http://schemas.openxmlformats.org/drawingml/2006/main"/>
        <a:p xmlns:a="http://schemas.openxmlformats.org/drawingml/2006/main">
          <a:r>
            <a:rPr lang="lv-LV" sz="900" b="0">
              <a:latin typeface="Times New Roman" panose="02020603050405020304" pitchFamily="18" charset="0"/>
              <a:cs typeface="Times New Roman" panose="02020603050405020304" pitchFamily="18" charset="0"/>
            </a:rPr>
            <a:t>Vidēji uz 1 amata vietu kopā - </a:t>
          </a:r>
          <a:r>
            <a:rPr lang="lv-LV" sz="900" b="1">
              <a:latin typeface="Times New Roman" panose="02020603050405020304" pitchFamily="18" charset="0"/>
              <a:cs typeface="Times New Roman" panose="02020603050405020304" pitchFamily="18" charset="0"/>
            </a:rPr>
            <a:t>374 </a:t>
          </a:r>
          <a:r>
            <a:rPr lang="lv-LV" sz="900" b="1" i="1">
              <a:latin typeface="Times New Roman" panose="02020603050405020304" pitchFamily="18" charset="0"/>
              <a:cs typeface="Times New Roman" panose="02020603050405020304" pitchFamily="18" charset="0"/>
            </a:rPr>
            <a:t>euro</a:t>
          </a:r>
          <a:r>
            <a:rPr lang="lv-LV" sz="900" b="0">
              <a:latin typeface="Times New Roman" panose="02020603050405020304" pitchFamily="18" charset="0"/>
              <a:cs typeface="Times New Roman" panose="02020603050405020304" pitchFamily="18" charset="0"/>
            </a:rPr>
            <a:t>, </a:t>
          </a:r>
          <a:r>
            <a:rPr lang="lv-LV" sz="900" b="1" i="1">
              <a:latin typeface="Times New Roman" panose="02020603050405020304" pitchFamily="18" charset="0"/>
              <a:cs typeface="Times New Roman" panose="02020603050405020304" pitchFamily="18" charset="0"/>
            </a:rPr>
            <a:t>vidējā aprēķinā nav iekļauta</a:t>
          </a:r>
          <a:r>
            <a:rPr lang="lv-LV" sz="900" b="1" i="1" baseline="0">
              <a:latin typeface="Times New Roman" panose="02020603050405020304" pitchFamily="18" charset="0"/>
              <a:cs typeface="Times New Roman" panose="02020603050405020304" pitchFamily="18" charset="0"/>
            </a:rPr>
            <a:t> ĀM un VPK</a:t>
          </a:r>
          <a:endParaRPr lang="lv-LV" sz="900" b="1" i="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0.72467</cdr:x>
      <cdr:y>0.58451</cdr:y>
    </cdr:from>
    <cdr:to>
      <cdr:x>0.78852</cdr:x>
      <cdr:y>0.70657</cdr:y>
    </cdr:to>
    <cdr:cxnSp macro="">
      <cdr:nvCxnSpPr>
        <cdr:cNvPr id="4" name="Straight Arrow Connector 3"/>
        <cdr:cNvCxnSpPr>
          <a:stCxn xmlns:a="http://schemas.openxmlformats.org/drawingml/2006/main" id="2" idx="2"/>
        </cdr:cNvCxnSpPr>
      </cdr:nvCxnSpPr>
      <cdr:spPr>
        <a:xfrm xmlns:a="http://schemas.openxmlformats.org/drawingml/2006/main" flipH="1">
          <a:off x="4305300" y="2371725"/>
          <a:ext cx="379322" cy="495300"/>
        </a:xfrm>
        <a:prstGeom xmlns:a="http://schemas.openxmlformats.org/drawingml/2006/main" prst="straightConnector1">
          <a:avLst/>
        </a:prstGeom>
        <a:ln xmlns:a="http://schemas.openxmlformats.org/drawingml/2006/main" w="19050">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0.44089</cdr:x>
      <cdr:y>0.06103</cdr:y>
    </cdr:from>
    <cdr:to>
      <cdr:x>0.4425</cdr:x>
      <cdr:y>0.777</cdr:y>
    </cdr:to>
    <cdr:cxnSp macro="">
      <cdr:nvCxnSpPr>
        <cdr:cNvPr id="5" name="Straight Connector 4"/>
        <cdr:cNvCxnSpPr/>
      </cdr:nvCxnSpPr>
      <cdr:spPr>
        <a:xfrm xmlns:a="http://schemas.openxmlformats.org/drawingml/2006/main" flipH="1">
          <a:off x="2619354" y="256358"/>
          <a:ext cx="9565" cy="3007450"/>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0.57396</cdr:x>
      <cdr:y>0.36329</cdr:y>
    </cdr:from>
    <cdr:to>
      <cdr:x>0.90263</cdr:x>
      <cdr:y>0.42432</cdr:y>
    </cdr:to>
    <cdr:sp macro="" textlink="">
      <cdr:nvSpPr>
        <cdr:cNvPr id="6" name="Text Box 5"/>
        <cdr:cNvSpPr txBox="1"/>
      </cdr:nvSpPr>
      <cdr:spPr>
        <a:xfrm xmlns:a="http://schemas.openxmlformats.org/drawingml/2006/main">
          <a:off x="3409949" y="1526013"/>
          <a:ext cx="1952626" cy="256369"/>
        </a:xfrm>
        <a:prstGeom xmlns:a="http://schemas.openxmlformats.org/drawingml/2006/main" prst="rect">
          <a:avLst/>
        </a:prstGeom>
        <a:ln xmlns:a="http://schemas.openxmlformats.org/drawingml/2006/main" w="19050">
          <a:solidFill>
            <a:srgbClr val="00B050"/>
          </a:solidFill>
        </a:ln>
      </cdr:spPr>
      <cdr:style>
        <a:lnRef xmlns:a="http://schemas.openxmlformats.org/drawingml/2006/main" idx="2">
          <a:schemeClr val="accent3"/>
        </a:lnRef>
        <a:fillRef xmlns:a="http://schemas.openxmlformats.org/drawingml/2006/main" idx="1">
          <a:schemeClr val="lt1"/>
        </a:fillRef>
        <a:effectRef xmlns:a="http://schemas.openxmlformats.org/drawingml/2006/main" idx="0">
          <a:schemeClr val="accent3"/>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Ministrijas zem vidējā rādītāja</a:t>
          </a:r>
        </a:p>
      </cdr:txBody>
    </cdr:sp>
  </cdr:relSizeAnchor>
  <cdr:relSizeAnchor xmlns:cdr="http://schemas.openxmlformats.org/drawingml/2006/chartDrawing">
    <cdr:from>
      <cdr:x>0.18704</cdr:x>
      <cdr:y>0.14894</cdr:y>
    </cdr:from>
    <cdr:to>
      <cdr:x>0.41304</cdr:x>
      <cdr:y>0.58511</cdr:y>
    </cdr:to>
    <cdr:sp macro="" textlink="">
      <cdr:nvSpPr>
        <cdr:cNvPr id="11" name="Text Box 10"/>
        <cdr:cNvSpPr txBox="1"/>
      </cdr:nvSpPr>
      <cdr:spPr>
        <a:xfrm xmlns:a="http://schemas.openxmlformats.org/drawingml/2006/main">
          <a:off x="1828800" y="800100"/>
          <a:ext cx="2209800" cy="2343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0.16069</cdr:x>
      <cdr:y>0.00469</cdr:y>
    </cdr:from>
    <cdr:to>
      <cdr:x>0.43608</cdr:x>
      <cdr:y>0.47166</cdr:y>
    </cdr:to>
    <cdr:sp macro="" textlink="">
      <cdr:nvSpPr>
        <cdr:cNvPr id="12" name="Text Box 11"/>
        <cdr:cNvSpPr txBox="1"/>
      </cdr:nvSpPr>
      <cdr:spPr>
        <a:xfrm xmlns:a="http://schemas.openxmlformats.org/drawingml/2006/main">
          <a:off x="954696" y="19721"/>
          <a:ext cx="1636104" cy="1961480"/>
        </a:xfrm>
        <a:prstGeom xmlns:a="http://schemas.openxmlformats.org/drawingml/2006/main" prst="rect">
          <a:avLst/>
        </a:prstGeom>
        <a:solidFill xmlns:a="http://schemas.openxmlformats.org/drawingml/2006/main">
          <a:schemeClr val="bg1">
            <a:lumMod val="95000"/>
          </a:schemeClr>
        </a:solidFill>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900" b="1" i="1">
              <a:latin typeface="Times New Roman" panose="02020603050405020304" pitchFamily="18" charset="0"/>
              <a:cs typeface="Times New Roman" panose="02020603050405020304" pitchFamily="18" charset="0"/>
            </a:rPr>
            <a:t>Potenciālais</a:t>
          </a:r>
          <a:r>
            <a:rPr lang="lv-LV" sz="900" b="1" i="1" baseline="0">
              <a:latin typeface="Times New Roman" panose="02020603050405020304" pitchFamily="18" charset="0"/>
              <a:cs typeface="Times New Roman" panose="02020603050405020304" pitchFamily="18" charset="0"/>
            </a:rPr>
            <a:t> papildus</a:t>
          </a:r>
          <a:r>
            <a:rPr lang="lv-LV" sz="900" b="1" i="1">
              <a:latin typeface="Times New Roman" panose="02020603050405020304" pitchFamily="18" charset="0"/>
              <a:cs typeface="Times New Roman" panose="02020603050405020304" pitchFamily="18" charset="0"/>
            </a:rPr>
            <a:t> finansējums 2018.gadā, euro</a:t>
          </a:r>
        </a:p>
        <a:p xmlns:a="http://schemas.openxmlformats.org/drawingml/2006/main">
          <a:r>
            <a:rPr lang="lv-LV" sz="900" b="0">
              <a:latin typeface="Times New Roman" panose="02020603050405020304" pitchFamily="18" charset="0"/>
              <a:cs typeface="Times New Roman" panose="02020603050405020304" pitchFamily="18" charset="0"/>
            </a:rPr>
            <a:t>ĀM	204 183</a:t>
          </a:r>
        </a:p>
        <a:p xmlns:a="http://schemas.openxmlformats.org/drawingml/2006/main">
          <a:r>
            <a:rPr lang="lv-LV" sz="900" b="0">
              <a:latin typeface="Times New Roman" panose="02020603050405020304" pitchFamily="18" charset="0"/>
              <a:cs typeface="Times New Roman" panose="02020603050405020304" pitchFamily="18" charset="0"/>
            </a:rPr>
            <a:t>EM	57</a:t>
          </a:r>
          <a:r>
            <a:rPr lang="lv-LV" sz="900" b="0" baseline="0">
              <a:latin typeface="Times New Roman" panose="02020603050405020304" pitchFamily="18" charset="0"/>
              <a:cs typeface="Times New Roman" panose="02020603050405020304" pitchFamily="18" charset="0"/>
            </a:rPr>
            <a:t> 143</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Saeima	42 025</a:t>
          </a:r>
        </a:p>
        <a:p xmlns:a="http://schemas.openxmlformats.org/drawingml/2006/main">
          <a:r>
            <a:rPr lang="lv-LV" sz="900" b="0">
              <a:latin typeface="Times New Roman" panose="02020603050405020304" pitchFamily="18" charset="0"/>
              <a:cs typeface="Times New Roman" panose="02020603050405020304" pitchFamily="18" charset="0"/>
            </a:rPr>
            <a:t>VPK	26</a:t>
          </a:r>
          <a:r>
            <a:rPr lang="lv-LV" sz="900" b="0" baseline="0">
              <a:latin typeface="Times New Roman" panose="02020603050405020304" pitchFamily="18" charset="0"/>
              <a:cs typeface="Times New Roman" panose="02020603050405020304" pitchFamily="18" charset="0"/>
            </a:rPr>
            <a:t> 595</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SM	16 400</a:t>
          </a:r>
        </a:p>
        <a:p xmlns:a="http://schemas.openxmlformats.org/drawingml/2006/main">
          <a:r>
            <a:rPr lang="lv-LV" sz="900" b="0">
              <a:latin typeface="Times New Roman" panose="02020603050405020304" pitchFamily="18" charset="0"/>
              <a:cs typeface="Times New Roman" panose="02020603050405020304" pitchFamily="18" charset="0"/>
            </a:rPr>
            <a:t>SPRK	16</a:t>
          </a:r>
          <a:r>
            <a:rPr lang="lv-LV" sz="900" b="0" baseline="0">
              <a:latin typeface="Times New Roman" panose="02020603050405020304" pitchFamily="18" charset="0"/>
              <a:cs typeface="Times New Roman" panose="02020603050405020304" pitchFamily="18" charset="0"/>
            </a:rPr>
            <a:t> 160</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MK	9</a:t>
          </a:r>
          <a:r>
            <a:rPr lang="lv-LV" sz="900" b="0" baseline="0">
              <a:latin typeface="Times New Roman" panose="02020603050405020304" pitchFamily="18" charset="0"/>
              <a:cs typeface="Times New Roman" panose="02020603050405020304" pitchFamily="18" charset="0"/>
            </a:rPr>
            <a:t> 613</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TB	4</a:t>
          </a:r>
          <a:r>
            <a:rPr lang="lv-LV" sz="900" b="0" baseline="0">
              <a:latin typeface="Times New Roman" panose="02020603050405020304" pitchFamily="18" charset="0"/>
              <a:cs typeface="Times New Roman" panose="02020603050405020304" pitchFamily="18" charset="0"/>
            </a:rPr>
            <a:t> 416</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PKC	2</a:t>
          </a:r>
          <a:r>
            <a:rPr lang="lv-LV" sz="900" b="0" baseline="0">
              <a:latin typeface="Times New Roman" panose="02020603050405020304" pitchFamily="18" charset="0"/>
              <a:cs typeface="Times New Roman" panose="02020603050405020304" pitchFamily="18" charset="0"/>
            </a:rPr>
            <a:t> 507</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RTV	2</a:t>
          </a:r>
          <a:r>
            <a:rPr lang="lv-LV" sz="900" b="0" baseline="0">
              <a:latin typeface="Times New Roman" panose="02020603050405020304" pitchFamily="18" charset="0"/>
              <a:cs typeface="Times New Roman" panose="02020603050405020304" pitchFamily="18" charset="0"/>
            </a:rPr>
            <a:t> 000</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CVK	1</a:t>
          </a:r>
          <a:r>
            <a:rPr lang="lv-LV" sz="900" b="0" baseline="0">
              <a:latin typeface="Times New Roman" panose="02020603050405020304" pitchFamily="18" charset="0"/>
              <a:cs typeface="Times New Roman" panose="02020603050405020304" pitchFamily="18" charset="0"/>
            </a:rPr>
            <a:t> 120</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1">
              <a:latin typeface="Times New Roman" panose="02020603050405020304" pitchFamily="18" charset="0"/>
              <a:cs typeface="Times New Roman" panose="02020603050405020304" pitchFamily="18" charset="0"/>
            </a:rPr>
            <a:t>KOPĀ	3</a:t>
          </a:r>
          <a:r>
            <a:rPr lang="lv-LV" sz="900" b="1" baseline="0">
              <a:latin typeface="Times New Roman" panose="02020603050405020304" pitchFamily="18" charset="0"/>
              <a:cs typeface="Times New Roman" panose="02020603050405020304" pitchFamily="18" charset="0"/>
            </a:rPr>
            <a:t>82 162</a:t>
          </a:r>
          <a:r>
            <a:rPr lang="lv-LV" sz="900" b="1">
              <a:latin typeface="Times New Roman" panose="02020603050405020304" pitchFamily="18" charset="0"/>
              <a:cs typeface="Times New Roman" panose="02020603050405020304" pitchFamily="18" charset="0"/>
            </a:rPr>
            <a:t> </a:t>
          </a:r>
        </a:p>
        <a:p xmlns:a="http://schemas.openxmlformats.org/drawingml/2006/main">
          <a:endParaRPr lang="lv-LV" sz="105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0.4425</cdr:x>
      <cdr:y>0.40136</cdr:y>
    </cdr:from>
    <cdr:to>
      <cdr:x>0.57236</cdr:x>
      <cdr:y>0.40136</cdr:y>
    </cdr:to>
    <cdr:cxnSp macro="">
      <cdr:nvCxnSpPr>
        <cdr:cNvPr id="14" name="Straight Arrow Connector 13"/>
        <cdr:cNvCxnSpPr/>
      </cdr:nvCxnSpPr>
      <cdr:spPr>
        <a:xfrm xmlns:a="http://schemas.openxmlformats.org/drawingml/2006/main">
          <a:off x="2628900" y="1685925"/>
          <a:ext cx="771525" cy="0"/>
        </a:xfrm>
        <a:prstGeom xmlns:a="http://schemas.openxmlformats.org/drawingml/2006/main" prst="straightConnector1">
          <a:avLst/>
        </a:prstGeom>
        <a:ln xmlns:a="http://schemas.openxmlformats.org/drawingml/2006/main" w="19050">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0.61437</cdr:x>
      <cdr:y>0.4405</cdr:y>
    </cdr:from>
    <cdr:to>
      <cdr:x>0.9968</cdr:x>
      <cdr:y>0.53214</cdr:y>
    </cdr:to>
    <cdr:sp macro="" textlink="">
      <cdr:nvSpPr>
        <cdr:cNvPr id="2" name="Text Box 1"/>
        <cdr:cNvSpPr txBox="1"/>
      </cdr:nvSpPr>
      <cdr:spPr>
        <a:xfrm xmlns:a="http://schemas.openxmlformats.org/drawingml/2006/main">
          <a:off x="3649988" y="2026546"/>
          <a:ext cx="2272040" cy="421597"/>
        </a:xfrm>
        <a:prstGeom xmlns:a="http://schemas.openxmlformats.org/drawingml/2006/main" prst="rect">
          <a:avLst/>
        </a:prstGeom>
        <a:ln xmlns:a="http://schemas.openxmlformats.org/drawingml/2006/main" w="19050">
          <a:solidFill>
            <a:srgbClr val="FF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Vidēji uz 1 amata vietu kopā - </a:t>
          </a:r>
          <a:r>
            <a:rPr lang="lv-LV" sz="1000" b="1">
              <a:latin typeface="Times New Roman" panose="02020603050405020304" pitchFamily="18" charset="0"/>
              <a:cs typeface="Times New Roman" panose="02020603050405020304" pitchFamily="18" charset="0"/>
            </a:rPr>
            <a:t>314 </a:t>
          </a:r>
          <a:r>
            <a:rPr lang="lv-LV" sz="1000" b="1" i="1">
              <a:latin typeface="Times New Roman" panose="02020603050405020304" pitchFamily="18" charset="0"/>
              <a:cs typeface="Times New Roman" panose="02020603050405020304" pitchFamily="18" charset="0"/>
            </a:rPr>
            <a:t>euro</a:t>
          </a:r>
          <a:r>
            <a:rPr lang="lv-LV" sz="1000" b="0">
              <a:latin typeface="Times New Roman" panose="02020603050405020304" pitchFamily="18" charset="0"/>
              <a:cs typeface="Times New Roman" panose="02020603050405020304" pitchFamily="18" charset="0"/>
            </a:rPr>
            <a:t>, </a:t>
          </a:r>
          <a:r>
            <a:rPr lang="lv-LV" sz="1000" b="1" i="1">
              <a:latin typeface="Times New Roman" panose="02020603050405020304" pitchFamily="18" charset="0"/>
              <a:cs typeface="Times New Roman" panose="02020603050405020304" pitchFamily="18" charset="0"/>
            </a:rPr>
            <a:t>vidējā aprēķinā nav iekļauta</a:t>
          </a:r>
          <a:r>
            <a:rPr lang="lv-LV" sz="1000" b="1" i="1" baseline="0">
              <a:latin typeface="Times New Roman" panose="02020603050405020304" pitchFamily="18" charset="0"/>
              <a:cs typeface="Times New Roman" panose="02020603050405020304" pitchFamily="18" charset="0"/>
            </a:rPr>
            <a:t> ĀM</a:t>
          </a:r>
        </a:p>
        <a:p xmlns:a="http://schemas.openxmlformats.org/drawingml/2006/main">
          <a:endParaRPr lang="lv-LV" sz="105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0.76159</cdr:x>
      <cdr:y>0.53214</cdr:y>
    </cdr:from>
    <cdr:to>
      <cdr:x>0.80558</cdr:x>
      <cdr:y>0.68507</cdr:y>
    </cdr:to>
    <cdr:cxnSp macro="">
      <cdr:nvCxnSpPr>
        <cdr:cNvPr id="3" name="Straight Arrow Connector 2"/>
        <cdr:cNvCxnSpPr>
          <a:stCxn xmlns:a="http://schemas.openxmlformats.org/drawingml/2006/main" id="2" idx="2"/>
        </cdr:cNvCxnSpPr>
      </cdr:nvCxnSpPr>
      <cdr:spPr>
        <a:xfrm xmlns:a="http://schemas.openxmlformats.org/drawingml/2006/main" flipH="1">
          <a:off x="4524631" y="2448143"/>
          <a:ext cx="261347" cy="703566"/>
        </a:xfrm>
        <a:prstGeom xmlns:a="http://schemas.openxmlformats.org/drawingml/2006/main" prst="straightConnector1">
          <a:avLst/>
        </a:prstGeom>
        <a:ln xmlns:a="http://schemas.openxmlformats.org/drawingml/2006/main" w="19050">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0.46013</cdr:x>
      <cdr:y>0.03313</cdr:y>
    </cdr:from>
    <cdr:to>
      <cdr:x>0.46174</cdr:x>
      <cdr:y>0.75408</cdr:y>
    </cdr:to>
    <cdr:cxnSp macro="">
      <cdr:nvCxnSpPr>
        <cdr:cNvPr id="6" name="Straight Connector 5"/>
        <cdr:cNvCxnSpPr/>
      </cdr:nvCxnSpPr>
      <cdr:spPr>
        <a:xfrm xmlns:a="http://schemas.openxmlformats.org/drawingml/2006/main" flipV="1">
          <a:off x="2733660" y="152400"/>
          <a:ext cx="9540" cy="3316794"/>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0.17107</cdr:x>
      <cdr:y>0.03465</cdr:y>
    </cdr:from>
    <cdr:to>
      <cdr:x>0.43288</cdr:x>
      <cdr:y>0.51346</cdr:y>
    </cdr:to>
    <cdr:sp macro="" textlink="">
      <cdr:nvSpPr>
        <cdr:cNvPr id="5" name="Text Box 4"/>
        <cdr:cNvSpPr txBox="1"/>
      </cdr:nvSpPr>
      <cdr:spPr>
        <a:xfrm xmlns:a="http://schemas.openxmlformats.org/drawingml/2006/main">
          <a:off x="1016337" y="159405"/>
          <a:ext cx="1555429" cy="2202796"/>
        </a:xfrm>
        <a:prstGeom xmlns:a="http://schemas.openxmlformats.org/drawingml/2006/main" prst="rect">
          <a:avLst/>
        </a:prstGeom>
        <a:solidFill xmlns:a="http://schemas.openxmlformats.org/drawingml/2006/main">
          <a:schemeClr val="bg1">
            <a:lumMod val="95000"/>
          </a:schemeClr>
        </a:solidFill>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900" b="1" i="1">
              <a:latin typeface="Times New Roman" panose="02020603050405020304" pitchFamily="18" charset="0"/>
              <a:cs typeface="Times New Roman" panose="02020603050405020304" pitchFamily="18" charset="0"/>
            </a:rPr>
            <a:t>Potenciālais papildus finansējums 2018.gadā, euro</a:t>
          </a:r>
        </a:p>
        <a:p xmlns:a="http://schemas.openxmlformats.org/drawingml/2006/main">
          <a:r>
            <a:rPr lang="lv-LV" sz="900" b="0" i="0">
              <a:latin typeface="Times New Roman" panose="02020603050405020304" pitchFamily="18" charset="0"/>
              <a:cs typeface="Times New Roman" panose="02020603050405020304" pitchFamily="18" charset="0"/>
            </a:rPr>
            <a:t>TM	263</a:t>
          </a:r>
          <a:r>
            <a:rPr lang="lv-LV" sz="900" b="0" i="0" baseline="0">
              <a:latin typeface="Times New Roman" panose="02020603050405020304" pitchFamily="18" charset="0"/>
              <a:cs typeface="Times New Roman" panose="02020603050405020304" pitchFamily="18" charset="0"/>
            </a:rPr>
            <a:t> 694</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ĀM	179</a:t>
          </a:r>
          <a:r>
            <a:rPr lang="lv-LV" sz="900" b="0" i="0" baseline="0">
              <a:latin typeface="Times New Roman" panose="02020603050405020304" pitchFamily="18" charset="0"/>
              <a:cs typeface="Times New Roman" panose="02020603050405020304" pitchFamily="18" charset="0"/>
            </a:rPr>
            <a:t> 821</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ZM	76</a:t>
          </a:r>
          <a:r>
            <a:rPr lang="lv-LV" sz="900" b="0" i="0" baseline="0">
              <a:latin typeface="Times New Roman" panose="02020603050405020304" pitchFamily="18" charset="0"/>
              <a:cs typeface="Times New Roman" panose="02020603050405020304" pitchFamily="18" charset="0"/>
            </a:rPr>
            <a:t> 207</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KM	69</a:t>
          </a:r>
          <a:r>
            <a:rPr lang="lv-LV" sz="900" b="0" i="0" baseline="0">
              <a:latin typeface="Times New Roman" panose="02020603050405020304" pitchFamily="18" charset="0"/>
              <a:cs typeface="Times New Roman" panose="02020603050405020304" pitchFamily="18" charset="0"/>
            </a:rPr>
            <a:t> 871</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VARAM	63</a:t>
          </a:r>
          <a:r>
            <a:rPr lang="lv-LV" sz="900" b="0" i="0" baseline="0">
              <a:latin typeface="Times New Roman" panose="02020603050405020304" pitchFamily="18" charset="0"/>
              <a:cs typeface="Times New Roman" panose="02020603050405020304" pitchFamily="18" charset="0"/>
            </a:rPr>
            <a:t> 898</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Prokuratūra	45</a:t>
          </a:r>
          <a:r>
            <a:rPr lang="lv-LV" sz="900" b="0" i="0" baseline="0">
              <a:latin typeface="Times New Roman" panose="02020603050405020304" pitchFamily="18" charset="0"/>
              <a:cs typeface="Times New Roman" panose="02020603050405020304" pitchFamily="18" charset="0"/>
            </a:rPr>
            <a:t> 611</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SM	14</a:t>
          </a:r>
          <a:r>
            <a:rPr lang="lv-LV" sz="900" b="0" i="0" baseline="0">
              <a:latin typeface="Times New Roman" panose="02020603050405020304" pitchFamily="18" charset="0"/>
              <a:cs typeface="Times New Roman" panose="02020603050405020304" pitchFamily="18" charset="0"/>
            </a:rPr>
            <a:t> 240</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SPRK	5</a:t>
          </a:r>
          <a:r>
            <a:rPr lang="lv-LV" sz="900" b="0" i="0" baseline="0">
              <a:latin typeface="Times New Roman" panose="02020603050405020304" pitchFamily="18" charset="0"/>
              <a:cs typeface="Times New Roman" panose="02020603050405020304" pitchFamily="18" charset="0"/>
            </a:rPr>
            <a:t> 506</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VPK	2</a:t>
          </a:r>
          <a:r>
            <a:rPr lang="lv-LV" sz="900" b="0" i="0" baseline="0">
              <a:latin typeface="Times New Roman" panose="02020603050405020304" pitchFamily="18" charset="0"/>
              <a:cs typeface="Times New Roman" panose="02020603050405020304" pitchFamily="18" charset="0"/>
            </a:rPr>
            <a:t> 860</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SIF	1</a:t>
          </a:r>
          <a:r>
            <a:rPr lang="lv-LV" sz="900" b="0" i="0" baseline="0">
              <a:latin typeface="Times New Roman" panose="02020603050405020304" pitchFamily="18" charset="0"/>
              <a:cs typeface="Times New Roman" panose="02020603050405020304" pitchFamily="18" charset="0"/>
            </a:rPr>
            <a:t> 299</a:t>
          </a:r>
          <a:endParaRPr lang="lv-LV" sz="900" b="0" i="0">
            <a:latin typeface="Times New Roman" panose="02020603050405020304" pitchFamily="18" charset="0"/>
            <a:cs typeface="Times New Roman" panose="02020603050405020304" pitchFamily="18" charset="0"/>
          </a:endParaRPr>
        </a:p>
        <a:p xmlns:a="http://schemas.openxmlformats.org/drawingml/2006/main">
          <a:r>
            <a:rPr lang="lv-LV" sz="900" b="0" i="0">
              <a:latin typeface="Times New Roman" panose="02020603050405020304" pitchFamily="18" charset="0"/>
              <a:cs typeface="Times New Roman" panose="02020603050405020304" pitchFamily="18" charset="0"/>
            </a:rPr>
            <a:t>RTV	730</a:t>
          </a:r>
        </a:p>
        <a:p xmlns:a="http://schemas.openxmlformats.org/drawingml/2006/main">
          <a:r>
            <a:rPr lang="lv-LV" sz="900" b="0" i="0">
              <a:latin typeface="Times New Roman" panose="02020603050405020304" pitchFamily="18" charset="0"/>
              <a:cs typeface="Times New Roman" panose="02020603050405020304" pitchFamily="18" charset="0"/>
            </a:rPr>
            <a:t>CZK	228</a:t>
          </a:r>
        </a:p>
        <a:p xmlns:a="http://schemas.openxmlformats.org/drawingml/2006/main">
          <a:r>
            <a:rPr lang="lv-LV" sz="900" b="1" i="0">
              <a:latin typeface="Times New Roman" panose="02020603050405020304" pitchFamily="18" charset="0"/>
              <a:cs typeface="Times New Roman" panose="02020603050405020304" pitchFamily="18" charset="0"/>
            </a:rPr>
            <a:t>KOPĀ	723</a:t>
          </a:r>
          <a:r>
            <a:rPr lang="lv-LV" sz="900" b="1" i="0" baseline="0">
              <a:latin typeface="Times New Roman" panose="02020603050405020304" pitchFamily="18" charset="0"/>
              <a:cs typeface="Times New Roman" panose="02020603050405020304" pitchFamily="18" charset="0"/>
            </a:rPr>
            <a:t> 965</a:t>
          </a:r>
          <a:endParaRPr lang="lv-LV" sz="900" b="1" i="0">
            <a:latin typeface="Times New Roman" panose="02020603050405020304" pitchFamily="18" charset="0"/>
            <a:cs typeface="Times New Roman" panose="02020603050405020304" pitchFamily="18" charset="0"/>
          </a:endParaRPr>
        </a:p>
        <a:p xmlns:a="http://schemas.openxmlformats.org/drawingml/2006/main">
          <a:endParaRPr lang="lv-LV" sz="1050" b="1" i="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0.46174</cdr:x>
      <cdr:y>0.33671</cdr:y>
    </cdr:from>
    <cdr:to>
      <cdr:x>0.56755</cdr:x>
      <cdr:y>0.33718</cdr:y>
    </cdr:to>
    <cdr:cxnSp macro="">
      <cdr:nvCxnSpPr>
        <cdr:cNvPr id="8" name="Straight Arrow Connector 7"/>
        <cdr:cNvCxnSpPr>
          <a:endCxn xmlns:a="http://schemas.openxmlformats.org/drawingml/2006/main" id="11" idx="1"/>
        </cdr:cNvCxnSpPr>
      </cdr:nvCxnSpPr>
      <cdr:spPr>
        <a:xfrm xmlns:a="http://schemas.openxmlformats.org/drawingml/2006/main" flipV="1">
          <a:off x="2743200" y="1388682"/>
          <a:ext cx="628650" cy="1968"/>
        </a:xfrm>
        <a:prstGeom xmlns:a="http://schemas.openxmlformats.org/drawingml/2006/main" prst="straightConnector1">
          <a:avLst/>
        </a:prstGeom>
        <a:ln xmlns:a="http://schemas.openxmlformats.org/drawingml/2006/main" w="19050">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0.56755</cdr:x>
      <cdr:y>0.3036</cdr:y>
    </cdr:from>
    <cdr:to>
      <cdr:x>0.90744</cdr:x>
      <cdr:y>0.36981</cdr:y>
    </cdr:to>
    <cdr:sp macro="" textlink="">
      <cdr:nvSpPr>
        <cdr:cNvPr id="11" name="Text Box 10"/>
        <cdr:cNvSpPr txBox="1"/>
      </cdr:nvSpPr>
      <cdr:spPr>
        <a:xfrm xmlns:a="http://schemas.openxmlformats.org/drawingml/2006/main">
          <a:off x="3371850" y="1252146"/>
          <a:ext cx="2019300" cy="273072"/>
        </a:xfrm>
        <a:prstGeom xmlns:a="http://schemas.openxmlformats.org/drawingml/2006/main" prst="rect">
          <a:avLst/>
        </a:prstGeom>
        <a:ln xmlns:a="http://schemas.openxmlformats.org/drawingml/2006/main" w="19050">
          <a:solidFill>
            <a:srgbClr val="00B050"/>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Ministrijas zem vidējā rādītāja</a:t>
          </a:r>
        </a:p>
      </cdr:txBody>
    </cdr:sp>
  </cdr:relSizeAnchor>
</c:userShapes>
</file>

<file path=word/drawings/drawing16.xml><?xml version="1.0" encoding="utf-8"?>
<c:userShapes xmlns:c="http://schemas.openxmlformats.org/drawingml/2006/chart">
  <cdr:relSizeAnchor xmlns:cdr="http://schemas.openxmlformats.org/drawingml/2006/chartDrawing">
    <cdr:from>
      <cdr:x>0.61725</cdr:x>
      <cdr:y>0.36297</cdr:y>
    </cdr:from>
    <cdr:to>
      <cdr:x>0.99191</cdr:x>
      <cdr:y>0.40731</cdr:y>
    </cdr:to>
    <cdr:sp macro="" textlink="">
      <cdr:nvSpPr>
        <cdr:cNvPr id="2" name="Text Box 1"/>
        <cdr:cNvSpPr txBox="1"/>
      </cdr:nvSpPr>
      <cdr:spPr>
        <a:xfrm xmlns:a="http://schemas.openxmlformats.org/drawingml/2006/main">
          <a:off x="3667125" y="1932648"/>
          <a:ext cx="2225851" cy="236087"/>
        </a:xfrm>
        <a:prstGeom xmlns:a="http://schemas.openxmlformats.org/drawingml/2006/main" prst="rect">
          <a:avLst/>
        </a:prstGeom>
        <a:ln xmlns:a="http://schemas.openxmlformats.org/drawingml/2006/main" w="19050">
          <a:solidFill>
            <a:srgbClr val="FF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Vidēji uz 1 amata vietu kopā - </a:t>
          </a:r>
          <a:r>
            <a:rPr lang="lv-LV" sz="1000" b="1">
              <a:latin typeface="Times New Roman" panose="02020603050405020304" pitchFamily="18" charset="0"/>
              <a:cs typeface="Times New Roman" panose="02020603050405020304" pitchFamily="18" charset="0"/>
            </a:rPr>
            <a:t>147 </a:t>
          </a:r>
          <a:r>
            <a:rPr lang="lv-LV" sz="1000" b="1" i="1">
              <a:latin typeface="Times New Roman" panose="02020603050405020304" pitchFamily="18" charset="0"/>
              <a:cs typeface="Times New Roman" panose="02020603050405020304" pitchFamily="18" charset="0"/>
            </a:rPr>
            <a:t>euro</a:t>
          </a:r>
        </a:p>
      </cdr:txBody>
    </cdr:sp>
  </cdr:relSizeAnchor>
  <cdr:relSizeAnchor xmlns:cdr="http://schemas.openxmlformats.org/drawingml/2006/chartDrawing">
    <cdr:from>
      <cdr:x>0.7836</cdr:x>
      <cdr:y>0.40787</cdr:y>
    </cdr:from>
    <cdr:to>
      <cdr:x>0.87056</cdr:x>
      <cdr:y>0.54716</cdr:y>
    </cdr:to>
    <cdr:cxnSp macro="">
      <cdr:nvCxnSpPr>
        <cdr:cNvPr id="3" name="Straight Arrow Connector 2"/>
        <cdr:cNvCxnSpPr/>
      </cdr:nvCxnSpPr>
      <cdr:spPr>
        <a:xfrm xmlns:a="http://schemas.openxmlformats.org/drawingml/2006/main" flipH="1">
          <a:off x="4655426" y="2171700"/>
          <a:ext cx="516649" cy="741619"/>
        </a:xfrm>
        <a:prstGeom xmlns:a="http://schemas.openxmlformats.org/drawingml/2006/main" prst="straightConnector1">
          <a:avLst/>
        </a:prstGeom>
        <a:ln xmlns:a="http://schemas.openxmlformats.org/drawingml/2006/main" w="19050">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0.48578</cdr:x>
      <cdr:y>0.11628</cdr:y>
    </cdr:from>
    <cdr:to>
      <cdr:x>0.48899</cdr:x>
      <cdr:y>0.79821</cdr:y>
    </cdr:to>
    <cdr:cxnSp macro="">
      <cdr:nvCxnSpPr>
        <cdr:cNvPr id="6" name="Straight Connector 5"/>
        <cdr:cNvCxnSpPr/>
      </cdr:nvCxnSpPr>
      <cdr:spPr>
        <a:xfrm xmlns:a="http://schemas.openxmlformats.org/drawingml/2006/main" flipV="1">
          <a:off x="2886075" y="619125"/>
          <a:ext cx="19050" cy="3630932"/>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0.20805</cdr:x>
      <cdr:y>0.00346</cdr:y>
    </cdr:from>
    <cdr:to>
      <cdr:x>0.47938</cdr:x>
      <cdr:y>0.37388</cdr:y>
    </cdr:to>
    <cdr:sp macro="" textlink="">
      <cdr:nvSpPr>
        <cdr:cNvPr id="5" name="Text Box 4"/>
        <cdr:cNvSpPr txBox="1"/>
      </cdr:nvSpPr>
      <cdr:spPr>
        <a:xfrm xmlns:a="http://schemas.openxmlformats.org/drawingml/2006/main">
          <a:off x="1236017" y="18439"/>
          <a:ext cx="1611988" cy="1972285"/>
        </a:xfrm>
        <a:prstGeom xmlns:a="http://schemas.openxmlformats.org/drawingml/2006/main" prst="rect">
          <a:avLst/>
        </a:prstGeom>
        <a:solidFill xmlns:a="http://schemas.openxmlformats.org/drawingml/2006/main">
          <a:schemeClr val="bg1">
            <a:lumMod val="95000"/>
          </a:schemeClr>
        </a:solidFill>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800" b="1">
              <a:latin typeface="Times New Roman" panose="02020603050405020304" pitchFamily="18" charset="0"/>
              <a:cs typeface="Times New Roman" panose="02020603050405020304" pitchFamily="18" charset="0"/>
            </a:rPr>
            <a:t>Potenciālais papildus finansējums 2018.gadā, </a:t>
          </a:r>
          <a:r>
            <a:rPr lang="lv-LV" sz="800" b="1" i="1">
              <a:latin typeface="Times New Roman" panose="02020603050405020304" pitchFamily="18" charset="0"/>
              <a:cs typeface="Times New Roman" panose="02020603050405020304" pitchFamily="18" charset="0"/>
            </a:rPr>
            <a:t>euro</a:t>
          </a:r>
        </a:p>
        <a:p xmlns:a="http://schemas.openxmlformats.org/drawingml/2006/main">
          <a:r>
            <a:rPr lang="lv-LV" sz="800" b="0">
              <a:latin typeface="Times New Roman" panose="02020603050405020304" pitchFamily="18" charset="0"/>
              <a:cs typeface="Times New Roman" panose="02020603050405020304" pitchFamily="18" charset="0"/>
            </a:rPr>
            <a:t>FM	75</a:t>
          </a:r>
          <a:r>
            <a:rPr lang="lv-LV" sz="800" b="0" baseline="0">
              <a:latin typeface="Times New Roman" panose="02020603050405020304" pitchFamily="18" charset="0"/>
              <a:cs typeface="Times New Roman" panose="02020603050405020304" pitchFamily="18" charset="0"/>
            </a:rPr>
            <a:t> 498</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ZM	35</a:t>
          </a:r>
          <a:r>
            <a:rPr lang="lv-LV" sz="800" b="0" baseline="0">
              <a:latin typeface="Times New Roman" panose="02020603050405020304" pitchFamily="18" charset="0"/>
              <a:cs typeface="Times New Roman" panose="02020603050405020304" pitchFamily="18" charset="0"/>
            </a:rPr>
            <a:t> 194</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Prokuratūra	20</a:t>
          </a:r>
          <a:r>
            <a:rPr lang="lv-LV" sz="800" b="0" baseline="0">
              <a:latin typeface="Times New Roman" panose="02020603050405020304" pitchFamily="18" charset="0"/>
              <a:cs typeface="Times New Roman" panose="02020603050405020304" pitchFamily="18" charset="0"/>
            </a:rPr>
            <a:t> 097</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ĀM	16</a:t>
          </a:r>
          <a:r>
            <a:rPr lang="lv-LV" sz="800" b="0" baseline="0">
              <a:latin typeface="Times New Roman" panose="02020603050405020304" pitchFamily="18" charset="0"/>
              <a:cs typeface="Times New Roman" panose="02020603050405020304" pitchFamily="18" charset="0"/>
            </a:rPr>
            <a:t> 018</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Saeima	12</a:t>
          </a:r>
          <a:r>
            <a:rPr lang="lv-LV" sz="800" b="0" baseline="0">
              <a:latin typeface="Times New Roman" panose="02020603050405020304" pitchFamily="18" charset="0"/>
              <a:cs typeface="Times New Roman" panose="02020603050405020304" pitchFamily="18" charset="0"/>
            </a:rPr>
            <a:t> 242</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VARAM	12</a:t>
          </a:r>
          <a:r>
            <a:rPr lang="lv-LV" sz="800" b="0" baseline="0">
              <a:latin typeface="Times New Roman" panose="02020603050405020304" pitchFamily="18" charset="0"/>
              <a:cs typeface="Times New Roman" panose="02020603050405020304" pitchFamily="18" charset="0"/>
            </a:rPr>
            <a:t> 241</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AT	3</a:t>
          </a:r>
          <a:r>
            <a:rPr lang="lv-LV" sz="800" b="0" baseline="0">
              <a:latin typeface="Times New Roman" panose="02020603050405020304" pitchFamily="18" charset="0"/>
              <a:cs typeface="Times New Roman" panose="02020603050405020304" pitchFamily="18" charset="0"/>
            </a:rPr>
            <a:t> 583</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SM	3</a:t>
          </a:r>
          <a:r>
            <a:rPr lang="lv-LV" sz="800" b="0" baseline="0">
              <a:latin typeface="Times New Roman" panose="02020603050405020304" pitchFamily="18" charset="0"/>
              <a:cs typeface="Times New Roman" panose="02020603050405020304" pitchFamily="18" charset="0"/>
            </a:rPr>
            <a:t> 552</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MK	2</a:t>
          </a:r>
          <a:r>
            <a:rPr lang="lv-LV" sz="800" b="0" baseline="0">
              <a:latin typeface="Times New Roman" panose="02020603050405020304" pitchFamily="18" charset="0"/>
              <a:cs typeface="Times New Roman" panose="02020603050405020304" pitchFamily="18" charset="0"/>
            </a:rPr>
            <a:t> 334</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VPK	1</a:t>
          </a:r>
          <a:r>
            <a:rPr lang="lv-LV" sz="800" b="0" baseline="0">
              <a:latin typeface="Times New Roman" panose="02020603050405020304" pitchFamily="18" charset="0"/>
              <a:cs typeface="Times New Roman" panose="02020603050405020304" pitchFamily="18" charset="0"/>
            </a:rPr>
            <a:t> 210</a:t>
          </a:r>
          <a:endParaRPr lang="lv-LV" sz="800" b="0">
            <a:latin typeface="Times New Roman" panose="02020603050405020304" pitchFamily="18" charset="0"/>
            <a:cs typeface="Times New Roman" panose="02020603050405020304" pitchFamily="18" charset="0"/>
          </a:endParaRPr>
        </a:p>
        <a:p xmlns:a="http://schemas.openxmlformats.org/drawingml/2006/main">
          <a:r>
            <a:rPr lang="lv-LV" sz="800" b="0">
              <a:latin typeface="Times New Roman" panose="02020603050405020304" pitchFamily="18" charset="0"/>
              <a:cs typeface="Times New Roman" panose="02020603050405020304" pitchFamily="18" charset="0"/>
            </a:rPr>
            <a:t>ST	840</a:t>
          </a:r>
        </a:p>
        <a:p xmlns:a="http://schemas.openxmlformats.org/drawingml/2006/main">
          <a:r>
            <a:rPr lang="lv-LV" sz="800" b="0">
              <a:latin typeface="Times New Roman" panose="02020603050405020304" pitchFamily="18" charset="0"/>
              <a:cs typeface="Times New Roman" panose="02020603050405020304" pitchFamily="18" charset="0"/>
            </a:rPr>
            <a:t>PKC	593</a:t>
          </a:r>
        </a:p>
        <a:p xmlns:a="http://schemas.openxmlformats.org/drawingml/2006/main">
          <a:r>
            <a:rPr lang="lv-LV" sz="800" b="0">
              <a:latin typeface="Times New Roman" panose="02020603050405020304" pitchFamily="18" charset="0"/>
              <a:cs typeface="Times New Roman" panose="02020603050405020304" pitchFamily="18" charset="0"/>
            </a:rPr>
            <a:t>RTV	400</a:t>
          </a:r>
        </a:p>
        <a:p xmlns:a="http://schemas.openxmlformats.org/drawingml/2006/main">
          <a:r>
            <a:rPr lang="lv-LV" sz="800" b="1">
              <a:latin typeface="Times New Roman" panose="02020603050405020304" pitchFamily="18" charset="0"/>
              <a:cs typeface="Times New Roman" panose="02020603050405020304" pitchFamily="18" charset="0"/>
            </a:rPr>
            <a:t>KOPĀ	183</a:t>
          </a:r>
          <a:r>
            <a:rPr lang="lv-LV" sz="800" b="1" baseline="0">
              <a:latin typeface="Times New Roman" panose="02020603050405020304" pitchFamily="18" charset="0"/>
              <a:cs typeface="Times New Roman" panose="02020603050405020304" pitchFamily="18" charset="0"/>
            </a:rPr>
            <a:t> 802</a:t>
          </a:r>
          <a:endParaRPr lang="lv-LV" sz="800" b="1">
            <a:latin typeface="Times New Roman" panose="02020603050405020304" pitchFamily="18" charset="0"/>
            <a:cs typeface="Times New Roman" panose="02020603050405020304" pitchFamily="18" charset="0"/>
          </a:endParaRPr>
        </a:p>
        <a:p xmlns:a="http://schemas.openxmlformats.org/drawingml/2006/main">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0.60282</cdr:x>
      <cdr:y>0.23435</cdr:y>
    </cdr:from>
    <cdr:to>
      <cdr:x>0.92988</cdr:x>
      <cdr:y>0.28444</cdr:y>
    </cdr:to>
    <cdr:sp macro="" textlink="">
      <cdr:nvSpPr>
        <cdr:cNvPr id="10" name="Text Box 9"/>
        <cdr:cNvSpPr txBox="1"/>
      </cdr:nvSpPr>
      <cdr:spPr>
        <a:xfrm xmlns:a="http://schemas.openxmlformats.org/drawingml/2006/main">
          <a:off x="3581401" y="1247775"/>
          <a:ext cx="1943100" cy="266700"/>
        </a:xfrm>
        <a:prstGeom xmlns:a="http://schemas.openxmlformats.org/drawingml/2006/main" prst="rect">
          <a:avLst/>
        </a:prstGeom>
        <a:ln xmlns:a="http://schemas.openxmlformats.org/drawingml/2006/main" w="19050">
          <a:solidFill>
            <a:srgbClr val="00B050"/>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lv-LV" sz="1000">
              <a:latin typeface="Times New Roman" panose="02020603050405020304" pitchFamily="18" charset="0"/>
              <a:cs typeface="Times New Roman" panose="02020603050405020304" pitchFamily="18" charset="0"/>
            </a:rPr>
            <a:t>Ministrijas</a:t>
          </a:r>
          <a:r>
            <a:rPr lang="lv-LV" sz="1000" baseline="0">
              <a:latin typeface="Times New Roman" panose="02020603050405020304" pitchFamily="18" charset="0"/>
              <a:cs typeface="Times New Roman" panose="02020603050405020304" pitchFamily="18" charset="0"/>
            </a:rPr>
            <a:t> zem vidējā rādītāja</a:t>
          </a:r>
          <a:endParaRPr lang="lv-LV" sz="10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0.48899</cdr:x>
      <cdr:y>0.26297</cdr:y>
    </cdr:from>
    <cdr:to>
      <cdr:x>0.60282</cdr:x>
      <cdr:y>0.26297</cdr:y>
    </cdr:to>
    <cdr:cxnSp macro="">
      <cdr:nvCxnSpPr>
        <cdr:cNvPr id="14" name="Straight Arrow Connector 13"/>
        <cdr:cNvCxnSpPr/>
      </cdr:nvCxnSpPr>
      <cdr:spPr>
        <a:xfrm xmlns:a="http://schemas.openxmlformats.org/drawingml/2006/main">
          <a:off x="2905125" y="1400175"/>
          <a:ext cx="676275" cy="2"/>
        </a:xfrm>
        <a:prstGeom xmlns:a="http://schemas.openxmlformats.org/drawingml/2006/main" prst="straightConnector1">
          <a:avLst/>
        </a:prstGeom>
        <a:ln xmlns:a="http://schemas.openxmlformats.org/drawingml/2006/main" w="19050">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7.xml><?xml version="1.0" encoding="utf-8"?>
<c:userShapes xmlns:c="http://schemas.openxmlformats.org/drawingml/2006/chart">
  <cdr:relSizeAnchor xmlns:cdr="http://schemas.openxmlformats.org/drawingml/2006/chartDrawing">
    <cdr:from>
      <cdr:x>0.58038</cdr:x>
      <cdr:y>0.60062</cdr:y>
    </cdr:from>
    <cdr:to>
      <cdr:x>0.98921</cdr:x>
      <cdr:y>0.66478</cdr:y>
    </cdr:to>
    <cdr:sp macro="" textlink="">
      <cdr:nvSpPr>
        <cdr:cNvPr id="2" name="Text Box 1"/>
        <cdr:cNvSpPr txBox="1"/>
      </cdr:nvSpPr>
      <cdr:spPr>
        <a:xfrm xmlns:a="http://schemas.openxmlformats.org/drawingml/2006/main">
          <a:off x="3448052" y="3615584"/>
          <a:ext cx="2428883" cy="386230"/>
        </a:xfrm>
        <a:prstGeom xmlns:a="http://schemas.openxmlformats.org/drawingml/2006/main" prst="rect">
          <a:avLst/>
        </a:prstGeom>
        <a:ln xmlns:a="http://schemas.openxmlformats.org/drawingml/2006/main" w="19050">
          <a:solidFill>
            <a:srgbClr val="FF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Vidēji uz</a:t>
          </a:r>
          <a:r>
            <a:rPr lang="lv-LV" sz="1000" b="0" baseline="0">
              <a:latin typeface="Times New Roman" panose="02020603050405020304" pitchFamily="18" charset="0"/>
              <a:cs typeface="Times New Roman" panose="02020603050405020304" pitchFamily="18" charset="0"/>
            </a:rPr>
            <a:t> 1</a:t>
          </a:r>
          <a:r>
            <a:rPr lang="lv-LV" sz="1000" b="0">
              <a:latin typeface="Times New Roman" panose="02020603050405020304" pitchFamily="18" charset="0"/>
              <a:cs typeface="Times New Roman" panose="02020603050405020304" pitchFamily="18" charset="0"/>
            </a:rPr>
            <a:t> amata vietu kopā - </a:t>
          </a:r>
          <a:r>
            <a:rPr lang="lv-LV" sz="1000" b="1">
              <a:latin typeface="Times New Roman" panose="02020603050405020304" pitchFamily="18" charset="0"/>
              <a:cs typeface="Times New Roman" panose="02020603050405020304" pitchFamily="18" charset="0"/>
            </a:rPr>
            <a:t>57 </a:t>
          </a:r>
          <a:r>
            <a:rPr lang="lv-LV" sz="1000" b="1" i="1">
              <a:latin typeface="Times New Roman" panose="02020603050405020304" pitchFamily="18" charset="0"/>
              <a:cs typeface="Times New Roman" panose="02020603050405020304" pitchFamily="18" charset="0"/>
            </a:rPr>
            <a:t>euro</a:t>
          </a:r>
          <a:r>
            <a:rPr lang="lv-LV" sz="1000" b="0">
              <a:latin typeface="Times New Roman" panose="02020603050405020304" pitchFamily="18" charset="0"/>
              <a:cs typeface="Times New Roman" panose="02020603050405020304" pitchFamily="18" charset="0"/>
            </a:rPr>
            <a:t>, </a:t>
          </a:r>
          <a:r>
            <a:rPr lang="lv-LV" sz="1000" b="1" i="1">
              <a:latin typeface="Times New Roman" panose="02020603050405020304" pitchFamily="18" charset="0"/>
              <a:cs typeface="Times New Roman" panose="02020603050405020304" pitchFamily="18" charset="0"/>
            </a:rPr>
            <a:t>vidējā aprēķinā nav iekļauta VPK</a:t>
          </a:r>
        </a:p>
        <a:p xmlns:a="http://schemas.openxmlformats.org/drawingml/2006/main">
          <a:endParaRPr lang="lv-LV" sz="105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0.69261</cdr:x>
      <cdr:y>0.66335</cdr:y>
    </cdr:from>
    <cdr:to>
      <cdr:x>0.75353</cdr:x>
      <cdr:y>0.82721</cdr:y>
    </cdr:to>
    <cdr:cxnSp macro="">
      <cdr:nvCxnSpPr>
        <cdr:cNvPr id="3" name="Straight Arrow Connector 2"/>
        <cdr:cNvCxnSpPr/>
      </cdr:nvCxnSpPr>
      <cdr:spPr>
        <a:xfrm xmlns:a="http://schemas.openxmlformats.org/drawingml/2006/main" flipH="1">
          <a:off x="4114817" y="3993253"/>
          <a:ext cx="361929" cy="986404"/>
        </a:xfrm>
        <a:prstGeom xmlns:a="http://schemas.openxmlformats.org/drawingml/2006/main" prst="straightConnector1">
          <a:avLst/>
        </a:prstGeom>
        <a:ln xmlns:a="http://schemas.openxmlformats.org/drawingml/2006/main" w="19050">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0.47456</cdr:x>
      <cdr:y>0.01062</cdr:y>
    </cdr:from>
    <cdr:to>
      <cdr:x>0.47456</cdr:x>
      <cdr:y>0.84277</cdr:y>
    </cdr:to>
    <cdr:cxnSp macro="">
      <cdr:nvCxnSpPr>
        <cdr:cNvPr id="9" name="Straight Connector 8"/>
        <cdr:cNvCxnSpPr/>
      </cdr:nvCxnSpPr>
      <cdr:spPr>
        <a:xfrm xmlns:a="http://schemas.openxmlformats.org/drawingml/2006/main" flipH="1" flipV="1">
          <a:off x="2819389" y="64317"/>
          <a:ext cx="11" cy="5041083"/>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0.15552</cdr:x>
      <cdr:y>0.11664</cdr:y>
    </cdr:from>
    <cdr:to>
      <cdr:x>0.4441</cdr:x>
      <cdr:y>0.48698</cdr:y>
    </cdr:to>
    <cdr:sp macro="" textlink="">
      <cdr:nvSpPr>
        <cdr:cNvPr id="4" name="Text Box 3"/>
        <cdr:cNvSpPr txBox="1"/>
      </cdr:nvSpPr>
      <cdr:spPr>
        <a:xfrm xmlns:a="http://schemas.openxmlformats.org/drawingml/2006/main">
          <a:off x="923954" y="725480"/>
          <a:ext cx="1714471" cy="2303470"/>
        </a:xfrm>
        <a:prstGeom xmlns:a="http://schemas.openxmlformats.org/drawingml/2006/main" prst="rect">
          <a:avLst/>
        </a:prstGeom>
        <a:solidFill xmlns:a="http://schemas.openxmlformats.org/drawingml/2006/main">
          <a:schemeClr val="bg1">
            <a:lumMod val="95000"/>
          </a:schemeClr>
        </a:solidFill>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1000" b="1" i="1">
              <a:latin typeface="Times New Roman" panose="02020603050405020304" pitchFamily="18" charset="0"/>
              <a:cs typeface="Times New Roman" panose="02020603050405020304" pitchFamily="18" charset="0"/>
            </a:rPr>
            <a:t>Potenciālais papildus finansējums 2018.gadā, euro</a:t>
          </a:r>
        </a:p>
        <a:p xmlns:a="http://schemas.openxmlformats.org/drawingml/2006/main">
          <a:r>
            <a:rPr lang="lv-LV" sz="1000">
              <a:latin typeface="Times New Roman" panose="02020603050405020304" pitchFamily="18" charset="0"/>
              <a:cs typeface="Times New Roman" panose="02020603050405020304" pitchFamily="18" charset="0"/>
            </a:rPr>
            <a:t>VPK	23</a:t>
          </a:r>
          <a:r>
            <a:rPr lang="lv-LV" sz="1000" baseline="0">
              <a:latin typeface="Times New Roman" panose="02020603050405020304" pitchFamily="18" charset="0"/>
              <a:cs typeface="Times New Roman" panose="02020603050405020304" pitchFamily="18" charset="0"/>
            </a:rPr>
            <a:t> 900</a:t>
          </a:r>
          <a:endParaRPr lang="lv-LV" sz="1000">
            <a:latin typeface="Times New Roman" panose="02020603050405020304" pitchFamily="18" charset="0"/>
            <a:cs typeface="Times New Roman" panose="02020603050405020304" pitchFamily="18" charset="0"/>
          </a:endParaRPr>
        </a:p>
        <a:p xmlns:a="http://schemas.openxmlformats.org/drawingml/2006/main">
          <a:r>
            <a:rPr lang="lv-LV" sz="1000">
              <a:latin typeface="Times New Roman" panose="02020603050405020304" pitchFamily="18" charset="0"/>
              <a:cs typeface="Times New Roman" panose="02020603050405020304" pitchFamily="18" charset="0"/>
            </a:rPr>
            <a:t>ĀM	16</a:t>
          </a:r>
          <a:r>
            <a:rPr lang="lv-LV" sz="1000" baseline="0">
              <a:latin typeface="Times New Roman" panose="02020603050405020304" pitchFamily="18" charset="0"/>
              <a:cs typeface="Times New Roman" panose="02020603050405020304" pitchFamily="18" charset="0"/>
            </a:rPr>
            <a:t> 247</a:t>
          </a:r>
          <a:endParaRPr lang="lv-LV" sz="1000">
            <a:latin typeface="Times New Roman" panose="02020603050405020304" pitchFamily="18" charset="0"/>
            <a:cs typeface="Times New Roman" panose="02020603050405020304" pitchFamily="18" charset="0"/>
          </a:endParaRPr>
        </a:p>
        <a:p xmlns:a="http://schemas.openxmlformats.org/drawingml/2006/main">
          <a:r>
            <a:rPr lang="lv-LV" sz="1000">
              <a:latin typeface="Times New Roman" panose="02020603050405020304" pitchFamily="18" charset="0"/>
              <a:cs typeface="Times New Roman" panose="02020603050405020304" pitchFamily="18" charset="0"/>
            </a:rPr>
            <a:t>Saeima	6</a:t>
          </a:r>
          <a:r>
            <a:rPr lang="lv-LV" sz="1000" baseline="0">
              <a:latin typeface="Times New Roman" panose="02020603050405020304" pitchFamily="18" charset="0"/>
              <a:cs typeface="Times New Roman" panose="02020603050405020304" pitchFamily="18" charset="0"/>
            </a:rPr>
            <a:t> 074</a:t>
          </a:r>
          <a:endParaRPr lang="lv-LV" sz="1000">
            <a:latin typeface="Times New Roman" panose="02020603050405020304" pitchFamily="18" charset="0"/>
            <a:cs typeface="Times New Roman" panose="02020603050405020304" pitchFamily="18" charset="0"/>
          </a:endParaRPr>
        </a:p>
        <a:p xmlns:a="http://schemas.openxmlformats.org/drawingml/2006/main">
          <a:r>
            <a:rPr lang="lv-LV" sz="1000">
              <a:latin typeface="Times New Roman" panose="02020603050405020304" pitchFamily="18" charset="0"/>
              <a:cs typeface="Times New Roman" panose="02020603050405020304" pitchFamily="18" charset="0"/>
            </a:rPr>
            <a:t>MK	1</a:t>
          </a:r>
          <a:r>
            <a:rPr lang="lv-LV" sz="1000" baseline="0">
              <a:latin typeface="Times New Roman" panose="02020603050405020304" pitchFamily="18" charset="0"/>
              <a:cs typeface="Times New Roman" panose="02020603050405020304" pitchFamily="18" charset="0"/>
            </a:rPr>
            <a:t> 490</a:t>
          </a:r>
          <a:endParaRPr lang="lv-LV" sz="1000">
            <a:latin typeface="Times New Roman" panose="02020603050405020304" pitchFamily="18" charset="0"/>
            <a:cs typeface="Times New Roman" panose="02020603050405020304" pitchFamily="18" charset="0"/>
          </a:endParaRPr>
        </a:p>
        <a:p xmlns:a="http://schemas.openxmlformats.org/drawingml/2006/main">
          <a:r>
            <a:rPr lang="lv-LV" sz="1000">
              <a:latin typeface="Times New Roman" panose="02020603050405020304" pitchFamily="18" charset="0"/>
              <a:cs typeface="Times New Roman" panose="02020603050405020304" pitchFamily="18" charset="0"/>
            </a:rPr>
            <a:t>SM	911</a:t>
          </a:r>
        </a:p>
        <a:p xmlns:a="http://schemas.openxmlformats.org/drawingml/2006/main">
          <a:r>
            <a:rPr lang="lv-LV" sz="1000">
              <a:latin typeface="Times New Roman" panose="02020603050405020304" pitchFamily="18" charset="0"/>
              <a:cs typeface="Times New Roman" panose="02020603050405020304" pitchFamily="18" charset="0"/>
            </a:rPr>
            <a:t>SPRK	886</a:t>
          </a:r>
        </a:p>
        <a:p xmlns:a="http://schemas.openxmlformats.org/drawingml/2006/main">
          <a:r>
            <a:rPr lang="lv-LV" sz="1000">
              <a:latin typeface="Times New Roman" panose="02020603050405020304" pitchFamily="18" charset="0"/>
              <a:cs typeface="Times New Roman" panose="02020603050405020304" pitchFamily="18" charset="0"/>
            </a:rPr>
            <a:t>AT	885</a:t>
          </a:r>
        </a:p>
        <a:p xmlns:a="http://schemas.openxmlformats.org/drawingml/2006/main">
          <a:r>
            <a:rPr lang="lv-LV" sz="1000">
              <a:latin typeface="Times New Roman" panose="02020603050405020304" pitchFamily="18" charset="0"/>
              <a:cs typeface="Times New Roman" panose="02020603050405020304" pitchFamily="18" charset="0"/>
            </a:rPr>
            <a:t>CVK	250</a:t>
          </a:r>
        </a:p>
        <a:p xmlns:a="http://schemas.openxmlformats.org/drawingml/2006/main">
          <a:r>
            <a:rPr lang="lv-LV" sz="1000">
              <a:latin typeface="Times New Roman" panose="02020603050405020304" pitchFamily="18" charset="0"/>
              <a:cs typeface="Times New Roman" panose="02020603050405020304" pitchFamily="18" charset="0"/>
            </a:rPr>
            <a:t>TB	250</a:t>
          </a:r>
        </a:p>
        <a:p xmlns:a="http://schemas.openxmlformats.org/drawingml/2006/main">
          <a:r>
            <a:rPr lang="lv-LV" sz="1000">
              <a:latin typeface="Times New Roman" panose="02020603050405020304" pitchFamily="18" charset="0"/>
              <a:cs typeface="Times New Roman" panose="02020603050405020304" pitchFamily="18" charset="0"/>
            </a:rPr>
            <a:t>RTV	120</a:t>
          </a:r>
        </a:p>
        <a:p xmlns:a="http://schemas.openxmlformats.org/drawingml/2006/main">
          <a:r>
            <a:rPr lang="lv-LV" sz="1000">
              <a:latin typeface="Times New Roman" panose="02020603050405020304" pitchFamily="18" charset="0"/>
              <a:cs typeface="Times New Roman" panose="02020603050405020304" pitchFamily="18" charset="0"/>
            </a:rPr>
            <a:t>ST	120</a:t>
          </a:r>
        </a:p>
        <a:p xmlns:a="http://schemas.openxmlformats.org/drawingml/2006/main">
          <a:r>
            <a:rPr lang="lv-LV" sz="1000" b="1">
              <a:latin typeface="Times New Roman" panose="02020603050405020304" pitchFamily="18" charset="0"/>
              <a:cs typeface="Times New Roman" panose="02020603050405020304" pitchFamily="18" charset="0"/>
            </a:rPr>
            <a:t>KOPĀ	51</a:t>
          </a:r>
          <a:r>
            <a:rPr lang="lv-LV" sz="1000" b="1" baseline="0">
              <a:latin typeface="Times New Roman" panose="02020603050405020304" pitchFamily="18" charset="0"/>
              <a:cs typeface="Times New Roman" panose="02020603050405020304" pitchFamily="18" charset="0"/>
            </a:rPr>
            <a:t> 133</a:t>
          </a:r>
          <a:endParaRPr lang="lv-LV" sz="1000" b="1">
            <a:latin typeface="Times New Roman" panose="02020603050405020304" pitchFamily="18" charset="0"/>
            <a:cs typeface="Times New Roman" panose="02020603050405020304" pitchFamily="18" charset="0"/>
          </a:endParaRPr>
        </a:p>
        <a:p xmlns:a="http://schemas.openxmlformats.org/drawingml/2006/main">
          <a:endParaRPr lang="lv-LV" sz="1100"/>
        </a:p>
      </cdr:txBody>
    </cdr:sp>
  </cdr:relSizeAnchor>
  <cdr:relSizeAnchor xmlns:cdr="http://schemas.openxmlformats.org/drawingml/2006/chartDrawing">
    <cdr:from>
      <cdr:x>0.57964</cdr:x>
      <cdr:y>0.47442</cdr:y>
    </cdr:from>
    <cdr:to>
      <cdr:x>0.92507</cdr:x>
      <cdr:y>0.52067</cdr:y>
    </cdr:to>
    <cdr:sp macro="" textlink="">
      <cdr:nvSpPr>
        <cdr:cNvPr id="5" name="Text Box 4"/>
        <cdr:cNvSpPr txBox="1"/>
      </cdr:nvSpPr>
      <cdr:spPr>
        <a:xfrm xmlns:a="http://schemas.openxmlformats.org/drawingml/2006/main">
          <a:off x="3443680" y="2950818"/>
          <a:ext cx="2052245" cy="287682"/>
        </a:xfrm>
        <a:prstGeom xmlns:a="http://schemas.openxmlformats.org/drawingml/2006/main" prst="rect">
          <a:avLst/>
        </a:prstGeom>
        <a:ln xmlns:a="http://schemas.openxmlformats.org/drawingml/2006/main" w="19050">
          <a:solidFill>
            <a:srgbClr val="00B050"/>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Ministrijas zem vidējā rādītāja</a:t>
          </a:r>
        </a:p>
      </cdr:txBody>
    </cdr:sp>
  </cdr:relSizeAnchor>
  <cdr:relSizeAnchor xmlns:cdr="http://schemas.openxmlformats.org/drawingml/2006/chartDrawing">
    <cdr:from>
      <cdr:x>0.47456</cdr:x>
      <cdr:y>0.49755</cdr:y>
    </cdr:from>
    <cdr:to>
      <cdr:x>0.57964</cdr:x>
      <cdr:y>0.4977</cdr:y>
    </cdr:to>
    <cdr:cxnSp macro="">
      <cdr:nvCxnSpPr>
        <cdr:cNvPr id="12" name="Straight Arrow Connector 11"/>
        <cdr:cNvCxnSpPr>
          <a:endCxn xmlns:a="http://schemas.openxmlformats.org/drawingml/2006/main" id="5" idx="1"/>
        </cdr:cNvCxnSpPr>
      </cdr:nvCxnSpPr>
      <cdr:spPr>
        <a:xfrm xmlns:a="http://schemas.openxmlformats.org/drawingml/2006/main" flipV="1">
          <a:off x="2819400" y="3094659"/>
          <a:ext cx="624280" cy="966"/>
        </a:xfrm>
        <a:prstGeom xmlns:a="http://schemas.openxmlformats.org/drawingml/2006/main" prst="straightConnector1">
          <a:avLst/>
        </a:prstGeom>
        <a:ln xmlns:a="http://schemas.openxmlformats.org/drawingml/2006/main" w="19050">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8.xml><?xml version="1.0" encoding="utf-8"?>
<c:userShapes xmlns:c="http://schemas.openxmlformats.org/drawingml/2006/chart">
  <cdr:relSizeAnchor xmlns:cdr="http://schemas.openxmlformats.org/drawingml/2006/chartDrawing">
    <cdr:from>
      <cdr:x>0.5435</cdr:x>
      <cdr:y>0.51901</cdr:y>
    </cdr:from>
    <cdr:to>
      <cdr:x>0.96195</cdr:x>
      <cdr:y>0.59716</cdr:y>
    </cdr:to>
    <cdr:sp macro="" textlink="">
      <cdr:nvSpPr>
        <cdr:cNvPr id="2" name="Text Box 1"/>
        <cdr:cNvSpPr txBox="1"/>
      </cdr:nvSpPr>
      <cdr:spPr>
        <a:xfrm xmlns:a="http://schemas.openxmlformats.org/drawingml/2006/main">
          <a:off x="3228975" y="2674472"/>
          <a:ext cx="2486028" cy="402708"/>
        </a:xfrm>
        <a:prstGeom xmlns:a="http://schemas.openxmlformats.org/drawingml/2006/main" prst="rect">
          <a:avLst/>
        </a:prstGeom>
        <a:ln xmlns:a="http://schemas.openxmlformats.org/drawingml/2006/main" w="19050">
          <a:solidFill>
            <a:srgbClr val="FF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Vidēji uz 1 amata vietu kopā - </a:t>
          </a:r>
          <a:r>
            <a:rPr lang="lv-LV" sz="1000" b="1">
              <a:latin typeface="Times New Roman" panose="02020603050405020304" pitchFamily="18" charset="0"/>
              <a:cs typeface="Times New Roman" panose="02020603050405020304" pitchFamily="18" charset="0"/>
            </a:rPr>
            <a:t>2 </a:t>
          </a:r>
          <a:r>
            <a:rPr lang="lv-LV" sz="1000" b="1" i="1">
              <a:latin typeface="Times New Roman" panose="02020603050405020304" pitchFamily="18" charset="0"/>
              <a:cs typeface="Times New Roman" panose="02020603050405020304" pitchFamily="18" charset="0"/>
            </a:rPr>
            <a:t>euro</a:t>
          </a:r>
          <a:r>
            <a:rPr lang="lv-LV" sz="1000" b="0">
              <a:latin typeface="Times New Roman" panose="02020603050405020304" pitchFamily="18" charset="0"/>
              <a:cs typeface="Times New Roman" panose="02020603050405020304" pitchFamily="18" charset="0"/>
            </a:rPr>
            <a:t>, </a:t>
          </a:r>
          <a:r>
            <a:rPr lang="lv-LV" sz="1000" b="1" i="1">
              <a:latin typeface="Times New Roman" panose="02020603050405020304" pitchFamily="18" charset="0"/>
              <a:cs typeface="Times New Roman" panose="02020603050405020304" pitchFamily="18" charset="0"/>
            </a:rPr>
            <a:t>vidējā aprēķinā nav iekļauta</a:t>
          </a:r>
          <a:r>
            <a:rPr lang="lv-LV" sz="1000" b="1" i="1" baseline="0">
              <a:latin typeface="Times New Roman" panose="02020603050405020304" pitchFamily="18" charset="0"/>
              <a:cs typeface="Times New Roman" panose="02020603050405020304" pitchFamily="18" charset="0"/>
            </a:rPr>
            <a:t> ĀM un FM</a:t>
          </a:r>
        </a:p>
        <a:p xmlns:a="http://schemas.openxmlformats.org/drawingml/2006/main">
          <a:endParaRPr lang="lv-LV" sz="105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0.68033</cdr:x>
      <cdr:y>0.59716</cdr:y>
    </cdr:from>
    <cdr:to>
      <cdr:x>0.75273</cdr:x>
      <cdr:y>0.80067</cdr:y>
    </cdr:to>
    <cdr:cxnSp macro="">
      <cdr:nvCxnSpPr>
        <cdr:cNvPr id="3" name="Straight Arrow Connector 2"/>
        <cdr:cNvCxnSpPr>
          <a:stCxn xmlns:a="http://schemas.openxmlformats.org/drawingml/2006/main" id="2" idx="2"/>
        </cdr:cNvCxnSpPr>
      </cdr:nvCxnSpPr>
      <cdr:spPr>
        <a:xfrm xmlns:a="http://schemas.openxmlformats.org/drawingml/2006/main" flipH="1">
          <a:off x="4041881" y="3077180"/>
          <a:ext cx="430108" cy="1048693"/>
        </a:xfrm>
        <a:prstGeom xmlns:a="http://schemas.openxmlformats.org/drawingml/2006/main" prst="straightConnector1">
          <a:avLst/>
        </a:prstGeom>
        <a:ln xmlns:a="http://schemas.openxmlformats.org/drawingml/2006/main" w="19050">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0.51144</cdr:x>
      <cdr:y>0.04806</cdr:y>
    </cdr:from>
    <cdr:to>
      <cdr:x>0.51464</cdr:x>
      <cdr:y>0.80989</cdr:y>
    </cdr:to>
    <cdr:cxnSp macro="">
      <cdr:nvCxnSpPr>
        <cdr:cNvPr id="5" name="Straight Connector 4"/>
        <cdr:cNvCxnSpPr/>
      </cdr:nvCxnSpPr>
      <cdr:spPr>
        <a:xfrm xmlns:a="http://schemas.openxmlformats.org/drawingml/2006/main" flipH="1" flipV="1">
          <a:off x="3038475" y="247650"/>
          <a:ext cx="19034" cy="3925735"/>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0.57752</cdr:x>
      <cdr:y>0.32117</cdr:y>
    </cdr:from>
    <cdr:to>
      <cdr:x>0.91065</cdr:x>
      <cdr:y>0.38023</cdr:y>
    </cdr:to>
    <cdr:sp macro="" textlink="">
      <cdr:nvSpPr>
        <cdr:cNvPr id="4" name="Text Box 3"/>
        <cdr:cNvSpPr txBox="1"/>
      </cdr:nvSpPr>
      <cdr:spPr>
        <a:xfrm xmlns:a="http://schemas.openxmlformats.org/drawingml/2006/main">
          <a:off x="3431080" y="1609105"/>
          <a:ext cx="1979120" cy="295895"/>
        </a:xfrm>
        <a:prstGeom xmlns:a="http://schemas.openxmlformats.org/drawingml/2006/main" prst="rect">
          <a:avLst/>
        </a:prstGeom>
        <a:ln xmlns:a="http://schemas.openxmlformats.org/drawingml/2006/main" w="19050">
          <a:solidFill>
            <a:srgbClr val="00B050"/>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Ministrijas zem vidējā rādītāja </a:t>
          </a:r>
        </a:p>
      </cdr:txBody>
    </cdr:sp>
  </cdr:relSizeAnchor>
  <cdr:relSizeAnchor xmlns:cdr="http://schemas.openxmlformats.org/drawingml/2006/chartDrawing">
    <cdr:from>
      <cdr:x>0.51163</cdr:x>
      <cdr:y>0.34702</cdr:y>
    </cdr:from>
    <cdr:to>
      <cdr:x>0.57655</cdr:x>
      <cdr:y>0.34702</cdr:y>
    </cdr:to>
    <cdr:cxnSp macro="">
      <cdr:nvCxnSpPr>
        <cdr:cNvPr id="7" name="Straight Arrow Connector 6"/>
        <cdr:cNvCxnSpPr/>
      </cdr:nvCxnSpPr>
      <cdr:spPr>
        <a:xfrm xmlns:a="http://schemas.openxmlformats.org/drawingml/2006/main" flipV="1">
          <a:off x="5029211" y="1609725"/>
          <a:ext cx="638164" cy="7"/>
        </a:xfrm>
        <a:prstGeom xmlns:a="http://schemas.openxmlformats.org/drawingml/2006/main" prst="straightConnector1">
          <a:avLst/>
        </a:prstGeom>
        <a:ln xmlns:a="http://schemas.openxmlformats.org/drawingml/2006/main" w="19050">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0.21804</cdr:x>
      <cdr:y>0.11134</cdr:y>
    </cdr:from>
    <cdr:to>
      <cdr:x>0.49311</cdr:x>
      <cdr:y>0.41635</cdr:y>
    </cdr:to>
    <cdr:sp macro="" textlink="">
      <cdr:nvSpPr>
        <cdr:cNvPr id="6" name="Text Box 5"/>
        <cdr:cNvSpPr txBox="1"/>
      </cdr:nvSpPr>
      <cdr:spPr>
        <a:xfrm xmlns:a="http://schemas.openxmlformats.org/drawingml/2006/main">
          <a:off x="1295400" y="557814"/>
          <a:ext cx="1634192" cy="1528162"/>
        </a:xfrm>
        <a:prstGeom xmlns:a="http://schemas.openxmlformats.org/drawingml/2006/main" prst="rect">
          <a:avLst/>
        </a:prstGeom>
        <a:solidFill xmlns:a="http://schemas.openxmlformats.org/drawingml/2006/main">
          <a:schemeClr val="bg1">
            <a:lumMod val="95000"/>
          </a:schemeClr>
        </a:solidFill>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1000" b="1" i="1">
              <a:latin typeface="Times New Roman" panose="02020603050405020304" pitchFamily="18" charset="0"/>
              <a:cs typeface="Times New Roman" panose="02020603050405020304" pitchFamily="18" charset="0"/>
            </a:rPr>
            <a:t>Potenciālais papildus finansējums 2018.gadā, euro</a:t>
          </a:r>
        </a:p>
        <a:p xmlns:a="http://schemas.openxmlformats.org/drawingml/2006/main">
          <a:r>
            <a:rPr lang="lv-LV" sz="1000" b="0" i="0">
              <a:latin typeface="Times New Roman" panose="02020603050405020304" pitchFamily="18" charset="0"/>
              <a:cs typeface="Times New Roman" panose="02020603050405020304" pitchFamily="18" charset="0"/>
            </a:rPr>
            <a:t>FM	57</a:t>
          </a:r>
          <a:r>
            <a:rPr lang="lv-LV" sz="1000" b="0" i="0" baseline="0">
              <a:latin typeface="Times New Roman" panose="02020603050405020304" pitchFamily="18" charset="0"/>
              <a:cs typeface="Times New Roman" panose="02020603050405020304" pitchFamily="18" charset="0"/>
            </a:rPr>
            <a:t> 838</a:t>
          </a:r>
          <a:endParaRPr lang="lv-LV" sz="1000" b="0" i="0">
            <a:latin typeface="Times New Roman" panose="02020603050405020304" pitchFamily="18" charset="0"/>
            <a:cs typeface="Times New Roman" panose="02020603050405020304" pitchFamily="18" charset="0"/>
          </a:endParaRPr>
        </a:p>
        <a:p xmlns:a="http://schemas.openxmlformats.org/drawingml/2006/main">
          <a:r>
            <a:rPr lang="lv-LV" sz="1000" b="0" i="0">
              <a:latin typeface="Times New Roman" panose="02020603050405020304" pitchFamily="18" charset="0"/>
              <a:cs typeface="Times New Roman" panose="02020603050405020304" pitchFamily="18" charset="0"/>
            </a:rPr>
            <a:t>ĀM	9</a:t>
          </a:r>
          <a:r>
            <a:rPr lang="lv-LV" sz="1000" b="0" i="0" baseline="0">
              <a:latin typeface="Times New Roman" panose="02020603050405020304" pitchFamily="18" charset="0"/>
              <a:cs typeface="Times New Roman" panose="02020603050405020304" pitchFamily="18" charset="0"/>
            </a:rPr>
            <a:t> 480</a:t>
          </a:r>
          <a:endParaRPr lang="lv-LV" sz="1000" b="0" i="0">
            <a:latin typeface="Times New Roman" panose="02020603050405020304" pitchFamily="18" charset="0"/>
            <a:cs typeface="Times New Roman" panose="02020603050405020304" pitchFamily="18" charset="0"/>
          </a:endParaRPr>
        </a:p>
        <a:p xmlns:a="http://schemas.openxmlformats.org/drawingml/2006/main">
          <a:r>
            <a:rPr lang="lv-LV" sz="1000" b="0" i="0">
              <a:latin typeface="Times New Roman" panose="02020603050405020304" pitchFamily="18" charset="0"/>
              <a:cs typeface="Times New Roman" panose="02020603050405020304" pitchFamily="18" charset="0"/>
            </a:rPr>
            <a:t>EM	1</a:t>
          </a:r>
          <a:r>
            <a:rPr lang="lv-LV" sz="1000" b="0" i="0" baseline="0">
              <a:latin typeface="Times New Roman" panose="02020603050405020304" pitchFamily="18" charset="0"/>
              <a:cs typeface="Times New Roman" panose="02020603050405020304" pitchFamily="18" charset="0"/>
            </a:rPr>
            <a:t> 000</a:t>
          </a:r>
          <a:endParaRPr lang="lv-LV" sz="1000" b="0" i="0">
            <a:latin typeface="Times New Roman" panose="02020603050405020304" pitchFamily="18" charset="0"/>
            <a:cs typeface="Times New Roman" panose="02020603050405020304" pitchFamily="18" charset="0"/>
          </a:endParaRPr>
        </a:p>
        <a:p xmlns:a="http://schemas.openxmlformats.org/drawingml/2006/main">
          <a:r>
            <a:rPr lang="lv-LV" sz="1000" b="0" i="0">
              <a:latin typeface="Times New Roman" panose="02020603050405020304" pitchFamily="18" charset="0"/>
              <a:cs typeface="Times New Roman" panose="02020603050405020304" pitchFamily="18" charset="0"/>
            </a:rPr>
            <a:t>Prokuratūra	240</a:t>
          </a:r>
        </a:p>
        <a:p xmlns:a="http://schemas.openxmlformats.org/drawingml/2006/main">
          <a:r>
            <a:rPr lang="lv-LV" sz="1000" b="0" i="0">
              <a:latin typeface="Times New Roman" panose="02020603050405020304" pitchFamily="18" charset="0"/>
              <a:cs typeface="Times New Roman" panose="02020603050405020304" pitchFamily="18" charset="0"/>
            </a:rPr>
            <a:t>VKo	67</a:t>
          </a:r>
        </a:p>
        <a:p xmlns:a="http://schemas.openxmlformats.org/drawingml/2006/main">
          <a:r>
            <a:rPr lang="lv-LV" sz="1000" b="0" i="0">
              <a:latin typeface="Times New Roman" panose="02020603050405020304" pitchFamily="18" charset="0"/>
              <a:cs typeface="Times New Roman" panose="02020603050405020304" pitchFamily="18" charset="0"/>
            </a:rPr>
            <a:t>SM	65</a:t>
          </a:r>
        </a:p>
        <a:p xmlns:a="http://schemas.openxmlformats.org/drawingml/2006/main">
          <a:r>
            <a:rPr lang="lv-LV" sz="1000" b="1" i="0">
              <a:latin typeface="Times New Roman" panose="02020603050405020304" pitchFamily="18" charset="0"/>
              <a:cs typeface="Times New Roman" panose="02020603050405020304" pitchFamily="18" charset="0"/>
            </a:rPr>
            <a:t>KOPĀ	68</a:t>
          </a:r>
          <a:r>
            <a:rPr lang="lv-LV" sz="1000" b="1" i="0" baseline="0">
              <a:latin typeface="Times New Roman" panose="02020603050405020304" pitchFamily="18" charset="0"/>
              <a:cs typeface="Times New Roman" panose="02020603050405020304" pitchFamily="18" charset="0"/>
            </a:rPr>
            <a:t> 690</a:t>
          </a:r>
          <a:endParaRPr lang="lv-LV" sz="1000" b="1" i="0">
            <a:latin typeface="Times New Roman" panose="02020603050405020304" pitchFamily="18" charset="0"/>
            <a:cs typeface="Times New Roman" panose="02020603050405020304" pitchFamily="18" charset="0"/>
          </a:endParaRPr>
        </a:p>
        <a:p xmlns:a="http://schemas.openxmlformats.org/drawingml/2006/main">
          <a:endParaRPr lang="lv-LV" sz="1100" b="1" i="1">
            <a:latin typeface="Times New Roman" panose="02020603050405020304" pitchFamily="18" charset="0"/>
            <a:cs typeface="Times New Roman" panose="02020603050405020304" pitchFamily="18" charset="0"/>
          </a:endParaRPr>
        </a:p>
      </cdr:txBody>
    </cdr:sp>
  </cdr:relSizeAnchor>
</c:userShapes>
</file>

<file path=word/drawings/drawing19.xml><?xml version="1.0" encoding="utf-8"?>
<c:userShapes xmlns:c="http://schemas.openxmlformats.org/drawingml/2006/chart">
  <cdr:relSizeAnchor xmlns:cdr="http://schemas.openxmlformats.org/drawingml/2006/chartDrawing">
    <cdr:from>
      <cdr:x>0.61565</cdr:x>
      <cdr:y>0.38753</cdr:y>
    </cdr:from>
    <cdr:to>
      <cdr:x>0.97399</cdr:x>
      <cdr:y>0.44866</cdr:y>
    </cdr:to>
    <cdr:sp macro="" textlink="">
      <cdr:nvSpPr>
        <cdr:cNvPr id="2" name="Text Box 1"/>
        <cdr:cNvSpPr txBox="1"/>
      </cdr:nvSpPr>
      <cdr:spPr>
        <a:xfrm xmlns:a="http://schemas.openxmlformats.org/drawingml/2006/main">
          <a:off x="3657601" y="1421135"/>
          <a:ext cx="2128952" cy="224152"/>
        </a:xfrm>
        <a:prstGeom xmlns:a="http://schemas.openxmlformats.org/drawingml/2006/main" prst="rect">
          <a:avLst/>
        </a:prstGeom>
        <a:ln xmlns:a="http://schemas.openxmlformats.org/drawingml/2006/main" w="19050">
          <a:solidFill>
            <a:srgbClr val="FF0000"/>
          </a:solidFill>
        </a:ln>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Vidēji uz 1 amata vietu kopā - </a:t>
          </a:r>
          <a:r>
            <a:rPr lang="lv-LV" sz="1000" b="1">
              <a:latin typeface="Times New Roman" panose="02020603050405020304" pitchFamily="18" charset="0"/>
              <a:cs typeface="Times New Roman" panose="02020603050405020304" pitchFamily="18" charset="0"/>
            </a:rPr>
            <a:t>9 </a:t>
          </a:r>
          <a:r>
            <a:rPr lang="lv-LV" sz="1000" b="1" i="1">
              <a:latin typeface="Times New Roman" panose="02020603050405020304" pitchFamily="18" charset="0"/>
              <a:cs typeface="Times New Roman" panose="02020603050405020304" pitchFamily="18" charset="0"/>
            </a:rPr>
            <a:t>euro</a:t>
          </a:r>
        </a:p>
      </cdr:txBody>
    </cdr:sp>
  </cdr:relSizeAnchor>
  <cdr:relSizeAnchor xmlns:cdr="http://schemas.openxmlformats.org/drawingml/2006/chartDrawing">
    <cdr:from>
      <cdr:x>0.76792</cdr:x>
      <cdr:y>0.45195</cdr:y>
    </cdr:from>
    <cdr:to>
      <cdr:x>0.8385</cdr:x>
      <cdr:y>0.61214</cdr:y>
    </cdr:to>
    <cdr:cxnSp macro="">
      <cdr:nvCxnSpPr>
        <cdr:cNvPr id="3" name="Straight Arrow Connector 2"/>
        <cdr:cNvCxnSpPr/>
      </cdr:nvCxnSpPr>
      <cdr:spPr>
        <a:xfrm xmlns:a="http://schemas.openxmlformats.org/drawingml/2006/main" flipH="1">
          <a:off x="4562271" y="1657350"/>
          <a:ext cx="419304" cy="587433"/>
        </a:xfrm>
        <a:prstGeom xmlns:a="http://schemas.openxmlformats.org/drawingml/2006/main" prst="straightConnector1">
          <a:avLst/>
        </a:prstGeom>
        <a:ln xmlns:a="http://schemas.openxmlformats.org/drawingml/2006/main" w="19050">
          <a:solidFill>
            <a:srgbClr val="FF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0.51625</cdr:x>
      <cdr:y>0.08714</cdr:y>
    </cdr:from>
    <cdr:to>
      <cdr:x>0.51785</cdr:x>
      <cdr:y>0.81299</cdr:y>
    </cdr:to>
    <cdr:cxnSp macro="">
      <cdr:nvCxnSpPr>
        <cdr:cNvPr id="5" name="Straight Connector 4"/>
        <cdr:cNvCxnSpPr/>
      </cdr:nvCxnSpPr>
      <cdr:spPr>
        <a:xfrm xmlns:a="http://schemas.openxmlformats.org/drawingml/2006/main" flipV="1">
          <a:off x="3067050" y="319545"/>
          <a:ext cx="9547" cy="2661780"/>
        </a:xfrm>
        <a:prstGeom xmlns:a="http://schemas.openxmlformats.org/drawingml/2006/main" prst="line">
          <a:avLst/>
        </a:prstGeom>
        <a:ln xmlns:a="http://schemas.openxmlformats.org/drawingml/2006/main" w="28575">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0.26454</cdr:x>
      <cdr:y>0.011</cdr:y>
    </cdr:from>
    <cdr:to>
      <cdr:x>0.51182</cdr:x>
      <cdr:y>0.32468</cdr:y>
    </cdr:to>
    <cdr:sp macro="" textlink="">
      <cdr:nvSpPr>
        <cdr:cNvPr id="4" name="Text Box 3"/>
        <cdr:cNvSpPr txBox="1"/>
      </cdr:nvSpPr>
      <cdr:spPr>
        <a:xfrm xmlns:a="http://schemas.openxmlformats.org/drawingml/2006/main">
          <a:off x="1571648" y="40331"/>
          <a:ext cx="1469105" cy="1150293"/>
        </a:xfrm>
        <a:prstGeom xmlns:a="http://schemas.openxmlformats.org/drawingml/2006/main" prst="rect">
          <a:avLst/>
        </a:prstGeom>
        <a:solidFill xmlns:a="http://schemas.openxmlformats.org/drawingml/2006/main">
          <a:schemeClr val="bg1">
            <a:lumMod val="95000"/>
          </a:schemeClr>
        </a:solidFill>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900" b="1" i="1">
              <a:latin typeface="Times New Roman" panose="02020603050405020304" pitchFamily="18" charset="0"/>
              <a:cs typeface="Times New Roman" panose="02020603050405020304" pitchFamily="18" charset="0"/>
            </a:rPr>
            <a:t>Potenciālais papildus</a:t>
          </a:r>
          <a:r>
            <a:rPr lang="lv-LV" sz="900" b="1" i="1" baseline="0">
              <a:latin typeface="Times New Roman" panose="02020603050405020304" pitchFamily="18" charset="0"/>
              <a:cs typeface="Times New Roman" panose="02020603050405020304" pitchFamily="18" charset="0"/>
            </a:rPr>
            <a:t> finansējums 2018.gadā</a:t>
          </a:r>
          <a:r>
            <a:rPr lang="lv-LV" sz="900" b="1" i="1">
              <a:latin typeface="Times New Roman" panose="02020603050405020304" pitchFamily="18" charset="0"/>
              <a:cs typeface="Times New Roman" panose="02020603050405020304" pitchFamily="18" charset="0"/>
            </a:rPr>
            <a:t>, euro</a:t>
          </a:r>
        </a:p>
        <a:p xmlns:a="http://schemas.openxmlformats.org/drawingml/2006/main">
          <a:r>
            <a:rPr lang="lv-LV" sz="900" b="0">
              <a:latin typeface="Times New Roman" panose="02020603050405020304" pitchFamily="18" charset="0"/>
              <a:cs typeface="Times New Roman" panose="02020603050405020304" pitchFamily="18" charset="0"/>
            </a:rPr>
            <a:t>KM	4</a:t>
          </a:r>
          <a:r>
            <a:rPr lang="lv-LV" sz="900" b="0" baseline="0">
              <a:latin typeface="Times New Roman" panose="02020603050405020304" pitchFamily="18" charset="0"/>
              <a:cs typeface="Times New Roman" panose="02020603050405020304" pitchFamily="18" charset="0"/>
            </a:rPr>
            <a:t> 777</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IZM	2</a:t>
          </a:r>
          <a:r>
            <a:rPr lang="lv-LV" sz="900" b="0" baseline="0">
              <a:latin typeface="Times New Roman" panose="02020603050405020304" pitchFamily="18" charset="0"/>
              <a:cs typeface="Times New Roman" panose="02020603050405020304" pitchFamily="18" charset="0"/>
            </a:rPr>
            <a:t> 965</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Saeima	2</a:t>
          </a:r>
          <a:r>
            <a:rPr lang="lv-LV" sz="900" b="0" baseline="0">
              <a:latin typeface="Times New Roman" panose="02020603050405020304" pitchFamily="18" charset="0"/>
              <a:cs typeface="Times New Roman" panose="02020603050405020304" pitchFamily="18" charset="0"/>
            </a:rPr>
            <a:t> 000</a:t>
          </a:r>
          <a:endParaRPr lang="lv-LV" sz="900" b="0">
            <a:latin typeface="Times New Roman" panose="02020603050405020304" pitchFamily="18" charset="0"/>
            <a:cs typeface="Times New Roman" panose="02020603050405020304" pitchFamily="18" charset="0"/>
          </a:endParaRPr>
        </a:p>
        <a:p xmlns:a="http://schemas.openxmlformats.org/drawingml/2006/main">
          <a:r>
            <a:rPr lang="lv-LV" sz="900" b="0">
              <a:latin typeface="Times New Roman" panose="02020603050405020304" pitchFamily="18" charset="0"/>
              <a:cs typeface="Times New Roman" panose="02020603050405020304" pitchFamily="18" charset="0"/>
            </a:rPr>
            <a:t>AT	388</a:t>
          </a:r>
        </a:p>
        <a:p xmlns:a="http://schemas.openxmlformats.org/drawingml/2006/main">
          <a:r>
            <a:rPr lang="lv-LV" sz="900" b="1">
              <a:latin typeface="Times New Roman" panose="02020603050405020304" pitchFamily="18" charset="0"/>
              <a:cs typeface="Times New Roman" panose="02020603050405020304" pitchFamily="18" charset="0"/>
            </a:rPr>
            <a:t>KOPĀ	10</a:t>
          </a:r>
          <a:r>
            <a:rPr lang="lv-LV" sz="900" b="1" baseline="0">
              <a:latin typeface="Times New Roman" panose="02020603050405020304" pitchFamily="18" charset="0"/>
              <a:cs typeface="Times New Roman" panose="02020603050405020304" pitchFamily="18" charset="0"/>
            </a:rPr>
            <a:t> 130</a:t>
          </a:r>
          <a:endParaRPr lang="lv-LV" sz="900" b="1">
            <a:latin typeface="Times New Roman" panose="02020603050405020304" pitchFamily="18" charset="0"/>
            <a:cs typeface="Times New Roman" panose="02020603050405020304" pitchFamily="18" charset="0"/>
          </a:endParaRPr>
        </a:p>
        <a:p xmlns:a="http://schemas.openxmlformats.org/drawingml/2006/main">
          <a:endParaRPr lang="lv-LV" sz="11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0.59972</cdr:x>
      <cdr:y>0.19641</cdr:y>
    </cdr:from>
    <cdr:to>
      <cdr:x>0.94752</cdr:x>
      <cdr:y>0.25796</cdr:y>
    </cdr:to>
    <cdr:sp macro="" textlink="">
      <cdr:nvSpPr>
        <cdr:cNvPr id="6" name="Text Box 5"/>
        <cdr:cNvSpPr txBox="1"/>
      </cdr:nvSpPr>
      <cdr:spPr>
        <a:xfrm xmlns:a="http://schemas.openxmlformats.org/drawingml/2006/main">
          <a:off x="3562950" y="720252"/>
          <a:ext cx="2066325" cy="225704"/>
        </a:xfrm>
        <a:prstGeom xmlns:a="http://schemas.openxmlformats.org/drawingml/2006/main" prst="rect">
          <a:avLst/>
        </a:prstGeom>
        <a:ln xmlns:a="http://schemas.openxmlformats.org/drawingml/2006/main" w="19050">
          <a:solidFill>
            <a:srgbClr val="00B050"/>
          </a:solidFill>
        </a:ln>
      </cdr:spPr>
      <cdr:style>
        <a:lnRef xmlns:a="http://schemas.openxmlformats.org/drawingml/2006/main" idx="2">
          <a:schemeClr val="dk1"/>
        </a:lnRef>
        <a:fillRef xmlns:a="http://schemas.openxmlformats.org/drawingml/2006/main" idx="1">
          <a:schemeClr val="lt1"/>
        </a:fillRef>
        <a:effectRef xmlns:a="http://schemas.openxmlformats.org/drawingml/2006/main" idx="0">
          <a:schemeClr val="dk1"/>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r>
            <a:rPr lang="lv-LV" sz="1000" b="0">
              <a:latin typeface="Times New Roman" panose="02020603050405020304" pitchFamily="18" charset="0"/>
              <a:cs typeface="Times New Roman" panose="02020603050405020304" pitchFamily="18" charset="0"/>
            </a:rPr>
            <a:t>Ministrijas zem vidējā rādītāja</a:t>
          </a:r>
        </a:p>
      </cdr:txBody>
    </cdr:sp>
  </cdr:relSizeAnchor>
  <cdr:relSizeAnchor xmlns:cdr="http://schemas.openxmlformats.org/drawingml/2006/chartDrawing">
    <cdr:from>
      <cdr:x>0.51785</cdr:x>
      <cdr:y>0.23177</cdr:y>
    </cdr:from>
    <cdr:to>
      <cdr:x>0.59907</cdr:x>
      <cdr:y>0.23254</cdr:y>
    </cdr:to>
    <cdr:cxnSp macro="">
      <cdr:nvCxnSpPr>
        <cdr:cNvPr id="8" name="Straight Arrow Connector 7"/>
        <cdr:cNvCxnSpPr/>
      </cdr:nvCxnSpPr>
      <cdr:spPr>
        <a:xfrm xmlns:a="http://schemas.openxmlformats.org/drawingml/2006/main">
          <a:off x="3076575" y="849940"/>
          <a:ext cx="482554" cy="2799"/>
        </a:xfrm>
        <a:prstGeom xmlns:a="http://schemas.openxmlformats.org/drawingml/2006/main" prst="straightConnector1">
          <a:avLst/>
        </a:prstGeom>
        <a:ln xmlns:a="http://schemas.openxmlformats.org/drawingml/2006/main" w="19050">
          <a:solidFill>
            <a:srgbClr val="00B05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0.22394</cdr:x>
      <cdr:y>0.10137</cdr:y>
    </cdr:from>
    <cdr:to>
      <cdr:x>0.8399</cdr:x>
      <cdr:y>0.28333</cdr:y>
    </cdr:to>
    <cdr:sp macro="" textlink="">
      <cdr:nvSpPr>
        <cdr:cNvPr id="2" name="Rounded Rectangle 1"/>
        <cdr:cNvSpPr/>
      </cdr:nvSpPr>
      <cdr:spPr>
        <a:xfrm xmlns:a="http://schemas.openxmlformats.org/drawingml/2006/main">
          <a:off x="1342955" y="278078"/>
          <a:ext cx="3693865" cy="499162"/>
        </a:xfrm>
        <a:prstGeom xmlns:a="http://schemas.openxmlformats.org/drawingml/2006/main" prst="round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b="1" dirty="0" smtClean="0">
              <a:latin typeface="Times New Roman" panose="02020603050405020304" pitchFamily="18" charset="0"/>
              <a:cs typeface="Times New Roman" panose="02020603050405020304" pitchFamily="18" charset="0"/>
            </a:rPr>
            <a:t>Kopā veiktas izmaiņas programmās/ apakšprogrammās 1546 reizes</a:t>
          </a:r>
          <a:endParaRPr lang="lv-LV" sz="1200" b="1" dirty="0">
            <a:latin typeface="Times New Roman" panose="02020603050405020304" pitchFamily="18" charset="0"/>
            <a:cs typeface="Times New Roman" panose="02020603050405020304" pitchFamily="18" charset="0"/>
          </a:endParaRPr>
        </a:p>
      </cdr:txBody>
    </cdr:sp>
  </cdr:relSizeAnchor>
</c:userShapes>
</file>

<file path=word/drawings/drawing20.xml><?xml version="1.0" encoding="utf-8"?>
<c:userShapes xmlns:c="http://schemas.openxmlformats.org/drawingml/2006/chart">
  <cdr:relSizeAnchor xmlns:cdr="http://schemas.openxmlformats.org/drawingml/2006/chartDrawing">
    <cdr:from>
      <cdr:x>0.44731</cdr:x>
      <cdr:y>0.05643</cdr:y>
    </cdr:from>
    <cdr:to>
      <cdr:x>0.61505</cdr:x>
      <cdr:y>0.14734</cdr:y>
    </cdr:to>
    <cdr:sp macro="" textlink="">
      <cdr:nvSpPr>
        <cdr:cNvPr id="2" name="Text Box 56"/>
        <cdr:cNvSpPr txBox="1"/>
      </cdr:nvSpPr>
      <cdr:spPr>
        <a:xfrm xmlns:a="http://schemas.openxmlformats.org/drawingml/2006/main">
          <a:off x="2641600" y="171450"/>
          <a:ext cx="990600" cy="2762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Aft>
              <a:spcPts val="0"/>
            </a:spcAft>
          </a:pPr>
          <a:r>
            <a:rPr lang="lv-LV" sz="1200">
              <a:effectLst/>
              <a:latin typeface="Times New Roman" panose="02020603050405020304" pitchFamily="18" charset="0"/>
              <a:ea typeface="Calibri" panose="020F0502020204030204" pitchFamily="34" charset="0"/>
              <a:cs typeface="Times New Roman" panose="02020603050405020304" pitchFamily="18" charset="0"/>
            </a:rPr>
            <a:t>∑= 1 035,4</a:t>
          </a:r>
        </a:p>
      </cdr:txBody>
    </cdr:sp>
  </cdr:relSizeAnchor>
  <cdr:relSizeAnchor xmlns:cdr="http://schemas.openxmlformats.org/drawingml/2006/chartDrawing">
    <cdr:from>
      <cdr:x>0.76505</cdr:x>
      <cdr:y>0.11599</cdr:y>
    </cdr:from>
    <cdr:to>
      <cdr:x>0.9328</cdr:x>
      <cdr:y>0.2069</cdr:y>
    </cdr:to>
    <cdr:sp macro="" textlink="">
      <cdr:nvSpPr>
        <cdr:cNvPr id="3" name="Text Box 56"/>
        <cdr:cNvSpPr txBox="1"/>
      </cdr:nvSpPr>
      <cdr:spPr>
        <a:xfrm xmlns:a="http://schemas.openxmlformats.org/drawingml/2006/main">
          <a:off x="4518025" y="352425"/>
          <a:ext cx="990600" cy="27622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spcAft>
              <a:spcPts val="0"/>
            </a:spcAft>
          </a:pPr>
          <a:r>
            <a:rPr lang="lv-LV" sz="1200">
              <a:effectLst/>
              <a:latin typeface="Times New Roman" panose="02020603050405020304" pitchFamily="18" charset="0"/>
              <a:ea typeface="Calibri" panose="020F0502020204030204" pitchFamily="34" charset="0"/>
              <a:cs typeface="Times New Roman" panose="02020603050405020304" pitchFamily="18" charset="0"/>
            </a:rPr>
            <a:t>∑= 946,0</a:t>
          </a:r>
        </a:p>
      </cdr:txBody>
    </cdr:sp>
  </cdr:relSizeAnchor>
</c:userShapes>
</file>

<file path=word/drawings/drawing21.xml><?xml version="1.0" encoding="utf-8"?>
<c:userShapes xmlns:c="http://schemas.openxmlformats.org/drawingml/2006/chart">
  <cdr:relSizeAnchor xmlns:cdr="http://schemas.openxmlformats.org/drawingml/2006/chartDrawing">
    <cdr:from>
      <cdr:x>0.08479</cdr:x>
      <cdr:y>0.21268</cdr:y>
    </cdr:from>
    <cdr:to>
      <cdr:x>0.94836</cdr:x>
      <cdr:y>0.21563</cdr:y>
    </cdr:to>
    <cdr:cxnSp macro="">
      <cdr:nvCxnSpPr>
        <cdr:cNvPr id="5" name="Straight Connector 4"/>
        <cdr:cNvCxnSpPr/>
      </cdr:nvCxnSpPr>
      <cdr:spPr>
        <a:xfrm xmlns:a="http://schemas.openxmlformats.org/drawingml/2006/main" flipV="1">
          <a:off x="503618" y="640156"/>
          <a:ext cx="5129425" cy="8879"/>
        </a:xfrm>
        <a:prstGeom xmlns:a="http://schemas.openxmlformats.org/drawingml/2006/main" prst="line">
          <a:avLst/>
        </a:prstGeom>
        <a:ln xmlns:a="http://schemas.openxmlformats.org/drawingml/2006/main" w="28575">
          <a:solidFill>
            <a:schemeClr val="accent6">
              <a:lumMod val="75000"/>
            </a:schemeClr>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0.0674</cdr:x>
      <cdr:y>0.01162</cdr:y>
    </cdr:from>
    <cdr:to>
      <cdr:x>0.39609</cdr:x>
      <cdr:y>0.09103</cdr:y>
    </cdr:to>
    <cdr:sp macro="" textlink="">
      <cdr:nvSpPr>
        <cdr:cNvPr id="8" name="TextBox 7"/>
        <cdr:cNvSpPr txBox="1"/>
      </cdr:nvSpPr>
      <cdr:spPr>
        <a:xfrm xmlns:a="http://schemas.openxmlformats.org/drawingml/2006/main">
          <a:off x="400342" y="34975"/>
          <a:ext cx="1952349" cy="239016"/>
        </a:xfrm>
        <a:prstGeom xmlns:a="http://schemas.openxmlformats.org/drawingml/2006/main" prst="rect">
          <a:avLst/>
        </a:prstGeom>
      </cdr:spPr>
      <cdr:style>
        <a:lnRef xmlns:a="http://schemas.openxmlformats.org/drawingml/2006/main" idx="2">
          <a:schemeClr val="accent2"/>
        </a:lnRef>
        <a:fillRef xmlns:a="http://schemas.openxmlformats.org/drawingml/2006/main" idx="1">
          <a:schemeClr val="lt1"/>
        </a:fillRef>
        <a:effectRef xmlns:a="http://schemas.openxmlformats.org/drawingml/2006/main" idx="0">
          <a:schemeClr val="accent2"/>
        </a:effectRef>
        <a:fontRef xmlns:a="http://schemas.openxmlformats.org/drawingml/2006/main" idx="minor">
          <a:schemeClr val="dk1"/>
        </a:fontRef>
      </cdr:style>
      <cdr:txBody>
        <a:bodyPr xmlns:a="http://schemas.openxmlformats.org/drawingml/2006/main" vertOverflow="clip" wrap="square" rtlCol="0"/>
        <a:lstStyle xmlns:a="http://schemas.openxmlformats.org/drawingml/2006/main"/>
        <a:p xmlns:a="http://schemas.openxmlformats.org/drawingml/2006/main">
          <a:pPr algn="ctr"/>
          <a:r>
            <a:rPr lang="lv-LV" sz="1100" baseline="0">
              <a:latin typeface="Times New Roman" panose="02020603050405020304" pitchFamily="18" charset="0"/>
              <a:cs typeface="Times New Roman" panose="02020603050405020304" pitchFamily="18" charset="0"/>
            </a:rPr>
            <a:t>JPI piešķirtais finansējums</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0.36562</cdr:x>
      <cdr:y>0.08778</cdr:y>
    </cdr:from>
    <cdr:to>
      <cdr:x>0.39528</cdr:x>
      <cdr:y>0.14301</cdr:y>
    </cdr:to>
    <cdr:cxnSp macro="">
      <cdr:nvCxnSpPr>
        <cdr:cNvPr id="10" name="Straight Arrow Connector 9"/>
        <cdr:cNvCxnSpPr/>
      </cdr:nvCxnSpPr>
      <cdr:spPr>
        <a:xfrm xmlns:a="http://schemas.openxmlformats.org/drawingml/2006/main" flipH="1">
          <a:off x="2171700" y="257233"/>
          <a:ext cx="176199" cy="161867"/>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0.39644</cdr:x>
      <cdr:y>0.09246</cdr:y>
    </cdr:from>
    <cdr:to>
      <cdr:x>0.54843</cdr:x>
      <cdr:y>0.15926</cdr:y>
    </cdr:to>
    <cdr:cxnSp macro="">
      <cdr:nvCxnSpPr>
        <cdr:cNvPr id="14" name="Straight Arrow Connector 13"/>
        <cdr:cNvCxnSpPr/>
      </cdr:nvCxnSpPr>
      <cdr:spPr>
        <a:xfrm xmlns:a="http://schemas.openxmlformats.org/drawingml/2006/main">
          <a:off x="2354789" y="270946"/>
          <a:ext cx="902761" cy="19577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dr:relSizeAnchor xmlns:cdr="http://schemas.openxmlformats.org/drawingml/2006/chartDrawing">
    <cdr:from>
      <cdr:x>0.39675</cdr:x>
      <cdr:y>0.09013</cdr:y>
    </cdr:from>
    <cdr:to>
      <cdr:x>0.77774</cdr:x>
      <cdr:y>0.14557</cdr:y>
    </cdr:to>
    <cdr:cxnSp macro="">
      <cdr:nvCxnSpPr>
        <cdr:cNvPr id="15" name="Straight Arrow Connector 14"/>
        <cdr:cNvCxnSpPr/>
      </cdr:nvCxnSpPr>
      <cdr:spPr>
        <a:xfrm xmlns:a="http://schemas.openxmlformats.org/drawingml/2006/main">
          <a:off x="2356612" y="271282"/>
          <a:ext cx="2263013" cy="166868"/>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22.xml><?xml version="1.0" encoding="utf-8"?>
<c:userShapes xmlns:c="http://schemas.openxmlformats.org/drawingml/2006/chart">
  <cdr:relSizeAnchor xmlns:cdr="http://schemas.openxmlformats.org/drawingml/2006/chartDrawing">
    <cdr:from>
      <cdr:x>0.22461</cdr:x>
      <cdr:y>0.09955</cdr:y>
    </cdr:from>
    <cdr:to>
      <cdr:x>0.30449</cdr:x>
      <cdr:y>0.18446</cdr:y>
    </cdr:to>
    <cdr:sp macro="" textlink="">
      <cdr:nvSpPr>
        <cdr:cNvPr id="2" name="TextBox 1"/>
        <cdr:cNvSpPr txBox="1"/>
      </cdr:nvSpPr>
      <cdr:spPr>
        <a:xfrm xmlns:a="http://schemas.openxmlformats.org/drawingml/2006/main">
          <a:off x="1334417" y="258232"/>
          <a:ext cx="474572" cy="220254"/>
        </a:xfrm>
        <a:prstGeom xmlns:a="http://schemas.openxmlformats.org/drawingml/2006/main" prst="rect">
          <a:avLst/>
        </a:prstGeom>
        <a:ln xmlns:a="http://schemas.openxmlformats.org/drawingml/2006/main">
          <a:solidFill>
            <a:srgbClr val="FF0000"/>
          </a:solidFill>
        </a:ln>
      </cdr:spPr>
      <cdr:txBody>
        <a:bodyPr xmlns:a="http://schemas.openxmlformats.org/drawingml/2006/main" vertOverflow="clip" wrap="square" rtlCol="0"/>
        <a:lstStyle xmlns:a="http://schemas.openxmlformats.org/drawingml/2006/main"/>
        <a:p xmlns:a="http://schemas.openxmlformats.org/drawingml/2006/main">
          <a:r>
            <a:rPr lang="lv-LV" sz="1100" b="1">
              <a:solidFill>
                <a:srgbClr val="FF0000"/>
              </a:solidFill>
            </a:rPr>
            <a:t>-803</a:t>
          </a:r>
        </a:p>
      </cdr:txBody>
    </cdr:sp>
  </cdr:relSizeAnchor>
  <cdr:relSizeAnchor xmlns:cdr="http://schemas.openxmlformats.org/drawingml/2006/chartDrawing">
    <cdr:from>
      <cdr:x>0.52409</cdr:x>
      <cdr:y>0.12231</cdr:y>
    </cdr:from>
    <cdr:to>
      <cdr:x>0.62539</cdr:x>
      <cdr:y>0.20723</cdr:y>
    </cdr:to>
    <cdr:sp macro="" textlink="">
      <cdr:nvSpPr>
        <cdr:cNvPr id="3" name="TextBox 1"/>
        <cdr:cNvSpPr txBox="1"/>
      </cdr:nvSpPr>
      <cdr:spPr>
        <a:xfrm xmlns:a="http://schemas.openxmlformats.org/drawingml/2006/main">
          <a:off x="3113666" y="317276"/>
          <a:ext cx="601830" cy="220280"/>
        </a:xfrm>
        <a:prstGeom xmlns:a="http://schemas.openxmlformats.org/drawingml/2006/main" prst="rect">
          <a:avLst/>
        </a:prstGeom>
        <a:ln xmlns:a="http://schemas.openxmlformats.org/drawingml/2006/main">
          <a:solidFill>
            <a:srgbClr val="FF0000"/>
          </a:solidFill>
        </a:l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100" b="1">
              <a:solidFill>
                <a:srgbClr val="FF0000"/>
              </a:solidFill>
            </a:rPr>
            <a:t>-1110</a:t>
          </a:r>
        </a:p>
      </cdr:txBody>
    </cdr:sp>
  </cdr:relSizeAnchor>
  <cdr:relSizeAnchor xmlns:cdr="http://schemas.openxmlformats.org/drawingml/2006/chartDrawing">
    <cdr:from>
      <cdr:x>0.17488</cdr:x>
      <cdr:y>0.17202</cdr:y>
    </cdr:from>
    <cdr:to>
      <cdr:x>0.26293</cdr:x>
      <cdr:y>0.24969</cdr:y>
    </cdr:to>
    <cdr:cxnSp macro="">
      <cdr:nvCxnSpPr>
        <cdr:cNvPr id="4" name="Straight Connector 3"/>
        <cdr:cNvCxnSpPr/>
      </cdr:nvCxnSpPr>
      <cdr:spPr>
        <a:xfrm xmlns:a="http://schemas.openxmlformats.org/drawingml/2006/main">
          <a:off x="1038952" y="446217"/>
          <a:ext cx="523148" cy="201483"/>
        </a:xfrm>
        <a:prstGeom xmlns:a="http://schemas.openxmlformats.org/drawingml/2006/main" prst="line">
          <a:avLst/>
        </a:prstGeom>
        <a:ln xmlns:a="http://schemas.openxmlformats.org/drawingml/2006/main" w="25400">
          <a:solidFill>
            <a:srgbClr val="FF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0.48122</cdr:x>
      <cdr:y>0.1723</cdr:y>
    </cdr:from>
    <cdr:to>
      <cdr:x>0.58038</cdr:x>
      <cdr:y>0.29093</cdr:y>
    </cdr:to>
    <cdr:cxnSp macro="">
      <cdr:nvCxnSpPr>
        <cdr:cNvPr id="7" name="Straight Connector 6"/>
        <cdr:cNvCxnSpPr/>
      </cdr:nvCxnSpPr>
      <cdr:spPr>
        <a:xfrm xmlns:a="http://schemas.openxmlformats.org/drawingml/2006/main">
          <a:off x="2858936" y="446948"/>
          <a:ext cx="589116" cy="307723"/>
        </a:xfrm>
        <a:prstGeom xmlns:a="http://schemas.openxmlformats.org/drawingml/2006/main" prst="line">
          <a:avLst/>
        </a:prstGeom>
        <a:ln xmlns:a="http://schemas.openxmlformats.org/drawingml/2006/main" w="25400">
          <a:solidFill>
            <a:srgbClr val="FF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0.78884</cdr:x>
      <cdr:y>0.16816</cdr:y>
    </cdr:from>
    <cdr:to>
      <cdr:x>0.89276</cdr:x>
      <cdr:y>0.28076</cdr:y>
    </cdr:to>
    <cdr:cxnSp macro="">
      <cdr:nvCxnSpPr>
        <cdr:cNvPr id="6" name="Straight Connector 5"/>
        <cdr:cNvCxnSpPr/>
      </cdr:nvCxnSpPr>
      <cdr:spPr>
        <a:xfrm xmlns:a="http://schemas.openxmlformats.org/drawingml/2006/main">
          <a:off x="4686544" y="436209"/>
          <a:ext cx="617395" cy="292082"/>
        </a:xfrm>
        <a:prstGeom xmlns:a="http://schemas.openxmlformats.org/drawingml/2006/main" prst="line">
          <a:avLst/>
        </a:prstGeom>
        <a:ln xmlns:a="http://schemas.openxmlformats.org/drawingml/2006/main" w="25400">
          <a:solidFill>
            <a:srgbClr val="FF0000"/>
          </a:solidFill>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0.84294</cdr:x>
      <cdr:y>0.10969</cdr:y>
    </cdr:from>
    <cdr:to>
      <cdr:x>0.94424</cdr:x>
      <cdr:y>0.19461</cdr:y>
    </cdr:to>
    <cdr:sp macro="" textlink="">
      <cdr:nvSpPr>
        <cdr:cNvPr id="8" name="TextBox 1"/>
        <cdr:cNvSpPr txBox="1"/>
      </cdr:nvSpPr>
      <cdr:spPr>
        <a:xfrm xmlns:a="http://schemas.openxmlformats.org/drawingml/2006/main">
          <a:off x="5007950" y="284544"/>
          <a:ext cx="601829" cy="220281"/>
        </a:xfrm>
        <a:prstGeom xmlns:a="http://schemas.openxmlformats.org/drawingml/2006/main" prst="rect">
          <a:avLst/>
        </a:prstGeom>
        <a:ln xmlns:a="http://schemas.openxmlformats.org/drawingml/2006/main">
          <a:solidFill>
            <a:srgbClr val="FF0000"/>
          </a:solidFill>
        </a:ln>
      </cdr:spPr>
      <cdr:txBody>
        <a:bodyPr xmlns:a="http://schemas.openxmlformats.org/drawingml/2006/main" wrap="square" rtlCol="0"/>
        <a:lstStyle xmlns:a="http://schemas.openxmlformats.org/drawingml/2006/main"/>
        <a:p xmlns:a="http://schemas.openxmlformats.org/drawingml/2006/main">
          <a:r>
            <a:rPr lang="lv-LV" b="1">
              <a:solidFill>
                <a:srgbClr val="FF0000"/>
              </a:solidFill>
            </a:rPr>
            <a:t>-1101</a:t>
          </a:r>
        </a:p>
      </cdr:txBody>
    </cdr:sp>
  </cdr:relSizeAnchor>
</c:userShapes>
</file>

<file path=word/drawings/drawing23.xml><?xml version="1.0" encoding="utf-8"?>
<c:userShapes xmlns:c="http://schemas.openxmlformats.org/drawingml/2006/chart">
  <cdr:relSizeAnchor xmlns:cdr="http://schemas.openxmlformats.org/drawingml/2006/chartDrawing">
    <cdr:from>
      <cdr:x>0.25503</cdr:x>
      <cdr:y>0.13174</cdr:y>
    </cdr:from>
    <cdr:to>
      <cdr:x>0.97047</cdr:x>
      <cdr:y>0.13174</cdr:y>
    </cdr:to>
    <cdr:cxnSp macro="">
      <cdr:nvCxnSpPr>
        <cdr:cNvPr id="3" name="Straight Connector 2"/>
        <cdr:cNvCxnSpPr/>
      </cdr:nvCxnSpPr>
      <cdr:spPr>
        <a:xfrm xmlns:a="http://schemas.openxmlformats.org/drawingml/2006/main">
          <a:off x="1447800" y="502920"/>
          <a:ext cx="4061460" cy="0"/>
        </a:xfrm>
        <a:prstGeom xmlns:a="http://schemas.openxmlformats.org/drawingml/2006/main" prst="line">
          <a:avLst/>
        </a:prstGeom>
        <a:ln xmlns:a="http://schemas.openxmlformats.org/drawingml/2006/main" w="22225">
          <a:solidFill>
            <a:srgbClr val="C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0.14094</cdr:x>
      <cdr:y>0.13772</cdr:y>
    </cdr:from>
    <cdr:to>
      <cdr:x>0.24966</cdr:x>
      <cdr:y>0.28343</cdr:y>
    </cdr:to>
    <cdr:sp macro="" textlink="">
      <cdr:nvSpPr>
        <cdr:cNvPr id="4" name="Teardrop 3"/>
        <cdr:cNvSpPr/>
      </cdr:nvSpPr>
      <cdr:spPr>
        <a:xfrm xmlns:a="http://schemas.openxmlformats.org/drawingml/2006/main">
          <a:off x="800110" y="525770"/>
          <a:ext cx="617192" cy="556266"/>
        </a:xfrm>
        <a:prstGeom xmlns:a="http://schemas.openxmlformats.org/drawingml/2006/main" prst="teardrop">
          <a:avLst/>
        </a:prstGeom>
        <a:noFill xmlns:a="http://schemas.openxmlformats.org/drawingml/2006/main"/>
        <a:ln xmlns:a="http://schemas.openxmlformats.org/drawingml/2006/main">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0.15436</cdr:x>
      <cdr:y>0.15968</cdr:y>
    </cdr:from>
    <cdr:to>
      <cdr:x>0.27516</cdr:x>
      <cdr:y>0.27744</cdr:y>
    </cdr:to>
    <cdr:sp macro="" textlink="">
      <cdr:nvSpPr>
        <cdr:cNvPr id="6" name="TextBox 5"/>
        <cdr:cNvSpPr txBox="1"/>
      </cdr:nvSpPr>
      <cdr:spPr>
        <a:xfrm xmlns:a="http://schemas.openxmlformats.org/drawingml/2006/main">
          <a:off x="876314" y="609613"/>
          <a:ext cx="685770" cy="4495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900" b="1">
              <a:solidFill>
                <a:srgbClr val="C00000"/>
              </a:solidFill>
            </a:rPr>
            <a:t>3,5 milj.</a:t>
          </a:r>
          <a:r>
            <a:rPr lang="lv-LV" sz="900" b="1" baseline="0">
              <a:solidFill>
                <a:srgbClr val="C00000"/>
              </a:solidFill>
            </a:rPr>
            <a:t>     euro</a:t>
          </a:r>
          <a:r>
            <a:rPr lang="lv-LV" sz="900" b="1">
              <a:solidFill>
                <a:srgbClr val="C00000"/>
              </a:solidFill>
            </a:rPr>
            <a:t> </a:t>
          </a:r>
        </a:p>
      </cdr:txBody>
    </cdr:sp>
  </cdr:relSizeAnchor>
</c:userShapes>
</file>

<file path=word/drawings/drawing24.xml><?xml version="1.0" encoding="utf-8"?>
<c:userShapes xmlns:c="http://schemas.openxmlformats.org/drawingml/2006/chart">
  <cdr:relSizeAnchor xmlns:cdr="http://schemas.openxmlformats.org/drawingml/2006/chartDrawing">
    <cdr:from>
      <cdr:x>0.83784</cdr:x>
      <cdr:y>0.52412</cdr:y>
    </cdr:from>
    <cdr:to>
      <cdr:x>0.87767</cdr:x>
      <cdr:y>0.61116</cdr:y>
    </cdr:to>
    <cdr:cxnSp macro="">
      <cdr:nvCxnSpPr>
        <cdr:cNvPr id="4" name="Straight Arrow Connector 3"/>
        <cdr:cNvCxnSpPr/>
      </cdr:nvCxnSpPr>
      <cdr:spPr>
        <a:xfrm xmlns:a="http://schemas.openxmlformats.org/drawingml/2006/main" flipH="1" flipV="1">
          <a:off x="4488180" y="2110740"/>
          <a:ext cx="213360" cy="35052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cxnSp>
  </cdr:relSizeAnchor>
  <cdr:relSizeAnchor xmlns:cdr="http://schemas.openxmlformats.org/drawingml/2006/chartDrawing">
    <cdr:from>
      <cdr:x>0.64865</cdr:x>
      <cdr:y>0.61495</cdr:y>
    </cdr:from>
    <cdr:to>
      <cdr:x>0.93309</cdr:x>
      <cdr:y>0.82933</cdr:y>
    </cdr:to>
    <cdr:sp macro="" textlink="">
      <cdr:nvSpPr>
        <cdr:cNvPr id="6" name="TextBox 5"/>
        <cdr:cNvSpPr txBox="1"/>
      </cdr:nvSpPr>
      <cdr:spPr>
        <a:xfrm xmlns:a="http://schemas.openxmlformats.org/drawingml/2006/main">
          <a:off x="3853669" y="2196525"/>
          <a:ext cx="1689881" cy="765750"/>
        </a:xfrm>
        <a:prstGeom xmlns:a="http://schemas.openxmlformats.org/drawingml/2006/main" prst="rect">
          <a:avLst/>
        </a:prstGeom>
        <a:solidFill xmlns:a="http://schemas.openxmlformats.org/drawingml/2006/main">
          <a:schemeClr val="bg1"/>
        </a:solidFill>
        <a:ln xmlns:a="http://schemas.openxmlformats.org/drawingml/2006/main">
          <a:solidFill>
            <a:srgbClr val="92D050"/>
          </a:solidFill>
        </a:ln>
      </cdr:spPr>
      <cdr:txBody>
        <a:bodyPr xmlns:a="http://schemas.openxmlformats.org/drawingml/2006/main" vertOverflow="clip" wrap="square" rtlCol="0"/>
        <a:lstStyle xmlns:a="http://schemas.openxmlformats.org/drawingml/2006/main"/>
        <a:p xmlns:a="http://schemas.openxmlformats.org/drawingml/2006/main">
          <a:r>
            <a:rPr lang="lv-LV" sz="1100">
              <a:latin typeface="Times New Roman" panose="02020603050405020304" pitchFamily="18" charset="0"/>
              <a:cs typeface="Times New Roman" panose="02020603050405020304" pitchFamily="18" charset="0"/>
            </a:rPr>
            <a:t>Provizoriskā</a:t>
          </a:r>
          <a:r>
            <a:rPr lang="lv-LV" sz="1100" baseline="0">
              <a:latin typeface="Times New Roman" panose="02020603050405020304" pitchFamily="18" charset="0"/>
              <a:cs typeface="Times New Roman" panose="02020603050405020304" pitchFamily="18" charset="0"/>
            </a:rPr>
            <a:t> izpilde, ņemot vērā iepriekšējo gadu faktiskos izdevumus (vajadzību līmeni)</a:t>
          </a:r>
          <a:endParaRPr lang="lv-LV"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0.58941</cdr:x>
      <cdr:y>0.29798</cdr:y>
    </cdr:from>
    <cdr:to>
      <cdr:x>0.75479</cdr:x>
      <cdr:y>0.46092</cdr:y>
    </cdr:to>
    <cdr:sp macro="" textlink="">
      <cdr:nvSpPr>
        <cdr:cNvPr id="7" name="TextBox 6"/>
        <cdr:cNvSpPr txBox="1"/>
      </cdr:nvSpPr>
      <cdr:spPr>
        <a:xfrm xmlns:a="http://schemas.openxmlformats.org/drawingml/2006/main">
          <a:off x="3501745" y="1053010"/>
          <a:ext cx="982533" cy="575766"/>
        </a:xfrm>
        <a:prstGeom xmlns:a="http://schemas.openxmlformats.org/drawingml/2006/main" prst="rect">
          <a:avLst/>
        </a:prstGeom>
        <a:ln xmlns:a="http://schemas.openxmlformats.org/drawingml/2006/main">
          <a:solidFill>
            <a:srgbClr val="C00000"/>
          </a:solidFill>
        </a:ln>
      </cdr:spPr>
      <cdr:txBody>
        <a:bodyPr xmlns:a="http://schemas.openxmlformats.org/drawingml/2006/main" vertOverflow="clip" wrap="square" rtlCol="0"/>
        <a:lstStyle xmlns:a="http://schemas.openxmlformats.org/drawingml/2006/main"/>
        <a:p xmlns:a="http://schemas.openxmlformats.org/drawingml/2006/main">
          <a:r>
            <a:rPr lang="lv-LV" sz="1100" b="1">
              <a:solidFill>
                <a:srgbClr val="C00000"/>
              </a:solidFill>
              <a:latin typeface="Times New Roman" panose="02020603050405020304" pitchFamily="18" charset="0"/>
              <a:cs typeface="Times New Roman" panose="02020603050405020304" pitchFamily="18" charset="0"/>
            </a:rPr>
            <a:t>Potenciālais ietaupījums -</a:t>
          </a:r>
          <a:r>
            <a:rPr lang="lv-LV" sz="1100" b="1" baseline="0">
              <a:solidFill>
                <a:srgbClr val="C00000"/>
              </a:solidFill>
              <a:latin typeface="Times New Roman" panose="02020603050405020304" pitchFamily="18" charset="0"/>
              <a:cs typeface="Times New Roman" panose="02020603050405020304" pitchFamily="18" charset="0"/>
            </a:rPr>
            <a:t> </a:t>
          </a:r>
        </a:p>
        <a:p xmlns:a="http://schemas.openxmlformats.org/drawingml/2006/main">
          <a:r>
            <a:rPr lang="lv-LV" sz="1100" b="1" baseline="0">
              <a:solidFill>
                <a:srgbClr val="C00000"/>
              </a:solidFill>
              <a:latin typeface="Times New Roman" panose="02020603050405020304" pitchFamily="18" charset="0"/>
              <a:cs typeface="Times New Roman" panose="02020603050405020304" pitchFamily="18" charset="0"/>
            </a:rPr>
            <a:t>431 221 </a:t>
          </a:r>
          <a:r>
            <a:rPr lang="lv-LV" sz="1100" b="1" i="1" baseline="0">
              <a:solidFill>
                <a:srgbClr val="C00000"/>
              </a:solidFill>
              <a:latin typeface="Times New Roman" panose="02020603050405020304" pitchFamily="18" charset="0"/>
              <a:cs typeface="Times New Roman" panose="02020603050405020304" pitchFamily="18" charset="0"/>
            </a:rPr>
            <a:t>euro</a:t>
          </a:r>
          <a:endParaRPr lang="lv-LV" sz="1100" b="1" i="1">
            <a:solidFill>
              <a:srgbClr val="C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0.81792</cdr:x>
      <cdr:y>0.36329</cdr:y>
    </cdr:from>
    <cdr:to>
      <cdr:x>0.85064</cdr:x>
      <cdr:y>0.46925</cdr:y>
    </cdr:to>
    <cdr:sp macro="" textlink="">
      <cdr:nvSpPr>
        <cdr:cNvPr id="8" name="Up-Down Arrow 7"/>
        <cdr:cNvSpPr/>
      </cdr:nvSpPr>
      <cdr:spPr>
        <a:xfrm xmlns:a="http://schemas.openxmlformats.org/drawingml/2006/main">
          <a:off x="4381500" y="1463040"/>
          <a:ext cx="175260" cy="426720"/>
        </a:xfrm>
        <a:prstGeom xmlns:a="http://schemas.openxmlformats.org/drawingml/2006/main" prst="upDownArrow">
          <a:avLst/>
        </a:prstGeom>
        <a:solidFill xmlns:a="http://schemas.openxmlformats.org/drawingml/2006/main">
          <a:srgbClr val="C00000"/>
        </a:solidFill>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0.75479</cdr:x>
      <cdr:y>0.37945</cdr:y>
    </cdr:from>
    <cdr:to>
      <cdr:x>0.81445</cdr:x>
      <cdr:y>0.41509</cdr:y>
    </cdr:to>
    <cdr:cxnSp macro="">
      <cdr:nvCxnSpPr>
        <cdr:cNvPr id="10" name="Straight Arrow Connector 9"/>
        <cdr:cNvCxnSpPr>
          <a:stCxn xmlns:a="http://schemas.openxmlformats.org/drawingml/2006/main" id="7" idx="3"/>
        </cdr:cNvCxnSpPr>
      </cdr:nvCxnSpPr>
      <cdr:spPr>
        <a:xfrm xmlns:a="http://schemas.openxmlformats.org/drawingml/2006/main">
          <a:off x="4484278" y="1340893"/>
          <a:ext cx="354422" cy="125957"/>
        </a:xfrm>
        <a:prstGeom xmlns:a="http://schemas.openxmlformats.org/drawingml/2006/main" prst="straightConnector1">
          <a:avLst/>
        </a:prstGeom>
        <a:ln xmlns:a="http://schemas.openxmlformats.org/drawingml/2006/main">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5.xml><?xml version="1.0" encoding="utf-8"?>
<c:userShapes xmlns:c="http://schemas.openxmlformats.org/drawingml/2006/chart">
  <cdr:relSizeAnchor xmlns:cdr="http://schemas.openxmlformats.org/drawingml/2006/chartDrawing">
    <cdr:from>
      <cdr:x>0.00644</cdr:x>
      <cdr:y>0.40956</cdr:y>
    </cdr:from>
    <cdr:to>
      <cdr:x>0.24222</cdr:x>
      <cdr:y>0.50141</cdr:y>
    </cdr:to>
    <cdr:sp macro="" textlink="">
      <cdr:nvSpPr>
        <cdr:cNvPr id="2" name="Rounded Rectangular Callout 1"/>
        <cdr:cNvSpPr/>
      </cdr:nvSpPr>
      <cdr:spPr>
        <a:xfrm xmlns:a="http://schemas.openxmlformats.org/drawingml/2006/main">
          <a:off x="38264" y="1571625"/>
          <a:ext cx="1400484" cy="352425"/>
        </a:xfrm>
        <a:prstGeom xmlns:a="http://schemas.openxmlformats.org/drawingml/2006/main" prst="wedgeRoundRectCallout">
          <a:avLst>
            <a:gd name="adj1" fmla="val 115505"/>
            <a:gd name="adj2" fmla="val 146943"/>
            <a:gd name="adj3" fmla="val 16667"/>
          </a:avLst>
        </a:prstGeom>
        <a:noFill xmlns:a="http://schemas.openxmlformats.org/drawingml/2006/main"/>
        <a:ln xmlns:a="http://schemas.openxmlformats.org/drawingml/2006/main" w="15875">
          <a:solidFill>
            <a:schemeClr val="accent1">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wrap="square" lIns="0" tIns="0" rIns="0" bIns="0">
          <a:noAutofit/>
        </a:bodyPr>
        <a:lstStyle xmlns:a="http://schemas.openxmlformats.org/drawingml/2006/main"/>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lv-LV" sz="1050">
              <a:solidFill>
                <a:schemeClr val="tx1"/>
              </a:solidFill>
              <a:latin typeface="Times New Roman" panose="02020603050405020304" pitchFamily="18" charset="0"/>
              <a:cs typeface="Times New Roman" panose="02020603050405020304" pitchFamily="18" charset="0"/>
            </a:rPr>
            <a:t>Atlīdzība 2 jaunām </a:t>
          </a:r>
          <a:r>
            <a:rPr lang="lv-LV" sz="1050" b="0" i="0" baseline="0">
              <a:solidFill>
                <a:schemeClr val="tx1"/>
              </a:solidFill>
              <a:effectLst/>
              <a:latin typeface="Times New Roman" panose="02020603050405020304" pitchFamily="18" charset="0"/>
              <a:ea typeface="+mn-ea"/>
              <a:cs typeface="Times New Roman" panose="02020603050405020304" pitchFamily="18" charset="0"/>
            </a:rPr>
            <a:t>amata vietām</a:t>
          </a:r>
          <a:endParaRPr lang="lv-LV" sz="1050">
            <a:solidFill>
              <a:schemeClr val="tx1"/>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0.00807</cdr:x>
      <cdr:y>0.20046</cdr:y>
    </cdr:from>
    <cdr:to>
      <cdr:x>0.24047</cdr:x>
      <cdr:y>0.37233</cdr:y>
    </cdr:to>
    <cdr:sp macro="" textlink="">
      <cdr:nvSpPr>
        <cdr:cNvPr id="3" name="Rounded Rectangular Callout 2"/>
        <cdr:cNvSpPr/>
      </cdr:nvSpPr>
      <cdr:spPr>
        <a:xfrm xmlns:a="http://schemas.openxmlformats.org/drawingml/2006/main">
          <a:off x="47951" y="769239"/>
          <a:ext cx="1380407" cy="659511"/>
        </a:xfrm>
        <a:prstGeom xmlns:a="http://schemas.openxmlformats.org/drawingml/2006/main" prst="wedgeRoundRectCallout">
          <a:avLst>
            <a:gd name="adj1" fmla="val 118243"/>
            <a:gd name="adj2" fmla="val 33814"/>
            <a:gd name="adj3" fmla="val 16667"/>
          </a:avLst>
        </a:prstGeom>
        <a:noFill xmlns:a="http://schemas.openxmlformats.org/drawingml/2006/main"/>
        <a:ln xmlns:a="http://schemas.openxmlformats.org/drawingml/2006/main" w="15875">
          <a:solidFill>
            <a:schemeClr val="accent6">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indent="0" algn="ctr" defTabSz="914400" rtl="0" eaLnBrk="1" fontAlgn="auto" latinLnBrk="0" hangingPunct="1">
            <a:lnSpc>
              <a:spcPct val="100000"/>
            </a:lnSpc>
            <a:spcBef>
              <a:spcPts val="0"/>
            </a:spcBef>
            <a:spcAft>
              <a:spcPts val="0"/>
            </a:spcAft>
            <a:buClrTx/>
            <a:buSzTx/>
            <a:buFontTx/>
            <a:buNone/>
            <a:tabLst/>
            <a:defRPr/>
          </a:pPr>
          <a:r>
            <a:rPr lang="lv-LV" sz="1050">
              <a:solidFill>
                <a:schemeClr val="tx1"/>
              </a:solidFill>
              <a:latin typeface="Times New Roman" panose="02020603050405020304" pitchFamily="18" charset="0"/>
              <a:cs typeface="Times New Roman" panose="02020603050405020304" pitchFamily="18" charset="0"/>
            </a:rPr>
            <a:t> 2 portatīvie datori, biroja mēbeles, telpu kapitālais remonts, 1 automašīnas iegāde</a:t>
          </a:r>
        </a:p>
      </cdr:txBody>
    </cdr:sp>
  </cdr:relSizeAnchor>
  <cdr:relSizeAnchor xmlns:cdr="http://schemas.openxmlformats.org/drawingml/2006/chartDrawing">
    <cdr:from>
      <cdr:x>0.01115</cdr:x>
      <cdr:y>0.0422</cdr:y>
    </cdr:from>
    <cdr:to>
      <cdr:x>0.24693</cdr:x>
      <cdr:y>0.17479</cdr:y>
    </cdr:to>
    <cdr:sp macro="" textlink="">
      <cdr:nvSpPr>
        <cdr:cNvPr id="4" name="Rounded Rectangular Callout 3"/>
        <cdr:cNvSpPr/>
      </cdr:nvSpPr>
      <cdr:spPr>
        <a:xfrm xmlns:a="http://schemas.openxmlformats.org/drawingml/2006/main">
          <a:off x="66229" y="161925"/>
          <a:ext cx="1400483" cy="508799"/>
        </a:xfrm>
        <a:prstGeom xmlns:a="http://schemas.openxmlformats.org/drawingml/2006/main" prst="wedgeRoundRectCallout">
          <a:avLst>
            <a:gd name="adj1" fmla="val 112407"/>
            <a:gd name="adj2" fmla="val -7556"/>
            <a:gd name="adj3" fmla="val 16667"/>
          </a:avLst>
        </a:prstGeom>
        <a:noFill xmlns:a="http://schemas.openxmlformats.org/drawingml/2006/main"/>
        <a:ln xmlns:a="http://schemas.openxmlformats.org/drawingml/2006/main" w="15875">
          <a:solidFill>
            <a:schemeClr val="accent2">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r>
            <a:rPr lang="lv-LV" sz="1050">
              <a:solidFill>
                <a:sysClr val="windowText" lastClr="000000"/>
              </a:solidFill>
              <a:latin typeface="Times New Roman" panose="02020603050405020304" pitchFamily="18" charset="0"/>
              <a:cs typeface="Times New Roman" panose="02020603050405020304" pitchFamily="18" charset="0"/>
            </a:rPr>
            <a:t> </a:t>
          </a:r>
          <a:r>
            <a:rPr lang="lv-LV" sz="1050">
              <a:solidFill>
                <a:sysClr val="windowText" lastClr="000000"/>
              </a:solidFill>
              <a:effectLst/>
              <a:latin typeface="Times New Roman" panose="02020603050405020304" pitchFamily="18" charset="0"/>
              <a:ea typeface="+mn-ea"/>
              <a:cs typeface="Times New Roman" panose="02020603050405020304" pitchFamily="18" charset="0"/>
            </a:rPr>
            <a:t>Amata vietu un automašīnas uzturēšanas izmaksas</a:t>
          </a:r>
          <a:endParaRPr lang="lv-LV" sz="1050">
            <a:solidFill>
              <a:sysClr val="windowText" lastClr="000000"/>
            </a:solidFill>
            <a:latin typeface="Times New Roman" panose="02020603050405020304" pitchFamily="18" charset="0"/>
            <a:cs typeface="Times New Roman" panose="02020603050405020304" pitchFamily="18" charset="0"/>
          </a:endParaRPr>
        </a:p>
      </cdr:txBody>
    </cdr:sp>
  </cdr:relSizeAnchor>
</c:userShapes>
</file>

<file path=word/drawings/drawing26.xml><?xml version="1.0" encoding="utf-8"?>
<c:userShapes xmlns:c="http://schemas.openxmlformats.org/drawingml/2006/chart">
  <cdr:relSizeAnchor xmlns:cdr="http://schemas.openxmlformats.org/drawingml/2006/chartDrawing">
    <cdr:from>
      <cdr:x>0.2561</cdr:x>
      <cdr:y>0.18412</cdr:y>
    </cdr:from>
    <cdr:to>
      <cdr:x>0.39128</cdr:x>
      <cdr:y>0.2947</cdr:y>
    </cdr:to>
    <cdr:sp macro="" textlink="">
      <cdr:nvSpPr>
        <cdr:cNvPr id="5" name="Rounded Rectangle 4"/>
        <cdr:cNvSpPr/>
      </cdr:nvSpPr>
      <cdr:spPr>
        <a:xfrm xmlns:a="http://schemas.openxmlformats.org/drawingml/2006/main">
          <a:off x="1521202" y="714376"/>
          <a:ext cx="802897" cy="428998"/>
        </a:xfrm>
        <a:prstGeom xmlns:a="http://schemas.openxmlformats.org/drawingml/2006/main" prst="roundRect">
          <a:avLst/>
        </a:prstGeom>
        <a:noFill xmlns:a="http://schemas.openxmlformats.org/drawingml/2006/main"/>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0" tIns="0" rIns="0" bIns="0" anchor="ctr" anchorCtr="1"/>
        <a:lstStyle xmlns:a="http://schemas.openxmlformats.org/drawingml/2006/main"/>
        <a:p xmlns:a="http://schemas.openxmlformats.org/drawingml/2006/main">
          <a:pPr algn="ct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Neizpilde: </a:t>
          </a:r>
        </a:p>
        <a:p xmlns:a="http://schemas.openxmlformats.org/drawingml/2006/main">
          <a:pPr algn="ct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127 109 </a:t>
          </a:r>
          <a:r>
            <a:rPr lang="lv-LV" sz="1050" i="1">
              <a:solidFill>
                <a:schemeClr val="tx1"/>
              </a:solidFill>
              <a:latin typeface="Times New Roman" panose="02020603050405020304" pitchFamily="18" charset="0"/>
              <a:ea typeface="Tahoma" panose="020B0604030504040204" pitchFamily="34" charset="0"/>
              <a:cs typeface="Times New Roman" panose="02020603050405020304" pitchFamily="18" charset="0"/>
            </a:rPr>
            <a:t>euro</a:t>
          </a:r>
        </a:p>
      </cdr:txBody>
    </cdr:sp>
  </cdr:relSizeAnchor>
  <cdr:relSizeAnchor xmlns:cdr="http://schemas.openxmlformats.org/drawingml/2006/chartDrawing">
    <cdr:from>
      <cdr:x>0.54166</cdr:x>
      <cdr:y>0.29951</cdr:y>
    </cdr:from>
    <cdr:to>
      <cdr:x>0.67672</cdr:x>
      <cdr:y>0.3969</cdr:y>
    </cdr:to>
    <cdr:sp macro="" textlink="">
      <cdr:nvSpPr>
        <cdr:cNvPr id="6" name="Rounded Rectangle 5"/>
        <cdr:cNvSpPr/>
      </cdr:nvSpPr>
      <cdr:spPr>
        <a:xfrm xmlns:a="http://schemas.openxmlformats.org/drawingml/2006/main">
          <a:off x="3217347" y="1162054"/>
          <a:ext cx="802228" cy="377859"/>
        </a:xfrm>
        <a:prstGeom xmlns:a="http://schemas.openxmlformats.org/drawingml/2006/main" prst="roundRect">
          <a:avLst/>
        </a:prstGeom>
        <a:noFill xmlns:a="http://schemas.openxmlformats.org/drawingml/2006/main"/>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Neizpilde: </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050">
              <a:solidFill>
                <a:schemeClr val="tx1"/>
              </a:solidFill>
              <a:effectLst/>
              <a:latin typeface="Times New Roman" panose="02020603050405020304" pitchFamily="18" charset="0"/>
              <a:ea typeface="+mn-ea"/>
              <a:cs typeface="Times New Roman" panose="02020603050405020304" pitchFamily="18" charset="0"/>
            </a:rPr>
            <a:t>539 549</a:t>
          </a: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 </a:t>
          </a:r>
          <a:r>
            <a:rPr lang="lv-LV" sz="1050" i="1">
              <a:solidFill>
                <a:schemeClr val="tx1"/>
              </a:solidFill>
              <a:latin typeface="Times New Roman" panose="02020603050405020304" pitchFamily="18" charset="0"/>
              <a:ea typeface="Tahoma" panose="020B0604030504040204" pitchFamily="34" charset="0"/>
              <a:cs typeface="Times New Roman" panose="02020603050405020304" pitchFamily="18" charset="0"/>
            </a:rPr>
            <a:t>euro</a:t>
          </a:r>
        </a:p>
      </cdr:txBody>
    </cdr:sp>
  </cdr:relSizeAnchor>
  <cdr:relSizeAnchor xmlns:cdr="http://schemas.openxmlformats.org/drawingml/2006/chartDrawing">
    <cdr:from>
      <cdr:x>0.82217</cdr:x>
      <cdr:y>0.02455</cdr:y>
    </cdr:from>
    <cdr:to>
      <cdr:x>0.983</cdr:x>
      <cdr:y>0.11627</cdr:y>
    </cdr:to>
    <cdr:sp macro="" textlink="">
      <cdr:nvSpPr>
        <cdr:cNvPr id="7" name="Rounded Rectangle 6"/>
        <cdr:cNvSpPr/>
      </cdr:nvSpPr>
      <cdr:spPr>
        <a:xfrm xmlns:a="http://schemas.openxmlformats.org/drawingml/2006/main">
          <a:off x="4883540" y="95250"/>
          <a:ext cx="955285" cy="355841"/>
        </a:xfrm>
        <a:prstGeom xmlns:a="http://schemas.openxmlformats.org/drawingml/2006/main" prst="roundRect">
          <a:avLst/>
        </a:prstGeom>
        <a:solidFill xmlns:a="http://schemas.openxmlformats.org/drawingml/2006/main">
          <a:schemeClr val="bg1"/>
        </a:solidFill>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Samazinājums:</a:t>
          </a:r>
        </a:p>
        <a:p xmlns:a="http://schemas.openxmlformats.org/drawingml/2006/main">
          <a:pPr marL="0" marR="0" lvl="0" indent="0" algn="ctr" defTabSz="914400" eaLnBrk="1" fontAlgn="auto" latinLnBrk="0" hangingPunct="1">
            <a:lnSpc>
              <a:spcPct val="100000"/>
            </a:lnSpc>
            <a:spcBef>
              <a:spcPts val="0"/>
            </a:spcBef>
            <a:spcAft>
              <a:spcPts val="0"/>
            </a:spcAft>
            <a:buClrTx/>
            <a:buSzTx/>
            <a:buFontTx/>
            <a:buNone/>
            <a:tabLst/>
            <a:defRPr/>
          </a:pPr>
          <a:r>
            <a:rPr lang="lv-LV" sz="1050">
              <a:solidFill>
                <a:schemeClr val="tx1"/>
              </a:solidFill>
              <a:effectLst/>
              <a:latin typeface="Times New Roman" panose="02020603050405020304" pitchFamily="18" charset="0"/>
              <a:ea typeface="+mn-ea"/>
              <a:cs typeface="Times New Roman" panose="02020603050405020304" pitchFamily="18" charset="0"/>
            </a:rPr>
            <a:t>158</a:t>
          </a:r>
          <a:r>
            <a:rPr lang="lv-LV" sz="1050" baseline="0">
              <a:solidFill>
                <a:schemeClr val="tx1"/>
              </a:solidFill>
              <a:effectLst/>
              <a:latin typeface="Times New Roman" panose="02020603050405020304" pitchFamily="18" charset="0"/>
              <a:ea typeface="+mn-ea"/>
              <a:cs typeface="Times New Roman" panose="02020603050405020304" pitchFamily="18" charset="0"/>
            </a:rPr>
            <a:t> 602 </a:t>
          </a:r>
          <a:r>
            <a:rPr lang="lv-LV" sz="1050" i="1">
              <a:solidFill>
                <a:schemeClr val="tx1"/>
              </a:solidFill>
              <a:latin typeface="Times New Roman" panose="02020603050405020304" pitchFamily="18" charset="0"/>
              <a:ea typeface="Tahoma" panose="020B0604030504040204" pitchFamily="34" charset="0"/>
              <a:cs typeface="Times New Roman" panose="02020603050405020304" pitchFamily="18" charset="0"/>
            </a:rPr>
            <a:t>euro</a:t>
          </a:r>
        </a:p>
      </cdr:txBody>
    </cdr:sp>
  </cdr:relSizeAnchor>
  <cdr:relSizeAnchor xmlns:cdr="http://schemas.openxmlformats.org/drawingml/2006/chartDrawing">
    <cdr:from>
      <cdr:x>0.18134</cdr:x>
      <cdr:y>0.04606</cdr:y>
    </cdr:from>
    <cdr:to>
      <cdr:x>0.6703</cdr:x>
      <cdr:y>0.13257</cdr:y>
    </cdr:to>
    <cdr:sp macro="" textlink="">
      <cdr:nvSpPr>
        <cdr:cNvPr id="8" name="Rectangle 7"/>
        <cdr:cNvSpPr/>
      </cdr:nvSpPr>
      <cdr:spPr>
        <a:xfrm xmlns:a="http://schemas.openxmlformats.org/drawingml/2006/main">
          <a:off x="1077116" y="178707"/>
          <a:ext cx="2904334" cy="335644"/>
        </a:xfrm>
        <a:prstGeom xmlns:a="http://schemas.openxmlformats.org/drawingml/2006/main" prst="rect">
          <a:avLst/>
        </a:prstGeom>
        <a:ln xmlns:a="http://schemas.openxmlformats.org/drawingml/2006/main"/>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vertOverflow="clip" lIns="0" tIns="0" rIns="0" bIns="0" anchor="ctr" anchorCtr="1"/>
        <a:lstStyle xmlns:a="http://schemas.openxmlformats.org/drawingml/2006/main"/>
        <a:p xmlns:a="http://schemas.openxmlformats.org/drawingml/2006/main">
          <a:pPr algn="ctr"/>
          <a:r>
            <a:rPr lang="lv-LV" sz="1050">
              <a:solidFill>
                <a:schemeClr val="tx1"/>
              </a:solidFill>
              <a:latin typeface="Times New Roman" panose="02020603050405020304" pitchFamily="18" charset="0"/>
              <a:cs typeface="Times New Roman" panose="02020603050405020304" pitchFamily="18" charset="0"/>
            </a:rPr>
            <a:t>Vidējais rādītājs:</a:t>
          </a:r>
        </a:p>
        <a:p xmlns:a="http://schemas.openxmlformats.org/drawingml/2006/main">
          <a:pPr algn="ctr"/>
          <a:r>
            <a:rPr lang="lv-LV" sz="1050">
              <a:solidFill>
                <a:schemeClr val="tx1"/>
              </a:solidFill>
              <a:latin typeface="Times New Roman" panose="02020603050405020304" pitchFamily="18" charset="0"/>
              <a:cs typeface="Times New Roman" panose="02020603050405020304" pitchFamily="18" charset="0"/>
            </a:rPr>
            <a:t>(127 109 + 539 549 + 158 602)/3 gadi = 275 087</a:t>
          </a:r>
        </a:p>
      </cdr:txBody>
    </cdr:sp>
  </cdr:relSizeAnchor>
</c:userShapes>
</file>

<file path=word/drawings/drawing27.xml><?xml version="1.0" encoding="utf-8"?>
<c:userShapes xmlns:c="http://schemas.openxmlformats.org/drawingml/2006/chart">
  <cdr:relSizeAnchor xmlns:cdr="http://schemas.openxmlformats.org/drawingml/2006/chartDrawing">
    <cdr:from>
      <cdr:x>0.35573</cdr:x>
      <cdr:y>0.02342</cdr:y>
    </cdr:from>
    <cdr:to>
      <cdr:x>0.59829</cdr:x>
      <cdr:y>0.19815</cdr:y>
    </cdr:to>
    <cdr:sp macro="" textlink="">
      <cdr:nvSpPr>
        <cdr:cNvPr id="2" name="Rectangle 1"/>
        <cdr:cNvSpPr/>
      </cdr:nvSpPr>
      <cdr:spPr>
        <a:xfrm xmlns:a="http://schemas.openxmlformats.org/drawingml/2006/main">
          <a:off x="2113413" y="120945"/>
          <a:ext cx="1441064" cy="902385"/>
        </a:xfrm>
        <a:prstGeom xmlns:a="http://schemas.openxmlformats.org/drawingml/2006/main" prst="rect">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0" rIns="36000" bIns="0" anchor="ctr" anchorCtr="1"/>
        <a:lstStyle xmlns:a="http://schemas.openxmlformats.org/drawingml/2006/main"/>
        <a:p xmlns:a="http://schemas.openxmlformats.org/drawingml/2006/main">
          <a:pPr algn="ctr"/>
          <a:r>
            <a:rPr lang="lv-LV" sz="950" dirty="0">
              <a:solidFill>
                <a:sysClr val="windowText" lastClr="000000"/>
              </a:solidFill>
              <a:latin typeface="Times New Roman" panose="02020603050405020304" pitchFamily="18" charset="0"/>
              <a:cs typeface="Times New Roman" panose="02020603050405020304" pitchFamily="18" charset="0"/>
            </a:rPr>
            <a:t>Vienreizējie pasākumi, kas īstenojamo 1 gada ietvaros, jo paredz ekspozīcijas izveidi un tai nepieciešamo materiālu iegādi</a:t>
          </a:r>
        </a:p>
      </cdr:txBody>
    </cdr:sp>
  </cdr:relSizeAnchor>
  <cdr:relSizeAnchor xmlns:cdr="http://schemas.openxmlformats.org/drawingml/2006/chartDrawing">
    <cdr:from>
      <cdr:x>0.62666</cdr:x>
      <cdr:y>0.75433</cdr:y>
    </cdr:from>
    <cdr:to>
      <cdr:x>0.78243</cdr:x>
      <cdr:y>0.97608</cdr:y>
    </cdr:to>
    <cdr:sp macro="" textlink="">
      <cdr:nvSpPr>
        <cdr:cNvPr id="3" name="Rectangle 2"/>
        <cdr:cNvSpPr/>
      </cdr:nvSpPr>
      <cdr:spPr>
        <a:xfrm xmlns:a="http://schemas.openxmlformats.org/drawingml/2006/main">
          <a:off x="3723025" y="3895726"/>
          <a:ext cx="925439" cy="1145196"/>
        </a:xfrm>
        <a:prstGeom xmlns:a="http://schemas.openxmlformats.org/drawingml/2006/main" prst="rect">
          <a:avLst/>
        </a:prstGeom>
        <a:noFill xmlns:a="http://schemas.openxmlformats.org/drawingml/2006/main"/>
        <a:ln xmlns:a="http://schemas.openxmlformats.org/drawingml/2006/main" w="19050">
          <a:solidFill>
            <a:schemeClr val="accent3">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0" rIns="36000" bIns="0" anchor="ctr" anchorCtr="1"/>
        <a:lstStyle xmlns:a="http://schemas.openxmlformats.org/drawingml/2006/main"/>
        <a:p xmlns:a="http://schemas.openxmlformats.org/drawingml/2006/main">
          <a:pPr algn="ctr"/>
          <a:r>
            <a:rPr lang="lv-LV" sz="950" dirty="0">
              <a:solidFill>
                <a:sysClr val="windowText" lastClr="000000"/>
              </a:solidFill>
              <a:latin typeface="Times New Roman" panose="02020603050405020304" pitchFamily="18" charset="0"/>
              <a:cs typeface="Times New Roman" panose="02020603050405020304" pitchFamily="18" charset="0"/>
            </a:rPr>
            <a:t>Terminēti pasākumi, kas ietver būvdarbus un infrastruktūras sakārtošanu, īstenojami 1-2 gada ietvaros</a:t>
          </a:r>
          <a:endParaRPr lang="lv-LV" sz="950"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0.60802</cdr:x>
      <cdr:y>0.84705</cdr:y>
    </cdr:from>
    <cdr:to>
      <cdr:x>0.62666</cdr:x>
      <cdr:y>0.86521</cdr:y>
    </cdr:to>
    <cdr:cxnSp macro="">
      <cdr:nvCxnSpPr>
        <cdr:cNvPr id="5" name="Straight Arrow Connector 4"/>
        <cdr:cNvCxnSpPr>
          <a:stCxn xmlns:a="http://schemas.openxmlformats.org/drawingml/2006/main" id="3" idx="1"/>
          <a:endCxn xmlns:a="http://schemas.openxmlformats.org/drawingml/2006/main" id="6" idx="5"/>
        </cdr:cNvCxnSpPr>
      </cdr:nvCxnSpPr>
      <cdr:spPr>
        <a:xfrm xmlns:a="http://schemas.openxmlformats.org/drawingml/2006/main" flipH="1" flipV="1">
          <a:off x="3612278" y="4374526"/>
          <a:ext cx="110747" cy="93798"/>
        </a:xfrm>
        <a:prstGeom xmlns:a="http://schemas.openxmlformats.org/drawingml/2006/main" prst="straightConnector1">
          <a:avLst/>
        </a:prstGeom>
        <a:ln xmlns:a="http://schemas.openxmlformats.org/drawingml/2006/main" w="19050">
          <a:solidFill>
            <a:schemeClr val="accent3">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0.5358</cdr:x>
      <cdr:y>0.78471</cdr:y>
    </cdr:from>
    <cdr:to>
      <cdr:x>0.62041</cdr:x>
      <cdr:y>0.85774</cdr:y>
    </cdr:to>
    <cdr:sp macro="" textlink="">
      <cdr:nvSpPr>
        <cdr:cNvPr id="6" name="Oval 5"/>
        <cdr:cNvSpPr/>
      </cdr:nvSpPr>
      <cdr:spPr>
        <a:xfrm xmlns:a="http://schemas.openxmlformats.org/drawingml/2006/main">
          <a:off x="3183217" y="4052620"/>
          <a:ext cx="502673" cy="377133"/>
        </a:xfrm>
        <a:prstGeom xmlns:a="http://schemas.openxmlformats.org/drawingml/2006/main" prst="ellipse">
          <a:avLst/>
        </a:prstGeom>
        <a:noFill xmlns:a="http://schemas.openxmlformats.org/drawingml/2006/main"/>
        <a:ln xmlns:a="http://schemas.openxmlformats.org/drawingml/2006/main" w="19050">
          <a:solidFill>
            <a:schemeClr val="accent3">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0.33232</cdr:x>
      <cdr:y>0.36849</cdr:y>
    </cdr:from>
    <cdr:to>
      <cdr:x>0.41895</cdr:x>
      <cdr:y>0.38967</cdr:y>
    </cdr:to>
    <cdr:sp macro="" textlink="">
      <cdr:nvSpPr>
        <cdr:cNvPr id="10" name="Oval 9"/>
        <cdr:cNvSpPr/>
      </cdr:nvSpPr>
      <cdr:spPr>
        <a:xfrm xmlns:a="http://schemas.openxmlformats.org/drawingml/2006/main">
          <a:off x="1974322" y="1903029"/>
          <a:ext cx="514674" cy="109383"/>
        </a:xfrm>
        <a:prstGeom xmlns:a="http://schemas.openxmlformats.org/drawingml/2006/main" prst="ellipse">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0.53683</cdr:x>
      <cdr:y>0.36565</cdr:y>
    </cdr:from>
    <cdr:to>
      <cdr:x>0.61565</cdr:x>
      <cdr:y>0.39154</cdr:y>
    </cdr:to>
    <cdr:sp macro="" textlink="">
      <cdr:nvSpPr>
        <cdr:cNvPr id="11" name="Oval 10"/>
        <cdr:cNvSpPr/>
      </cdr:nvSpPr>
      <cdr:spPr>
        <a:xfrm xmlns:a="http://schemas.openxmlformats.org/drawingml/2006/main">
          <a:off x="3189336" y="1888398"/>
          <a:ext cx="468274" cy="133707"/>
        </a:xfrm>
        <a:prstGeom xmlns:a="http://schemas.openxmlformats.org/drawingml/2006/main" prst="ellipse">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0.33348</cdr:x>
      <cdr:y>0.38967</cdr:y>
    </cdr:from>
    <cdr:to>
      <cdr:x>0.41725</cdr:x>
      <cdr:y>0.41791</cdr:y>
    </cdr:to>
    <cdr:sp macro="" textlink="">
      <cdr:nvSpPr>
        <cdr:cNvPr id="12" name="Oval 11"/>
        <cdr:cNvSpPr/>
      </cdr:nvSpPr>
      <cdr:spPr>
        <a:xfrm xmlns:a="http://schemas.openxmlformats.org/drawingml/2006/main">
          <a:off x="1981213" y="2012412"/>
          <a:ext cx="497682" cy="145844"/>
        </a:xfrm>
        <a:prstGeom xmlns:a="http://schemas.openxmlformats.org/drawingml/2006/main" prst="ellipse">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0.53861</cdr:x>
      <cdr:y>0.39108</cdr:y>
    </cdr:from>
    <cdr:to>
      <cdr:x>0.61553</cdr:x>
      <cdr:y>0.42267</cdr:y>
    </cdr:to>
    <cdr:sp macro="" textlink="">
      <cdr:nvSpPr>
        <cdr:cNvPr id="13" name="Oval 12"/>
        <cdr:cNvSpPr/>
      </cdr:nvSpPr>
      <cdr:spPr>
        <a:xfrm xmlns:a="http://schemas.openxmlformats.org/drawingml/2006/main">
          <a:off x="3199902" y="2019727"/>
          <a:ext cx="456987" cy="163145"/>
        </a:xfrm>
        <a:prstGeom xmlns:a="http://schemas.openxmlformats.org/drawingml/2006/main" prst="ellipse">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0.34203</cdr:x>
      <cdr:y>0.54053</cdr:y>
    </cdr:from>
    <cdr:to>
      <cdr:x>0.4104</cdr:x>
      <cdr:y>0.60017</cdr:y>
    </cdr:to>
    <cdr:sp macro="" textlink="">
      <cdr:nvSpPr>
        <cdr:cNvPr id="14" name="Oval 13"/>
        <cdr:cNvSpPr/>
      </cdr:nvSpPr>
      <cdr:spPr>
        <a:xfrm xmlns:a="http://schemas.openxmlformats.org/drawingml/2006/main">
          <a:off x="2032010" y="2791561"/>
          <a:ext cx="406190" cy="308008"/>
        </a:xfrm>
        <a:prstGeom xmlns:a="http://schemas.openxmlformats.org/drawingml/2006/main" prst="ellipse">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0.5423</cdr:x>
      <cdr:y>0.53912</cdr:y>
    </cdr:from>
    <cdr:to>
      <cdr:x>0.61067</cdr:x>
      <cdr:y>0.6023</cdr:y>
    </cdr:to>
    <cdr:sp macro="" textlink="">
      <cdr:nvSpPr>
        <cdr:cNvPr id="15" name="Oval 14"/>
        <cdr:cNvSpPr/>
      </cdr:nvSpPr>
      <cdr:spPr>
        <a:xfrm xmlns:a="http://schemas.openxmlformats.org/drawingml/2006/main">
          <a:off x="3221849" y="2784245"/>
          <a:ext cx="406191" cy="326291"/>
        </a:xfrm>
        <a:prstGeom xmlns:a="http://schemas.openxmlformats.org/drawingml/2006/main" prst="ellipse">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0.40626</cdr:x>
      <cdr:y>0.19815</cdr:y>
    </cdr:from>
    <cdr:to>
      <cdr:x>0.47701</cdr:x>
      <cdr:y>0.37159</cdr:y>
    </cdr:to>
    <cdr:cxnSp macro="">
      <cdr:nvCxnSpPr>
        <cdr:cNvPr id="17" name="Straight Arrow Connector 16"/>
        <cdr:cNvCxnSpPr>
          <a:stCxn xmlns:a="http://schemas.openxmlformats.org/drawingml/2006/main" id="2" idx="2"/>
          <a:endCxn xmlns:a="http://schemas.openxmlformats.org/drawingml/2006/main" id="10" idx="7"/>
        </cdr:cNvCxnSpPr>
      </cdr:nvCxnSpPr>
      <cdr:spPr>
        <a:xfrm xmlns:a="http://schemas.openxmlformats.org/drawingml/2006/main" flipH="1">
          <a:off x="2413635" y="1023330"/>
          <a:ext cx="420310" cy="895739"/>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0.41725</cdr:x>
      <cdr:y>0.19815</cdr:y>
    </cdr:from>
    <cdr:to>
      <cdr:x>0.47701</cdr:x>
      <cdr:y>0.40379</cdr:y>
    </cdr:to>
    <cdr:cxnSp macro="">
      <cdr:nvCxnSpPr>
        <cdr:cNvPr id="19" name="Straight Arrow Connector 18"/>
        <cdr:cNvCxnSpPr>
          <a:stCxn xmlns:a="http://schemas.openxmlformats.org/drawingml/2006/main" id="2" idx="2"/>
          <a:endCxn xmlns:a="http://schemas.openxmlformats.org/drawingml/2006/main" id="12" idx="6"/>
        </cdr:cNvCxnSpPr>
      </cdr:nvCxnSpPr>
      <cdr:spPr>
        <a:xfrm xmlns:a="http://schemas.openxmlformats.org/drawingml/2006/main" flipH="1">
          <a:off x="2478907" y="1023330"/>
          <a:ext cx="355038" cy="1062025"/>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0.40039</cdr:x>
      <cdr:y>0.19815</cdr:y>
    </cdr:from>
    <cdr:to>
      <cdr:x>0.47701</cdr:x>
      <cdr:y>0.54926</cdr:y>
    </cdr:to>
    <cdr:cxnSp macro="">
      <cdr:nvCxnSpPr>
        <cdr:cNvPr id="21" name="Straight Arrow Connector 20"/>
        <cdr:cNvCxnSpPr>
          <a:stCxn xmlns:a="http://schemas.openxmlformats.org/drawingml/2006/main" id="2" idx="2"/>
          <a:endCxn xmlns:a="http://schemas.openxmlformats.org/drawingml/2006/main" id="14" idx="7"/>
        </cdr:cNvCxnSpPr>
      </cdr:nvCxnSpPr>
      <cdr:spPr>
        <a:xfrm xmlns:a="http://schemas.openxmlformats.org/drawingml/2006/main" flipH="1">
          <a:off x="2378726" y="1023330"/>
          <a:ext cx="455219" cy="1813320"/>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0.47701</cdr:x>
      <cdr:y>0.19815</cdr:y>
    </cdr:from>
    <cdr:to>
      <cdr:x>0.54837</cdr:x>
      <cdr:y>0.36944</cdr:y>
    </cdr:to>
    <cdr:cxnSp macro="">
      <cdr:nvCxnSpPr>
        <cdr:cNvPr id="25" name="Straight Arrow Connector 24"/>
        <cdr:cNvCxnSpPr>
          <a:stCxn xmlns:a="http://schemas.openxmlformats.org/drawingml/2006/main" id="2" idx="2"/>
          <a:endCxn xmlns:a="http://schemas.openxmlformats.org/drawingml/2006/main" id="11" idx="1"/>
        </cdr:cNvCxnSpPr>
      </cdr:nvCxnSpPr>
      <cdr:spPr>
        <a:xfrm xmlns:a="http://schemas.openxmlformats.org/drawingml/2006/main">
          <a:off x="2833945" y="1023330"/>
          <a:ext cx="423971" cy="884634"/>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0.47701</cdr:x>
      <cdr:y>0.19815</cdr:y>
    </cdr:from>
    <cdr:to>
      <cdr:x>0.53861</cdr:x>
      <cdr:y>0.40688</cdr:y>
    </cdr:to>
    <cdr:cxnSp macro="">
      <cdr:nvCxnSpPr>
        <cdr:cNvPr id="29" name="Straight Arrow Connector 28"/>
        <cdr:cNvCxnSpPr>
          <a:stCxn xmlns:a="http://schemas.openxmlformats.org/drawingml/2006/main" id="2" idx="2"/>
          <a:endCxn xmlns:a="http://schemas.openxmlformats.org/drawingml/2006/main" id="13" idx="2"/>
        </cdr:cNvCxnSpPr>
      </cdr:nvCxnSpPr>
      <cdr:spPr>
        <a:xfrm xmlns:a="http://schemas.openxmlformats.org/drawingml/2006/main">
          <a:off x="2833945" y="1023330"/>
          <a:ext cx="365969" cy="1077958"/>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0.47701</cdr:x>
      <cdr:y>0.19815</cdr:y>
    </cdr:from>
    <cdr:to>
      <cdr:x>0.5423</cdr:x>
      <cdr:y>0.57071</cdr:y>
    </cdr:to>
    <cdr:cxnSp macro="">
      <cdr:nvCxnSpPr>
        <cdr:cNvPr id="34" name="Straight Arrow Connector 33"/>
        <cdr:cNvCxnSpPr>
          <a:stCxn xmlns:a="http://schemas.openxmlformats.org/drawingml/2006/main" id="2" idx="2"/>
          <a:endCxn xmlns:a="http://schemas.openxmlformats.org/drawingml/2006/main" id="15" idx="2"/>
        </cdr:cNvCxnSpPr>
      </cdr:nvCxnSpPr>
      <cdr:spPr>
        <a:xfrm xmlns:a="http://schemas.openxmlformats.org/drawingml/2006/main">
          <a:off x="2833945" y="1023330"/>
          <a:ext cx="387892" cy="1924076"/>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0.20627</cdr:x>
      <cdr:y>0.60806</cdr:y>
    </cdr:from>
    <cdr:to>
      <cdr:x>0.62401</cdr:x>
      <cdr:y>0.63761</cdr:y>
    </cdr:to>
    <cdr:cxnSp macro="">
      <cdr:nvCxnSpPr>
        <cdr:cNvPr id="38" name="Straight Arrow Connector 37"/>
        <cdr:cNvCxnSpPr>
          <a:stCxn xmlns:a="http://schemas.openxmlformats.org/drawingml/2006/main" id="7" idx="1"/>
          <a:endCxn xmlns:a="http://schemas.openxmlformats.org/drawingml/2006/main" id="43" idx="7"/>
        </cdr:cNvCxnSpPr>
      </cdr:nvCxnSpPr>
      <cdr:spPr>
        <a:xfrm xmlns:a="http://schemas.openxmlformats.org/drawingml/2006/main" flipH="1">
          <a:off x="1225447" y="3140276"/>
          <a:ext cx="2481816" cy="152641"/>
        </a:xfrm>
        <a:prstGeom xmlns:a="http://schemas.openxmlformats.org/drawingml/2006/main" prst="straightConnector1">
          <a:avLst/>
        </a:prstGeom>
        <a:ln xmlns:a="http://schemas.openxmlformats.org/drawingml/2006/main" w="19050">
          <a:solidFill>
            <a:schemeClr val="accent6">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0.41163</cdr:x>
      <cdr:y>0.60806</cdr:y>
    </cdr:from>
    <cdr:to>
      <cdr:x>0.62401</cdr:x>
      <cdr:y>0.65676</cdr:y>
    </cdr:to>
    <cdr:cxnSp macro="">
      <cdr:nvCxnSpPr>
        <cdr:cNvPr id="40" name="Straight Arrow Connector 39"/>
        <cdr:cNvCxnSpPr>
          <a:stCxn xmlns:a="http://schemas.openxmlformats.org/drawingml/2006/main" id="7" idx="1"/>
          <a:endCxn xmlns:a="http://schemas.openxmlformats.org/drawingml/2006/main" id="44" idx="6"/>
        </cdr:cNvCxnSpPr>
      </cdr:nvCxnSpPr>
      <cdr:spPr>
        <a:xfrm xmlns:a="http://schemas.openxmlformats.org/drawingml/2006/main" flipH="1">
          <a:off x="2445519" y="3140276"/>
          <a:ext cx="1261744" cy="251532"/>
        </a:xfrm>
        <a:prstGeom xmlns:a="http://schemas.openxmlformats.org/drawingml/2006/main" prst="straightConnector1">
          <a:avLst/>
        </a:prstGeom>
        <a:ln xmlns:a="http://schemas.openxmlformats.org/drawingml/2006/main" w="19050">
          <a:solidFill>
            <a:schemeClr val="accent6">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0.60821</cdr:x>
      <cdr:y>0.60806</cdr:y>
    </cdr:from>
    <cdr:to>
      <cdr:x>0.62401</cdr:x>
      <cdr:y>0.65635</cdr:y>
    </cdr:to>
    <cdr:cxnSp macro="">
      <cdr:nvCxnSpPr>
        <cdr:cNvPr id="42" name="Straight Arrow Connector 41"/>
        <cdr:cNvCxnSpPr>
          <a:stCxn xmlns:a="http://schemas.openxmlformats.org/drawingml/2006/main" id="7" idx="1"/>
          <a:endCxn xmlns:a="http://schemas.openxmlformats.org/drawingml/2006/main" id="45" idx="6"/>
        </cdr:cNvCxnSpPr>
      </cdr:nvCxnSpPr>
      <cdr:spPr>
        <a:xfrm xmlns:a="http://schemas.openxmlformats.org/drawingml/2006/main" flipH="1">
          <a:off x="3613412" y="3140276"/>
          <a:ext cx="93851" cy="249414"/>
        </a:xfrm>
        <a:prstGeom xmlns:a="http://schemas.openxmlformats.org/drawingml/2006/main" prst="straightConnector1">
          <a:avLst/>
        </a:prstGeom>
        <a:ln xmlns:a="http://schemas.openxmlformats.org/drawingml/2006/main" w="19050">
          <a:solidFill>
            <a:schemeClr val="accent6">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0.14791</cdr:x>
      <cdr:y>0.62915</cdr:y>
    </cdr:from>
    <cdr:to>
      <cdr:x>0.21628</cdr:x>
      <cdr:y>0.68693</cdr:y>
    </cdr:to>
    <cdr:sp macro="" textlink="">
      <cdr:nvSpPr>
        <cdr:cNvPr id="43" name="Oval 42"/>
        <cdr:cNvSpPr/>
      </cdr:nvSpPr>
      <cdr:spPr>
        <a:xfrm xmlns:a="http://schemas.openxmlformats.org/drawingml/2006/main">
          <a:off x="878746" y="3249232"/>
          <a:ext cx="406191" cy="298403"/>
        </a:xfrm>
        <a:prstGeom xmlns:a="http://schemas.openxmlformats.org/drawingml/2006/main" prst="ellipse">
          <a:avLst/>
        </a:prstGeom>
        <a:noFill xmlns:a="http://schemas.openxmlformats.org/drawingml/2006/main"/>
        <a:ln xmlns:a="http://schemas.openxmlformats.org/drawingml/2006/main" w="19050">
          <a:solidFill>
            <a:schemeClr val="accent6">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0.34326</cdr:x>
      <cdr:y>0.62517</cdr:y>
    </cdr:from>
    <cdr:to>
      <cdr:x>0.41163</cdr:x>
      <cdr:y>0.68835</cdr:y>
    </cdr:to>
    <cdr:sp macro="" textlink="">
      <cdr:nvSpPr>
        <cdr:cNvPr id="44" name="Oval 43"/>
        <cdr:cNvSpPr/>
      </cdr:nvSpPr>
      <cdr:spPr>
        <a:xfrm xmlns:a="http://schemas.openxmlformats.org/drawingml/2006/main">
          <a:off x="2039325" y="3228659"/>
          <a:ext cx="406190" cy="326291"/>
        </a:xfrm>
        <a:prstGeom xmlns:a="http://schemas.openxmlformats.org/drawingml/2006/main" prst="ellipse">
          <a:avLst/>
        </a:prstGeom>
        <a:noFill xmlns:a="http://schemas.openxmlformats.org/drawingml/2006/main"/>
        <a:ln xmlns:a="http://schemas.openxmlformats.org/drawingml/2006/main" w="19050">
          <a:solidFill>
            <a:schemeClr val="accent6">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0.53984</cdr:x>
      <cdr:y>0.62152</cdr:y>
    </cdr:from>
    <cdr:to>
      <cdr:x>0.60821</cdr:x>
      <cdr:y>0.69118</cdr:y>
    </cdr:to>
    <cdr:sp macro="" textlink="">
      <cdr:nvSpPr>
        <cdr:cNvPr id="45" name="Oval 44"/>
        <cdr:cNvSpPr/>
      </cdr:nvSpPr>
      <cdr:spPr>
        <a:xfrm xmlns:a="http://schemas.openxmlformats.org/drawingml/2006/main">
          <a:off x="3207218" y="3209824"/>
          <a:ext cx="406191" cy="359756"/>
        </a:xfrm>
        <a:prstGeom xmlns:a="http://schemas.openxmlformats.org/drawingml/2006/main" prst="ellipse">
          <a:avLst/>
        </a:prstGeom>
        <a:noFill xmlns:a="http://schemas.openxmlformats.org/drawingml/2006/main"/>
        <a:ln xmlns:a="http://schemas.openxmlformats.org/drawingml/2006/main" w="19050">
          <a:solidFill>
            <a:schemeClr val="accent6">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0.07115</cdr:x>
      <cdr:y>0.02157</cdr:y>
    </cdr:from>
    <cdr:to>
      <cdr:x>0.31508</cdr:x>
      <cdr:y>0.1963</cdr:y>
    </cdr:to>
    <cdr:sp macro="" textlink="">
      <cdr:nvSpPr>
        <cdr:cNvPr id="50" name="Rectangle 49"/>
        <cdr:cNvSpPr/>
      </cdr:nvSpPr>
      <cdr:spPr>
        <a:xfrm xmlns:a="http://schemas.openxmlformats.org/drawingml/2006/main">
          <a:off x="422706" y="111420"/>
          <a:ext cx="1449203" cy="902385"/>
        </a:xfrm>
        <a:prstGeom xmlns:a="http://schemas.openxmlformats.org/drawingml/2006/main" prst="rect">
          <a:avLst/>
        </a:pr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0" rIns="36000" bIns="0" anchor="ctr" anchorCtr="1"/>
        <a:lstStyle xmlns:a="http://schemas.openxmlformats.org/drawingml/2006/main"/>
        <a:p xmlns:a="http://schemas.openxmlformats.org/drawingml/2006/main">
          <a:pPr algn="ctr"/>
          <a:r>
            <a:rPr lang="lv-LV" sz="950" dirty="0">
              <a:solidFill>
                <a:sysClr val="windowText" lastClr="000000"/>
              </a:solidFill>
              <a:latin typeface="Times New Roman" panose="02020603050405020304" pitchFamily="18" charset="0"/>
              <a:cs typeface="Times New Roman" panose="02020603050405020304" pitchFamily="18" charset="0"/>
            </a:rPr>
            <a:t>Ziņojuma sagatavošana par jūras plānojuma īstenošanas gaitu – Latvijas </a:t>
          </a:r>
          <a:r>
            <a:rPr lang="lv-LV" sz="950" dirty="0" err="1">
              <a:solidFill>
                <a:sysClr val="windowText" lastClr="000000"/>
              </a:solidFill>
              <a:latin typeface="Times New Roman" panose="02020603050405020304" pitchFamily="18" charset="0"/>
              <a:cs typeface="Times New Roman" panose="02020603050405020304" pitchFamily="18" charset="0"/>
            </a:rPr>
            <a:t>Hidroekoloģijas</a:t>
          </a:r>
          <a:r>
            <a:rPr lang="lv-LV" sz="950" dirty="0">
              <a:solidFill>
                <a:sysClr val="windowText" lastClr="000000"/>
              </a:solidFill>
              <a:latin typeface="Times New Roman" panose="02020603050405020304" pitchFamily="18" charset="0"/>
              <a:cs typeface="Times New Roman" panose="02020603050405020304" pitchFamily="18" charset="0"/>
            </a:rPr>
            <a:t> institūtam ir līdzvērtīgs deleģētais uzdevums no VARAM</a:t>
          </a:r>
          <a:endParaRPr lang="lv-LV" sz="700" dirty="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0.14422</cdr:x>
      <cdr:y>0.27479</cdr:y>
    </cdr:from>
    <cdr:to>
      <cdr:x>0.21259</cdr:x>
      <cdr:y>0.35241</cdr:y>
    </cdr:to>
    <cdr:sp macro="" textlink="">
      <cdr:nvSpPr>
        <cdr:cNvPr id="51" name="Oval 50"/>
        <cdr:cNvSpPr/>
      </cdr:nvSpPr>
      <cdr:spPr>
        <a:xfrm xmlns:a="http://schemas.openxmlformats.org/drawingml/2006/main">
          <a:off x="856800" y="1419149"/>
          <a:ext cx="406191" cy="400857"/>
        </a:xfrm>
        <a:prstGeom xmlns:a="http://schemas.openxmlformats.org/drawingml/2006/main" prst="ellipse">
          <a:avLst/>
        </a:pr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0.34203</cdr:x>
      <cdr:y>0.27202</cdr:y>
    </cdr:from>
    <cdr:to>
      <cdr:x>0.4104</cdr:x>
      <cdr:y>0.35099</cdr:y>
    </cdr:to>
    <cdr:sp macro="" textlink="">
      <cdr:nvSpPr>
        <cdr:cNvPr id="52" name="Oval 51"/>
        <cdr:cNvSpPr/>
      </cdr:nvSpPr>
      <cdr:spPr>
        <a:xfrm xmlns:a="http://schemas.openxmlformats.org/drawingml/2006/main">
          <a:off x="2032010" y="1404854"/>
          <a:ext cx="406190" cy="407837"/>
        </a:xfrm>
        <a:prstGeom xmlns:a="http://schemas.openxmlformats.org/drawingml/2006/main" prst="ellipse">
          <a:avLst/>
        </a:pr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0.5423</cdr:x>
      <cdr:y>0.27344</cdr:y>
    </cdr:from>
    <cdr:to>
      <cdr:x>0.61067</cdr:x>
      <cdr:y>0.34834</cdr:y>
    </cdr:to>
    <cdr:sp macro="" textlink="">
      <cdr:nvSpPr>
        <cdr:cNvPr id="53" name="Oval 52"/>
        <cdr:cNvSpPr/>
      </cdr:nvSpPr>
      <cdr:spPr>
        <a:xfrm xmlns:a="http://schemas.openxmlformats.org/drawingml/2006/main">
          <a:off x="3221848" y="1412169"/>
          <a:ext cx="406191" cy="386817"/>
        </a:xfrm>
        <a:prstGeom xmlns:a="http://schemas.openxmlformats.org/drawingml/2006/main" prst="ellipse">
          <a:avLst/>
        </a:pr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0.17841</cdr:x>
      <cdr:y>0.1963</cdr:y>
    </cdr:from>
    <cdr:to>
      <cdr:x>0.19312</cdr:x>
      <cdr:y>0.27479</cdr:y>
    </cdr:to>
    <cdr:cxnSp macro="">
      <cdr:nvCxnSpPr>
        <cdr:cNvPr id="109" name="Straight Arrow Connector 108"/>
        <cdr:cNvCxnSpPr>
          <a:stCxn xmlns:a="http://schemas.openxmlformats.org/drawingml/2006/main" id="50" idx="2"/>
          <a:endCxn xmlns:a="http://schemas.openxmlformats.org/drawingml/2006/main" id="51" idx="0"/>
        </cdr:cNvCxnSpPr>
      </cdr:nvCxnSpPr>
      <cdr:spPr>
        <a:xfrm xmlns:a="http://schemas.openxmlformats.org/drawingml/2006/main" flipH="1">
          <a:off x="1059915" y="1013805"/>
          <a:ext cx="87393" cy="405336"/>
        </a:xfrm>
        <a:prstGeom xmlns:a="http://schemas.openxmlformats.org/drawingml/2006/main" prst="straightConnector1">
          <a:avLst/>
        </a:prstGeom>
        <a:ln xmlns:a="http://schemas.openxmlformats.org/drawingml/2006/main" w="19050">
          <a:solidFill>
            <a:schemeClr val="accent1">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0.19312</cdr:x>
      <cdr:y>0.1963</cdr:y>
    </cdr:from>
    <cdr:to>
      <cdr:x>0.35204</cdr:x>
      <cdr:y>0.28358</cdr:y>
    </cdr:to>
    <cdr:cxnSp macro="">
      <cdr:nvCxnSpPr>
        <cdr:cNvPr id="111" name="Straight Arrow Connector 110"/>
        <cdr:cNvCxnSpPr>
          <a:stCxn xmlns:a="http://schemas.openxmlformats.org/drawingml/2006/main" id="50" idx="2"/>
          <a:endCxn xmlns:a="http://schemas.openxmlformats.org/drawingml/2006/main" id="52" idx="1"/>
        </cdr:cNvCxnSpPr>
      </cdr:nvCxnSpPr>
      <cdr:spPr>
        <a:xfrm xmlns:a="http://schemas.openxmlformats.org/drawingml/2006/main">
          <a:off x="1147308" y="1013805"/>
          <a:ext cx="944198" cy="450756"/>
        </a:xfrm>
        <a:prstGeom xmlns:a="http://schemas.openxmlformats.org/drawingml/2006/main" prst="straightConnector1">
          <a:avLst/>
        </a:prstGeom>
        <a:ln xmlns:a="http://schemas.openxmlformats.org/drawingml/2006/main" w="19050">
          <a:solidFill>
            <a:schemeClr val="accent1">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0.19312</cdr:x>
      <cdr:y>0.1963</cdr:y>
    </cdr:from>
    <cdr:to>
      <cdr:x>0.55231</cdr:x>
      <cdr:y>0.28441</cdr:y>
    </cdr:to>
    <cdr:cxnSp macro="">
      <cdr:nvCxnSpPr>
        <cdr:cNvPr id="113" name="Straight Arrow Connector 112"/>
        <cdr:cNvCxnSpPr>
          <a:stCxn xmlns:a="http://schemas.openxmlformats.org/drawingml/2006/main" id="50" idx="2"/>
          <a:endCxn xmlns:a="http://schemas.openxmlformats.org/drawingml/2006/main" id="53" idx="1"/>
        </cdr:cNvCxnSpPr>
      </cdr:nvCxnSpPr>
      <cdr:spPr>
        <a:xfrm xmlns:a="http://schemas.openxmlformats.org/drawingml/2006/main">
          <a:off x="1147308" y="1013805"/>
          <a:ext cx="2134014" cy="455012"/>
        </a:xfrm>
        <a:prstGeom xmlns:a="http://schemas.openxmlformats.org/drawingml/2006/main" prst="straightConnector1">
          <a:avLst/>
        </a:prstGeom>
        <a:ln xmlns:a="http://schemas.openxmlformats.org/drawingml/2006/main" w="19050">
          <a:solidFill>
            <a:schemeClr val="accent1">
              <a:lumMod val="7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0.62401</cdr:x>
      <cdr:y>0.50535</cdr:y>
    </cdr:from>
    <cdr:to>
      <cdr:x>0.7872</cdr:x>
      <cdr:y>0.71076</cdr:y>
    </cdr:to>
    <cdr:sp macro="" textlink="">
      <cdr:nvSpPr>
        <cdr:cNvPr id="7" name="Rectangle 6"/>
        <cdr:cNvSpPr/>
      </cdr:nvSpPr>
      <cdr:spPr>
        <a:xfrm xmlns:a="http://schemas.openxmlformats.org/drawingml/2006/main">
          <a:off x="3707263" y="2609850"/>
          <a:ext cx="969512" cy="1060852"/>
        </a:xfrm>
        <a:prstGeom xmlns:a="http://schemas.openxmlformats.org/drawingml/2006/main" prst="rect">
          <a:avLst/>
        </a:prstGeom>
        <a:noFill xmlns:a="http://schemas.openxmlformats.org/drawingml/2006/main"/>
        <a:ln xmlns:a="http://schemas.openxmlformats.org/drawingml/2006/main" w="19050">
          <a:solidFill>
            <a:schemeClr val="accent6">
              <a:lumMod val="75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0" rIns="36000" bIns="0"/>
        <a:lstStyle xmlns:a="http://schemas.openxmlformats.org/drawingml/2006/main"/>
        <a:p xmlns:a="http://schemas.openxmlformats.org/drawingml/2006/main">
          <a:pPr algn="ctr"/>
          <a:r>
            <a:rPr lang="lv-LV" sz="950">
              <a:solidFill>
                <a:sysClr val="windowText" lastClr="000000"/>
              </a:solidFill>
              <a:latin typeface="Times New Roman" panose="02020603050405020304" pitchFamily="18" charset="0"/>
              <a:cs typeface="Times New Roman" panose="02020603050405020304" pitchFamily="18" charset="0"/>
            </a:rPr>
            <a:t>Zemas prioritātes pasākums, nav zinātniskā institūta «Nacionālais botāniskais dārzs» pamatdarbība</a:t>
          </a:r>
        </a:p>
      </cdr:txBody>
    </cdr:sp>
  </cdr:relSizeAnchor>
</c:userShapes>
</file>

<file path=word/drawings/drawing28.xml><?xml version="1.0" encoding="utf-8"?>
<c:userShapes xmlns:c="http://schemas.openxmlformats.org/drawingml/2006/chart">
  <cdr:relSizeAnchor xmlns:cdr="http://schemas.openxmlformats.org/drawingml/2006/chartDrawing">
    <cdr:from>
      <cdr:x>0.59962</cdr:x>
      <cdr:y>0.61846</cdr:y>
    </cdr:from>
    <cdr:to>
      <cdr:x>0.76154</cdr:x>
      <cdr:y>0.88741</cdr:y>
    </cdr:to>
    <cdr:sp macro="" textlink="">
      <cdr:nvSpPr>
        <cdr:cNvPr id="2" name="Rounded Rectangle 1"/>
        <cdr:cNvSpPr/>
      </cdr:nvSpPr>
      <cdr:spPr>
        <a:xfrm xmlns:a="http://schemas.openxmlformats.org/drawingml/2006/main">
          <a:off x="3562351" y="2400300"/>
          <a:ext cx="962024" cy="1043864"/>
        </a:xfrm>
        <a:prstGeom xmlns:a="http://schemas.openxmlformats.org/drawingml/2006/main" prst="roundRect">
          <a:avLst/>
        </a:prstGeom>
        <a:noFill xmlns:a="http://schemas.openxmlformats.org/drawingml/2006/main"/>
        <a:ln xmlns:a="http://schemas.openxmlformats.org/drawingml/2006/main" w="19050"/>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0" rIns="36000" bIns="0"/>
        <a:lstStyle xmlns:a="http://schemas.openxmlformats.org/drawingml/2006/main"/>
        <a:p xmlns:a="http://schemas.openxmlformats.org/drawingml/2006/main">
          <a:pPr algn="ctr"/>
          <a:r>
            <a:rPr lang="lv-LV" sz="900">
              <a:solidFill>
                <a:sysClr val="windowText" lastClr="000000"/>
              </a:solidFill>
              <a:latin typeface="Times New Roman" panose="02020603050405020304" pitchFamily="18" charset="0"/>
              <a:cs typeface="Times New Roman" panose="02020603050405020304" pitchFamily="18" charset="0"/>
            </a:rPr>
            <a:t>Terminēts pasākums, kas paredzēts VVD Reģionālo vides pārvalžu ēku neatliekamiem remontiem</a:t>
          </a:r>
        </a:p>
      </cdr:txBody>
    </cdr:sp>
  </cdr:relSizeAnchor>
  <cdr:relSizeAnchor xmlns:cdr="http://schemas.openxmlformats.org/drawingml/2006/chartDrawing">
    <cdr:from>
      <cdr:x>0.58679</cdr:x>
      <cdr:y>0.19388</cdr:y>
    </cdr:from>
    <cdr:to>
      <cdr:x>0.76833</cdr:x>
      <cdr:y>0.57298</cdr:y>
    </cdr:to>
    <cdr:sp macro="" textlink="">
      <cdr:nvSpPr>
        <cdr:cNvPr id="3" name="Rounded Rectangle 2"/>
        <cdr:cNvSpPr/>
      </cdr:nvSpPr>
      <cdr:spPr>
        <a:xfrm xmlns:a="http://schemas.openxmlformats.org/drawingml/2006/main">
          <a:off x="3486150" y="752475"/>
          <a:ext cx="1078545" cy="1471330"/>
        </a:xfrm>
        <a:prstGeom xmlns:a="http://schemas.openxmlformats.org/drawingml/2006/main" prst="roundRect">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0" rIns="36000" bIns="0" anchor="ctr" anchorCtr="0"/>
        <a:lstStyle xmlns:a="http://schemas.openxmlformats.org/drawingml/2006/main"/>
        <a:p xmlns:a="http://schemas.openxmlformats.org/drawingml/2006/main">
          <a:pPr algn="ctr"/>
          <a:r>
            <a:rPr lang="lv-LV" sz="9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DAP</a:t>
          </a:r>
        </a:p>
        <a:p xmlns:a="http://schemas.openxmlformats.org/drawingml/2006/main">
          <a:pPr algn="ctr"/>
          <a:r>
            <a:rPr lang="lv-LV" sz="90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rPr>
            <a:t>Vienreizējs pasākums, kas īstenojams viena gada ietvaros, jo paredz  biroja un izglītojoši informatīvā centra "Meža māja" remontdarbus</a:t>
          </a:r>
        </a:p>
      </cdr:txBody>
    </cdr:sp>
  </cdr:relSizeAnchor>
  <cdr:relSizeAnchor xmlns:cdr="http://schemas.openxmlformats.org/drawingml/2006/chartDrawing">
    <cdr:from>
      <cdr:x>0.12436</cdr:x>
      <cdr:y>0.03581</cdr:y>
    </cdr:from>
    <cdr:to>
      <cdr:x>0.63328</cdr:x>
      <cdr:y>0.10178</cdr:y>
    </cdr:to>
    <cdr:sp macro="" textlink="">
      <cdr:nvSpPr>
        <cdr:cNvPr id="4" name="Rounded Rectangle 3"/>
        <cdr:cNvSpPr/>
      </cdr:nvSpPr>
      <cdr:spPr>
        <a:xfrm xmlns:a="http://schemas.openxmlformats.org/drawingml/2006/main">
          <a:off x="738830" y="138983"/>
          <a:ext cx="3023545" cy="256037"/>
        </a:xfrm>
        <a:prstGeom xmlns:a="http://schemas.openxmlformats.org/drawingml/2006/main" prst="roundRect">
          <a:avLst/>
        </a:prstGeom>
        <a:noFill xmlns:a="http://schemas.openxmlformats.org/drawingml/2006/main"/>
        <a:ln xmlns:a="http://schemas.openxmlformats.org/drawingml/2006/main" w="19050">
          <a:solidFill>
            <a:schemeClr val="accent6">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lIns="36000" tIns="0" rIns="36000" bIns="0" anchor="ctr" anchorCtr="0"/>
        <a:lstStyle xmlns:a="http://schemas.openxmlformats.org/drawingml/2006/main"/>
        <a:p xmlns:a="http://schemas.openxmlformats.org/drawingml/2006/main">
          <a:r>
            <a:rPr lang="lv-LV" sz="900">
              <a:solidFill>
                <a:sysClr val="windowText" lastClr="000000"/>
              </a:solidFill>
              <a:latin typeface="Times New Roman" panose="02020603050405020304" pitchFamily="18" charset="0"/>
              <a:cs typeface="Times New Roman" panose="02020603050405020304" pitchFamily="18" charset="0"/>
            </a:rPr>
            <a:t>LDM pasākumi sedzami no maksas pakalpojumu ieņēmumiem</a:t>
          </a:r>
        </a:p>
      </cdr:txBody>
    </cdr:sp>
  </cdr:relSizeAnchor>
  <cdr:relSizeAnchor xmlns:cdr="http://schemas.openxmlformats.org/drawingml/2006/chartDrawing">
    <cdr:from>
      <cdr:x>0.49498</cdr:x>
      <cdr:y>0.80293</cdr:y>
    </cdr:from>
    <cdr:to>
      <cdr:x>0.57871</cdr:x>
      <cdr:y>0.87267</cdr:y>
    </cdr:to>
    <cdr:sp macro="" textlink="">
      <cdr:nvSpPr>
        <cdr:cNvPr id="5" name="Oval 4"/>
        <cdr:cNvSpPr/>
      </cdr:nvSpPr>
      <cdr:spPr>
        <a:xfrm xmlns:a="http://schemas.openxmlformats.org/drawingml/2006/main">
          <a:off x="2940710" y="3116275"/>
          <a:ext cx="497434" cy="270663"/>
        </a:xfrm>
        <a:prstGeom xmlns:a="http://schemas.openxmlformats.org/drawingml/2006/main" prst="ellipse">
          <a:avLst/>
        </a:prstGeom>
        <a:noFill xmlns:a="http://schemas.openxmlformats.org/drawingml/2006/main"/>
        <a:ln xmlns:a="http://schemas.openxmlformats.org/drawingml/2006/main" w="19050">
          <a:solidFill>
            <a:schemeClr val="accent1">
              <a:lumMod val="5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0.49239</cdr:x>
      <cdr:y>0.18848</cdr:y>
    </cdr:from>
    <cdr:to>
      <cdr:x>0.57994</cdr:x>
      <cdr:y>0.21487</cdr:y>
    </cdr:to>
    <cdr:sp macro="" textlink="">
      <cdr:nvSpPr>
        <cdr:cNvPr id="6" name="Oval 5"/>
        <cdr:cNvSpPr/>
      </cdr:nvSpPr>
      <cdr:spPr>
        <a:xfrm xmlns:a="http://schemas.openxmlformats.org/drawingml/2006/main">
          <a:off x="2925318" y="731521"/>
          <a:ext cx="520141" cy="102412"/>
        </a:xfrm>
        <a:prstGeom xmlns:a="http://schemas.openxmlformats.org/drawingml/2006/main" prst="ellipse">
          <a:avLst/>
        </a:prstGeom>
        <a:noFill xmlns:a="http://schemas.openxmlformats.org/drawingml/2006/main"/>
        <a:ln xmlns:a="http://schemas.openxmlformats.org/drawingml/2006/main" w="19050">
          <a:solidFill>
            <a:srgbClr val="C00000"/>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0.13667</cdr:x>
      <cdr:y>0.14136</cdr:y>
    </cdr:from>
    <cdr:to>
      <cdr:x>0.22286</cdr:x>
      <cdr:y>0.19414</cdr:y>
    </cdr:to>
    <cdr:sp macro="" textlink="">
      <cdr:nvSpPr>
        <cdr:cNvPr id="7" name="Oval 6"/>
        <cdr:cNvSpPr/>
      </cdr:nvSpPr>
      <cdr:spPr>
        <a:xfrm xmlns:a="http://schemas.openxmlformats.org/drawingml/2006/main">
          <a:off x="811988" y="548640"/>
          <a:ext cx="512064" cy="204826"/>
        </a:xfrm>
        <a:prstGeom xmlns:a="http://schemas.openxmlformats.org/drawingml/2006/main" prst="ellipse">
          <a:avLst/>
        </a:prstGeom>
        <a:noFill xmlns:a="http://schemas.openxmlformats.org/drawingml/2006/main"/>
        <a:ln xmlns:a="http://schemas.openxmlformats.org/drawingml/2006/main" w="19050">
          <a:solidFill>
            <a:schemeClr val="accent2">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0.31275</cdr:x>
      <cdr:y>0.13759</cdr:y>
    </cdr:from>
    <cdr:to>
      <cdr:x>0.40633</cdr:x>
      <cdr:y>0.18848</cdr:y>
    </cdr:to>
    <cdr:sp macro="" textlink="">
      <cdr:nvSpPr>
        <cdr:cNvPr id="8" name="Oval 7"/>
        <cdr:cNvSpPr/>
      </cdr:nvSpPr>
      <cdr:spPr>
        <a:xfrm xmlns:a="http://schemas.openxmlformats.org/drawingml/2006/main">
          <a:off x="1858060" y="534010"/>
          <a:ext cx="555956" cy="197510"/>
        </a:xfrm>
        <a:prstGeom xmlns:a="http://schemas.openxmlformats.org/drawingml/2006/main" prst="ellipse">
          <a:avLst/>
        </a:prstGeom>
        <a:noFill xmlns:a="http://schemas.openxmlformats.org/drawingml/2006/main"/>
        <a:ln xmlns:a="http://schemas.openxmlformats.org/drawingml/2006/main" w="19050">
          <a:solidFill>
            <a:schemeClr val="accent2">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0.48759</cdr:x>
      <cdr:y>0.13948</cdr:y>
    </cdr:from>
    <cdr:to>
      <cdr:x>0.58117</cdr:x>
      <cdr:y>0.19037</cdr:y>
    </cdr:to>
    <cdr:sp macro="" textlink="">
      <cdr:nvSpPr>
        <cdr:cNvPr id="9" name="Oval 8"/>
        <cdr:cNvSpPr/>
      </cdr:nvSpPr>
      <cdr:spPr>
        <a:xfrm xmlns:a="http://schemas.openxmlformats.org/drawingml/2006/main">
          <a:off x="2896818" y="541326"/>
          <a:ext cx="555955" cy="197510"/>
        </a:xfrm>
        <a:prstGeom xmlns:a="http://schemas.openxmlformats.org/drawingml/2006/main" prst="ellipse">
          <a:avLst/>
        </a:prstGeom>
        <a:noFill xmlns:a="http://schemas.openxmlformats.org/drawingml/2006/main"/>
        <a:ln xmlns:a="http://schemas.openxmlformats.org/drawingml/2006/main" w="19050">
          <a:solidFill>
            <a:schemeClr val="accent2">
              <a:lumMod val="60000"/>
              <a:lumOff val="40000"/>
            </a:schemeClr>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0.39032</cdr:x>
      <cdr:y>0.75294</cdr:y>
    </cdr:from>
    <cdr:to>
      <cdr:x>0.59962</cdr:x>
      <cdr:y>0.82366</cdr:y>
    </cdr:to>
    <cdr:cxnSp macro="">
      <cdr:nvCxnSpPr>
        <cdr:cNvPr id="11" name="Straight Arrow Connector 10"/>
        <cdr:cNvCxnSpPr>
          <a:stCxn xmlns:a="http://schemas.openxmlformats.org/drawingml/2006/main" id="2" idx="1"/>
        </cdr:cNvCxnSpPr>
      </cdr:nvCxnSpPr>
      <cdr:spPr>
        <a:xfrm xmlns:a="http://schemas.openxmlformats.org/drawingml/2006/main" flipH="1">
          <a:off x="2318916" y="2922232"/>
          <a:ext cx="1243435" cy="274491"/>
        </a:xfrm>
        <a:prstGeom xmlns:a="http://schemas.openxmlformats.org/drawingml/2006/main" prst="straightConnector1">
          <a:avLst/>
        </a:prstGeom>
        <a:ln xmlns:a="http://schemas.openxmlformats.org/drawingml/2006/main" w="19050">
          <a:solidFill>
            <a:schemeClr val="accent1">
              <a:lumMod val="5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0.56645</cdr:x>
      <cdr:y>0.75294</cdr:y>
    </cdr:from>
    <cdr:to>
      <cdr:x>0.59962</cdr:x>
      <cdr:y>0.81314</cdr:y>
    </cdr:to>
    <cdr:cxnSp macro="">
      <cdr:nvCxnSpPr>
        <cdr:cNvPr id="13" name="Straight Arrow Connector 12"/>
        <cdr:cNvCxnSpPr>
          <a:stCxn xmlns:a="http://schemas.openxmlformats.org/drawingml/2006/main" id="2" idx="1"/>
          <a:endCxn xmlns:a="http://schemas.openxmlformats.org/drawingml/2006/main" id="5" idx="7"/>
        </cdr:cNvCxnSpPr>
      </cdr:nvCxnSpPr>
      <cdr:spPr>
        <a:xfrm xmlns:a="http://schemas.openxmlformats.org/drawingml/2006/main" flipH="1">
          <a:off x="3365302" y="2922232"/>
          <a:ext cx="197049" cy="233675"/>
        </a:xfrm>
        <a:prstGeom xmlns:a="http://schemas.openxmlformats.org/drawingml/2006/main" prst="straightConnector1">
          <a:avLst/>
        </a:prstGeom>
        <a:ln xmlns:a="http://schemas.openxmlformats.org/drawingml/2006/main" w="19050">
          <a:solidFill>
            <a:schemeClr val="accent1">
              <a:lumMod val="5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0.38293</cdr:x>
      <cdr:y>0.20733</cdr:y>
    </cdr:from>
    <cdr:to>
      <cdr:x>0.58679</cdr:x>
      <cdr:y>0.38343</cdr:y>
    </cdr:to>
    <cdr:cxnSp macro="">
      <cdr:nvCxnSpPr>
        <cdr:cNvPr id="15" name="Straight Arrow Connector 14"/>
        <cdr:cNvCxnSpPr>
          <a:stCxn xmlns:a="http://schemas.openxmlformats.org/drawingml/2006/main" id="3" idx="1"/>
        </cdr:cNvCxnSpPr>
      </cdr:nvCxnSpPr>
      <cdr:spPr>
        <a:xfrm xmlns:a="http://schemas.openxmlformats.org/drawingml/2006/main" flipH="1" flipV="1">
          <a:off x="2275010" y="804676"/>
          <a:ext cx="1211140" cy="683464"/>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0.56712</cdr:x>
      <cdr:y>0.21101</cdr:y>
    </cdr:from>
    <cdr:to>
      <cdr:x>0.58679</cdr:x>
      <cdr:y>0.38343</cdr:y>
    </cdr:to>
    <cdr:cxnSp macro="">
      <cdr:nvCxnSpPr>
        <cdr:cNvPr id="17" name="Straight Arrow Connector 16"/>
        <cdr:cNvCxnSpPr>
          <a:stCxn xmlns:a="http://schemas.openxmlformats.org/drawingml/2006/main" id="3" idx="1"/>
          <a:endCxn xmlns:a="http://schemas.openxmlformats.org/drawingml/2006/main" id="6" idx="5"/>
        </cdr:cNvCxnSpPr>
      </cdr:nvCxnSpPr>
      <cdr:spPr>
        <a:xfrm xmlns:a="http://schemas.openxmlformats.org/drawingml/2006/main" flipH="1" flipV="1">
          <a:off x="3369285" y="818936"/>
          <a:ext cx="116865" cy="669204"/>
        </a:xfrm>
        <a:prstGeom xmlns:a="http://schemas.openxmlformats.org/drawingml/2006/main" prst="straightConnector1">
          <a:avLst/>
        </a:prstGeom>
        <a:ln xmlns:a="http://schemas.openxmlformats.org/drawingml/2006/main" w="19050">
          <a:solidFill>
            <a:srgbClr val="C00000"/>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0.21024</cdr:x>
      <cdr:y>0.10366</cdr:y>
    </cdr:from>
    <cdr:to>
      <cdr:x>0.34476</cdr:x>
      <cdr:y>0.14909</cdr:y>
    </cdr:to>
    <cdr:cxnSp macro="">
      <cdr:nvCxnSpPr>
        <cdr:cNvPr id="20" name="Straight Arrow Connector 19"/>
        <cdr:cNvCxnSpPr>
          <a:endCxn xmlns:a="http://schemas.openxmlformats.org/drawingml/2006/main" id="7" idx="7"/>
        </cdr:cNvCxnSpPr>
      </cdr:nvCxnSpPr>
      <cdr:spPr>
        <a:xfrm xmlns:a="http://schemas.openxmlformats.org/drawingml/2006/main" flipH="1">
          <a:off x="1249062" y="402336"/>
          <a:ext cx="799196" cy="176300"/>
        </a:xfrm>
        <a:prstGeom xmlns:a="http://schemas.openxmlformats.org/drawingml/2006/main" prst="straightConnector1">
          <a:avLst/>
        </a:prstGeom>
        <a:ln xmlns:a="http://schemas.openxmlformats.org/drawingml/2006/main" w="19050">
          <a:solidFill>
            <a:schemeClr val="accent6">
              <a:lumMod val="60000"/>
              <a:lumOff val="4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0.35708</cdr:x>
      <cdr:y>0.10555</cdr:y>
    </cdr:from>
    <cdr:to>
      <cdr:x>0.35954</cdr:x>
      <cdr:y>0.13759</cdr:y>
    </cdr:to>
    <cdr:cxnSp macro="">
      <cdr:nvCxnSpPr>
        <cdr:cNvPr id="22" name="Straight Arrow Connector 21"/>
        <cdr:cNvCxnSpPr>
          <a:endCxn xmlns:a="http://schemas.openxmlformats.org/drawingml/2006/main" id="8" idx="0"/>
        </cdr:cNvCxnSpPr>
      </cdr:nvCxnSpPr>
      <cdr:spPr>
        <a:xfrm xmlns:a="http://schemas.openxmlformats.org/drawingml/2006/main">
          <a:off x="2121408" y="409651"/>
          <a:ext cx="14630" cy="124359"/>
        </a:xfrm>
        <a:prstGeom xmlns:a="http://schemas.openxmlformats.org/drawingml/2006/main" prst="straightConnector1">
          <a:avLst/>
        </a:prstGeom>
        <a:ln xmlns:a="http://schemas.openxmlformats.org/drawingml/2006/main" w="19050">
          <a:solidFill>
            <a:schemeClr val="accent6">
              <a:lumMod val="60000"/>
              <a:lumOff val="4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9.xml><?xml version="1.0" encoding="utf-8"?>
<c:userShapes xmlns:c="http://schemas.openxmlformats.org/drawingml/2006/chart">
  <cdr:relSizeAnchor xmlns:cdr="http://schemas.openxmlformats.org/drawingml/2006/chartDrawing">
    <cdr:from>
      <cdr:x>0.25647</cdr:x>
      <cdr:y>0.24786</cdr:y>
    </cdr:from>
    <cdr:to>
      <cdr:x>0.43938</cdr:x>
      <cdr:y>0.37371</cdr:y>
    </cdr:to>
    <cdr:sp macro="" textlink="">
      <cdr:nvSpPr>
        <cdr:cNvPr id="4" name="Rounded Rectangle 3"/>
        <cdr:cNvSpPr/>
      </cdr:nvSpPr>
      <cdr:spPr>
        <a:xfrm xmlns:a="http://schemas.openxmlformats.org/drawingml/2006/main">
          <a:off x="1523369" y="887697"/>
          <a:ext cx="1086481" cy="450703"/>
        </a:xfrm>
        <a:prstGeom xmlns:a="http://schemas.openxmlformats.org/drawingml/2006/main" prst="roundRect">
          <a:avLst/>
        </a:prstGeom>
        <a:solidFill xmlns:a="http://schemas.openxmlformats.org/drawingml/2006/main">
          <a:schemeClr val="bg1"/>
        </a:solidFill>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Neizpilde: </a:t>
          </a:r>
        </a:p>
        <a:p xmlns:a="http://schemas.openxmlformats.org/drawingml/2006/main">
          <a:pPr algn="ct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51 065 </a:t>
          </a:r>
          <a:r>
            <a:rPr lang="lv-LV" sz="1050" i="1">
              <a:solidFill>
                <a:schemeClr val="tx1"/>
              </a:solidFill>
              <a:latin typeface="Times New Roman" panose="02020603050405020304" pitchFamily="18" charset="0"/>
              <a:ea typeface="Tahoma" panose="020B0604030504040204" pitchFamily="34" charset="0"/>
              <a:cs typeface="Times New Roman" panose="02020603050405020304" pitchFamily="18" charset="0"/>
            </a:rPr>
            <a:t>euro </a:t>
          </a:r>
        </a:p>
        <a:p xmlns:a="http://schemas.openxmlformats.org/drawingml/2006/main">
          <a:pPr algn="ct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+ 183 900 </a:t>
          </a:r>
          <a:r>
            <a:rPr lang="lv-LV" sz="1050" i="1">
              <a:solidFill>
                <a:schemeClr val="tx1"/>
              </a:solidFill>
              <a:latin typeface="Times New Roman" panose="02020603050405020304" pitchFamily="18" charset="0"/>
              <a:ea typeface="Tahoma" panose="020B0604030504040204" pitchFamily="34" charset="0"/>
              <a:cs typeface="Times New Roman" panose="02020603050405020304" pitchFamily="18" charset="0"/>
            </a:rPr>
            <a:t>euro</a:t>
          </a:r>
        </a:p>
      </cdr:txBody>
    </cdr:sp>
  </cdr:relSizeAnchor>
  <cdr:relSizeAnchor xmlns:cdr="http://schemas.openxmlformats.org/drawingml/2006/chartDrawing">
    <cdr:from>
      <cdr:x>0.55071</cdr:x>
      <cdr:y>0.3593</cdr:y>
    </cdr:from>
    <cdr:to>
      <cdr:x>0.72162</cdr:x>
      <cdr:y>0.47183</cdr:y>
    </cdr:to>
    <cdr:sp macro="" textlink="">
      <cdr:nvSpPr>
        <cdr:cNvPr id="5" name="Rounded Rectangle 4"/>
        <cdr:cNvSpPr/>
      </cdr:nvSpPr>
      <cdr:spPr>
        <a:xfrm xmlns:a="http://schemas.openxmlformats.org/drawingml/2006/main">
          <a:off x="3271084" y="1362076"/>
          <a:ext cx="1015165" cy="426594"/>
        </a:xfrm>
        <a:prstGeom xmlns:a="http://schemas.openxmlformats.org/drawingml/2006/main" prst="roundRect">
          <a:avLst/>
        </a:prstGeom>
        <a:solidFill xmlns:a="http://schemas.openxmlformats.org/drawingml/2006/main">
          <a:schemeClr val="bg1"/>
        </a:solidFill>
        <a:ln xmlns:a="http://schemas.openxmlformats.org/drawingml/2006/main">
          <a:solidFill>
            <a:schemeClr val="accent1"/>
          </a:solid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Samazinājums: </a:t>
          </a:r>
        </a:p>
        <a:p xmlns:a="http://schemas.openxmlformats.org/drawingml/2006/main">
          <a:pPr algn="ctr"/>
          <a:r>
            <a:rPr lang="lv-LV" sz="1050">
              <a:solidFill>
                <a:schemeClr val="tx1"/>
              </a:solidFill>
              <a:latin typeface="Times New Roman" panose="02020603050405020304" pitchFamily="18" charset="0"/>
              <a:ea typeface="Tahoma" panose="020B0604030504040204" pitchFamily="34" charset="0"/>
              <a:cs typeface="Times New Roman" panose="02020603050405020304" pitchFamily="18" charset="0"/>
            </a:rPr>
            <a:t>420 000 </a:t>
          </a:r>
          <a:r>
            <a:rPr lang="lv-LV" sz="1050" i="1">
              <a:solidFill>
                <a:schemeClr val="tx1"/>
              </a:solidFill>
              <a:latin typeface="Times New Roman" panose="02020603050405020304" pitchFamily="18" charset="0"/>
              <a:ea typeface="Tahoma" panose="020B0604030504040204" pitchFamily="34" charset="0"/>
              <a:cs typeface="Times New Roman" panose="02020603050405020304" pitchFamily="18" charset="0"/>
            </a:rPr>
            <a:t>euro</a:t>
          </a:r>
        </a:p>
      </cdr:txBody>
    </cdr:sp>
  </cdr:relSizeAnchor>
  <cdr:relSizeAnchor xmlns:cdr="http://schemas.openxmlformats.org/drawingml/2006/chartDrawing">
    <cdr:from>
      <cdr:x>0.3172</cdr:x>
      <cdr:y>0.01974</cdr:y>
    </cdr:from>
    <cdr:to>
      <cdr:x>0.70237</cdr:x>
      <cdr:y>0.205</cdr:y>
    </cdr:to>
    <cdr:sp macro="" textlink="">
      <cdr:nvSpPr>
        <cdr:cNvPr id="6" name="Rectangle 5"/>
        <cdr:cNvSpPr/>
      </cdr:nvSpPr>
      <cdr:spPr>
        <a:xfrm xmlns:a="http://schemas.openxmlformats.org/drawingml/2006/main">
          <a:off x="1884101" y="70682"/>
          <a:ext cx="2287850" cy="663510"/>
        </a:xfrm>
        <a:prstGeom xmlns:a="http://schemas.openxmlformats.org/drawingml/2006/main" prst="rect">
          <a:avLst/>
        </a:prstGeom>
        <a:ln xmlns:a="http://schemas.openxmlformats.org/drawingml/2006/main"/>
      </cdr:spPr>
      <cdr:style>
        <a:lnRef xmlns:a="http://schemas.openxmlformats.org/drawingml/2006/main" idx="1">
          <a:schemeClr val="accent1"/>
        </a:lnRef>
        <a:fillRef xmlns:a="http://schemas.openxmlformats.org/drawingml/2006/main" idx="2">
          <a:schemeClr val="accent1"/>
        </a:fillRef>
        <a:effectRef xmlns:a="http://schemas.openxmlformats.org/drawingml/2006/main" idx="1">
          <a:schemeClr val="accent1"/>
        </a:effectRef>
        <a:fontRef xmlns:a="http://schemas.openxmlformats.org/drawingml/2006/main" idx="minor">
          <a:schemeClr val="dk1"/>
        </a:fontRef>
      </cdr:style>
      <cdr:txBody>
        <a:bodyPr xmlns:a="http://schemas.openxmlformats.org/drawingml/2006/main" lIns="0" tIns="0" rIns="0" bIns="0" anchor="ctr" anchorCtr="1"/>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lv-LV" sz="1050">
              <a:solidFill>
                <a:schemeClr val="tx1"/>
              </a:solidFill>
              <a:latin typeface="Times New Roman" panose="02020603050405020304" pitchFamily="18" charset="0"/>
              <a:cs typeface="Times New Roman" panose="02020603050405020304" pitchFamily="18" charset="0"/>
            </a:rPr>
            <a:t>Vidējais rādītājs:</a:t>
          </a:r>
        </a:p>
        <a:p xmlns:a="http://schemas.openxmlformats.org/drawingml/2006/main">
          <a:pPr algn="ctr"/>
          <a:r>
            <a:rPr lang="lv-LV" sz="1050">
              <a:solidFill>
                <a:schemeClr val="tx1"/>
              </a:solidFill>
              <a:latin typeface="Times New Roman" panose="02020603050405020304" pitchFamily="18" charset="0"/>
              <a:cs typeface="Times New Roman" panose="02020603050405020304" pitchFamily="18" charset="0"/>
            </a:rPr>
            <a:t>(51 065 + 0)/2 gadi = 25 533</a:t>
          </a:r>
        </a:p>
        <a:p xmlns:a="http://schemas.openxmlformats.org/drawingml/2006/main">
          <a:pPr algn="ctr"/>
          <a:r>
            <a:rPr lang="lv-LV" sz="1050">
              <a:solidFill>
                <a:schemeClr val="tx1"/>
              </a:solidFill>
              <a:latin typeface="Times New Roman" panose="02020603050405020304" pitchFamily="18" charset="0"/>
              <a:cs typeface="Times New Roman" panose="02020603050405020304" pitchFamily="18" charset="0"/>
            </a:rPr>
            <a:t>(183 900 + 420 000)/2 gadi = 301 950</a:t>
          </a:r>
        </a:p>
        <a:p xmlns:a="http://schemas.openxmlformats.org/drawingml/2006/main">
          <a:pPr algn="ctr"/>
          <a:r>
            <a:rPr lang="lv-LV" sz="1050">
              <a:solidFill>
                <a:schemeClr val="tx1"/>
              </a:solidFill>
              <a:latin typeface="Times New Roman" panose="02020603050405020304" pitchFamily="18" charset="0"/>
              <a:cs typeface="Times New Roman" panose="02020603050405020304" pitchFamily="18" charset="0"/>
            </a:rPr>
            <a:t>KOPĀ:</a:t>
          </a:r>
          <a:r>
            <a:rPr lang="lv-LV" sz="1050" baseline="0">
              <a:solidFill>
                <a:schemeClr val="tx1"/>
              </a:solidFill>
              <a:latin typeface="Times New Roman" panose="02020603050405020304" pitchFamily="18" charset="0"/>
              <a:cs typeface="Times New Roman" panose="02020603050405020304" pitchFamily="18" charset="0"/>
            </a:rPr>
            <a:t> 327 483</a:t>
          </a:r>
          <a:endParaRPr lang="lv-LV" sz="1050">
            <a:solidFill>
              <a:schemeClr val="tx1"/>
            </a:solidFill>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0.82488</cdr:x>
      <cdr:y>0.36672</cdr:y>
    </cdr:from>
    <cdr:to>
      <cdr:x>0.91435</cdr:x>
      <cdr:y>0.42633</cdr:y>
    </cdr:to>
    <cdr:sp macro="" textlink="">
      <cdr:nvSpPr>
        <cdr:cNvPr id="4" name="TextBox 13"/>
        <cdr:cNvSpPr txBox="1"/>
      </cdr:nvSpPr>
      <cdr:spPr>
        <a:xfrm xmlns:a="http://schemas.openxmlformats.org/drawingml/2006/main">
          <a:off x="4839915" y="1360171"/>
          <a:ext cx="524956" cy="221096"/>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31</a:t>
          </a:r>
          <a:endParaRPr lang="lv-LV" sz="900" b="1" dirty="0"/>
        </a:p>
      </cdr:txBody>
    </cdr:sp>
  </cdr:relSizeAnchor>
  <cdr:relSizeAnchor xmlns:cdr="http://schemas.openxmlformats.org/drawingml/2006/chartDrawing">
    <cdr:from>
      <cdr:x>0.25658</cdr:x>
      <cdr:y>0.19528</cdr:y>
    </cdr:from>
    <cdr:to>
      <cdr:x>0.34605</cdr:x>
      <cdr:y>0.25489</cdr:y>
    </cdr:to>
    <cdr:sp macro="" textlink="">
      <cdr:nvSpPr>
        <cdr:cNvPr id="5" name="TextBox 13"/>
        <cdr:cNvSpPr txBox="1"/>
      </cdr:nvSpPr>
      <cdr:spPr>
        <a:xfrm xmlns:a="http://schemas.openxmlformats.org/drawingml/2006/main">
          <a:off x="1505469" y="724301"/>
          <a:ext cx="524956" cy="221096"/>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46</a:t>
          </a:r>
          <a:endParaRPr lang="lv-LV" sz="900" b="1" dirty="0"/>
        </a:p>
      </cdr:txBody>
    </cdr:sp>
  </cdr:relSizeAnchor>
  <cdr:relSizeAnchor xmlns:cdr="http://schemas.openxmlformats.org/drawingml/2006/chartDrawing">
    <cdr:from>
      <cdr:x>0.68439</cdr:x>
      <cdr:y>0.35094</cdr:y>
    </cdr:from>
    <cdr:to>
      <cdr:x>0.77386</cdr:x>
      <cdr:y>0.41054</cdr:y>
    </cdr:to>
    <cdr:sp macro="" textlink="">
      <cdr:nvSpPr>
        <cdr:cNvPr id="6" name="TextBox 13"/>
        <cdr:cNvSpPr txBox="1"/>
      </cdr:nvSpPr>
      <cdr:spPr>
        <a:xfrm xmlns:a="http://schemas.openxmlformats.org/drawingml/2006/main">
          <a:off x="4015598" y="1301643"/>
          <a:ext cx="524957" cy="221058"/>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32</a:t>
          </a:r>
          <a:endParaRPr lang="lv-LV" sz="900" b="1" dirty="0"/>
        </a:p>
      </cdr:txBody>
    </cdr:sp>
  </cdr:relSizeAnchor>
  <cdr:relSizeAnchor xmlns:cdr="http://schemas.openxmlformats.org/drawingml/2006/chartDrawing">
    <cdr:from>
      <cdr:x>0.40062</cdr:x>
      <cdr:y>0.25416</cdr:y>
    </cdr:from>
    <cdr:to>
      <cdr:x>0.49009</cdr:x>
      <cdr:y>0.31376</cdr:y>
    </cdr:to>
    <cdr:sp macro="" textlink="">
      <cdr:nvSpPr>
        <cdr:cNvPr id="7" name="TextBox 13"/>
        <cdr:cNvSpPr txBox="1"/>
      </cdr:nvSpPr>
      <cdr:spPr>
        <a:xfrm xmlns:a="http://schemas.openxmlformats.org/drawingml/2006/main">
          <a:off x="2350596" y="942698"/>
          <a:ext cx="524956" cy="221058"/>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41</a:t>
          </a:r>
          <a:endParaRPr lang="lv-LV" sz="900" b="1" dirty="0"/>
        </a:p>
      </cdr:txBody>
    </cdr:sp>
  </cdr:relSizeAnchor>
  <cdr:relSizeAnchor xmlns:cdr="http://schemas.openxmlformats.org/drawingml/2006/chartDrawing">
    <cdr:from>
      <cdr:x>0.19245</cdr:x>
      <cdr:y>0.11694</cdr:y>
    </cdr:from>
    <cdr:to>
      <cdr:x>0.28193</cdr:x>
      <cdr:y>0.17655</cdr:y>
    </cdr:to>
    <cdr:sp macro="" textlink="">
      <cdr:nvSpPr>
        <cdr:cNvPr id="8" name="TextBox 13"/>
        <cdr:cNvSpPr txBox="1"/>
      </cdr:nvSpPr>
      <cdr:spPr>
        <a:xfrm xmlns:a="http://schemas.openxmlformats.org/drawingml/2006/main">
          <a:off x="1129152" y="433728"/>
          <a:ext cx="525015" cy="221096"/>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53</a:t>
          </a:r>
          <a:endParaRPr lang="lv-LV" sz="900" b="1" dirty="0"/>
        </a:p>
      </cdr:txBody>
    </cdr:sp>
  </cdr:relSizeAnchor>
  <cdr:relSizeAnchor xmlns:cdr="http://schemas.openxmlformats.org/drawingml/2006/chartDrawing">
    <cdr:from>
      <cdr:x>0.04566</cdr:x>
      <cdr:y>0.02205</cdr:y>
    </cdr:from>
    <cdr:to>
      <cdr:x>0.13514</cdr:x>
      <cdr:y>0.08166</cdr:y>
    </cdr:to>
    <cdr:sp macro="" textlink="">
      <cdr:nvSpPr>
        <cdr:cNvPr id="9" name="TextBox 13"/>
        <cdr:cNvSpPr txBox="1"/>
      </cdr:nvSpPr>
      <cdr:spPr>
        <a:xfrm xmlns:a="http://schemas.openxmlformats.org/drawingml/2006/main">
          <a:off x="267929" y="81791"/>
          <a:ext cx="525015" cy="221096"/>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61</a:t>
          </a:r>
          <a:endParaRPr lang="lv-LV" sz="900" b="1" dirty="0"/>
        </a:p>
      </cdr:txBody>
    </cdr:sp>
  </cdr:relSizeAnchor>
  <cdr:relSizeAnchor xmlns:cdr="http://schemas.openxmlformats.org/drawingml/2006/chartDrawing">
    <cdr:from>
      <cdr:x>0.61415</cdr:x>
      <cdr:y>0.29647</cdr:y>
    </cdr:from>
    <cdr:to>
      <cdr:x>0.70362</cdr:x>
      <cdr:y>0.35607</cdr:y>
    </cdr:to>
    <cdr:sp macro="" textlink="">
      <cdr:nvSpPr>
        <cdr:cNvPr id="10" name="TextBox 13"/>
        <cdr:cNvSpPr txBox="1"/>
      </cdr:nvSpPr>
      <cdr:spPr>
        <a:xfrm xmlns:a="http://schemas.openxmlformats.org/drawingml/2006/main">
          <a:off x="3603489" y="1099603"/>
          <a:ext cx="524956" cy="22105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37</a:t>
          </a:r>
          <a:endParaRPr lang="lv-LV" sz="900" b="1" dirty="0"/>
        </a:p>
      </cdr:txBody>
    </cdr:sp>
  </cdr:relSizeAnchor>
  <cdr:relSizeAnchor xmlns:cdr="http://schemas.openxmlformats.org/drawingml/2006/chartDrawing">
    <cdr:from>
      <cdr:x>0.32952</cdr:x>
      <cdr:y>0.2074</cdr:y>
    </cdr:from>
    <cdr:to>
      <cdr:x>0.41899</cdr:x>
      <cdr:y>0.267</cdr:y>
    </cdr:to>
    <cdr:sp macro="" textlink="">
      <cdr:nvSpPr>
        <cdr:cNvPr id="11" name="TextBox 13"/>
        <cdr:cNvSpPr txBox="1"/>
      </cdr:nvSpPr>
      <cdr:spPr>
        <a:xfrm xmlns:a="http://schemas.openxmlformats.org/drawingml/2006/main">
          <a:off x="1933401" y="769269"/>
          <a:ext cx="524957" cy="22105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45</a:t>
          </a:r>
          <a:endParaRPr lang="lv-LV" sz="900" b="1" dirty="0"/>
        </a:p>
      </cdr:txBody>
    </cdr:sp>
  </cdr:relSizeAnchor>
  <cdr:relSizeAnchor xmlns:cdr="http://schemas.openxmlformats.org/drawingml/2006/chartDrawing">
    <cdr:from>
      <cdr:x>0.11815</cdr:x>
      <cdr:y>0.08937</cdr:y>
    </cdr:from>
    <cdr:to>
      <cdr:x>0.20762</cdr:x>
      <cdr:y>0.14897</cdr:y>
    </cdr:to>
    <cdr:sp macro="" textlink="">
      <cdr:nvSpPr>
        <cdr:cNvPr id="12" name="TextBox 13"/>
        <cdr:cNvSpPr txBox="1"/>
      </cdr:nvSpPr>
      <cdr:spPr>
        <a:xfrm xmlns:a="http://schemas.openxmlformats.org/drawingml/2006/main">
          <a:off x="693260" y="331477"/>
          <a:ext cx="524956" cy="22105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55</a:t>
          </a:r>
          <a:endParaRPr lang="lv-LV" sz="900" b="1" dirty="0"/>
        </a:p>
      </cdr:txBody>
    </cdr:sp>
  </cdr:relSizeAnchor>
  <cdr:relSizeAnchor xmlns:cdr="http://schemas.openxmlformats.org/drawingml/2006/chartDrawing">
    <cdr:from>
      <cdr:x>0.54578</cdr:x>
      <cdr:y>0.28614</cdr:y>
    </cdr:from>
    <cdr:to>
      <cdr:x>0.63526</cdr:x>
      <cdr:y>0.34575</cdr:y>
    </cdr:to>
    <cdr:sp macro="" textlink="">
      <cdr:nvSpPr>
        <cdr:cNvPr id="13" name="TextBox 13"/>
        <cdr:cNvSpPr txBox="1"/>
      </cdr:nvSpPr>
      <cdr:spPr>
        <a:xfrm xmlns:a="http://schemas.openxmlformats.org/drawingml/2006/main">
          <a:off x="3202332" y="1061311"/>
          <a:ext cx="525015" cy="221096"/>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38</a:t>
          </a:r>
          <a:endParaRPr lang="lv-LV" sz="900" b="1" dirty="0"/>
        </a:p>
      </cdr:txBody>
    </cdr:sp>
  </cdr:relSizeAnchor>
  <cdr:relSizeAnchor xmlns:cdr="http://schemas.openxmlformats.org/drawingml/2006/chartDrawing">
    <cdr:from>
      <cdr:x>0.75527</cdr:x>
      <cdr:y>0.36049</cdr:y>
    </cdr:from>
    <cdr:to>
      <cdr:x>0.84474</cdr:x>
      <cdr:y>0.42009</cdr:y>
    </cdr:to>
    <cdr:sp macro="" textlink="">
      <cdr:nvSpPr>
        <cdr:cNvPr id="14" name="TextBox 13"/>
        <cdr:cNvSpPr txBox="1"/>
      </cdr:nvSpPr>
      <cdr:spPr>
        <a:xfrm xmlns:a="http://schemas.openxmlformats.org/drawingml/2006/main">
          <a:off x="4431483" y="1337071"/>
          <a:ext cx="524956" cy="22105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31</a:t>
          </a:r>
          <a:endParaRPr lang="lv-LV" sz="900" b="1" dirty="0"/>
        </a:p>
      </cdr:txBody>
    </cdr:sp>
  </cdr:relSizeAnchor>
  <cdr:relSizeAnchor xmlns:cdr="http://schemas.openxmlformats.org/drawingml/2006/chartDrawing">
    <cdr:from>
      <cdr:x>0.89657</cdr:x>
      <cdr:y>0.3708</cdr:y>
    </cdr:from>
    <cdr:to>
      <cdr:x>0.98604</cdr:x>
      <cdr:y>0.4304</cdr:y>
    </cdr:to>
    <cdr:sp macro="" textlink="">
      <cdr:nvSpPr>
        <cdr:cNvPr id="15" name="TextBox 13"/>
        <cdr:cNvSpPr txBox="1"/>
      </cdr:nvSpPr>
      <cdr:spPr>
        <a:xfrm xmlns:a="http://schemas.openxmlformats.org/drawingml/2006/main">
          <a:off x="5260531" y="1375311"/>
          <a:ext cx="524956" cy="221059"/>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30</a:t>
          </a:r>
          <a:endParaRPr lang="lv-LV" sz="900" b="1" dirty="0"/>
        </a:p>
      </cdr:txBody>
    </cdr:sp>
  </cdr:relSizeAnchor>
  <cdr:relSizeAnchor xmlns:cdr="http://schemas.openxmlformats.org/drawingml/2006/chartDrawing">
    <cdr:from>
      <cdr:x>0.47061</cdr:x>
      <cdr:y>0.26187</cdr:y>
    </cdr:from>
    <cdr:to>
      <cdr:x>0.56009</cdr:x>
      <cdr:y>0.32147</cdr:y>
    </cdr:to>
    <cdr:sp macro="" textlink="">
      <cdr:nvSpPr>
        <cdr:cNvPr id="16" name="TextBox 13"/>
        <cdr:cNvSpPr txBox="1"/>
      </cdr:nvSpPr>
      <cdr:spPr>
        <a:xfrm xmlns:a="http://schemas.openxmlformats.org/drawingml/2006/main">
          <a:off x="2761257" y="971273"/>
          <a:ext cx="525015" cy="221058"/>
        </a:xfrm>
        <a:prstGeom xmlns:a="http://schemas.openxmlformats.org/drawingml/2006/main" prst="rect">
          <a:avLst/>
        </a:prstGeom>
        <a:noFill xmlns:a="http://schemas.openxmlformats.org/drawingml/2006/main"/>
      </cdr:spPr>
      <cdr:txBody>
        <a:bodyPr xmlns:a="http://schemas.openxmlformats.org/drawingml/2006/main" wrap="square" rtlCol="0">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900" b="1" dirty="0" smtClean="0">
              <a:latin typeface="Times New Roman" panose="02020603050405020304" pitchFamily="18" charset="0"/>
              <a:cs typeface="Times New Roman" panose="02020603050405020304" pitchFamily="18" charset="0"/>
            </a:rPr>
            <a:t>∑ = 40</a:t>
          </a:r>
          <a:endParaRPr lang="lv-LV" sz="900" b="1" dirty="0"/>
        </a:p>
      </cdr:txBody>
    </cdr:sp>
  </cdr:relSizeAnchor>
</c:userShapes>
</file>

<file path=word/drawings/drawing30.xml><?xml version="1.0" encoding="utf-8"?>
<c:userShapes xmlns:c="http://schemas.openxmlformats.org/drawingml/2006/chart">
  <cdr:relSizeAnchor xmlns:cdr="http://schemas.openxmlformats.org/drawingml/2006/chartDrawing">
    <cdr:from>
      <cdr:x>0.94403</cdr:x>
      <cdr:y>0.16472</cdr:y>
    </cdr:from>
    <cdr:to>
      <cdr:x>0.99523</cdr:x>
      <cdr:y>0.57579</cdr:y>
    </cdr:to>
    <cdr:sp macro="" textlink="">
      <cdr:nvSpPr>
        <cdr:cNvPr id="2" name="TextBox 1"/>
        <cdr:cNvSpPr txBox="1"/>
      </cdr:nvSpPr>
      <cdr:spPr>
        <a:xfrm xmlns:a="http://schemas.openxmlformats.org/drawingml/2006/main">
          <a:off x="5607332" y="593990"/>
          <a:ext cx="304118" cy="1482387"/>
        </a:xfrm>
        <a:prstGeom xmlns:a="http://schemas.openxmlformats.org/drawingml/2006/main" prst="rect">
          <a:avLst/>
        </a:prstGeom>
      </cdr:spPr>
      <cdr:txBody>
        <a:bodyPr xmlns:a="http://schemas.openxmlformats.org/drawingml/2006/main" vertOverflow="clip" vert="vert" wrap="square" rtlCol="0"/>
        <a:lstStyle xmlns:a="http://schemas.openxmlformats.org/drawingml/2006/main"/>
        <a:p xmlns:a="http://schemas.openxmlformats.org/drawingml/2006/main">
          <a:r>
            <a:rPr lang="lv-LV" sz="1050">
              <a:latin typeface="Times New Roman" panose="02020603050405020304" pitchFamily="18" charset="0"/>
              <a:cs typeface="Times New Roman" panose="02020603050405020304" pitchFamily="18" charset="0"/>
            </a:rPr>
            <a:t>Vidējā darba alga mēnesī</a:t>
          </a:r>
        </a:p>
      </cdr:txBody>
    </cdr:sp>
  </cdr:relSizeAnchor>
</c:userShapes>
</file>

<file path=word/drawings/drawing4.xml><?xml version="1.0" encoding="utf-8"?>
<c:userShapes xmlns:c="http://schemas.openxmlformats.org/drawingml/2006/chart">
  <cdr:relSizeAnchor xmlns:cdr="http://schemas.openxmlformats.org/drawingml/2006/chartDrawing">
    <cdr:from>
      <cdr:x>0.28664</cdr:x>
      <cdr:y>0.28906</cdr:y>
    </cdr:from>
    <cdr:to>
      <cdr:x>0.36585</cdr:x>
      <cdr:y>0.43925</cdr:y>
    </cdr:to>
    <cdr:sp macro="" textlink="">
      <cdr:nvSpPr>
        <cdr:cNvPr id="2" name="TextBox 1"/>
        <cdr:cNvSpPr txBox="1"/>
      </cdr:nvSpPr>
      <cdr:spPr>
        <a:xfrm xmlns:a="http://schemas.openxmlformats.org/drawingml/2006/main">
          <a:off x="1676400" y="883807"/>
          <a:ext cx="463219" cy="45921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lv-LV" sz="1000" b="1"/>
            <a:t>156 org.</a:t>
          </a:r>
        </a:p>
      </cdr:txBody>
    </cdr:sp>
  </cdr:relSizeAnchor>
  <cdr:relSizeAnchor xmlns:cdr="http://schemas.openxmlformats.org/drawingml/2006/chartDrawing">
    <cdr:from>
      <cdr:x>0.49186</cdr:x>
      <cdr:y>0.30885</cdr:y>
    </cdr:from>
    <cdr:to>
      <cdr:x>0.57329</cdr:x>
      <cdr:y>0.45171</cdr:y>
    </cdr:to>
    <cdr:sp macro="" textlink="">
      <cdr:nvSpPr>
        <cdr:cNvPr id="3" name="TextBox 1"/>
        <cdr:cNvSpPr txBox="1"/>
      </cdr:nvSpPr>
      <cdr:spPr>
        <a:xfrm xmlns:a="http://schemas.openxmlformats.org/drawingml/2006/main">
          <a:off x="2876551" y="944317"/>
          <a:ext cx="476250" cy="43680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t>153 org.</a:t>
          </a:r>
        </a:p>
      </cdr:txBody>
    </cdr:sp>
  </cdr:relSizeAnchor>
  <cdr:relSizeAnchor xmlns:cdr="http://schemas.openxmlformats.org/drawingml/2006/chartDrawing">
    <cdr:from>
      <cdr:x>0.71173</cdr:x>
      <cdr:y>0.25074</cdr:y>
    </cdr:from>
    <cdr:to>
      <cdr:x>0.78855</cdr:x>
      <cdr:y>0.40498</cdr:y>
    </cdr:to>
    <cdr:sp macro="" textlink="">
      <cdr:nvSpPr>
        <cdr:cNvPr id="5" name="TextBox 1"/>
        <cdr:cNvSpPr txBox="1"/>
      </cdr:nvSpPr>
      <cdr:spPr>
        <a:xfrm xmlns:a="http://schemas.openxmlformats.org/drawingml/2006/main">
          <a:off x="4162424" y="766644"/>
          <a:ext cx="449291" cy="4716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t>153 org.</a:t>
          </a:r>
        </a:p>
      </cdr:txBody>
    </cdr:sp>
  </cdr:relSizeAnchor>
  <cdr:relSizeAnchor xmlns:cdr="http://schemas.openxmlformats.org/drawingml/2006/chartDrawing">
    <cdr:from>
      <cdr:x>0.91368</cdr:x>
      <cdr:y>0.2541</cdr:y>
    </cdr:from>
    <cdr:to>
      <cdr:x>0.98534</cdr:x>
      <cdr:y>0.38006</cdr:y>
    </cdr:to>
    <cdr:sp macro="" textlink="">
      <cdr:nvSpPr>
        <cdr:cNvPr id="6" name="TextBox 1"/>
        <cdr:cNvSpPr txBox="1"/>
      </cdr:nvSpPr>
      <cdr:spPr>
        <a:xfrm xmlns:a="http://schemas.openxmlformats.org/drawingml/2006/main">
          <a:off x="5343524" y="776917"/>
          <a:ext cx="419101" cy="3851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lv-LV" sz="1000" b="1"/>
            <a:t>153 org.</a:t>
          </a:r>
        </a:p>
      </cdr:txBody>
    </cdr:sp>
  </cdr:relSizeAnchor>
</c:userShapes>
</file>

<file path=word/drawings/drawing5.xml><?xml version="1.0" encoding="utf-8"?>
<c:userShapes xmlns:c="http://schemas.openxmlformats.org/drawingml/2006/chart">
  <cdr:relSizeAnchor xmlns:cdr="http://schemas.openxmlformats.org/drawingml/2006/chartDrawing">
    <cdr:from>
      <cdr:x>0.45455</cdr:x>
      <cdr:y>0.78285</cdr:y>
    </cdr:from>
    <cdr:to>
      <cdr:x>0.95355</cdr:x>
      <cdr:y>0.90511</cdr:y>
    </cdr:to>
    <cdr:sp macro="" textlink="">
      <cdr:nvSpPr>
        <cdr:cNvPr id="3" name="TextBox 2"/>
        <cdr:cNvSpPr txBox="1"/>
      </cdr:nvSpPr>
      <cdr:spPr>
        <a:xfrm xmlns:a="http://schemas.openxmlformats.org/drawingml/2006/main">
          <a:off x="3262313" y="4086226"/>
          <a:ext cx="3581400" cy="6381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0.71162</cdr:x>
      <cdr:y>0.61333</cdr:y>
    </cdr:from>
    <cdr:to>
      <cdr:x>0.82764</cdr:x>
      <cdr:y>0.70606</cdr:y>
    </cdr:to>
    <cdr:cxnSp macro="">
      <cdr:nvCxnSpPr>
        <cdr:cNvPr id="5" name="Straight Connector 4"/>
        <cdr:cNvCxnSpPr/>
      </cdr:nvCxnSpPr>
      <cdr:spPr>
        <a:xfrm xmlns:a="http://schemas.openxmlformats.org/drawingml/2006/main" flipV="1">
          <a:off x="4168556" y="3067050"/>
          <a:ext cx="679669" cy="46369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0.86829</cdr:x>
      <cdr:y>0.62476</cdr:y>
    </cdr:from>
    <cdr:to>
      <cdr:x>0.88224</cdr:x>
      <cdr:y>0.71015</cdr:y>
    </cdr:to>
    <cdr:cxnSp macro="">
      <cdr:nvCxnSpPr>
        <cdr:cNvPr id="7" name="Straight Connector 6"/>
        <cdr:cNvCxnSpPr/>
      </cdr:nvCxnSpPr>
      <cdr:spPr>
        <a:xfrm xmlns:a="http://schemas.openxmlformats.org/drawingml/2006/main" flipH="1" flipV="1">
          <a:off x="5086350" y="3124200"/>
          <a:ext cx="81678" cy="426983"/>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0.82972</cdr:x>
      <cdr:y>0.0458</cdr:y>
    </cdr:from>
    <cdr:to>
      <cdr:x>0.83105</cdr:x>
      <cdr:y>0.62427</cdr:y>
    </cdr:to>
    <cdr:cxnSp macro="">
      <cdr:nvCxnSpPr>
        <cdr:cNvPr id="6" name="Straight Connector 5"/>
        <cdr:cNvCxnSpPr/>
      </cdr:nvCxnSpPr>
      <cdr:spPr>
        <a:xfrm xmlns:a="http://schemas.openxmlformats.org/drawingml/2006/main" flipH="1" flipV="1">
          <a:off x="4860375" y="229053"/>
          <a:ext cx="7791" cy="2892712"/>
        </a:xfrm>
        <a:prstGeom xmlns:a="http://schemas.openxmlformats.org/drawingml/2006/main" prst="line">
          <a:avLst/>
        </a:prstGeom>
        <a:ln xmlns:a="http://schemas.openxmlformats.org/drawingml/2006/main" w="25400" cap="flat" cmpd="sng" algn="ctr">
          <a:solidFill>
            <a:schemeClr val="accent2"/>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dr:relSizeAnchor xmlns:cdr="http://schemas.openxmlformats.org/drawingml/2006/chartDrawing">
    <cdr:from>
      <cdr:x>0.86874</cdr:x>
      <cdr:y>0.05985</cdr:y>
    </cdr:from>
    <cdr:to>
      <cdr:x>0.87007</cdr:x>
      <cdr:y>0.63467</cdr:y>
    </cdr:to>
    <cdr:cxnSp macro="">
      <cdr:nvCxnSpPr>
        <cdr:cNvPr id="8" name="Straight Connector 7"/>
        <cdr:cNvCxnSpPr/>
      </cdr:nvCxnSpPr>
      <cdr:spPr>
        <a:xfrm xmlns:a="http://schemas.openxmlformats.org/drawingml/2006/main" flipH="1" flipV="1">
          <a:off x="5088972" y="299300"/>
          <a:ext cx="7791" cy="2874459"/>
        </a:xfrm>
        <a:prstGeom xmlns:a="http://schemas.openxmlformats.org/drawingml/2006/main" prst="line">
          <a:avLst/>
        </a:prstGeom>
        <a:ln xmlns:a="http://schemas.openxmlformats.org/drawingml/2006/main" w="28575">
          <a:solidFill>
            <a:schemeClr val="accent6">
              <a:lumMod val="75000"/>
            </a:schemeClr>
          </a:solidFill>
        </a:ln>
      </cdr:spPr>
      <cdr:style>
        <a:lnRef xmlns:a="http://schemas.openxmlformats.org/drawingml/2006/main" idx="2">
          <a:schemeClr val="accent6"/>
        </a:lnRef>
        <a:fillRef xmlns:a="http://schemas.openxmlformats.org/drawingml/2006/main" idx="0">
          <a:schemeClr val="accent6"/>
        </a:fillRef>
        <a:effectRef xmlns:a="http://schemas.openxmlformats.org/drawingml/2006/main" idx="1">
          <a:schemeClr val="accent6"/>
        </a:effectRef>
        <a:fontRef xmlns:a="http://schemas.openxmlformats.org/drawingml/2006/main" idx="minor">
          <a:schemeClr val="tx1"/>
        </a:fontRef>
      </cdr:style>
    </cdr:cxnSp>
  </cdr:relSizeAnchor>
  <cdr:relSizeAnchor xmlns:cdr="http://schemas.openxmlformats.org/drawingml/2006/chartDrawing">
    <cdr:from>
      <cdr:x>0.53452</cdr:x>
      <cdr:y>0.70065</cdr:y>
    </cdr:from>
    <cdr:to>
      <cdr:x>0.72695</cdr:x>
      <cdr:y>0.82476</cdr:y>
    </cdr:to>
    <cdr:sp macro="" textlink="">
      <cdr:nvSpPr>
        <cdr:cNvPr id="9" name="TextBox 26"/>
        <cdr:cNvSpPr txBox="1"/>
      </cdr:nvSpPr>
      <cdr:spPr>
        <a:xfrm xmlns:a="http://schemas.openxmlformats.org/drawingml/2006/main">
          <a:off x="3131139" y="3503671"/>
          <a:ext cx="1127231" cy="620653"/>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lv-LV" sz="1000" b="0" i="0" baseline="0">
              <a:solidFill>
                <a:schemeClr val="dk1"/>
              </a:solidFill>
              <a:effectLst/>
              <a:latin typeface="Times New Roman" panose="02020603050405020304" pitchFamily="18" charset="0"/>
              <a:ea typeface="+mn-ea"/>
              <a:cs typeface="Times New Roman" panose="02020603050405020304" pitchFamily="18" charset="0"/>
            </a:rPr>
            <a:t>vidēji valsts pārvaldē 2016.gadā</a:t>
          </a:r>
          <a:endParaRPr lang="lv-LV" sz="1000" b="0" baseline="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0.78205</cdr:x>
      <cdr:y>0.6998</cdr:y>
    </cdr:from>
    <cdr:to>
      <cdr:x>0.98862</cdr:x>
      <cdr:y>0.82286</cdr:y>
    </cdr:to>
    <cdr:sp macro="" textlink="">
      <cdr:nvSpPr>
        <cdr:cNvPr id="10" name="TextBox 27"/>
        <cdr:cNvSpPr txBox="1"/>
      </cdr:nvSpPr>
      <cdr:spPr>
        <a:xfrm xmlns:a="http://schemas.openxmlformats.org/drawingml/2006/main">
          <a:off x="4581174" y="3499420"/>
          <a:ext cx="1210026" cy="615380"/>
        </a:xfrm>
        <a:prstGeom xmlns:a="http://schemas.openxmlformats.org/drawingml/2006/main" prst="rect">
          <a:avLst/>
        </a:prstGeom>
        <a:solidFill xmlns:a="http://schemas.openxmlformats.org/drawingml/2006/main">
          <a:schemeClr val="lt1"/>
        </a:solidFill>
        <a:ln xmlns:a="http://schemas.openxmlformats.org/drawingml/2006/main" w="9525" cmpd="sng">
          <a:solidFill>
            <a:schemeClr val="lt1">
              <a:shade val="5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r>
            <a:rPr lang="lv-LV" sz="1000" b="0" i="0" baseline="0">
              <a:solidFill>
                <a:schemeClr val="dk1"/>
              </a:solidFill>
              <a:effectLst/>
              <a:latin typeface="Times New Roman" panose="02020603050405020304" pitchFamily="18" charset="0"/>
              <a:ea typeface="+mn-ea"/>
              <a:cs typeface="Times New Roman" panose="02020603050405020304" pitchFamily="18" charset="0"/>
            </a:rPr>
            <a:t>vidēji valsts pārvaldē 2017.gada martā</a:t>
          </a:r>
          <a:endParaRPr lang="lv-LV" sz="1000" b="0" baseline="0">
            <a:latin typeface="Times New Roman" panose="02020603050405020304" pitchFamily="18" charset="0"/>
            <a:cs typeface="Times New Roman" panose="02020603050405020304" pitchFamily="18"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0.46508</cdr:x>
      <cdr:y>0.33366</cdr:y>
    </cdr:from>
    <cdr:to>
      <cdr:x>0.52372</cdr:x>
      <cdr:y>0.43865</cdr:y>
    </cdr:to>
    <cdr:sp macro="" textlink="">
      <cdr:nvSpPr>
        <cdr:cNvPr id="2" name="TextBox 1"/>
        <cdr:cNvSpPr txBox="1"/>
      </cdr:nvSpPr>
      <cdr:spPr>
        <a:xfrm xmlns:a="http://schemas.openxmlformats.org/drawingml/2006/main">
          <a:off x="2452956" y="1036067"/>
          <a:ext cx="309293" cy="326008"/>
        </a:xfrm>
        <a:prstGeom xmlns:a="http://schemas.openxmlformats.org/drawingml/2006/main" prst="rect">
          <a:avLst/>
        </a:prstGeom>
        <a:solidFill xmlns:a="http://schemas.openxmlformats.org/drawingml/2006/main">
          <a:schemeClr val="accent2">
            <a:lumMod val="40000"/>
            <a:lumOff val="60000"/>
          </a:schemeClr>
        </a:solidFill>
      </cdr:spPr>
      <cdr:txBody>
        <a:bodyPr xmlns:a="http://schemas.openxmlformats.org/drawingml/2006/main" vertOverflow="clip" wrap="none" rtlCol="0"/>
        <a:lstStyle xmlns:a="http://schemas.openxmlformats.org/drawingml/2006/main"/>
        <a:p xmlns:a="http://schemas.openxmlformats.org/drawingml/2006/main">
          <a:r>
            <a:rPr lang="lv-LV" sz="1100" b="1"/>
            <a:t>2</a:t>
          </a:r>
        </a:p>
      </cdr:txBody>
    </cdr:sp>
  </cdr:relSizeAnchor>
  <cdr:relSizeAnchor xmlns:cdr="http://schemas.openxmlformats.org/drawingml/2006/chartDrawing">
    <cdr:from>
      <cdr:x>0.49125</cdr:x>
      <cdr:y>0.43783</cdr:y>
    </cdr:from>
    <cdr:to>
      <cdr:x>0.49125</cdr:x>
      <cdr:y>0.52811</cdr:y>
    </cdr:to>
    <cdr:cxnSp macro="">
      <cdr:nvCxnSpPr>
        <cdr:cNvPr id="4" name="Straight Arrow Connector 3"/>
        <cdr:cNvCxnSpPr/>
      </cdr:nvCxnSpPr>
      <cdr:spPr>
        <a:xfrm xmlns:a="http://schemas.openxmlformats.org/drawingml/2006/main">
          <a:off x="2591005" y="1359530"/>
          <a:ext cx="0" cy="280333"/>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0.46266</cdr:x>
      <cdr:y>0.33179</cdr:y>
    </cdr:from>
    <cdr:to>
      <cdr:x>0.52552</cdr:x>
      <cdr:y>0.44606</cdr:y>
    </cdr:to>
    <cdr:sp macro="" textlink="">
      <cdr:nvSpPr>
        <cdr:cNvPr id="2" name="TextBox 1"/>
        <cdr:cNvSpPr txBox="1"/>
      </cdr:nvSpPr>
      <cdr:spPr>
        <a:xfrm xmlns:a="http://schemas.openxmlformats.org/drawingml/2006/main">
          <a:off x="2440212" y="1083983"/>
          <a:ext cx="331563" cy="373342"/>
        </a:xfrm>
        <a:prstGeom xmlns:a="http://schemas.openxmlformats.org/drawingml/2006/main" prst="rect">
          <a:avLst/>
        </a:prstGeom>
        <a:solidFill xmlns:a="http://schemas.openxmlformats.org/drawingml/2006/main">
          <a:schemeClr val="accent2">
            <a:lumMod val="40000"/>
            <a:lumOff val="60000"/>
          </a:schemeClr>
        </a:solidFill>
      </cdr:spPr>
      <cdr:txBody>
        <a:bodyPr xmlns:a="http://schemas.openxmlformats.org/drawingml/2006/main" vertOverflow="clip" wrap="none" rtlCol="0"/>
        <a:lstStyle xmlns:a="http://schemas.openxmlformats.org/drawingml/2006/main"/>
        <a:p xmlns:a="http://schemas.openxmlformats.org/drawingml/2006/main">
          <a:r>
            <a:rPr lang="lv-LV" sz="1100"/>
            <a:t>1,2</a:t>
          </a:r>
        </a:p>
      </cdr:txBody>
    </cdr:sp>
  </cdr:relSizeAnchor>
  <cdr:relSizeAnchor xmlns:cdr="http://schemas.openxmlformats.org/drawingml/2006/chartDrawing">
    <cdr:from>
      <cdr:x>0.49843</cdr:x>
      <cdr:y>0.44235</cdr:y>
    </cdr:from>
    <cdr:to>
      <cdr:x>0.49888</cdr:x>
      <cdr:y>0.5277</cdr:y>
    </cdr:to>
    <cdr:cxnSp macro="">
      <cdr:nvCxnSpPr>
        <cdr:cNvPr id="6" name="Straight Arrow Connector 5"/>
        <cdr:cNvCxnSpPr/>
      </cdr:nvCxnSpPr>
      <cdr:spPr>
        <a:xfrm xmlns:a="http://schemas.openxmlformats.org/drawingml/2006/main" flipH="1">
          <a:off x="2628900" y="1445176"/>
          <a:ext cx="2336" cy="278849"/>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2"/>
        </a:lnRef>
        <a:fillRef xmlns:a="http://schemas.openxmlformats.org/drawingml/2006/main" idx="0">
          <a:schemeClr val="accent2"/>
        </a:fillRef>
        <a:effectRef xmlns:a="http://schemas.openxmlformats.org/drawingml/2006/main" idx="0">
          <a:schemeClr val="accent2"/>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0.12613</cdr:x>
      <cdr:y>0.0218</cdr:y>
    </cdr:from>
    <cdr:to>
      <cdr:x>0.44895</cdr:x>
      <cdr:y>0.10843</cdr:y>
    </cdr:to>
    <cdr:sp macro="" textlink="">
      <cdr:nvSpPr>
        <cdr:cNvPr id="4" name="TextBox 2"/>
        <cdr:cNvSpPr txBox="1"/>
      </cdr:nvSpPr>
      <cdr:spPr>
        <a:xfrm xmlns:a="http://schemas.openxmlformats.org/drawingml/2006/main">
          <a:off x="800101" y="60325"/>
          <a:ext cx="2047874" cy="239714"/>
        </a:xfrm>
        <a:prstGeom xmlns:a="http://schemas.openxmlformats.org/drawingml/2006/main" prst="rect">
          <a:avLst/>
        </a:prstGeom>
        <a:solidFill xmlns:a="http://schemas.openxmlformats.org/drawingml/2006/main">
          <a:schemeClr val="accent4">
            <a:lumMod val="20000"/>
            <a:lumOff val="80000"/>
          </a:schemeClr>
        </a:solidFill>
        <a:ln xmlns:a="http://schemas.openxmlformats.org/drawingml/2006/main" w="12700" cmpd="sng">
          <a:solidFill>
            <a:schemeClr val="accent4">
              <a:lumMod val="60000"/>
              <a:lumOff val="4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0" rIns="36000" bIns="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50">
              <a:latin typeface="Times New Roman" panose="02020603050405020304" pitchFamily="18" charset="0"/>
              <a:cs typeface="Times New Roman" panose="02020603050405020304" pitchFamily="18" charset="0"/>
            </a:rPr>
            <a:t>no LVĢMC neto apgrozījuma</a:t>
          </a:r>
        </a:p>
      </cdr:txBody>
    </cdr:sp>
  </cdr:relSizeAnchor>
  <cdr:relSizeAnchor xmlns:cdr="http://schemas.openxmlformats.org/drawingml/2006/chartDrawing">
    <cdr:from>
      <cdr:x>0.08909</cdr:x>
      <cdr:y>0.18359</cdr:y>
    </cdr:from>
    <cdr:to>
      <cdr:x>0.18218</cdr:x>
      <cdr:y>0.28686</cdr:y>
    </cdr:to>
    <cdr:sp macro="" textlink="">
      <cdr:nvSpPr>
        <cdr:cNvPr id="7" name="TextBox 2"/>
        <cdr:cNvSpPr txBox="1"/>
      </cdr:nvSpPr>
      <cdr:spPr>
        <a:xfrm xmlns:a="http://schemas.openxmlformats.org/drawingml/2006/main">
          <a:off x="565150" y="508000"/>
          <a:ext cx="590550" cy="285750"/>
        </a:xfrm>
        <a:prstGeom xmlns:a="http://schemas.openxmlformats.org/drawingml/2006/main" prst="rect">
          <a:avLst/>
        </a:prstGeom>
        <a:solidFill xmlns:a="http://schemas.openxmlformats.org/drawingml/2006/main">
          <a:schemeClr val="accent4">
            <a:lumMod val="20000"/>
            <a:lumOff val="80000"/>
          </a:schemeClr>
        </a:solidFill>
        <a:ln xmlns:a="http://schemas.openxmlformats.org/drawingml/2006/main" w="12700" cmpd="sng">
          <a:solidFill>
            <a:schemeClr val="accent4">
              <a:lumMod val="60000"/>
              <a:lumOff val="4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0" rIns="36000" bIns="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50">
              <a:latin typeface="Times New Roman" panose="02020603050405020304" pitchFamily="18" charset="0"/>
              <a:cs typeface="Times New Roman" panose="02020603050405020304" pitchFamily="18" charset="0"/>
            </a:rPr>
            <a:t>45,8 %</a:t>
          </a:r>
        </a:p>
      </cdr:txBody>
    </cdr:sp>
  </cdr:relSizeAnchor>
  <cdr:relSizeAnchor xmlns:cdr="http://schemas.openxmlformats.org/drawingml/2006/chartDrawing">
    <cdr:from>
      <cdr:x>0.24224</cdr:x>
      <cdr:y>0.18015</cdr:y>
    </cdr:from>
    <cdr:to>
      <cdr:x>0.33534</cdr:x>
      <cdr:y>0.28342</cdr:y>
    </cdr:to>
    <cdr:sp macro="" textlink="">
      <cdr:nvSpPr>
        <cdr:cNvPr id="8" name="TextBox 2"/>
        <cdr:cNvSpPr txBox="1"/>
      </cdr:nvSpPr>
      <cdr:spPr>
        <a:xfrm xmlns:a="http://schemas.openxmlformats.org/drawingml/2006/main">
          <a:off x="1536700" y="498475"/>
          <a:ext cx="590550" cy="285750"/>
        </a:xfrm>
        <a:prstGeom xmlns:a="http://schemas.openxmlformats.org/drawingml/2006/main" prst="rect">
          <a:avLst/>
        </a:prstGeom>
        <a:solidFill xmlns:a="http://schemas.openxmlformats.org/drawingml/2006/main">
          <a:schemeClr val="accent4">
            <a:lumMod val="20000"/>
            <a:lumOff val="80000"/>
          </a:schemeClr>
        </a:solidFill>
        <a:ln xmlns:a="http://schemas.openxmlformats.org/drawingml/2006/main" w="12700" cmpd="sng">
          <a:solidFill>
            <a:schemeClr val="accent4">
              <a:lumMod val="60000"/>
              <a:lumOff val="4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0" rIns="36000" bIns="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50">
              <a:latin typeface="Times New Roman" panose="02020603050405020304" pitchFamily="18" charset="0"/>
              <a:cs typeface="Times New Roman" panose="02020603050405020304" pitchFamily="18" charset="0"/>
            </a:rPr>
            <a:t>59,9 %</a:t>
          </a:r>
        </a:p>
      </cdr:txBody>
    </cdr:sp>
  </cdr:relSizeAnchor>
  <cdr:relSizeAnchor xmlns:cdr="http://schemas.openxmlformats.org/drawingml/2006/chartDrawing">
    <cdr:from>
      <cdr:x>0.3984</cdr:x>
      <cdr:y>0.18015</cdr:y>
    </cdr:from>
    <cdr:to>
      <cdr:x>0.49149</cdr:x>
      <cdr:y>0.28342</cdr:y>
    </cdr:to>
    <cdr:sp macro="" textlink="">
      <cdr:nvSpPr>
        <cdr:cNvPr id="9" name="TextBox 2"/>
        <cdr:cNvSpPr txBox="1"/>
      </cdr:nvSpPr>
      <cdr:spPr>
        <a:xfrm xmlns:a="http://schemas.openxmlformats.org/drawingml/2006/main">
          <a:off x="2527300" y="498475"/>
          <a:ext cx="590550" cy="285750"/>
        </a:xfrm>
        <a:prstGeom xmlns:a="http://schemas.openxmlformats.org/drawingml/2006/main" prst="rect">
          <a:avLst/>
        </a:prstGeom>
        <a:solidFill xmlns:a="http://schemas.openxmlformats.org/drawingml/2006/main">
          <a:schemeClr val="accent4">
            <a:lumMod val="20000"/>
            <a:lumOff val="80000"/>
          </a:schemeClr>
        </a:solidFill>
        <a:ln xmlns:a="http://schemas.openxmlformats.org/drawingml/2006/main" w="12700" cmpd="sng">
          <a:solidFill>
            <a:schemeClr val="accent4">
              <a:lumMod val="60000"/>
              <a:lumOff val="40000"/>
            </a:schemeClr>
          </a:solid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lIns="36000" tIns="0" rIns="36000" bIns="0"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050">
              <a:latin typeface="Times New Roman" panose="02020603050405020304" pitchFamily="18" charset="0"/>
              <a:cs typeface="Times New Roman" panose="02020603050405020304" pitchFamily="18" charset="0"/>
            </a:rPr>
            <a:t>50,0 %</a:t>
          </a:r>
        </a:p>
      </cdr:txBody>
    </cdr:sp>
  </cdr:relSizeAnchor>
  <cdr:relSizeAnchor xmlns:cdr="http://schemas.openxmlformats.org/drawingml/2006/chartDrawing">
    <cdr:from>
      <cdr:x>0.13564</cdr:x>
      <cdr:y>0.10843</cdr:y>
    </cdr:from>
    <cdr:to>
      <cdr:x>0.28754</cdr:x>
      <cdr:y>0.18359</cdr:y>
    </cdr:to>
    <cdr:cxnSp macro="">
      <cdr:nvCxnSpPr>
        <cdr:cNvPr id="11" name="Straight Arrow Connector 10"/>
        <cdr:cNvCxnSpPr>
          <a:stCxn xmlns:a="http://schemas.openxmlformats.org/drawingml/2006/main" id="4" idx="2"/>
          <a:endCxn xmlns:a="http://schemas.openxmlformats.org/drawingml/2006/main" id="7" idx="0"/>
        </cdr:cNvCxnSpPr>
      </cdr:nvCxnSpPr>
      <cdr:spPr>
        <a:xfrm xmlns:a="http://schemas.openxmlformats.org/drawingml/2006/main" flipH="1">
          <a:off x="860425" y="300039"/>
          <a:ext cx="963613" cy="207961"/>
        </a:xfrm>
        <a:prstGeom xmlns:a="http://schemas.openxmlformats.org/drawingml/2006/main" prst="straightConnector1">
          <a:avLst/>
        </a:prstGeom>
        <a:ln xmlns:a="http://schemas.openxmlformats.org/drawingml/2006/main" w="25400">
          <a:solidFill>
            <a:schemeClr val="accent4">
              <a:lumMod val="60000"/>
              <a:lumOff val="4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0.28754</cdr:x>
      <cdr:y>0.10843</cdr:y>
    </cdr:from>
    <cdr:to>
      <cdr:x>0.28879</cdr:x>
      <cdr:y>0.18015</cdr:y>
    </cdr:to>
    <cdr:cxnSp macro="">
      <cdr:nvCxnSpPr>
        <cdr:cNvPr id="13" name="Straight Arrow Connector 12"/>
        <cdr:cNvCxnSpPr>
          <a:stCxn xmlns:a="http://schemas.openxmlformats.org/drawingml/2006/main" id="4" idx="2"/>
          <a:endCxn xmlns:a="http://schemas.openxmlformats.org/drawingml/2006/main" id="8" idx="0"/>
        </cdr:cNvCxnSpPr>
      </cdr:nvCxnSpPr>
      <cdr:spPr>
        <a:xfrm xmlns:a="http://schemas.openxmlformats.org/drawingml/2006/main">
          <a:off x="1824038" y="300039"/>
          <a:ext cx="7937" cy="198436"/>
        </a:xfrm>
        <a:prstGeom xmlns:a="http://schemas.openxmlformats.org/drawingml/2006/main" prst="straightConnector1">
          <a:avLst/>
        </a:prstGeom>
        <a:ln xmlns:a="http://schemas.openxmlformats.org/drawingml/2006/main" w="25400">
          <a:solidFill>
            <a:schemeClr val="accent4">
              <a:lumMod val="60000"/>
              <a:lumOff val="4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0.28754</cdr:x>
      <cdr:y>0.10843</cdr:y>
    </cdr:from>
    <cdr:to>
      <cdr:x>0.44494</cdr:x>
      <cdr:y>0.18015</cdr:y>
    </cdr:to>
    <cdr:cxnSp macro="">
      <cdr:nvCxnSpPr>
        <cdr:cNvPr id="15" name="Straight Arrow Connector 14"/>
        <cdr:cNvCxnSpPr>
          <a:stCxn xmlns:a="http://schemas.openxmlformats.org/drawingml/2006/main" id="4" idx="2"/>
          <a:endCxn xmlns:a="http://schemas.openxmlformats.org/drawingml/2006/main" id="9" idx="0"/>
        </cdr:cNvCxnSpPr>
      </cdr:nvCxnSpPr>
      <cdr:spPr>
        <a:xfrm xmlns:a="http://schemas.openxmlformats.org/drawingml/2006/main">
          <a:off x="1824038" y="300039"/>
          <a:ext cx="998537" cy="198436"/>
        </a:xfrm>
        <a:prstGeom xmlns:a="http://schemas.openxmlformats.org/drawingml/2006/main" prst="straightConnector1">
          <a:avLst/>
        </a:prstGeom>
        <a:ln xmlns:a="http://schemas.openxmlformats.org/drawingml/2006/main" w="25400">
          <a:solidFill>
            <a:schemeClr val="accent4">
              <a:lumMod val="60000"/>
              <a:lumOff val="4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0.12898</cdr:x>
      <cdr:y>0.24397</cdr:y>
    </cdr:from>
    <cdr:to>
      <cdr:x>0.21025</cdr:x>
      <cdr:y>0.29759</cdr:y>
    </cdr:to>
    <cdr:sp macro="" textlink="">
      <cdr:nvSpPr>
        <cdr:cNvPr id="2" name="TextBox 1"/>
        <cdr:cNvSpPr txBox="1"/>
      </cdr:nvSpPr>
      <cdr:spPr>
        <a:xfrm xmlns:a="http://schemas.openxmlformats.org/drawingml/2006/main">
          <a:off x="695325" y="866775"/>
          <a:ext cx="4381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0.13074</cdr:x>
      <cdr:y>0.21448</cdr:y>
    </cdr:from>
    <cdr:to>
      <cdr:x>0.22615</cdr:x>
      <cdr:y>0.2681</cdr:y>
    </cdr:to>
    <cdr:sp macro="" textlink="">
      <cdr:nvSpPr>
        <cdr:cNvPr id="3" name="TextBox 2"/>
        <cdr:cNvSpPr txBox="1"/>
      </cdr:nvSpPr>
      <cdr:spPr>
        <a:xfrm xmlns:a="http://schemas.openxmlformats.org/drawingml/2006/main">
          <a:off x="704850" y="762000"/>
          <a:ext cx="5143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0.85281</cdr:x>
      <cdr:y>0.64762</cdr:y>
    </cdr:from>
    <cdr:to>
      <cdr:x>0.92037</cdr:x>
      <cdr:y>0.6963</cdr:y>
    </cdr:to>
    <cdr:sp macro="" textlink="">
      <cdr:nvSpPr>
        <cdr:cNvPr id="8" name="Rectangle 7"/>
        <cdr:cNvSpPr/>
      </cdr:nvSpPr>
      <cdr:spPr>
        <a:xfrm xmlns:a="http://schemas.openxmlformats.org/drawingml/2006/main">
          <a:off x="4712970" y="2331720"/>
          <a:ext cx="373380" cy="175260"/>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lv-LV"/>
        </a:p>
      </cdr:txBody>
    </cdr:sp>
  </cdr:relSizeAnchor>
  <cdr:relSizeAnchor xmlns:cdr="http://schemas.openxmlformats.org/drawingml/2006/chartDrawing">
    <cdr:from>
      <cdr:x>0.86526</cdr:x>
      <cdr:y>0.69094</cdr:y>
    </cdr:from>
    <cdr:to>
      <cdr:x>0.92731</cdr:x>
      <cdr:y>0.75606</cdr:y>
    </cdr:to>
    <cdr:sp macro="" textlink="">
      <cdr:nvSpPr>
        <cdr:cNvPr id="9" name="Rectangle 8"/>
        <cdr:cNvSpPr/>
      </cdr:nvSpPr>
      <cdr:spPr>
        <a:xfrm xmlns:a="http://schemas.openxmlformats.org/drawingml/2006/main">
          <a:off x="4773527" y="1974797"/>
          <a:ext cx="342322" cy="186122"/>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lv-LV">
              <a:solidFill>
                <a:sysClr val="windowText" lastClr="000000"/>
              </a:solidFill>
            </a:rPr>
            <a:t>1</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ividend">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E4E22-DE05-4AAE-BA44-274198006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225</Pages>
  <Words>367507</Words>
  <Characters>209479</Characters>
  <Application>Microsoft Office Word</Application>
  <DocSecurity>0</DocSecurity>
  <Lines>1745</Lines>
  <Paragraphs>1151</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575835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Informatīvais ziņojums</dc:subject>
  <dc:creator>Andris Baumanis</dc:creator>
  <cp:keywords/>
  <dc:description>Andris.Baumanis@fm.gov.lv
T.67083981</dc:description>
  <cp:lastModifiedBy>Dace H</cp:lastModifiedBy>
  <cp:revision>17</cp:revision>
  <cp:lastPrinted>2017-08-17T10:12:00Z</cp:lastPrinted>
  <dcterms:created xsi:type="dcterms:W3CDTF">2017-08-16T07:08:00Z</dcterms:created>
  <dcterms:modified xsi:type="dcterms:W3CDTF">2017-08-22T07:00:00Z</dcterms:modified>
</cp:coreProperties>
</file>