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6221" w14:textId="77777777" w:rsidR="00043218" w:rsidRPr="00CA2430" w:rsidRDefault="00043218" w:rsidP="00043218">
      <w:pPr>
        <w:ind w:firstLine="360"/>
        <w:jc w:val="center"/>
        <w:rPr>
          <w:b/>
          <w:noProof/>
        </w:rPr>
      </w:pPr>
    </w:p>
    <w:p w14:paraId="232B6EAC" w14:textId="77777777" w:rsidR="00043218" w:rsidRPr="00CA2430" w:rsidRDefault="00043218" w:rsidP="00043218">
      <w:pPr>
        <w:ind w:firstLine="360"/>
        <w:jc w:val="center"/>
        <w:rPr>
          <w:b/>
          <w:noProof/>
          <w:sz w:val="32"/>
          <w:szCs w:val="32"/>
        </w:rPr>
      </w:pPr>
    </w:p>
    <w:p w14:paraId="5441786D" w14:textId="77777777" w:rsidR="00043218" w:rsidRPr="00CA2430" w:rsidRDefault="00043218" w:rsidP="00043218">
      <w:pPr>
        <w:rPr>
          <w:noProof/>
          <w:sz w:val="32"/>
          <w:szCs w:val="32"/>
        </w:rPr>
      </w:pPr>
    </w:p>
    <w:p w14:paraId="6EB5D36C" w14:textId="77777777" w:rsidR="00043218" w:rsidRPr="00CA2430" w:rsidRDefault="00043218" w:rsidP="00043218">
      <w:pPr>
        <w:rPr>
          <w:noProof/>
          <w:sz w:val="32"/>
          <w:szCs w:val="32"/>
        </w:rPr>
      </w:pPr>
    </w:p>
    <w:p w14:paraId="507CD0AB" w14:textId="77777777" w:rsidR="00043218" w:rsidRPr="00CA2430" w:rsidRDefault="00043218" w:rsidP="00043218">
      <w:pPr>
        <w:rPr>
          <w:noProof/>
          <w:sz w:val="32"/>
          <w:szCs w:val="32"/>
        </w:rPr>
      </w:pPr>
    </w:p>
    <w:p w14:paraId="5F5E0277" w14:textId="77777777" w:rsidR="00043218" w:rsidRPr="00CA2430" w:rsidRDefault="00043218" w:rsidP="00043218">
      <w:pPr>
        <w:ind w:firstLine="360"/>
        <w:jc w:val="center"/>
        <w:rPr>
          <w:noProof/>
          <w:sz w:val="32"/>
          <w:szCs w:val="32"/>
        </w:rPr>
      </w:pPr>
    </w:p>
    <w:p w14:paraId="349180F9" w14:textId="77777777" w:rsidR="00043218" w:rsidRPr="00CA2430" w:rsidRDefault="00043218" w:rsidP="00043218">
      <w:pPr>
        <w:jc w:val="center"/>
        <w:rPr>
          <w:b/>
          <w:noProof/>
          <w:sz w:val="44"/>
          <w:szCs w:val="32"/>
        </w:rPr>
      </w:pPr>
    </w:p>
    <w:p w14:paraId="4D0D9FF5" w14:textId="77777777" w:rsidR="00043218" w:rsidRPr="00CA2430" w:rsidRDefault="00043218" w:rsidP="00043218">
      <w:pPr>
        <w:jc w:val="center"/>
        <w:rPr>
          <w:b/>
          <w:noProof/>
          <w:sz w:val="44"/>
          <w:szCs w:val="32"/>
        </w:rPr>
      </w:pPr>
    </w:p>
    <w:p w14:paraId="1EBE4921" w14:textId="77777777" w:rsidR="00043218" w:rsidRPr="00CA2430" w:rsidRDefault="00043218" w:rsidP="00043218">
      <w:pPr>
        <w:jc w:val="center"/>
        <w:rPr>
          <w:b/>
          <w:noProof/>
          <w:sz w:val="44"/>
          <w:szCs w:val="32"/>
        </w:rPr>
      </w:pPr>
    </w:p>
    <w:p w14:paraId="050849A3" w14:textId="77777777" w:rsidR="00043218" w:rsidRPr="00CA2430" w:rsidRDefault="00043218" w:rsidP="00043218">
      <w:pPr>
        <w:jc w:val="center"/>
        <w:rPr>
          <w:b/>
          <w:noProof/>
          <w:sz w:val="44"/>
          <w:szCs w:val="32"/>
        </w:rPr>
      </w:pPr>
    </w:p>
    <w:p w14:paraId="29FDB31B" w14:textId="77777777" w:rsidR="00043218" w:rsidRPr="00CA2430" w:rsidRDefault="00043218" w:rsidP="00043218">
      <w:pPr>
        <w:ind w:firstLine="0"/>
        <w:jc w:val="center"/>
        <w:rPr>
          <w:b/>
          <w:noProof/>
          <w:sz w:val="44"/>
          <w:szCs w:val="32"/>
        </w:rPr>
      </w:pPr>
      <w:r w:rsidRPr="00CA2430">
        <w:rPr>
          <w:b/>
          <w:noProof/>
          <w:sz w:val="44"/>
          <w:szCs w:val="32"/>
        </w:rPr>
        <w:t>Informatīvais ziņojums</w:t>
      </w:r>
    </w:p>
    <w:p w14:paraId="04CCD1D4" w14:textId="77777777" w:rsidR="00043218" w:rsidRPr="00CA2430" w:rsidRDefault="00043218" w:rsidP="00043218">
      <w:pPr>
        <w:rPr>
          <w:b/>
          <w:noProof/>
          <w:sz w:val="44"/>
          <w:szCs w:val="32"/>
        </w:rPr>
      </w:pPr>
    </w:p>
    <w:p w14:paraId="409A5C47" w14:textId="79390642" w:rsidR="00043218" w:rsidRPr="00CA2430" w:rsidRDefault="00043218" w:rsidP="00043218">
      <w:pPr>
        <w:ind w:firstLine="0"/>
        <w:jc w:val="center"/>
        <w:rPr>
          <w:b/>
          <w:noProof/>
          <w:sz w:val="44"/>
          <w:szCs w:val="32"/>
        </w:rPr>
      </w:pPr>
      <w:r w:rsidRPr="00CA2430">
        <w:rPr>
          <w:b/>
          <w:noProof/>
          <w:sz w:val="44"/>
          <w:szCs w:val="32"/>
        </w:rPr>
        <w:t>„</w:t>
      </w:r>
      <w:r w:rsidR="00622ED8" w:rsidRPr="00CA2430">
        <w:rPr>
          <w:noProof/>
        </w:rPr>
        <w:t xml:space="preserve"> </w:t>
      </w:r>
      <w:r w:rsidR="00622ED8" w:rsidRPr="00CA2430">
        <w:rPr>
          <w:b/>
          <w:noProof/>
          <w:sz w:val="44"/>
          <w:szCs w:val="32"/>
        </w:rPr>
        <w:t>Par makroekonomisko rādītāju, ieņēmumu un vispārējās valdības budžeta bilances prognozēm 2025., 2026., 2027. un 2028. gadā</w:t>
      </w:r>
      <w:r w:rsidRPr="00CA2430">
        <w:rPr>
          <w:b/>
          <w:noProof/>
          <w:sz w:val="44"/>
          <w:szCs w:val="32"/>
        </w:rPr>
        <w:t>”</w:t>
      </w:r>
    </w:p>
    <w:p w14:paraId="7CD2D459" w14:textId="77777777" w:rsidR="00043218" w:rsidRPr="00CA2430" w:rsidRDefault="00043218" w:rsidP="00043218">
      <w:pPr>
        <w:rPr>
          <w:b/>
          <w:noProof/>
          <w:sz w:val="48"/>
          <w:szCs w:val="32"/>
        </w:rPr>
      </w:pPr>
    </w:p>
    <w:p w14:paraId="3F296241" w14:textId="77777777" w:rsidR="00043218" w:rsidRPr="00CA2430" w:rsidRDefault="00043218" w:rsidP="00043218">
      <w:pPr>
        <w:tabs>
          <w:tab w:val="left" w:pos="2763"/>
        </w:tabs>
        <w:ind w:firstLine="360"/>
        <w:rPr>
          <w:noProof/>
          <w:sz w:val="32"/>
          <w:szCs w:val="32"/>
        </w:rPr>
      </w:pPr>
    </w:p>
    <w:p w14:paraId="31AB1E46" w14:textId="77777777" w:rsidR="00043218" w:rsidRPr="00CA2430" w:rsidRDefault="00043218" w:rsidP="00043218">
      <w:pPr>
        <w:rPr>
          <w:noProof/>
          <w:sz w:val="32"/>
          <w:szCs w:val="32"/>
        </w:rPr>
      </w:pPr>
    </w:p>
    <w:p w14:paraId="0CB521EC" w14:textId="77777777" w:rsidR="00043218" w:rsidRPr="00CA2430" w:rsidRDefault="00043218" w:rsidP="00043218">
      <w:pPr>
        <w:rPr>
          <w:noProof/>
          <w:sz w:val="32"/>
          <w:szCs w:val="32"/>
        </w:rPr>
      </w:pPr>
    </w:p>
    <w:p w14:paraId="1BE320F2" w14:textId="77777777" w:rsidR="00043218" w:rsidRPr="00CA2430" w:rsidRDefault="00043218" w:rsidP="00043218">
      <w:pPr>
        <w:rPr>
          <w:noProof/>
          <w:sz w:val="32"/>
          <w:szCs w:val="32"/>
        </w:rPr>
      </w:pPr>
    </w:p>
    <w:p w14:paraId="73739EF4" w14:textId="77777777" w:rsidR="00043218" w:rsidRPr="00CA2430" w:rsidRDefault="00043218" w:rsidP="00043218">
      <w:pPr>
        <w:rPr>
          <w:noProof/>
          <w:sz w:val="32"/>
          <w:szCs w:val="32"/>
        </w:rPr>
      </w:pPr>
    </w:p>
    <w:p w14:paraId="35A5FBF0" w14:textId="77777777" w:rsidR="00043218" w:rsidRPr="00CA2430" w:rsidRDefault="00043218" w:rsidP="00043218">
      <w:pPr>
        <w:rPr>
          <w:noProof/>
          <w:sz w:val="32"/>
          <w:szCs w:val="32"/>
        </w:rPr>
      </w:pPr>
    </w:p>
    <w:p w14:paraId="3BBF056C" w14:textId="77777777" w:rsidR="00043218" w:rsidRPr="00CA2430" w:rsidRDefault="00043218" w:rsidP="00043218">
      <w:pPr>
        <w:rPr>
          <w:noProof/>
          <w:sz w:val="32"/>
          <w:szCs w:val="32"/>
        </w:rPr>
      </w:pPr>
    </w:p>
    <w:p w14:paraId="2A3FD4E8" w14:textId="77777777" w:rsidR="00043218" w:rsidRPr="00CA2430" w:rsidRDefault="00043218" w:rsidP="00043218">
      <w:pPr>
        <w:rPr>
          <w:noProof/>
          <w:sz w:val="32"/>
          <w:szCs w:val="32"/>
        </w:rPr>
      </w:pPr>
    </w:p>
    <w:p w14:paraId="6DD7857F" w14:textId="77777777" w:rsidR="00043218" w:rsidRPr="00CA2430" w:rsidRDefault="00043218" w:rsidP="00043218">
      <w:pPr>
        <w:ind w:firstLine="360"/>
        <w:jc w:val="center"/>
        <w:rPr>
          <w:noProof/>
          <w:sz w:val="32"/>
          <w:szCs w:val="32"/>
        </w:rPr>
      </w:pPr>
    </w:p>
    <w:p w14:paraId="00294257" w14:textId="18DDA6FB" w:rsidR="00043218" w:rsidRPr="00CA2430" w:rsidRDefault="00AC55E4" w:rsidP="00043218">
      <w:pPr>
        <w:ind w:firstLine="360"/>
        <w:jc w:val="center"/>
        <w:rPr>
          <w:noProof/>
          <w:sz w:val="28"/>
          <w:szCs w:val="28"/>
        </w:rPr>
      </w:pPr>
      <w:r w:rsidRPr="00CA2430">
        <w:rPr>
          <w:noProof/>
          <w:sz w:val="28"/>
          <w:szCs w:val="28"/>
        </w:rPr>
        <w:t>Rīga, 202</w:t>
      </w:r>
      <w:r w:rsidR="00622ED8" w:rsidRPr="00CA2430">
        <w:rPr>
          <w:noProof/>
          <w:sz w:val="28"/>
          <w:szCs w:val="28"/>
        </w:rPr>
        <w:t>4</w:t>
      </w:r>
    </w:p>
    <w:p w14:paraId="49E2B7FB" w14:textId="77777777" w:rsidR="00043218" w:rsidRPr="00CA2430" w:rsidRDefault="0096417C" w:rsidP="0096417C">
      <w:pPr>
        <w:tabs>
          <w:tab w:val="left" w:pos="3143"/>
        </w:tabs>
        <w:ind w:firstLine="0"/>
        <w:rPr>
          <w:noProof/>
          <w:sz w:val="32"/>
          <w:szCs w:val="32"/>
        </w:rPr>
      </w:pPr>
      <w:r w:rsidRPr="00CA2430">
        <w:rPr>
          <w:noProof/>
          <w:sz w:val="32"/>
          <w:szCs w:val="32"/>
        </w:rPr>
        <w:tab/>
      </w:r>
    </w:p>
    <w:p w14:paraId="19B8F0C1" w14:textId="77777777" w:rsidR="0096417C" w:rsidRPr="00CA2430" w:rsidRDefault="0096417C" w:rsidP="00043218">
      <w:pPr>
        <w:ind w:firstLine="360"/>
        <w:jc w:val="center"/>
        <w:rPr>
          <w:noProof/>
          <w:sz w:val="32"/>
          <w:szCs w:val="32"/>
        </w:rPr>
      </w:pPr>
    </w:p>
    <w:p w14:paraId="66F8D26F" w14:textId="77777777" w:rsidR="00043218" w:rsidRPr="00CA2430" w:rsidRDefault="00043218" w:rsidP="00043218">
      <w:pPr>
        <w:ind w:firstLine="360"/>
        <w:jc w:val="center"/>
        <w:rPr>
          <w:b/>
          <w:noProof/>
          <w:sz w:val="28"/>
          <w:szCs w:val="28"/>
        </w:rPr>
      </w:pPr>
      <w:r w:rsidRPr="00CA2430">
        <w:rPr>
          <w:b/>
          <w:noProof/>
          <w:sz w:val="28"/>
          <w:szCs w:val="28"/>
        </w:rPr>
        <w:lastRenderedPageBreak/>
        <w:t xml:space="preserve"> Saturs</w:t>
      </w:r>
    </w:p>
    <w:p w14:paraId="72ADE09C" w14:textId="77777777" w:rsidR="00043218" w:rsidRPr="00CA2430" w:rsidRDefault="00043218" w:rsidP="00043218">
      <w:pPr>
        <w:rPr>
          <w:b/>
          <w:noProof/>
          <w:szCs w:val="28"/>
        </w:rPr>
      </w:pPr>
    </w:p>
    <w:p w14:paraId="792B073B" w14:textId="0439DF0D" w:rsidR="007160BB" w:rsidRDefault="00043218">
      <w:pPr>
        <w:pStyle w:val="TOC1"/>
        <w:rPr>
          <w:rFonts w:asciiTheme="minorHAnsi" w:eastAsiaTheme="minorEastAsia" w:hAnsiTheme="minorHAnsi"/>
          <w:noProof/>
          <w:kern w:val="2"/>
          <w:szCs w:val="24"/>
          <w:lang w:eastAsia="lv-LV"/>
          <w14:ligatures w14:val="standardContextual"/>
        </w:rPr>
      </w:pPr>
      <w:r w:rsidRPr="00CA2430">
        <w:rPr>
          <w:b/>
          <w:noProof/>
          <w:szCs w:val="24"/>
          <w:highlight w:val="yellow"/>
        </w:rPr>
        <w:fldChar w:fldCharType="begin"/>
      </w:r>
      <w:r w:rsidRPr="00CA2430">
        <w:rPr>
          <w:b/>
          <w:noProof/>
          <w:szCs w:val="24"/>
          <w:highlight w:val="yellow"/>
        </w:rPr>
        <w:instrText xml:space="preserve"> TOC \o "1-3" \u </w:instrText>
      </w:r>
      <w:r w:rsidRPr="00CA2430">
        <w:rPr>
          <w:b/>
          <w:noProof/>
          <w:szCs w:val="24"/>
          <w:highlight w:val="yellow"/>
        </w:rPr>
        <w:fldChar w:fldCharType="separate"/>
      </w:r>
      <w:r w:rsidR="007160BB">
        <w:rPr>
          <w:noProof/>
        </w:rPr>
        <w:t>1.</w:t>
      </w:r>
      <w:r w:rsidR="007160BB">
        <w:rPr>
          <w:rFonts w:asciiTheme="minorHAnsi" w:eastAsiaTheme="minorEastAsia" w:hAnsiTheme="minorHAnsi"/>
          <w:noProof/>
          <w:kern w:val="2"/>
          <w:szCs w:val="24"/>
          <w:lang w:eastAsia="lv-LV"/>
          <w14:ligatures w14:val="standardContextual"/>
        </w:rPr>
        <w:tab/>
      </w:r>
      <w:r w:rsidR="007160BB">
        <w:rPr>
          <w:noProof/>
        </w:rPr>
        <w:t>Galveno makroekonomisko rādītāju prognozes 2024.-2028. gadam</w:t>
      </w:r>
      <w:r w:rsidR="007160BB">
        <w:rPr>
          <w:noProof/>
        </w:rPr>
        <w:tab/>
      </w:r>
      <w:r w:rsidR="007160BB">
        <w:rPr>
          <w:noProof/>
        </w:rPr>
        <w:fldChar w:fldCharType="begin"/>
      </w:r>
      <w:r w:rsidR="007160BB">
        <w:rPr>
          <w:noProof/>
        </w:rPr>
        <w:instrText xml:space="preserve"> PAGEREF _Toc174016998 \h </w:instrText>
      </w:r>
      <w:r w:rsidR="007160BB">
        <w:rPr>
          <w:noProof/>
        </w:rPr>
      </w:r>
      <w:r w:rsidR="007160BB">
        <w:rPr>
          <w:noProof/>
        </w:rPr>
        <w:fldChar w:fldCharType="separate"/>
      </w:r>
      <w:r w:rsidR="007160BB">
        <w:rPr>
          <w:noProof/>
        </w:rPr>
        <w:t>3</w:t>
      </w:r>
      <w:r w:rsidR="007160BB">
        <w:rPr>
          <w:noProof/>
        </w:rPr>
        <w:fldChar w:fldCharType="end"/>
      </w:r>
    </w:p>
    <w:p w14:paraId="02C14EEF" w14:textId="040A9D2D" w:rsidR="007160BB" w:rsidRDefault="007160BB">
      <w:pPr>
        <w:pStyle w:val="TOC1"/>
        <w:rPr>
          <w:rFonts w:asciiTheme="minorHAnsi" w:eastAsiaTheme="minorEastAsia" w:hAnsiTheme="minorHAnsi"/>
          <w:noProof/>
          <w:kern w:val="2"/>
          <w:szCs w:val="24"/>
          <w:lang w:eastAsia="lv-LV"/>
          <w14:ligatures w14:val="standardContextual"/>
        </w:rPr>
      </w:pPr>
      <w:r>
        <w:rPr>
          <w:noProof/>
        </w:rPr>
        <w:t>2.</w:t>
      </w:r>
      <w:r>
        <w:rPr>
          <w:rFonts w:asciiTheme="minorHAnsi" w:eastAsiaTheme="minorEastAsia" w:hAnsiTheme="minorHAnsi"/>
          <w:noProof/>
          <w:kern w:val="2"/>
          <w:szCs w:val="24"/>
          <w:lang w:eastAsia="lv-LV"/>
          <w14:ligatures w14:val="standardContextual"/>
        </w:rPr>
        <w:tab/>
      </w:r>
      <w:r>
        <w:rPr>
          <w:noProof/>
        </w:rPr>
        <w:t>Kopbudžeta nodokļu un valsts pamatbudžeta nenodokļu ieņēmumu prognozes pie nemainīgas politikas 2025.-2028. gadam</w:t>
      </w:r>
      <w:r>
        <w:rPr>
          <w:noProof/>
        </w:rPr>
        <w:tab/>
      </w:r>
      <w:r>
        <w:rPr>
          <w:noProof/>
        </w:rPr>
        <w:fldChar w:fldCharType="begin"/>
      </w:r>
      <w:r>
        <w:rPr>
          <w:noProof/>
        </w:rPr>
        <w:instrText xml:space="preserve"> PAGEREF _Toc174016999 \h </w:instrText>
      </w:r>
      <w:r>
        <w:rPr>
          <w:noProof/>
        </w:rPr>
      </w:r>
      <w:r>
        <w:rPr>
          <w:noProof/>
        </w:rPr>
        <w:fldChar w:fldCharType="separate"/>
      </w:r>
      <w:r>
        <w:rPr>
          <w:noProof/>
        </w:rPr>
        <w:t>19</w:t>
      </w:r>
      <w:r>
        <w:rPr>
          <w:noProof/>
        </w:rPr>
        <w:fldChar w:fldCharType="end"/>
      </w:r>
    </w:p>
    <w:p w14:paraId="4CFDDAE6" w14:textId="5EF84C32" w:rsidR="007160BB" w:rsidRDefault="007160BB">
      <w:pPr>
        <w:pStyle w:val="TOC1"/>
        <w:rPr>
          <w:rFonts w:asciiTheme="minorHAnsi" w:eastAsiaTheme="minorEastAsia" w:hAnsiTheme="minorHAnsi"/>
          <w:noProof/>
          <w:kern w:val="2"/>
          <w:szCs w:val="24"/>
          <w:lang w:eastAsia="lv-LV"/>
          <w14:ligatures w14:val="standardContextual"/>
        </w:rPr>
      </w:pPr>
      <w:r>
        <w:rPr>
          <w:noProof/>
        </w:rPr>
        <w:t>3.</w:t>
      </w:r>
      <w:r>
        <w:rPr>
          <w:rFonts w:asciiTheme="minorHAnsi" w:eastAsiaTheme="minorEastAsia" w:hAnsiTheme="minorHAnsi"/>
          <w:noProof/>
          <w:kern w:val="2"/>
          <w:szCs w:val="24"/>
          <w:lang w:eastAsia="lv-LV"/>
          <w14:ligatures w14:val="standardContextual"/>
        </w:rPr>
        <w:tab/>
      </w:r>
      <w:r>
        <w:rPr>
          <w:noProof/>
        </w:rPr>
        <w:t>Vispārējās valdības budžeta bilances prognozes pie nemainīgas politikas 2025.-2028. gadam</w:t>
      </w:r>
      <w:r>
        <w:rPr>
          <w:noProof/>
        </w:rPr>
        <w:tab/>
      </w:r>
      <w:r>
        <w:rPr>
          <w:noProof/>
        </w:rPr>
        <w:tab/>
      </w:r>
      <w:r>
        <w:rPr>
          <w:noProof/>
        </w:rPr>
        <w:fldChar w:fldCharType="begin"/>
      </w:r>
      <w:r>
        <w:rPr>
          <w:noProof/>
        </w:rPr>
        <w:instrText xml:space="preserve"> PAGEREF _Toc174017000 \h </w:instrText>
      </w:r>
      <w:r>
        <w:rPr>
          <w:noProof/>
        </w:rPr>
      </w:r>
      <w:r>
        <w:rPr>
          <w:noProof/>
        </w:rPr>
        <w:fldChar w:fldCharType="separate"/>
      </w:r>
      <w:r>
        <w:rPr>
          <w:noProof/>
        </w:rPr>
        <w:t>21</w:t>
      </w:r>
      <w:r>
        <w:rPr>
          <w:noProof/>
        </w:rPr>
        <w:fldChar w:fldCharType="end"/>
      </w:r>
    </w:p>
    <w:p w14:paraId="41C38C9D" w14:textId="15AF4C2C" w:rsidR="007160BB" w:rsidRDefault="007160BB">
      <w:pPr>
        <w:pStyle w:val="TOC1"/>
        <w:rPr>
          <w:rFonts w:asciiTheme="minorHAnsi" w:eastAsiaTheme="minorEastAsia" w:hAnsiTheme="minorHAnsi"/>
          <w:noProof/>
          <w:kern w:val="2"/>
          <w:szCs w:val="24"/>
          <w:lang w:eastAsia="lv-LV"/>
          <w14:ligatures w14:val="standardContextual"/>
        </w:rPr>
      </w:pPr>
      <w:r>
        <w:rPr>
          <w:noProof/>
        </w:rPr>
        <w:t>4.</w:t>
      </w:r>
      <w:r>
        <w:rPr>
          <w:rFonts w:asciiTheme="minorHAnsi" w:eastAsiaTheme="minorEastAsia" w:hAnsiTheme="minorHAnsi"/>
          <w:noProof/>
          <w:kern w:val="2"/>
          <w:szCs w:val="24"/>
          <w:lang w:eastAsia="lv-LV"/>
          <w14:ligatures w14:val="standardContextual"/>
        </w:rPr>
        <w:tab/>
      </w:r>
      <w:r>
        <w:rPr>
          <w:noProof/>
        </w:rPr>
        <w:t>Vispārējās valdības parāda prognoze 2024.-2028. gadam</w:t>
      </w:r>
      <w:r>
        <w:rPr>
          <w:noProof/>
        </w:rPr>
        <w:tab/>
      </w:r>
      <w:r>
        <w:rPr>
          <w:noProof/>
        </w:rPr>
        <w:fldChar w:fldCharType="begin"/>
      </w:r>
      <w:r>
        <w:rPr>
          <w:noProof/>
        </w:rPr>
        <w:instrText xml:space="preserve"> PAGEREF _Toc174017001 \h </w:instrText>
      </w:r>
      <w:r>
        <w:rPr>
          <w:noProof/>
        </w:rPr>
      </w:r>
      <w:r>
        <w:rPr>
          <w:noProof/>
        </w:rPr>
        <w:fldChar w:fldCharType="separate"/>
      </w:r>
      <w:r>
        <w:rPr>
          <w:noProof/>
        </w:rPr>
        <w:t>26</w:t>
      </w:r>
      <w:r>
        <w:rPr>
          <w:noProof/>
        </w:rPr>
        <w:fldChar w:fldCharType="end"/>
      </w:r>
    </w:p>
    <w:p w14:paraId="05F63277" w14:textId="5E192439" w:rsidR="007160BB" w:rsidRDefault="007160BB">
      <w:pPr>
        <w:pStyle w:val="TOC1"/>
        <w:rPr>
          <w:rFonts w:asciiTheme="minorHAnsi" w:eastAsiaTheme="minorEastAsia" w:hAnsiTheme="minorHAnsi"/>
          <w:noProof/>
          <w:kern w:val="2"/>
          <w:szCs w:val="24"/>
          <w:lang w:eastAsia="lv-LV"/>
          <w14:ligatures w14:val="standardContextual"/>
        </w:rPr>
      </w:pPr>
      <w:r>
        <w:rPr>
          <w:noProof/>
        </w:rPr>
        <w:t>5.</w:t>
      </w:r>
      <w:r>
        <w:rPr>
          <w:rFonts w:asciiTheme="minorHAnsi" w:eastAsiaTheme="minorEastAsia" w:hAnsiTheme="minorHAnsi"/>
          <w:noProof/>
          <w:kern w:val="2"/>
          <w:szCs w:val="24"/>
          <w:lang w:eastAsia="lv-LV"/>
          <w14:ligatures w14:val="standardContextual"/>
        </w:rPr>
        <w:tab/>
      </w:r>
      <w:r>
        <w:rPr>
          <w:noProof/>
        </w:rPr>
        <w:t>Fiskālās politikas nosacījumi un fiskālā telpa 2025.-2028. gadam</w:t>
      </w:r>
      <w:r>
        <w:rPr>
          <w:noProof/>
        </w:rPr>
        <w:tab/>
      </w:r>
      <w:r>
        <w:rPr>
          <w:noProof/>
        </w:rPr>
        <w:fldChar w:fldCharType="begin"/>
      </w:r>
      <w:r>
        <w:rPr>
          <w:noProof/>
        </w:rPr>
        <w:instrText xml:space="preserve"> PAGEREF _Toc174017002 \h </w:instrText>
      </w:r>
      <w:r>
        <w:rPr>
          <w:noProof/>
        </w:rPr>
      </w:r>
      <w:r>
        <w:rPr>
          <w:noProof/>
        </w:rPr>
        <w:fldChar w:fldCharType="separate"/>
      </w:r>
      <w:r>
        <w:rPr>
          <w:noProof/>
        </w:rPr>
        <w:t>27</w:t>
      </w:r>
      <w:r>
        <w:rPr>
          <w:noProof/>
        </w:rPr>
        <w:fldChar w:fldCharType="end"/>
      </w:r>
    </w:p>
    <w:p w14:paraId="50FAA106" w14:textId="7553A16B" w:rsidR="007160BB" w:rsidRDefault="007160BB">
      <w:pPr>
        <w:pStyle w:val="TOC1"/>
        <w:rPr>
          <w:rFonts w:asciiTheme="minorHAnsi" w:eastAsiaTheme="minorEastAsia" w:hAnsiTheme="minorHAnsi"/>
          <w:noProof/>
          <w:kern w:val="2"/>
          <w:szCs w:val="24"/>
          <w:lang w:eastAsia="lv-LV"/>
          <w14:ligatures w14:val="standardContextual"/>
        </w:rPr>
      </w:pPr>
      <w:r>
        <w:rPr>
          <w:noProof/>
        </w:rPr>
        <w:t>6.</w:t>
      </w:r>
      <w:r>
        <w:rPr>
          <w:rFonts w:asciiTheme="minorHAnsi" w:eastAsiaTheme="minorEastAsia" w:hAnsiTheme="minorHAnsi"/>
          <w:noProof/>
          <w:kern w:val="2"/>
          <w:szCs w:val="24"/>
          <w:lang w:eastAsia="lv-LV"/>
          <w14:ligatures w14:val="standardContextual"/>
        </w:rPr>
        <w:tab/>
      </w:r>
      <w:r>
        <w:rPr>
          <w:noProof/>
        </w:rPr>
        <w:t>Makroekonomiskās un fiskālās attīstības pesimistiskais un optimistiskais scenārijs</w:t>
      </w:r>
      <w:r>
        <w:rPr>
          <w:noProof/>
        </w:rPr>
        <w:tab/>
      </w:r>
      <w:r>
        <w:rPr>
          <w:noProof/>
        </w:rPr>
        <w:fldChar w:fldCharType="begin"/>
      </w:r>
      <w:r>
        <w:rPr>
          <w:noProof/>
        </w:rPr>
        <w:instrText xml:space="preserve"> PAGEREF _Toc174017003 \h </w:instrText>
      </w:r>
      <w:r>
        <w:rPr>
          <w:noProof/>
        </w:rPr>
      </w:r>
      <w:r>
        <w:rPr>
          <w:noProof/>
        </w:rPr>
        <w:fldChar w:fldCharType="separate"/>
      </w:r>
      <w:r>
        <w:rPr>
          <w:noProof/>
        </w:rPr>
        <w:t>32</w:t>
      </w:r>
      <w:r>
        <w:rPr>
          <w:noProof/>
        </w:rPr>
        <w:fldChar w:fldCharType="end"/>
      </w:r>
    </w:p>
    <w:p w14:paraId="3A0039F3" w14:textId="7F90629E" w:rsidR="007160BB" w:rsidRDefault="007160BB">
      <w:pPr>
        <w:pStyle w:val="TOC1"/>
        <w:rPr>
          <w:rFonts w:asciiTheme="minorHAnsi" w:eastAsiaTheme="minorEastAsia" w:hAnsiTheme="minorHAnsi"/>
          <w:noProof/>
          <w:kern w:val="2"/>
          <w:szCs w:val="24"/>
          <w:lang w:eastAsia="lv-LV"/>
          <w14:ligatures w14:val="standardContextual"/>
        </w:rPr>
      </w:pPr>
      <w:r>
        <w:rPr>
          <w:noProof/>
        </w:rPr>
        <w:t>7.</w:t>
      </w:r>
      <w:r>
        <w:rPr>
          <w:rFonts w:asciiTheme="minorHAnsi" w:eastAsiaTheme="minorEastAsia" w:hAnsiTheme="minorHAnsi"/>
          <w:noProof/>
          <w:kern w:val="2"/>
          <w:szCs w:val="24"/>
          <w:lang w:eastAsia="lv-LV"/>
          <w14:ligatures w14:val="standardContextual"/>
        </w:rPr>
        <w:tab/>
      </w:r>
      <w:r>
        <w:rPr>
          <w:noProof/>
        </w:rPr>
        <w:t>Turpmākā rīcība</w:t>
      </w:r>
      <w:r>
        <w:rPr>
          <w:noProof/>
        </w:rPr>
        <w:tab/>
      </w:r>
      <w:r>
        <w:rPr>
          <w:noProof/>
        </w:rPr>
        <w:fldChar w:fldCharType="begin"/>
      </w:r>
      <w:r>
        <w:rPr>
          <w:noProof/>
        </w:rPr>
        <w:instrText xml:space="preserve"> PAGEREF _Toc174017004 \h </w:instrText>
      </w:r>
      <w:r>
        <w:rPr>
          <w:noProof/>
        </w:rPr>
      </w:r>
      <w:r>
        <w:rPr>
          <w:noProof/>
        </w:rPr>
        <w:fldChar w:fldCharType="separate"/>
      </w:r>
      <w:r>
        <w:rPr>
          <w:noProof/>
        </w:rPr>
        <w:t>36</w:t>
      </w:r>
      <w:r>
        <w:rPr>
          <w:noProof/>
        </w:rPr>
        <w:fldChar w:fldCharType="end"/>
      </w:r>
    </w:p>
    <w:p w14:paraId="7A5C199C" w14:textId="35BBDFCB" w:rsidR="00043218" w:rsidRPr="00CA2430" w:rsidRDefault="00043218" w:rsidP="003714E5">
      <w:pPr>
        <w:spacing w:after="240"/>
        <w:rPr>
          <w:b/>
          <w:noProof/>
          <w:sz w:val="32"/>
          <w:szCs w:val="32"/>
        </w:rPr>
      </w:pPr>
      <w:r w:rsidRPr="00CA2430">
        <w:rPr>
          <w:b/>
          <w:noProof/>
          <w:szCs w:val="24"/>
          <w:highlight w:val="yellow"/>
        </w:rPr>
        <w:fldChar w:fldCharType="end"/>
      </w:r>
      <w:r w:rsidRPr="00CA2430">
        <w:rPr>
          <w:b/>
          <w:noProof/>
          <w:sz w:val="32"/>
          <w:szCs w:val="32"/>
        </w:rPr>
        <w:br w:type="page"/>
      </w:r>
    </w:p>
    <w:p w14:paraId="09F0D0E6" w14:textId="78F066A4" w:rsidR="009771C1" w:rsidRPr="00CA2430" w:rsidRDefault="00043218" w:rsidP="00101BED">
      <w:pPr>
        <w:pStyle w:val="Heading1"/>
        <w:spacing w:after="120"/>
        <w:ind w:left="357" w:hanging="357"/>
        <w:rPr>
          <w:noProof/>
          <w:sz w:val="28"/>
          <w:szCs w:val="28"/>
        </w:rPr>
      </w:pPr>
      <w:bookmarkStart w:id="0" w:name="_Toc174016998"/>
      <w:r w:rsidRPr="00CA2430">
        <w:rPr>
          <w:noProof/>
          <w:sz w:val="28"/>
          <w:szCs w:val="28"/>
        </w:rPr>
        <w:lastRenderedPageBreak/>
        <w:t>Galveno makroekonomisko rādītāju</w:t>
      </w:r>
      <w:r w:rsidR="008B59AC" w:rsidRPr="00CA2430">
        <w:rPr>
          <w:noProof/>
          <w:sz w:val="28"/>
          <w:szCs w:val="28"/>
        </w:rPr>
        <w:t xml:space="preserve"> </w:t>
      </w:r>
      <w:r w:rsidRPr="00CA2430">
        <w:rPr>
          <w:noProof/>
          <w:sz w:val="28"/>
          <w:szCs w:val="28"/>
        </w:rPr>
        <w:t>prognozes</w:t>
      </w:r>
      <w:r w:rsidR="000550FF" w:rsidRPr="00CA2430">
        <w:rPr>
          <w:noProof/>
          <w:sz w:val="28"/>
          <w:szCs w:val="28"/>
        </w:rPr>
        <w:t xml:space="preserve"> </w:t>
      </w:r>
      <w:r w:rsidRPr="00CA2430">
        <w:rPr>
          <w:noProof/>
          <w:sz w:val="28"/>
          <w:szCs w:val="28"/>
        </w:rPr>
        <w:t>20</w:t>
      </w:r>
      <w:r w:rsidR="00964CAC" w:rsidRPr="00CA2430">
        <w:rPr>
          <w:noProof/>
          <w:sz w:val="28"/>
          <w:szCs w:val="28"/>
        </w:rPr>
        <w:t>2</w:t>
      </w:r>
      <w:r w:rsidR="000D731F" w:rsidRPr="00CA2430">
        <w:rPr>
          <w:noProof/>
          <w:sz w:val="28"/>
          <w:szCs w:val="28"/>
        </w:rPr>
        <w:t>4</w:t>
      </w:r>
      <w:r w:rsidRPr="00CA2430">
        <w:rPr>
          <w:noProof/>
          <w:sz w:val="28"/>
          <w:szCs w:val="28"/>
        </w:rPr>
        <w:t>.-20</w:t>
      </w:r>
      <w:r w:rsidR="00964CAC" w:rsidRPr="00CA2430">
        <w:rPr>
          <w:noProof/>
          <w:sz w:val="28"/>
          <w:szCs w:val="28"/>
        </w:rPr>
        <w:t>2</w:t>
      </w:r>
      <w:r w:rsidR="000D731F" w:rsidRPr="00CA2430">
        <w:rPr>
          <w:noProof/>
          <w:sz w:val="28"/>
          <w:szCs w:val="28"/>
        </w:rPr>
        <w:t>8</w:t>
      </w:r>
      <w:r w:rsidRPr="00CA2430">
        <w:rPr>
          <w:noProof/>
          <w:sz w:val="28"/>
          <w:szCs w:val="28"/>
        </w:rPr>
        <w:t>.</w:t>
      </w:r>
      <w:r w:rsidR="000D731F" w:rsidRPr="00CA2430">
        <w:rPr>
          <w:noProof/>
          <w:sz w:val="28"/>
          <w:szCs w:val="28"/>
        </w:rPr>
        <w:t xml:space="preserve"> </w:t>
      </w:r>
      <w:r w:rsidRPr="00CA2430">
        <w:rPr>
          <w:noProof/>
          <w:sz w:val="28"/>
          <w:szCs w:val="28"/>
        </w:rPr>
        <w:t>gadam</w:t>
      </w:r>
      <w:bookmarkEnd w:id="0"/>
    </w:p>
    <w:p w14:paraId="464681DE" w14:textId="65D900A3"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Līdz 2022. gadam Latvijas ekonomika gan Covid-19 pandēmijas, gan Krievijas uzsāktā kara radītās problēmas bija pārvarējusi labāk nekā sākotnēji prognozēts, taču 2023. gadā ārējās vides negatīvā ietekme kļuva jūtamāka, un krītoties pieprasījumam ārējos tirgos, Latvijas iekšzemes kopprodukts (IKP), salīdzinot ar iepriekšējo gadu, samazinājās par 0,3%.</w:t>
      </w:r>
    </w:p>
    <w:p w14:paraId="19F10AC7" w14:textId="77777777"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Ekonomikas lejupslīdi pērn noteica galvenokārt zemā ekonomikas izaugsme pasaulē un galvenajās Latvijas ārējās tirdzniecības partnervalstīs, kur attīstības tempus bremzēja gan Krievijas uzsāktais karš Ukrainā un energoresursu cenu kāpums, gan procentu likmju pieaugums, centrālajām bankām cenšoties ierobežot inflāciju. Tā rezultātā Latvijas preču un pakalpojumu eksports pērn kritās par 5,9%, īpaši tas atspoguļojās uz eksportu orientētajā apstrādes rūpniecības nozarē, kas samazinājās par 5,2%, kā arī transporta un uzglabāšanas nozarē (-7,8%), kuru vēl papildus ietekmēja Krievijas kravu tranzīta zaudēšana.</w:t>
      </w:r>
    </w:p>
    <w:p w14:paraId="4F3721B3" w14:textId="77777777"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Tajā pašā laikā iekšzemes pieprasījums pagājušajā gadā saglabājās salīdzinoši spēcīgs, īpaši strauji augot investīcijām un būvniecības nozarei, attiecīgi par 8,2% un 18,6%. Sabiedriskais patēriņš palielinājās par 7,0%, nozaru griezumā tas visvairāk saistās ar izglītības, kā arī mākslas, izklaides un atpūtas nozaru pieaugumu par attiecīgi 7,8% un 11,7%. Arī privātā patēriņa samazinājums 1,3% apmērā vērtējams kā salīdzinoši mērens, ņemot vērā krasi pieaugušo cenu līmeni, ko iedzīvotājiem palīdzēja kompensēt gan Covid-19 pandēmijas laikā izveidojušies uzkrājumi, gan valsts energoatbalsta pasākumi un straujāka pensiju indeksācija 2022. gada otrajā pusē.</w:t>
      </w:r>
    </w:p>
    <w:p w14:paraId="1114ACB8" w14:textId="77777777"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Pēc pērn piedzīvotā nelielā krituma šā gada pirmajā ceturksnī ekonomikas izaugsme ir atjaunojusies, un IKP pret iepriekšējo ceturksni pēc sezonāli un kalendāri koriģētiem datiem palielinājies par 0,9%. Ekonomikas izaugsme ir atjaunojusies arī gada griezumā un, pēc sezonāli un kalendāri nekoriģētiem datiem, IKP pret pagājušā gada pirmo ceturksni ir pieaudzis par 0,1%.</w:t>
      </w:r>
    </w:p>
    <w:p w14:paraId="6132B667" w14:textId="21BF3EF9"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 xml:space="preserve">Kā rāda dati par iekšzemes kopproduktu gan no ražošanas, gan izlietojuma un ienākumu aspekta, ekonomikas izaugsmi šā gada sākumā nodrošinājis galvenokārt </w:t>
      </w:r>
      <w:r w:rsidR="00FD68A8" w:rsidRPr="00CA2430">
        <w:rPr>
          <w:rFonts w:eastAsia="Aptos" w:cs="Times New Roman"/>
          <w:noProof/>
          <w:szCs w:val="20"/>
          <w14:ligatures w14:val="standardContextual"/>
        </w:rPr>
        <w:t>sabiedriskais sektors un ar to saistītās nozares</w:t>
      </w:r>
      <w:r w:rsidRPr="00CA2430">
        <w:rPr>
          <w:rFonts w:eastAsia="Aptos" w:cs="Times New Roman"/>
          <w:noProof/>
          <w:szCs w:val="20"/>
          <w14:ligatures w14:val="standardContextual"/>
        </w:rPr>
        <w:t xml:space="preserve"> – valsts pārvalde, izglītība un veselība, kā arī produktu subsīdiju samazinājums, kamēr ražošanas nozaru attīstība pagaidām vēl bijusi vāja un kritumu piedzīvojušas gan apstrādes rūpniecība (-5,3%), gan būvniecība (-5,5%). Arī pakalpojumu nozarēs attīstība drīzāk ir negatīva, ar smagu kritumu transportā (-9,0%) un mērenākiem samazinājumiem arī informācijas un komunikācijas pakalpojumos, izmitināšanā un ēdināšanā un arī visos komercpakalpojumos kopumā.</w:t>
      </w:r>
    </w:p>
    <w:p w14:paraId="718C8A05" w14:textId="77777777" w:rsidR="009771C1" w:rsidRPr="00CA2430" w:rsidRDefault="009771C1" w:rsidP="0083634D">
      <w:pPr>
        <w:rPr>
          <w:rFonts w:eastAsia="Aptos" w:cs="Times New Roman"/>
          <w:noProof/>
          <w:szCs w:val="20"/>
          <w14:ligatures w14:val="standardContextual"/>
        </w:rPr>
      </w:pPr>
      <w:r w:rsidRPr="00CA2430">
        <w:rPr>
          <w:rFonts w:eastAsia="Aptos" w:cs="Times New Roman"/>
          <w:noProof/>
          <w:szCs w:val="20"/>
          <w14:ligatures w14:val="standardContextual"/>
        </w:rPr>
        <w:t>Vienlaikus šeit jāatzīmē, ka apstrādes rūpniecībā, kas pagājušajā gadā izjuta ārējā pieprasījuma kritumu, būtiski vājinoties ekonomikas izaugsmei galvenajos Latvijas eksporta tirgos, šogad situācija pakāpeniski sāk uzlaboties, un mēnešu datos apjomu samazinājums kļūst arvien lēnāks. Savukārt būvniecības nozare pirmajā ceturksnī piedzīvoja  nelielu samazinājumu pēc spēcīgās atgūšanās pagājušā gada laikā.</w:t>
      </w:r>
    </w:p>
    <w:p w14:paraId="3797E4A4" w14:textId="77777777" w:rsidR="009771C1" w:rsidRPr="00CA2430" w:rsidRDefault="009771C1" w:rsidP="0083634D">
      <w:pPr>
        <w:rPr>
          <w:rFonts w:eastAsia="Aptos" w:cs="Times New Roman"/>
          <w:noProof/>
          <w:szCs w:val="20"/>
          <w14:ligatures w14:val="standardContextual"/>
        </w:rPr>
      </w:pPr>
      <w:r w:rsidRPr="00CA2430">
        <w:rPr>
          <w:rFonts w:eastAsia="Aptos"/>
          <w:noProof/>
          <w14:ligatures w14:val="standardContextual"/>
        </w:rPr>
        <w:t>Pēc Finanšu ministrijas šā gada jūnija sākumā aktualizētajām makroekonomisko rādītāju prognozēm, ekonomikas izaugsme šogad kopumā sasniegs 1,4% un 2025. gadā paātrināsies līdz 2,9%. Nākamajos trīs gados ekonomikas izaugsme stabilizēsies 2,5% līmenī. Ja šā gada pirmajā pusē ekonomikas izaugsmi nodrošina galvenokārt spēcīgi pieaugušais sabiedriskais patēriņš un privātā patēriņa atgūšanās pēc iepriekšējos gados piedzīvotā straujā cenu kāpuma, nākamajos ceturkšņos izaugsmi jau būtiskāk veicinās ārējā pieprasījuma atjaunošanās un eksports, kā arī investīciju pieaugums, tajā skaitā straujāka Eiropas Savienības fondu investīciju izmantošana.</w:t>
      </w:r>
    </w:p>
    <w:p w14:paraId="00F1349B" w14:textId="04DDE417" w:rsidR="0083634D" w:rsidRPr="00CA2430" w:rsidRDefault="0083634D"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Ārējā vide</w:t>
      </w:r>
    </w:p>
    <w:p w14:paraId="6C53EDB6" w14:textId="77777777" w:rsidR="009771C1" w:rsidRPr="00CA2430" w:rsidRDefault="009771C1" w:rsidP="0083634D">
      <w:pPr>
        <w:rPr>
          <w:noProof/>
        </w:rPr>
      </w:pPr>
      <w:r w:rsidRPr="00CA2430">
        <w:rPr>
          <w:noProof/>
        </w:rPr>
        <w:t xml:space="preserve">Pasaules ekonomika 2023. gadā uzrādīja labākus rezultātus nekā gaidīts. Pasaules izaugsme bija 3,1%, tikai nedaudz lēnāka nekā 2022. gadā (3,3%), neskatoties uz stingrākiem </w:t>
      </w:r>
      <w:r w:rsidRPr="00CA2430">
        <w:rPr>
          <w:noProof/>
        </w:rPr>
        <w:lastRenderedPageBreak/>
        <w:t>monetārajiem nosacījumiem un izteiktu pasaules preču tirdzniecības palēnināšanos. Izaugsme ASV, Ķīnā un Japānā paātrinājās, un arī dažas attīstības valstis, īpaši Indija, uzrādīja pārsteidzoši labus rezultātus. Kopumā šīs tendences pērn kompensēja izaugsmes palēnināšanos Eiropas Savienībā un Apvienotajā Karalistē. Pagaidām ekonomisko aktivitāti turpina vājināt centrālo banku veiktie procentu likmju paaugstinājumi, lai ierobežotu inflāciju, taču gada otrajā pusē un 2025. gadā tiek prognozēta pasaules tirdzniecības atgūšanās. Lielākā daļa faktoru, kas pagājušajā gadā samazināja preču tirdzniecību, 2024. un 2025. gada laikā mazināsies, atjaunojoties spēcīgākam pieprasījumam pēc pakalpojumiem, un monetārie nosacījumi pakāpeniski kļūs vieglāki, centrālajām bankām sākot mazināt procentu likmes.</w:t>
      </w:r>
    </w:p>
    <w:p w14:paraId="6AD35893" w14:textId="133E289A" w:rsidR="009771C1" w:rsidRPr="00CA2430" w:rsidRDefault="009771C1" w:rsidP="0083634D">
      <w:pPr>
        <w:rPr>
          <w:noProof/>
          <w:szCs w:val="20"/>
        </w:rPr>
      </w:pPr>
      <w:r w:rsidRPr="00CA2430">
        <w:rPr>
          <w:noProof/>
          <w:szCs w:val="20"/>
        </w:rPr>
        <w:t xml:space="preserve">Līdzīgi kā pasaulē kopumā, </w:t>
      </w:r>
      <w:r w:rsidR="001E4200" w:rsidRPr="00CA2430">
        <w:rPr>
          <w:noProof/>
          <w:szCs w:val="20"/>
        </w:rPr>
        <w:t>zemā izaugsme prognozēta</w:t>
      </w:r>
      <w:r w:rsidRPr="00CA2430">
        <w:rPr>
          <w:noProof/>
          <w:szCs w:val="20"/>
        </w:rPr>
        <w:t xml:space="preserve"> arī Eiropas Savienībai un galvenajām Latvijas ārējās tirdzniecības partnervalstīm. Pēc Eiropas Komisijas (EK) pēdējām, 2024. gada maija prognozēm, </w:t>
      </w:r>
      <w:r w:rsidRPr="00CA2430">
        <w:rPr>
          <w:noProof/>
        </w:rPr>
        <w:t xml:space="preserve">IKP izaugsme 2024. gadā </w:t>
      </w:r>
      <w:r w:rsidRPr="00CA2430">
        <w:rPr>
          <w:noProof/>
          <w:szCs w:val="20"/>
        </w:rPr>
        <w:t xml:space="preserve">būs </w:t>
      </w:r>
      <w:r w:rsidRPr="00CA2430">
        <w:rPr>
          <w:noProof/>
        </w:rPr>
        <w:t>1,0% apmērā Eiropas Savienībā un 0,8% apmērā eirozonā.</w:t>
      </w:r>
      <w:r w:rsidR="001E4200" w:rsidRPr="00CA2430">
        <w:rPr>
          <w:noProof/>
        </w:rPr>
        <w:t xml:space="preserve"> </w:t>
      </w:r>
      <w:r w:rsidRPr="00CA2430">
        <w:rPr>
          <w:noProof/>
        </w:rPr>
        <w:t>ES tas ir neliels pieaugums salīdzinājumā ar 2024. gada ziemas starpposma prognozi, bet eirozonas prognoze saglabājusies nemainīga. Tiek prognozēts, ka 2025. gadā ES IKP izaugsme uzlabosies līdz 1,6%, kas tomēr ir par 0,1 procentpunktu mazāk nekā ziemas prognozēs. Eirozonā IKP izaugsme 2025. gadā tiek prognozēta 1,4% apmērā, kas arī ir neliels samazinājums salīdzinājumā ar iepriekšējām prognozēm.</w:t>
      </w:r>
    </w:p>
    <w:p w14:paraId="48F9EA2D" w14:textId="77777777" w:rsidR="009771C1" w:rsidRPr="00CA2430" w:rsidRDefault="009771C1" w:rsidP="0083634D">
      <w:pPr>
        <w:rPr>
          <w:noProof/>
          <w:szCs w:val="20"/>
        </w:rPr>
      </w:pPr>
      <w:r w:rsidRPr="00CA2430">
        <w:rPr>
          <w:noProof/>
          <w:szCs w:val="20"/>
        </w:rPr>
        <w:t>Latvijas galveno ārējās tirdzniecības partnervalstu izaugsmes prognozes 2024. gadam ir koriģētas atbilstoši pēdējām tendencēm. Lietuvai, Igaunijai, Vācijai, kā arī Somijai un Apvienotajai Karalistei IKP izaugsmes prognozes ir samazinātas, kamēr Zviedrijai, Dānijai, Polijai un Nīderlandei – palielinātas. Kopumā Latvijas tirdzniecības partnervalstīm vidējā izaugsme 2024. gadā prognozēta līdzīga kā Eiropas Savienībai kopumā, proti, 1,1% apmērā, bet 2025. gadā straujāka – 2,3% apmērā.</w:t>
      </w:r>
    </w:p>
    <w:p w14:paraId="3699940B" w14:textId="77777777" w:rsidR="009771C1" w:rsidRPr="00CA2430" w:rsidRDefault="009771C1" w:rsidP="0083634D">
      <w:pPr>
        <w:rPr>
          <w:noProof/>
          <w:szCs w:val="20"/>
        </w:rPr>
      </w:pPr>
      <w:r w:rsidRPr="00CA2430">
        <w:rPr>
          <w:noProof/>
          <w:szCs w:val="20"/>
        </w:rPr>
        <w:t>Uzņēmēju un patērētāju konfidences rādītāji, kas 2023. gada laikā auga, 2024. gada pirmajā pusgadā ir stabilizējušies ap 100 punktu atzīmi. Līdzīga augšupejoša dinamika 2024. gada sākumā bijusi arī citam apsteidzošajam rādītājam – eirozonas iepirkumu vadītāju indeksam (IVI jeb PMI), kas maijā sasniedza 52,2 punktus – augstāko līmeni pēdējo desmit mēnešu laikā. Indeksa vērtība zem 50 nozīmē ekonomiskās aktivitātes samazināšanos un jūlijā indekss ir krities gan salīdzinājumā ar iepriekšējo mēnesi, gan arī būtiski atpalicis no tirgus prognozēm.</w:t>
      </w:r>
    </w:p>
    <w:p w14:paraId="3CD13FB7" w14:textId="0ED27D0E" w:rsidR="009771C1" w:rsidRPr="00CA2430" w:rsidRDefault="009771C1" w:rsidP="0083634D">
      <w:pPr>
        <w:rPr>
          <w:noProof/>
          <w:szCs w:val="20"/>
        </w:rPr>
      </w:pPr>
      <w:r w:rsidRPr="00CA2430">
        <w:rPr>
          <w:noProof/>
        </w:rPr>
        <w:t xml:space="preserve">Kopumā inflācija 2024. un 2025. gadā samazināsies straujāk, nekā tika prognozēts ziemā. Gadam sākoties ar zemāku inflācijas līmeni nekā gaidīts, arī nākamo ceturkšņu inflācija turpinās samazināties. Energoatbalsta pasākumu termiņu beigas un bāzes efekti var izraisīt inflācijas svārstības mēnešu ietvaros, īpaši 2024. gadā, taču tas nepārtrauks lejupvērsto inflācijas tendenci. Eirozonā inflācija samazināsies no 2,6% 2024. gada pirmajā ceturksnī līdz 2,4% ceturtajā ceturksnī, turpinot samazināties un </w:t>
      </w:r>
      <w:r w:rsidR="001E4200" w:rsidRPr="00CA2430">
        <w:rPr>
          <w:noProof/>
        </w:rPr>
        <w:t>Eiropas Centrālās bankas noteikto mērķi 2% sasniedzot</w:t>
      </w:r>
      <w:r w:rsidRPr="00CA2430">
        <w:rPr>
          <w:noProof/>
        </w:rPr>
        <w:t xml:space="preserve"> 2025. gada otrajā pusē. Gada inflācija eirozonā saruks no 5,4% 2023. gadā līdz 2,5% 2024. gadā un 2,1% 2025. gadā. Eiropas Savienībā kopumā, pēc EK prognozēm, inflācija samazināsies no 6,4% 2023. gadā līdz 2,7% 2024. gadā un 2,2% 2025. gadā.</w:t>
      </w:r>
    </w:p>
    <w:p w14:paraId="2EC10DEA" w14:textId="7B2899E4" w:rsidR="009771C1" w:rsidRPr="00CA2430" w:rsidRDefault="009771C1" w:rsidP="009771C1">
      <w:pPr>
        <w:ind w:firstLine="0"/>
        <w:jc w:val="center"/>
        <w:rPr>
          <w:b/>
          <w:bCs/>
          <w:noProof/>
        </w:rPr>
      </w:pPr>
      <w:r w:rsidRPr="00CA2430">
        <w:rPr>
          <w:b/>
          <w:bCs/>
          <w:noProof/>
        </w:rPr>
        <w:t>1. tabula. IKP pieauguma prognozes 2024. un 2025. gadam</w:t>
      </w:r>
    </w:p>
    <w:tbl>
      <w:tblPr>
        <w:tblW w:w="5000" w:type="pct"/>
        <w:jc w:val="center"/>
        <w:tblLayout w:type="fixed"/>
        <w:tblLook w:val="04A0" w:firstRow="1" w:lastRow="0" w:firstColumn="1" w:lastColumn="0" w:noHBand="0" w:noVBand="1"/>
      </w:tblPr>
      <w:tblGrid>
        <w:gridCol w:w="2162"/>
        <w:gridCol w:w="1239"/>
        <w:gridCol w:w="1414"/>
        <w:gridCol w:w="1416"/>
        <w:gridCol w:w="1414"/>
        <w:gridCol w:w="1416"/>
      </w:tblGrid>
      <w:tr w:rsidR="009771C1" w:rsidRPr="00CA2430" w14:paraId="4BFFCD84" w14:textId="77777777" w:rsidTr="00017774">
        <w:trPr>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hideMark/>
          </w:tcPr>
          <w:p w14:paraId="12EC8C88" w14:textId="77777777" w:rsidR="009771C1" w:rsidRPr="00CA2430" w:rsidRDefault="009771C1" w:rsidP="00FE0109">
            <w:pPr>
              <w:spacing w:before="0" w:after="0"/>
              <w:ind w:firstLine="0"/>
              <w:jc w:val="left"/>
              <w:rPr>
                <w:rFonts w:eastAsia="Calibri" w:cs="Times New Roman"/>
                <w:b/>
                <w:noProof/>
                <w:sz w:val="20"/>
                <w:szCs w:val="20"/>
                <w:lang w:eastAsia="lv-LV"/>
              </w:rPr>
            </w:pPr>
            <w:r w:rsidRPr="00CA2430">
              <w:rPr>
                <w:rFonts w:eastAsia="Calibri" w:cs="Times New Roman"/>
                <w:b/>
                <w:noProof/>
                <w:sz w:val="20"/>
                <w:szCs w:val="20"/>
                <w:lang w:eastAsia="lv-LV"/>
              </w:rPr>
              <w:t>Valsts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hideMark/>
          </w:tcPr>
          <w:p w14:paraId="17D7FE26"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Īpatsvars kopējā Latvijas preču eksportā 2023.g.</w:t>
            </w:r>
          </w:p>
        </w:tc>
        <w:tc>
          <w:tcPr>
            <w:tcW w:w="25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hideMark/>
          </w:tcPr>
          <w:p w14:paraId="543DA8E2"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IKP pieauguma prognoze salīdzināmās cenās, g/g, %,</w:t>
            </w:r>
          </w:p>
          <w:p w14:paraId="5C84BEF7"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EK, 2024. gada maijs</w:t>
            </w:r>
            <w:r w:rsidRPr="00CA2430">
              <w:rPr>
                <w:rFonts w:eastAsia="Calibri" w:cs="Times New Roman"/>
                <w:b/>
                <w:noProof/>
                <w:sz w:val="20"/>
                <w:szCs w:val="20"/>
                <w:lang w:eastAsia="lv-LV"/>
              </w:rPr>
              <w:br/>
              <w:t>*SVF, 2024. gada aprīlis</w:t>
            </w:r>
          </w:p>
        </w:tc>
        <w:tc>
          <w:tcPr>
            <w:tcW w:w="25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tcPr>
          <w:p w14:paraId="6B9EF3E7"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Izmaiņas pret EK 2023. gada novembra prognozēm un pret SVF 2024. gada janvāra prognozēm, pp</w:t>
            </w:r>
          </w:p>
        </w:tc>
      </w:tr>
      <w:tr w:rsidR="009771C1" w:rsidRPr="00CA2430" w14:paraId="37D8C32C" w14:textId="77777777" w:rsidTr="00017774">
        <w:trPr>
          <w:trHeight w:val="20"/>
          <w:tblHeader/>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hideMark/>
          </w:tcPr>
          <w:p w14:paraId="2F7C30AC" w14:textId="77777777" w:rsidR="009771C1" w:rsidRPr="00CA2430" w:rsidRDefault="009771C1" w:rsidP="00FE0109">
            <w:pPr>
              <w:spacing w:before="0" w:after="0"/>
              <w:ind w:firstLine="0"/>
              <w:jc w:val="left"/>
              <w:rPr>
                <w:rFonts w:eastAsia="Calibri" w:cs="Times New Roman"/>
                <w:noProof/>
                <w:sz w:val="20"/>
                <w:szCs w:val="20"/>
                <w:lang w:eastAsia="lv-LV"/>
              </w:rPr>
            </w:pPr>
          </w:p>
        </w:tc>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hideMark/>
          </w:tcPr>
          <w:p w14:paraId="4A6409A8" w14:textId="77777777" w:rsidR="009771C1" w:rsidRPr="00CA2430" w:rsidRDefault="009771C1" w:rsidP="00FE0109">
            <w:pPr>
              <w:spacing w:before="0" w:after="0"/>
              <w:ind w:firstLine="0"/>
              <w:jc w:val="center"/>
              <w:rPr>
                <w:rFonts w:eastAsia="Calibri" w:cs="Times New Roman"/>
                <w:noProof/>
                <w:sz w:val="20"/>
                <w:szCs w:val="20"/>
                <w:lang w:eastAsia="lv-LV"/>
              </w:rPr>
            </w:pP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hideMark/>
          </w:tcPr>
          <w:p w14:paraId="7AD33D55"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2024</w:t>
            </w:r>
          </w:p>
        </w:tc>
        <w:tc>
          <w:tcPr>
            <w:tcW w:w="129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hideMark/>
          </w:tcPr>
          <w:p w14:paraId="14E4D4C7"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2025</w:t>
            </w: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tcPr>
          <w:p w14:paraId="29C3832D"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2024</w:t>
            </w:r>
          </w:p>
        </w:tc>
        <w:tc>
          <w:tcPr>
            <w:tcW w:w="129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57" w:type="dxa"/>
              <w:left w:w="85" w:type="dxa"/>
              <w:bottom w:w="57" w:type="dxa"/>
              <w:right w:w="85" w:type="dxa"/>
            </w:tcMar>
            <w:vAlign w:val="center"/>
          </w:tcPr>
          <w:p w14:paraId="4C8C279E"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2025</w:t>
            </w:r>
          </w:p>
        </w:tc>
      </w:tr>
      <w:tr w:rsidR="009771C1" w:rsidRPr="00CA2430" w14:paraId="750E4807" w14:textId="77777777" w:rsidTr="00FE0109">
        <w:trPr>
          <w:trHeight w:val="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11C4429C"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Lietuva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13C030F"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18,1%</w:t>
            </w:r>
          </w:p>
        </w:tc>
        <w:tc>
          <w:tcPr>
            <w:tcW w:w="1295"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664E2C9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2,0</w:t>
            </w:r>
          </w:p>
        </w:tc>
        <w:tc>
          <w:tcPr>
            <w:tcW w:w="1296" w:type="dxa"/>
            <w:tcBorders>
              <w:top w:val="single" w:sz="4" w:space="0" w:color="auto"/>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60127EE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2,9</w:t>
            </w:r>
          </w:p>
        </w:tc>
        <w:tc>
          <w:tcPr>
            <w:tcW w:w="1295" w:type="dxa"/>
            <w:tcBorders>
              <w:top w:val="single" w:sz="4" w:space="0" w:color="auto"/>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409AD45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-0,5</w:t>
            </w:r>
          </w:p>
        </w:tc>
        <w:tc>
          <w:tcPr>
            <w:tcW w:w="1296" w:type="dxa"/>
            <w:tcBorders>
              <w:top w:val="single" w:sz="4" w:space="0" w:color="auto"/>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0ED0A31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-0,5</w:t>
            </w:r>
          </w:p>
        </w:tc>
      </w:tr>
      <w:tr w:rsidR="009771C1" w:rsidRPr="00CA2430" w14:paraId="46F205A7"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FEE3319"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Igaunija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02B17FB"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11,5%</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0043C01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-0,5</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422E00C3"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3,1</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79E005B7"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-2,4</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224833A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0,4</w:t>
            </w:r>
          </w:p>
        </w:tc>
      </w:tr>
      <w:tr w:rsidR="009771C1" w:rsidRPr="00CA2430" w14:paraId="1ECB9B80"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4DCFA0CC"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Vācija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15896B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6,8%</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2E9BA85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0,1</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249565E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1,0</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1273EC8C"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-0,7</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04467A39"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-0,2</w:t>
            </w:r>
          </w:p>
        </w:tc>
      </w:tr>
      <w:tr w:rsidR="009771C1" w:rsidRPr="00CA2430" w14:paraId="736D556E"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04193939"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Zviedrija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56B4EA4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5,9%</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758C1322"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0,2</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19C6F6CA"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2,1</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00F66B8B"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0,4</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088863E7"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0,8</w:t>
            </w:r>
          </w:p>
        </w:tc>
      </w:tr>
      <w:tr w:rsidR="009771C1" w:rsidRPr="00CA2430" w14:paraId="608A2A79"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4473515D"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lastRenderedPageBreak/>
              <w:t>Krievija*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17052A57"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5,9%</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3C35FF02"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3,2</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7E84BA6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1,8</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44F0EB79"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0,6</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69864EC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0,7</w:t>
            </w:r>
          </w:p>
        </w:tc>
      </w:tr>
      <w:tr w:rsidR="009771C1" w:rsidRPr="00CA2430" w14:paraId="33053F04"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2F8C448A"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Apvienotā Karaliste*</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32E412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4,8%</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1085E83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0,5</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7C2A02D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1,5</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72BB8D7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-0,1</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202E8085"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-0,1</w:t>
            </w:r>
          </w:p>
        </w:tc>
      </w:tr>
      <w:tr w:rsidR="009771C1" w:rsidRPr="00CA2430" w14:paraId="67CBDF6F"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6B4F47FB"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Dānija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5B89459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4,2%</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3C40ABB8"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2,6</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18088C36"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1,4</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1AF7A958"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1,2</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2A285183"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-0,2</w:t>
            </w:r>
          </w:p>
        </w:tc>
      </w:tr>
      <w:tr w:rsidR="009771C1" w:rsidRPr="00CA2430" w14:paraId="700B21A7"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1347A528"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Polija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3E979E5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3,9%</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59A31D6A"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2,8</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61AC5E39"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3,4</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2CA78E12"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0,1</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3302087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0,2</w:t>
            </w:r>
          </w:p>
        </w:tc>
      </w:tr>
      <w:tr w:rsidR="009771C1" w:rsidRPr="00CA2430" w14:paraId="66E20FDB"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761709DD"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Somija</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6CE24969"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3,6%</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4027312A"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0,0</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3A95E104"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1,4</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22E6183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-0,8</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703CC86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-0,1</w:t>
            </w:r>
          </w:p>
        </w:tc>
      </w:tr>
      <w:tr w:rsidR="009771C1" w:rsidRPr="00CA2430" w14:paraId="6D0E0CB0" w14:textId="77777777" w:rsidTr="00FE0109">
        <w:trPr>
          <w:trHeight w:val="20"/>
          <w:jc w:val="center"/>
        </w:trPr>
        <w:tc>
          <w:tcPr>
            <w:tcW w:w="1980"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098733FB" w14:textId="77777777" w:rsidR="009771C1" w:rsidRPr="00CA2430" w:rsidRDefault="009771C1" w:rsidP="00FE0109">
            <w:pPr>
              <w:spacing w:before="0" w:after="0"/>
              <w:ind w:firstLine="0"/>
              <w:jc w:val="left"/>
              <w:rPr>
                <w:rFonts w:eastAsia="Calibri" w:cs="Times New Roman"/>
                <w:noProof/>
                <w:sz w:val="20"/>
                <w:szCs w:val="20"/>
                <w:lang w:eastAsia="lv-LV"/>
              </w:rPr>
            </w:pPr>
            <w:r w:rsidRPr="00CA2430">
              <w:rPr>
                <w:rFonts w:cs="Times New Roman"/>
                <w:noProof/>
                <w:sz w:val="20"/>
                <w:szCs w:val="20"/>
              </w:rPr>
              <w:t>Nīderlande</w:t>
            </w:r>
          </w:p>
        </w:tc>
        <w:tc>
          <w:tcPr>
            <w:tcW w:w="1134"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22E1DB7C"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3,0%</w:t>
            </w:r>
          </w:p>
        </w:tc>
        <w:tc>
          <w:tcPr>
            <w:tcW w:w="1295" w:type="dxa"/>
            <w:tcBorders>
              <w:top w:val="nil"/>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4DADD978"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0,8</w:t>
            </w:r>
          </w:p>
        </w:tc>
        <w:tc>
          <w:tcPr>
            <w:tcW w:w="1296"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217CBDF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1,5</w:t>
            </w:r>
          </w:p>
        </w:tc>
        <w:tc>
          <w:tcPr>
            <w:tcW w:w="1295" w:type="dxa"/>
            <w:tcBorders>
              <w:top w:val="nil"/>
              <w:left w:val="nil"/>
              <w:bottom w:val="single" w:sz="4" w:space="0" w:color="auto"/>
              <w:right w:val="single" w:sz="4" w:space="0" w:color="auto"/>
            </w:tcBorders>
            <w:shd w:val="clear" w:color="auto" w:fill="auto"/>
            <w:noWrap/>
            <w:tcMar>
              <w:top w:w="57" w:type="dxa"/>
              <w:left w:w="85" w:type="dxa"/>
              <w:bottom w:w="57" w:type="dxa"/>
              <w:right w:w="85" w:type="dxa"/>
            </w:tcMar>
            <w:vAlign w:val="center"/>
          </w:tcPr>
          <w:p w14:paraId="4991743E"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0,4</w:t>
            </w:r>
          </w:p>
        </w:tc>
        <w:tc>
          <w:tcPr>
            <w:tcW w:w="1296" w:type="dxa"/>
            <w:tcBorders>
              <w:top w:val="nil"/>
              <w:left w:val="nil"/>
              <w:bottom w:val="single" w:sz="4" w:space="0" w:color="auto"/>
              <w:right w:val="single" w:sz="4" w:space="0" w:color="auto"/>
            </w:tcBorders>
            <w:shd w:val="clear" w:color="auto" w:fill="auto"/>
            <w:tcMar>
              <w:top w:w="57" w:type="dxa"/>
              <w:left w:w="85" w:type="dxa"/>
              <w:bottom w:w="57" w:type="dxa"/>
              <w:right w:w="85" w:type="dxa"/>
            </w:tcMar>
            <w:vAlign w:val="center"/>
          </w:tcPr>
          <w:p w14:paraId="6C25467D" w14:textId="77777777" w:rsidR="009771C1" w:rsidRPr="00CA2430" w:rsidRDefault="009771C1" w:rsidP="00FE0109">
            <w:pPr>
              <w:spacing w:before="0" w:after="0"/>
              <w:ind w:firstLine="0"/>
              <w:jc w:val="center"/>
              <w:rPr>
                <w:rFonts w:eastAsia="Calibri" w:cs="Times New Roman"/>
                <w:noProof/>
                <w:sz w:val="20"/>
                <w:szCs w:val="20"/>
                <w:lang w:eastAsia="lv-LV"/>
              </w:rPr>
            </w:pPr>
            <w:r w:rsidRPr="00CA2430">
              <w:rPr>
                <w:rFonts w:cs="Times New Roman"/>
                <w:noProof/>
                <w:sz w:val="20"/>
                <w:szCs w:val="20"/>
              </w:rPr>
              <w:t>1,6</w:t>
            </w:r>
          </w:p>
        </w:tc>
      </w:tr>
      <w:tr w:rsidR="009771C1" w:rsidRPr="00CA2430" w14:paraId="34495107" w14:textId="77777777" w:rsidTr="00FE0109">
        <w:trPr>
          <w:trHeight w:val="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4F09AFB3" w14:textId="77777777" w:rsidR="009771C1" w:rsidRPr="00CA2430" w:rsidRDefault="009771C1" w:rsidP="00FE0109">
            <w:pPr>
              <w:spacing w:before="0" w:after="0"/>
              <w:ind w:firstLine="0"/>
              <w:jc w:val="left"/>
              <w:rPr>
                <w:rFonts w:eastAsia="Calibri" w:cs="Times New Roman"/>
                <w:b/>
                <w:noProof/>
                <w:sz w:val="20"/>
                <w:szCs w:val="20"/>
                <w:lang w:eastAsia="lv-LV"/>
              </w:rPr>
            </w:pPr>
            <w:r w:rsidRPr="00CA2430">
              <w:rPr>
                <w:rFonts w:eastAsia="Calibri" w:cs="Times New Roman"/>
                <w:b/>
                <w:noProof/>
                <w:sz w:val="20"/>
                <w:szCs w:val="20"/>
                <w:lang w:eastAsia="lv-LV"/>
              </w:rPr>
              <w:t>Vidēji svērtais 10 valstīm</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41A6584B"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67,8%</w:t>
            </w:r>
          </w:p>
        </w:tc>
        <w:tc>
          <w:tcPr>
            <w:tcW w:w="1295"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25960F29"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1,1</w:t>
            </w:r>
          </w:p>
        </w:tc>
        <w:tc>
          <w:tcPr>
            <w:tcW w:w="1296"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08D0708A"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2,3</w:t>
            </w:r>
          </w:p>
        </w:tc>
        <w:tc>
          <w:tcPr>
            <w:tcW w:w="1295"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tcPr>
          <w:p w14:paraId="3F7A0D0A"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-0,5</w:t>
            </w:r>
          </w:p>
        </w:tc>
        <w:tc>
          <w:tcPr>
            <w:tcW w:w="129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853073B"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0,0</w:t>
            </w:r>
          </w:p>
        </w:tc>
      </w:tr>
      <w:tr w:rsidR="009771C1" w:rsidRPr="00CA2430" w14:paraId="5BC38396" w14:textId="77777777" w:rsidTr="00FE0109">
        <w:trPr>
          <w:trHeight w:val="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7BB65746" w14:textId="77777777" w:rsidR="009771C1" w:rsidRPr="00CA2430" w:rsidRDefault="009771C1" w:rsidP="00FE0109">
            <w:pPr>
              <w:spacing w:before="0" w:after="0"/>
              <w:ind w:firstLine="0"/>
              <w:jc w:val="left"/>
              <w:rPr>
                <w:rFonts w:eastAsia="Calibri" w:cs="Times New Roman"/>
                <w:b/>
                <w:noProof/>
                <w:sz w:val="20"/>
                <w:szCs w:val="20"/>
                <w:lang w:eastAsia="lv-LV"/>
              </w:rPr>
            </w:pPr>
            <w:r w:rsidRPr="00CA2430">
              <w:rPr>
                <w:rFonts w:eastAsia="Calibri" w:cs="Times New Roman"/>
                <w:b/>
                <w:noProof/>
                <w:sz w:val="20"/>
                <w:szCs w:val="20"/>
                <w:lang w:eastAsia="lv-LV"/>
              </w:rPr>
              <w:t>Eiropas Savienība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85" w:type="dxa"/>
            </w:tcMar>
            <w:vAlign w:val="center"/>
            <w:hideMark/>
          </w:tcPr>
          <w:p w14:paraId="1D3F218D"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68,6%</w:t>
            </w:r>
          </w:p>
        </w:tc>
        <w:tc>
          <w:tcPr>
            <w:tcW w:w="1295"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19F6E149"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1,0</w:t>
            </w:r>
          </w:p>
        </w:tc>
        <w:tc>
          <w:tcPr>
            <w:tcW w:w="1296"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hideMark/>
          </w:tcPr>
          <w:p w14:paraId="2F2D76CD"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1,6</w:t>
            </w:r>
          </w:p>
        </w:tc>
        <w:tc>
          <w:tcPr>
            <w:tcW w:w="1295" w:type="dxa"/>
            <w:tcBorders>
              <w:top w:val="single" w:sz="4" w:space="0" w:color="auto"/>
              <w:left w:val="single" w:sz="4" w:space="0" w:color="auto"/>
              <w:bottom w:val="single" w:sz="4" w:space="0" w:color="auto"/>
              <w:right w:val="single" w:sz="4" w:space="0" w:color="auto"/>
            </w:tcBorders>
            <w:shd w:val="clear" w:color="auto" w:fill="auto"/>
            <w:noWrap/>
            <w:tcMar>
              <w:top w:w="57" w:type="dxa"/>
              <w:left w:w="85" w:type="dxa"/>
              <w:bottom w:w="57" w:type="dxa"/>
              <w:right w:w="85" w:type="dxa"/>
            </w:tcMar>
            <w:vAlign w:val="center"/>
          </w:tcPr>
          <w:p w14:paraId="7E3362AC"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-0,3</w:t>
            </w:r>
          </w:p>
        </w:tc>
        <w:tc>
          <w:tcPr>
            <w:tcW w:w="129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45D5646" w14:textId="77777777" w:rsidR="009771C1" w:rsidRPr="00CA2430" w:rsidRDefault="009771C1" w:rsidP="00FE0109">
            <w:pPr>
              <w:spacing w:before="0" w:after="0"/>
              <w:ind w:firstLine="0"/>
              <w:jc w:val="center"/>
              <w:rPr>
                <w:rFonts w:eastAsia="Calibri" w:cs="Times New Roman"/>
                <w:b/>
                <w:noProof/>
                <w:sz w:val="20"/>
                <w:szCs w:val="20"/>
                <w:lang w:eastAsia="lv-LV"/>
              </w:rPr>
            </w:pPr>
            <w:r w:rsidRPr="00CA2430">
              <w:rPr>
                <w:rFonts w:eastAsia="Calibri" w:cs="Times New Roman"/>
                <w:b/>
                <w:noProof/>
                <w:sz w:val="20"/>
                <w:szCs w:val="20"/>
                <w:lang w:eastAsia="lv-LV"/>
              </w:rPr>
              <w:t>-0,1</w:t>
            </w:r>
          </w:p>
        </w:tc>
      </w:tr>
    </w:tbl>
    <w:p w14:paraId="3277AC8E"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Nozaru attīstība</w:t>
      </w:r>
    </w:p>
    <w:p w14:paraId="34238EF7" w14:textId="2BAD0A23" w:rsidR="009771C1" w:rsidRPr="00CA2430" w:rsidRDefault="009771C1" w:rsidP="0083634D">
      <w:pPr>
        <w:rPr>
          <w:noProof/>
          <w:color w:val="000000" w:themeColor="text1"/>
        </w:rPr>
      </w:pPr>
      <w:r w:rsidRPr="00CA2430">
        <w:rPr>
          <w:noProof/>
        </w:rPr>
        <w:t>Latvijas</w:t>
      </w:r>
      <w:r w:rsidRPr="00CA2430">
        <w:rPr>
          <w:b/>
          <w:bCs/>
          <w:noProof/>
        </w:rPr>
        <w:t xml:space="preserve"> rūpniecības</w:t>
      </w:r>
      <w:r w:rsidRPr="00CA2430">
        <w:rPr>
          <w:noProof/>
        </w:rPr>
        <w:t xml:space="preserve"> nozarē 2023. gadā ražošanas apjomi samazinājās par 5,4%. </w:t>
      </w:r>
      <w:r w:rsidR="001E4200" w:rsidRPr="00CA2430">
        <w:rPr>
          <w:noProof/>
        </w:rPr>
        <w:t>Tajā skaitā apstrādes rūpniecībā, kuras īpatsvars rūpniecībā ir 81%, ražošanas apjomi kritās par 4,6%</w:t>
      </w:r>
      <w:r w:rsidRPr="00CA2430">
        <w:rPr>
          <w:noProof/>
        </w:rPr>
        <w:t>, elektroenerģijas un gāzes apgādē (</w:t>
      </w:r>
      <w:r w:rsidR="001E4200" w:rsidRPr="00CA2430">
        <w:rPr>
          <w:noProof/>
        </w:rPr>
        <w:t>attiecīgi īpatsvars 16%</w:t>
      </w:r>
      <w:r w:rsidRPr="00CA2430">
        <w:rPr>
          <w:noProof/>
        </w:rPr>
        <w:t xml:space="preserve">), apjomi pieauga par 0,7%, bet nelielā ieguves rūpniecība un karjeru izstrāde (3%) saruka par 19%. Augstās ražotāju cenas, kas 2022. gadā bija galvenais rūpniecības izlaidi negatīvi ietekmējošais faktors, 2023. gada vidū pret iepriekšējo gadu sāka samazināties, kas nozarei bija vērtējama kā pozitīva zīme. Taču jau 2022. gada nogalē apstrādes rūpniecību būtiski sāka ietekmēt zemais iekšējais un ārējais pieprasījums, ko noteica zemā ražošanas aktivitāte visā Eiropas Savienībā, kur ražošanas apjomi 2023. gadā </w:t>
      </w:r>
      <w:r w:rsidRPr="00CA2430">
        <w:rPr>
          <w:noProof/>
          <w:color w:val="000000" w:themeColor="text1"/>
        </w:rPr>
        <w:t xml:space="preserve">saruka par 1,4%. </w:t>
      </w:r>
    </w:p>
    <w:p w14:paraId="5330693B" w14:textId="5AC2F2BC" w:rsidR="009771C1" w:rsidRPr="00CA2430" w:rsidRDefault="009771C1" w:rsidP="0083634D">
      <w:pPr>
        <w:rPr>
          <w:noProof/>
        </w:rPr>
      </w:pPr>
      <w:r w:rsidRPr="00CA2430">
        <w:rPr>
          <w:noProof/>
          <w:color w:val="000000" w:themeColor="text1"/>
        </w:rPr>
        <w:t>Apstrādes rūpniecības ražošanas apjomi 2023. gadā salīdzinot ar 2022. gadu,</w:t>
      </w:r>
      <w:r w:rsidR="004D4571" w:rsidRPr="00CA2430">
        <w:rPr>
          <w:noProof/>
          <w:color w:val="000000" w:themeColor="text1"/>
        </w:rPr>
        <w:t xml:space="preserve"> palielinājušies tikai decembrī, bet gadā kopā piedzīvots samazinājums par 4,6%</w:t>
      </w:r>
      <w:r w:rsidRPr="00CA2430">
        <w:rPr>
          <w:noProof/>
        </w:rPr>
        <w:t xml:space="preserve">. Veiksmīgākā apstrādes rūpniecības apakšnozare 2023. gadā bija pārtikas ražošana, kas pieauga par 4,5% un nejuta krasu pieprasījuma samazināšanos, kā tas bija citās apakšnozarēs. Jāpiemin, ka pārtikas nozarē eksporta īpatsvars ir tikai 44%, kas ir mazākais no visām apakšnozarēm, tādējādi nozare vairāk orientēta uz iekšējo tirgu. Savukārt pārējās lielajās apakšnozarēs kā kokrūpniecība, metālapstrāde un nemetālisko minerālu ražošana produkcijas apjomi samazinājās attiecīgi par 7,8%, 5,8% un 16,3%. Tikmēr labus rezultātus uzrādīja tādas nozares kā datoru, elektronisko un optisko iekārtu ražošana (+16,7%) un elektrisko iekārtu ražošana (+13,1%), kas kopējai apstrādes rūpniecībai neļāva samazināties vēl straujāk. </w:t>
      </w:r>
    </w:p>
    <w:p w14:paraId="0341CB90" w14:textId="452E9A1E" w:rsidR="009771C1" w:rsidRPr="00CA2430" w:rsidRDefault="009771C1" w:rsidP="0083634D">
      <w:pPr>
        <w:rPr>
          <w:noProof/>
        </w:rPr>
      </w:pPr>
      <w:r w:rsidRPr="00CA2430">
        <w:rPr>
          <w:noProof/>
        </w:rPr>
        <w:t xml:space="preserve">2024. gads apstrādes rūpniecībā iesākās ar jaunu, 4,3% apjomu samazinājumu janvārī </w:t>
      </w:r>
      <w:r w:rsidR="004D4571" w:rsidRPr="00CA2430">
        <w:rPr>
          <w:noProof/>
        </w:rPr>
        <w:t>–</w:t>
      </w:r>
      <w:r w:rsidRPr="00CA2430">
        <w:rPr>
          <w:noProof/>
        </w:rPr>
        <w:t xml:space="preserve"> maijā</w:t>
      </w:r>
      <w:r w:rsidR="004D4571" w:rsidRPr="00CA2430">
        <w:rPr>
          <w:noProof/>
        </w:rPr>
        <w:t>,</w:t>
      </w:r>
      <w:r w:rsidRPr="00CA2430">
        <w:rPr>
          <w:noProof/>
        </w:rPr>
        <w:t xml:space="preserve"> </w:t>
      </w:r>
      <w:r w:rsidR="004D4571" w:rsidRPr="00CA2430">
        <w:rPr>
          <w:noProof/>
        </w:rPr>
        <w:t xml:space="preserve">salīdzinot ar </w:t>
      </w:r>
      <w:r w:rsidRPr="00CA2430">
        <w:rPr>
          <w:noProof/>
        </w:rPr>
        <w:t>2023. gada attiecīgo periodu, un ražošanas apjomi šā gada aprīlī bija zemākie kopš Covid pandēmijas sākuma 2020. gadā. Arī Eiropas Savienībā kopā 2024. gada pirmajā ceturksnī ražošanas apjomi samazinājušies par 4%. Ražošanas apjomi rūpniecībā ir pieauguši tikai dažās no Latvijas eksporta partnervalstīm, kas liecina par joprojām zemu kopējo pieprasījumu pēc Latvijā ražotām izejvielām un produktiem.</w:t>
      </w:r>
    </w:p>
    <w:p w14:paraId="0E2AFF99" w14:textId="50E002C1" w:rsidR="009771C1" w:rsidRPr="00CA2430" w:rsidRDefault="009771C1" w:rsidP="0083634D">
      <w:pPr>
        <w:rPr>
          <w:noProof/>
        </w:rPr>
      </w:pPr>
      <w:r w:rsidRPr="00CA2430">
        <w:rPr>
          <w:noProof/>
        </w:rPr>
        <w:t>Elektroenerģijas un gāzes apgādes apjomi pēc 11,5% samazinājuma 2022. gadā, pērn palielinājušies vien par 0,7%, saglabājot zemu līmeni. 2024. gada pirmajos piecos mēnešos apgādes apjomi pieauguši par 5,4%, tajā skaitā elektroenerģijas piegāde iekšējam tirgum pieauga par 3,3%, bet dabasgāzes patēriņš palielinājās par 18,4%. Jāpiemin, ka 2024.</w:t>
      </w:r>
      <w:r w:rsidR="00174092" w:rsidRPr="00CA2430">
        <w:rPr>
          <w:noProof/>
        </w:rPr>
        <w:t> </w:t>
      </w:r>
      <w:r w:rsidRPr="00CA2430">
        <w:rPr>
          <w:noProof/>
        </w:rPr>
        <w:t xml:space="preserve">gada piecos mēnešos no vēja un saules iegūtā elektroenerģija sastādīja 5,5% no visas saražotās elektroenerģijas, kas ir par diviem procentpunktiem vairāk nekā 2023. gada attiecīgajā periodā. </w:t>
      </w:r>
    </w:p>
    <w:p w14:paraId="229C5179" w14:textId="7EFDEA62" w:rsidR="009771C1" w:rsidRPr="00CA2430" w:rsidRDefault="009771C1" w:rsidP="0083634D">
      <w:pPr>
        <w:rPr>
          <w:noProof/>
        </w:rPr>
      </w:pPr>
      <w:r w:rsidRPr="00CA2430">
        <w:rPr>
          <w:noProof/>
        </w:rPr>
        <w:lastRenderedPageBreak/>
        <w:t>Pašreizējās tendences apstrādes rūpniecībā neliecina par iespējamu nozares izaugsmi 2024. gadā. Pie labvēlīgiem apstākļiem gada kopējie ražošanas apjomi varētu saglabāties 2023.</w:t>
      </w:r>
      <w:r w:rsidR="00174092" w:rsidRPr="00CA2430">
        <w:rPr>
          <w:noProof/>
        </w:rPr>
        <w:t> </w:t>
      </w:r>
      <w:r w:rsidRPr="00CA2430">
        <w:rPr>
          <w:noProof/>
        </w:rPr>
        <w:t>gada līmenī, nozares izaugsmi atliekot uz 2025.</w:t>
      </w:r>
      <w:r w:rsidR="00174092" w:rsidRPr="00CA2430">
        <w:rPr>
          <w:noProof/>
        </w:rPr>
        <w:t> </w:t>
      </w:r>
      <w:r w:rsidRPr="00CA2430">
        <w:rPr>
          <w:noProof/>
        </w:rPr>
        <w:t>gadu.</w:t>
      </w:r>
    </w:p>
    <w:p w14:paraId="61EE64F9" w14:textId="3905C3BC" w:rsidR="009771C1" w:rsidRPr="00CA2430" w:rsidRDefault="009771C1" w:rsidP="0083634D">
      <w:pPr>
        <w:rPr>
          <w:noProof/>
        </w:rPr>
      </w:pPr>
      <w:r w:rsidRPr="00CA2430">
        <w:rPr>
          <w:b/>
          <w:bCs/>
          <w:noProof/>
        </w:rPr>
        <w:t xml:space="preserve">Mazumtirdzniecības </w:t>
      </w:r>
      <w:r w:rsidRPr="00CA2430">
        <w:rPr>
          <w:noProof/>
        </w:rPr>
        <w:t>uzņēmumu apgrozījuma apjomi salīdzināmās cenās pēc 3,1% pieauguma 2022. gadā, 2023. gadā samazinājās par 1,9%. Patēriņa cenas 2022. gadā bija strauji augušas, un, lai gan 2023. gadā cenu pieauguma tempi visa gada garumā samazinājās, tomēr iepriekšējais cenu kāpums bija ievērojami apsteidzis algu pieauguma tempus, samazinot pirktspēju lielai iedzīvotāju daļai, par ko liecināja arī sarūkošie mājsaimniecību noguldījumu apjomi. Papildus negatīvu ietekmi uz patēriņu atstāja kredītu sadārdzināšanās.</w:t>
      </w:r>
    </w:p>
    <w:p w14:paraId="11A49261" w14:textId="0EA96647" w:rsidR="009771C1" w:rsidRPr="00CA2430" w:rsidRDefault="009771C1" w:rsidP="0083634D">
      <w:pPr>
        <w:rPr>
          <w:noProof/>
        </w:rPr>
      </w:pPr>
      <w:r w:rsidRPr="00CA2430">
        <w:rPr>
          <w:noProof/>
        </w:rPr>
        <w:t>No mazumtirdzniecības galvenajām apakšgrupām, pārtikas mazumtirdzniecība 2023.</w:t>
      </w:r>
      <w:r w:rsidR="00174092" w:rsidRPr="00CA2430">
        <w:rPr>
          <w:noProof/>
        </w:rPr>
        <w:t> </w:t>
      </w:r>
      <w:r w:rsidRPr="00CA2430">
        <w:rPr>
          <w:noProof/>
        </w:rPr>
        <w:t>gadā samazinājās par 4,7%, nepārtikas preces (bez degvielas) tika tirgotas par 1,7% mazāk nekā 2022. gadā, bet vienīgā preču grupa, kas uzrādīja izaugsmi, bija degviela ar tirdzniecības apjomu pieaugumu 4% apmērā.</w:t>
      </w:r>
    </w:p>
    <w:p w14:paraId="7190589F" w14:textId="2B89F177" w:rsidR="009771C1" w:rsidRPr="00CA2430" w:rsidRDefault="009771C1" w:rsidP="0083634D">
      <w:pPr>
        <w:rPr>
          <w:noProof/>
        </w:rPr>
      </w:pPr>
      <w:r w:rsidRPr="00CA2430">
        <w:rPr>
          <w:noProof/>
        </w:rPr>
        <w:t>Šā gada pirmajos piecos mēnešos kopā mazumtirdzniecības apjomi auguši par 0,5%, ko noteica degvielas tirdzniecības apjomu pieaugums par 4,3%.</w:t>
      </w:r>
      <w:r w:rsidR="001158A3" w:rsidRPr="00CA2430">
        <w:rPr>
          <w:noProof/>
        </w:rPr>
        <w:t xml:space="preserve"> </w:t>
      </w:r>
      <w:r w:rsidRPr="00CA2430">
        <w:rPr>
          <w:noProof/>
        </w:rPr>
        <w:t>Tikmēr nepārtikas preces, atskaitot degvielu, tirgotas iepriekšējā gada attiecīgā perioda līmenī, bet pārtikas mazumtirdzniecība samazinājusies par 0,6%. Starp nepārtikas precēm šā gada piecos mēnešos izceļams informācijas un komunikācijas iekārtu mazumtirdzniecības pieaugums par 16,1%, apģērbu un apavu tirdzniecības pieaugums par 14,2%, kā arī dārzkopības preču un mājdzīvnieku barības mazumtirdzniecības pieaugums par 17,4%.</w:t>
      </w:r>
      <w:r w:rsidR="001158A3" w:rsidRPr="00CA2430">
        <w:rPr>
          <w:noProof/>
        </w:rPr>
        <w:t xml:space="preserve"> </w:t>
      </w:r>
      <w:r w:rsidRPr="00CA2430">
        <w:rPr>
          <w:noProof/>
        </w:rPr>
        <w:t>Savukārt visvairāk samazinājusies mājas iekārtojuma un interjera preču mazumtirdzniecība (-24,2</w:t>
      </w:r>
      <w:r w:rsidRPr="00CA2430">
        <w:rPr>
          <w:noProof/>
          <w:color w:val="000000" w:themeColor="text1"/>
        </w:rPr>
        <w:t xml:space="preserve">%). </w:t>
      </w:r>
      <w:bookmarkStart w:id="1" w:name="_Hlk172556000"/>
      <w:r w:rsidRPr="00CA2430">
        <w:rPr>
          <w:noProof/>
          <w:color w:val="000000" w:themeColor="text1"/>
        </w:rPr>
        <w:t xml:space="preserve">Kaut arī šā gada maijā jau pagājis gads kopš algu pieaugums ir lielāks nekā patēriņa cenu pieaugums, tomēr cenu līmenis tirdzniecības vietās saglabājas augsts, īpaši pārtikas precēm, kas </w:t>
      </w:r>
      <w:r w:rsidRPr="00CA2430">
        <w:rPr>
          <w:rFonts w:eastAsia="Calibri" w:cs="Times New Roman"/>
          <w:noProof/>
        </w:rPr>
        <w:t>ierobežo mazāk turīgo iedzīvotāju tēriņus citām precēm</w:t>
      </w:r>
      <w:r w:rsidRPr="00CA2430">
        <w:rPr>
          <w:noProof/>
        </w:rPr>
        <w:t xml:space="preserve"> un </w:t>
      </w:r>
      <w:r w:rsidRPr="00CA2430">
        <w:rPr>
          <w:rFonts w:eastAsia="Calibri" w:cs="Times New Roman"/>
          <w:noProof/>
        </w:rPr>
        <w:t>pakalpojumiem.</w:t>
      </w:r>
      <w:bookmarkEnd w:id="1"/>
    </w:p>
    <w:p w14:paraId="49A4AD3E" w14:textId="77777777" w:rsidR="009771C1" w:rsidRPr="00CA2430" w:rsidRDefault="009771C1" w:rsidP="0083634D">
      <w:pPr>
        <w:rPr>
          <w:noProof/>
        </w:rPr>
      </w:pPr>
      <w:r w:rsidRPr="00CA2430">
        <w:rPr>
          <w:noProof/>
        </w:rPr>
        <w:t>Eiropas Komisijas apkopotais mazumtirgotāju konfidences indekss kopš pērnā gada maija ir ar sarūkošu tendenci, ko nosaka gan zemāki faktiskie pārdošanas apjomi, nekā tika paredzēts iepriekš, gan arī zemi prognozētie mazumtirdzniecības apjomi turpmāko mēnešu laikā. Savukārt patērētāju konfidence uzlabojās visa 2023. gada laikā, taču šā gada sākumā augšupejošā tendence ir apstājusies.</w:t>
      </w:r>
    </w:p>
    <w:p w14:paraId="4D970980" w14:textId="77777777" w:rsidR="009771C1" w:rsidRPr="00CA2430" w:rsidRDefault="009771C1" w:rsidP="0083634D">
      <w:pPr>
        <w:rPr>
          <w:noProof/>
          <w:color w:val="FF0000"/>
        </w:rPr>
      </w:pPr>
      <w:r w:rsidRPr="00CA2430">
        <w:rPr>
          <w:noProof/>
        </w:rPr>
        <w:t xml:space="preserve">Vidējais patēriņa cenu pieaugums gada griezumā šā gada piecos mēnešos bija zem 1% atzīmes, bet algu pieaugums 2024. gada 1. ceturksnī sasniedza 11% pret pērnā gada 1. ceturksni. Tas norāda uz labiem priekšnosacījumiem, lai mazumtirdzniecības apjomi 2024. gada otrajā pusē sāktu palielināties straujāk. </w:t>
      </w:r>
      <w:r w:rsidRPr="00CA2430">
        <w:rPr>
          <w:noProof/>
          <w:color w:val="000000" w:themeColor="text1"/>
        </w:rPr>
        <w:t>Turpretī nelielu negatīvu iespaidu uz nozari atstāj iedzīvotāju skaita samazināšanās – 2024. gada 1.janvārī iedzīvotāju skaits bija par 0,6% mazāks nekā pirms gada, kas visvairāk ietekmē pārtikas mazumtirdzniecību.</w:t>
      </w:r>
    </w:p>
    <w:p w14:paraId="36545582" w14:textId="77777777" w:rsidR="009771C1" w:rsidRPr="00CA2430" w:rsidRDefault="009771C1" w:rsidP="0083634D">
      <w:pPr>
        <w:rPr>
          <w:noProof/>
        </w:rPr>
      </w:pPr>
      <w:r w:rsidRPr="00CA2430">
        <w:rPr>
          <w:b/>
          <w:bCs/>
          <w:noProof/>
        </w:rPr>
        <w:t xml:space="preserve">Būvniecības </w:t>
      </w:r>
      <w:r w:rsidRPr="00CA2430">
        <w:rPr>
          <w:noProof/>
        </w:rPr>
        <w:t>apjomi 2023. gadā pieauga par 18,9% pēc krituma 2022. gadā par 11,3%, taču 2024. gada pirmajā ceturksnī apjomi atkal samazinājušies par 5,5% pret 2023. gada pirmo ceturksni. Augstās bāzes efekta dēļ tas vēl nav vērtējams kā nozīmīgs kritums, jo būvniecības apjomi 2023. gada pirmajā ceturksnī bija lielākie kopš 2020. gada sākuma.</w:t>
      </w:r>
    </w:p>
    <w:p w14:paraId="5C61262E" w14:textId="5D4F0DAF" w:rsidR="009771C1" w:rsidRPr="00CA2430" w:rsidRDefault="009771C1" w:rsidP="0083634D">
      <w:pPr>
        <w:rPr>
          <w:noProof/>
        </w:rPr>
      </w:pPr>
      <w:r w:rsidRPr="00CA2430">
        <w:rPr>
          <w:noProof/>
        </w:rPr>
        <w:t xml:space="preserve">Būvniecības nozari 2022. gadā negatīvi ietekmēja straujais būvmateriālu cenu pieaugums, energoresursu cenu kāpums, kā arī atsevišķu būvmateriālu deficīts, bet 2023. gadā būvniecības izmaksu pieaugums vairs nebija tik straujš un sākās strauja būvniecības aktivitātes palielināšanās. </w:t>
      </w:r>
      <w:r w:rsidR="001158A3" w:rsidRPr="00CA2430">
        <w:rPr>
          <w:noProof/>
        </w:rPr>
        <w:t>Būvniecības apjomu pieaugumu 18,9% apmērā 2023. gadā nodrošināja ēku būvniecības pieaugums par 26,8%, specializētās būvniecības pieaugums par 17,8% un inženierbūvniecības pieaugums par 10,8%</w:t>
      </w:r>
      <w:r w:rsidRPr="00CA2430">
        <w:rPr>
          <w:noProof/>
        </w:rPr>
        <w:t xml:space="preserve">. </w:t>
      </w:r>
    </w:p>
    <w:p w14:paraId="16029745" w14:textId="61308BF0" w:rsidR="009771C1" w:rsidRPr="00CA2430" w:rsidRDefault="001158A3" w:rsidP="0083634D">
      <w:pPr>
        <w:rPr>
          <w:noProof/>
        </w:rPr>
      </w:pPr>
      <w:r w:rsidRPr="00CA2430">
        <w:rPr>
          <w:noProof/>
        </w:rPr>
        <w:t xml:space="preserve">Ēku būvniecībā 2023. gadā par 27,8% pieauga daudzdzīvokļu māju būvniecība, bet viena dzīvokļa mājas būvētas par 10,4% vairāk kā 2022. gadā. Nedzīvojamo ēku būvniecībā par 134,6% palielinājās lauksaimniecības un tamlīdzīgu ēku būvniecība, bet par 59,8% pieauga </w:t>
      </w:r>
      <w:r w:rsidRPr="00CA2430">
        <w:rPr>
          <w:noProof/>
        </w:rPr>
        <w:lastRenderedPageBreak/>
        <w:t>rūpnieciskās ražošanas ēku un noliktavu būvniecība</w:t>
      </w:r>
      <w:r w:rsidR="009771C1" w:rsidRPr="00CA2430">
        <w:rPr>
          <w:noProof/>
        </w:rPr>
        <w:t>. Jāpiemin, ka nevienā no ēku paveidu pozīcijām pērn nebija fiksēts būvniecības apjomu samazinājums pret 2022. gadu.</w:t>
      </w:r>
    </w:p>
    <w:p w14:paraId="7C71DC66" w14:textId="77777777" w:rsidR="009771C1" w:rsidRPr="00CA2430" w:rsidRDefault="009771C1" w:rsidP="0083634D">
      <w:pPr>
        <w:rPr>
          <w:noProof/>
        </w:rPr>
      </w:pPr>
      <w:r w:rsidRPr="00CA2430">
        <w:rPr>
          <w:noProof/>
        </w:rPr>
        <w:t xml:space="preserve">Sagaidāms, ka būvniecības nozari 2024. gada otrajā pusē un 2025. gadā pozitīvi ietekmēs jaunā Eiropas Savienības 2021. – 2027. gada fondu cikla līdzekļu izmantošana, kā arī palielināsies </w:t>
      </w:r>
      <w:r w:rsidRPr="00CA2430">
        <w:rPr>
          <w:i/>
          <w:iCs/>
          <w:noProof/>
        </w:rPr>
        <w:t>RailBaltica</w:t>
      </w:r>
      <w:r w:rsidRPr="00CA2430">
        <w:rPr>
          <w:noProof/>
        </w:rPr>
        <w:t xml:space="preserve"> būvniecības apjomi, kas ietekmēs tieši inženierbūvniecību. Būvniecības izmaksas 2022. gadā pieauga par 19,7% un 2023. gadā par 5,9%, bet šā gada pirmajos piecos mēnešos izmaksas pieaugušas vairs tikai par 2%, kas veicinās arī privātā sektora ēku būvniecības aktivizēšanos.</w:t>
      </w:r>
    </w:p>
    <w:p w14:paraId="372126F2" w14:textId="019E5372" w:rsidR="009771C1" w:rsidRPr="00CA2430" w:rsidRDefault="009771C1" w:rsidP="0083634D">
      <w:pPr>
        <w:rPr>
          <w:noProof/>
        </w:rPr>
      </w:pPr>
      <w:r w:rsidRPr="00CA2430">
        <w:rPr>
          <w:rFonts w:eastAsia="Aptos" w:cs="Times New Roman"/>
          <w:b/>
          <w:noProof/>
          <w14:ligatures w14:val="standardContextual"/>
        </w:rPr>
        <w:t>Transporta un uzglabāšanas nozare</w:t>
      </w:r>
      <w:r w:rsidRPr="00CA2430">
        <w:rPr>
          <w:rFonts w:eastAsia="Aptos" w:cs="Times New Roman"/>
          <w:bCs/>
          <w:noProof/>
          <w14:ligatures w14:val="standardContextual"/>
        </w:rPr>
        <w:t xml:space="preserve"> bija viena no pandēmijas smagāk skartajām nozarēm</w:t>
      </w:r>
      <w:r w:rsidR="00BC59F4" w:rsidRPr="00CA2430">
        <w:rPr>
          <w:rFonts w:eastAsia="Aptos" w:cs="Times New Roman"/>
          <w:bCs/>
          <w:noProof/>
          <w14:ligatures w14:val="standardContextual"/>
        </w:rPr>
        <w:t xml:space="preserve">, </w:t>
      </w:r>
      <w:r w:rsidRPr="00CA2430">
        <w:rPr>
          <w:rFonts w:eastAsia="Aptos" w:cs="Times New Roman"/>
          <w:bCs/>
          <w:noProof/>
          <w14:ligatures w14:val="standardContextual"/>
        </w:rPr>
        <w:t>un arī Krievijas uzsāktais karš Ukrainā un tirdzniecības ierobežojumi šo nozari ietekmējuši spēcīgāk nekā pārējās. 2022. gadā transporta nozares pieaugums sasniedza 3,0%, ko nodrošināja pasažieru pārvadājumu atjaunošanās pēc Covid-19 ierobežojumiem, bet 2023.</w:t>
      </w:r>
      <w:r w:rsidR="00174092" w:rsidRPr="00CA2430">
        <w:rPr>
          <w:rFonts w:eastAsia="Aptos" w:cs="Times New Roman"/>
          <w:bCs/>
          <w:noProof/>
          <w14:ligatures w14:val="standardContextual"/>
        </w:rPr>
        <w:t> </w:t>
      </w:r>
      <w:r w:rsidRPr="00CA2430">
        <w:rPr>
          <w:noProof/>
        </w:rPr>
        <w:t xml:space="preserve">gadā nozare piedzīvoja 7,8% kritumu, </w:t>
      </w:r>
      <w:r w:rsidR="00BC59F4" w:rsidRPr="00CA2430">
        <w:rPr>
          <w:noProof/>
        </w:rPr>
        <w:t>pasažieru pārvadājumu pieaugumam vairs nespējot kompensēt zaudējumus kravu transportā</w:t>
      </w:r>
      <w:r w:rsidRPr="00CA2430">
        <w:rPr>
          <w:noProof/>
        </w:rPr>
        <w:t>, īpaši krītoties Krievijas kravu tranzītam dzelzceļā un ostās.</w:t>
      </w:r>
    </w:p>
    <w:p w14:paraId="0DDFEF5A" w14:textId="17FB8C08" w:rsidR="009771C1" w:rsidRPr="00CA2430" w:rsidRDefault="009771C1" w:rsidP="0083634D">
      <w:pPr>
        <w:rPr>
          <w:noProof/>
        </w:rPr>
      </w:pPr>
      <w:r w:rsidRPr="00CA2430">
        <w:rPr>
          <w:noProof/>
        </w:rPr>
        <w:t>Pasažieru skaits lidostā “Rīga” 2023. gadā, salīdzinot ar iepriekšējo gadu, palielinājās par 23,2% un sasniedza 6,6 miljonus, tomēr vēl joprojām atpalika no 2018.-2019. gada līmeņa, kad pasažieru skaits lidostā bija pārsniedzis septiņus miljonus. Pasažieru skaits sauszemes transportā pieauga par 15,4% un jūras ostās tika apkalpots par 1,4% vairāk pasažieru nekā 2022.</w:t>
      </w:r>
      <w:r w:rsidR="00174092" w:rsidRPr="00CA2430">
        <w:rPr>
          <w:noProof/>
        </w:rPr>
        <w:t> </w:t>
      </w:r>
      <w:r w:rsidRPr="00CA2430">
        <w:rPr>
          <w:noProof/>
        </w:rPr>
        <w:t xml:space="preserve">gadā. </w:t>
      </w:r>
    </w:p>
    <w:p w14:paraId="62EE1693" w14:textId="77777777" w:rsidR="009771C1" w:rsidRPr="00CA2430" w:rsidRDefault="009771C1" w:rsidP="0083634D">
      <w:pPr>
        <w:rPr>
          <w:noProof/>
        </w:rPr>
      </w:pPr>
      <w:r w:rsidRPr="00CA2430">
        <w:rPr>
          <w:noProof/>
        </w:rPr>
        <w:t>Tajā pašā laikā kravu apgrozījums ostās pērn saruka par 19,6% un kravu pārvadājumi dzelzceļā kritās par 27,5%. Kravu apjoma samazinājumu noteica galvenokārt Krievijas energoproduktu tranzīta kritums, un kravu apgrozījums ostās ar 38,7 miljoniem tonnu veidoja vairs tikai pusi no 2012. gada  līmeņa, kad pārkrauto kravu apjoms bija vislielākais. Dzelzceļā pārvadāto kravu apjoms saruka līdz 15,4 miljoniem tonnu, kas atbilda vairs tikai vienai ceturtdaļai no 2012. gada līmeņa. Kravu apgrozība autopārvadājumos 2023. gadā samazinājās par 3,5%, samazinoties starptautisko pārvadājumu apjomiem, kamēr iekšzemē kravu pārvadājumi turpināja pieaugt.</w:t>
      </w:r>
    </w:p>
    <w:p w14:paraId="62E4FF29" w14:textId="77777777" w:rsidR="009771C1" w:rsidRPr="00CA2430" w:rsidRDefault="009771C1" w:rsidP="0083634D">
      <w:pPr>
        <w:rPr>
          <w:noProof/>
        </w:rPr>
      </w:pPr>
      <w:r w:rsidRPr="00CA2430">
        <w:rPr>
          <w:noProof/>
        </w:rPr>
        <w:t>Līdzīga situācija saglabājas arī 2024. gada sākumā, kad pasažieru pārvadājumi turpina atjaunoties, bet kravu tranzīta apjomi krītas. Pirmajā ceturksnī transporta nozares pievienotā vērtība samazinājās par 9,0%, salīdzinot ar 2023. gada pirmo ceturksni, un nozarei kopumā 2024. gadā būs grūti izvairīties no krituma, jo pozitīvu dinamiku var nodrošināt tikai iekšzemes pieprasījums un pasažieru pārvadājumu apjoma pieaugums.</w:t>
      </w:r>
    </w:p>
    <w:p w14:paraId="061DA81B" w14:textId="77777777" w:rsidR="009771C1" w:rsidRPr="00CA2430" w:rsidRDefault="009771C1" w:rsidP="0083634D">
      <w:pPr>
        <w:rPr>
          <w:noProof/>
        </w:rPr>
      </w:pPr>
      <w:r w:rsidRPr="00CA2430">
        <w:rPr>
          <w:noProof/>
        </w:rPr>
        <w:t>2024. gada pirmajā pusē, salīdzinot ar pagājušā gada attiecīgo periodu, kravu apgrozījums ostās samazinājās par 11,2%, būtiskāko kritumu piedzīvojot naftas produktu un ogļu kravām, kamēr pārējo kravu apjomi saglabājās salīdzinoši stabili. Dzelzceļā pārvadāto kravu apjoms pirmajā pusgadā kritās par 23,3%, pēc Centrālās statistikas pārvaldes datiem. Vienlaikus kravu apgrozība autotransportā gada pirmajā ceturksnī, salīdzinot ar attiecīgo periodu pirms gada, palielinājās par 7,0%, spēcīgi pieaugot pārvadājumiem ārvalstīs.</w:t>
      </w:r>
    </w:p>
    <w:p w14:paraId="3AC6CFFA" w14:textId="77777777" w:rsidR="009771C1" w:rsidRPr="00CA2430" w:rsidRDefault="009771C1" w:rsidP="0083634D">
      <w:pPr>
        <w:rPr>
          <w:rFonts w:eastAsia="Aptos" w:cs="Times New Roman"/>
          <w:bCs/>
          <w:noProof/>
          <w:szCs w:val="20"/>
          <w14:ligatures w14:val="standardContextual"/>
        </w:rPr>
      </w:pPr>
      <w:r w:rsidRPr="00CA2430">
        <w:rPr>
          <w:noProof/>
        </w:rPr>
        <w:t>Pasažieru skaits lidostā Rīgā pagaidām nedaudz pārsniedz pagājušā gada līmeni – gada pirmajos piecos mēnešos apkalpoti 2,5 miljoni pasažieru, kas ir par 3,5% vairāk nekā pirms gada, taču pieauguma tempi mēnesi pēc mēneša mazinās. Pasažieru skaits sauszemes transportā</w:t>
      </w:r>
      <w:r w:rsidRPr="00CA2430">
        <w:rPr>
          <w:rFonts w:eastAsia="Aptos" w:cs="Times New Roman"/>
          <w:bCs/>
          <w:noProof/>
          <w:szCs w:val="20"/>
          <w14:ligatures w14:val="standardContextual"/>
        </w:rPr>
        <w:t xml:space="preserve"> salīdzinājumā ar pagājušā gada pirmo ceturksni palielinājies par 2,0%, bet pasažieru skaits jūras ostās sarucis par 6,8%.</w:t>
      </w:r>
    </w:p>
    <w:p w14:paraId="78257E30" w14:textId="77777777" w:rsidR="009771C1" w:rsidRPr="00CA2430" w:rsidRDefault="009771C1" w:rsidP="0083634D">
      <w:pPr>
        <w:rPr>
          <w:rFonts w:eastAsia="Aptos" w:cs="Times New Roman"/>
          <w:noProof/>
        </w:rPr>
      </w:pPr>
      <w:r w:rsidRPr="00CA2430">
        <w:rPr>
          <w:b/>
          <w:bCs/>
          <w:noProof/>
        </w:rPr>
        <w:t xml:space="preserve">Finanšu un apdrošināšanas nozarē, </w:t>
      </w:r>
      <w:r w:rsidRPr="00CA2430">
        <w:rPr>
          <w:rFonts w:eastAsia="Aptos" w:cs="Times New Roman"/>
          <w:noProof/>
        </w:rPr>
        <w:t xml:space="preserve">ņemot vērā </w:t>
      </w:r>
      <w:r w:rsidRPr="00CA2430">
        <w:rPr>
          <w:rFonts w:eastAsia="Aptos" w:cs="Times New Roman"/>
          <w:i/>
          <w:iCs/>
          <w:noProof/>
        </w:rPr>
        <w:t>Euribor</w:t>
      </w:r>
      <w:r w:rsidRPr="00CA2430">
        <w:rPr>
          <w:rFonts w:eastAsia="Aptos" w:cs="Times New Roman"/>
          <w:noProof/>
        </w:rPr>
        <w:t xml:space="preserve"> likmju kāpumu 2023. gadā, bankas Latvijā pērn guva rekordlielus  procentu ieņēmumus un gadu kopumā noslēdza ar peļņu 573,5 miljonu </w:t>
      </w:r>
      <w:r w:rsidRPr="00CA2430">
        <w:rPr>
          <w:rFonts w:eastAsia="Aptos" w:cs="Times New Roman"/>
          <w:i/>
          <w:iCs/>
          <w:noProof/>
        </w:rPr>
        <w:t>euro</w:t>
      </w:r>
      <w:r w:rsidRPr="00CA2430">
        <w:rPr>
          <w:rFonts w:eastAsia="Aptos" w:cs="Times New Roman"/>
          <w:noProof/>
        </w:rPr>
        <w:t xml:space="preserve"> apmērā, kas bija par aptuveni 75% vairāk nekā 2022. gadā. Eiropas Centrālā banka prognozē, ka 2% inflācijas mērķis eirozonā tiks sasniegts nākamā gada otrajā pusē, un </w:t>
      </w:r>
      <w:r w:rsidRPr="00CA2430">
        <w:rPr>
          <w:rFonts w:eastAsia="Aptos" w:cs="Times New Roman"/>
          <w:noProof/>
        </w:rPr>
        <w:lastRenderedPageBreak/>
        <w:t>no 2024. gada 12. jūnija ir pieņēmusi lēmumu samazināt noguldījumu likmes centrālajā bankā par 0,25%, tādējādi aizsākot jaunu likmju pazemināšanas biznesa ciklu.</w:t>
      </w:r>
    </w:p>
    <w:p w14:paraId="5166E582" w14:textId="77777777" w:rsidR="009771C1" w:rsidRPr="00CA2430" w:rsidRDefault="009771C1" w:rsidP="0083634D">
      <w:pPr>
        <w:rPr>
          <w:rFonts w:eastAsia="Aptos" w:cs="Times New Roman"/>
          <w:noProof/>
        </w:rPr>
      </w:pPr>
      <w:r w:rsidRPr="00CA2430">
        <w:rPr>
          <w:rFonts w:eastAsia="Aptos" w:cs="Times New Roman"/>
          <w:noProof/>
        </w:rPr>
        <w:t xml:space="preserve">Latvijas banku peļņa 2024. gada pirmajos piecos mēnešos jau ir nedaudz samazinājusies un ir par aptuveni 7% zemāka, salīdzinot ar 2023. gada attiecīgo periodu. Lai arī aprīlī un maijā kreditēšana ir aktivizējusies un maija beigās jaunizsniegto kredītu apjoms mājsaimniecībām, salīdzinot ar iepriekšējo gadu, ir nedaudz palielinājies, tomēr tam var būt arī tikai sezonāls raksturs, jo līdzīgi kreditēšanas pieauguma tempi šogad ir turpinājušies arī Lietuvā un Igaunijā. Ņemot vērā daudz straujāko kreditēšanas attīstību mūsu kaimiņvalstīs iepriekšējos periodos, Latvija turpina būtiski iepalikt attiecībā pret kaimiņiem kreditēšanas jomā. Eirozonā vidēji banku kredītportfeļa kopējais apjoms veido ap 83,5% no IKP, savukārt Latvijā tas ir tikai 28,5% no IKP, Lietuvā 35,6%, bet Igaunijā 59,1% no IKP. </w:t>
      </w:r>
    </w:p>
    <w:p w14:paraId="737F7F9E"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Ārējā tirdzniecība</w:t>
      </w:r>
    </w:p>
    <w:p w14:paraId="7D4FD6F7" w14:textId="39D436ED" w:rsidR="009771C1" w:rsidRPr="00CA2430" w:rsidRDefault="009771C1" w:rsidP="0083634D">
      <w:pPr>
        <w:rPr>
          <w:rFonts w:eastAsia="Aptos" w:cs="Times New Roman"/>
          <w:noProof/>
          <w:kern w:val="2"/>
          <w14:ligatures w14:val="standardContextual"/>
        </w:rPr>
      </w:pPr>
      <w:r w:rsidRPr="00CA2430">
        <w:rPr>
          <w:rFonts w:eastAsia="Aptos" w:cs="Times New Roman"/>
          <w:noProof/>
          <w:kern w:val="2"/>
          <w14:ligatures w14:val="standardContextual"/>
        </w:rPr>
        <w:t>Ārējās tirdzniecības aktivitātes kritums pērnajā gadā bija vērojams visā pasaulē, tostarp arī Eiropas Savienībā jeb galvenajā Latvijas preču un pakalpojumu eksporta tirgū. Vārgā ekonomikas izaugsme ES, ko vienlaicīgi negatīvi ietekmēja gan augstā inflācija, gan augstās procentu likmes, gan citi ekonomiskie un ģeopolitiskie faktori, būtiski mazināja ekonomisko aktivitāti, kā rezultātā Latvijas eksportētājiem mazinājās ārējais pieprasījums nozīmīgākajos ES noieta tirgos</w:t>
      </w:r>
      <w:r w:rsidR="00174092" w:rsidRPr="00CA2430">
        <w:rPr>
          <w:rFonts w:eastAsia="Aptos" w:cs="Times New Roman"/>
          <w:noProof/>
          <w:kern w:val="2"/>
          <w14:ligatures w14:val="standardContextual"/>
        </w:rPr>
        <w:t xml:space="preserve">, </w:t>
      </w:r>
      <w:r w:rsidRPr="00CA2430">
        <w:rPr>
          <w:rFonts w:eastAsia="Aptos" w:cs="Times New Roman"/>
          <w:noProof/>
          <w:kern w:val="2"/>
          <w14:ligatures w14:val="standardContextual"/>
        </w:rPr>
        <w:t>un Latvijas preču un pakalpojumu eksports 2023.</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gadā pirmo reizi kopš 2010.</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gada ir samazinājies. Kopējā eksporta vērtība 2023.</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gadā veidoja 19</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 xml:space="preserve">665 </w:t>
      </w:r>
      <w:r w:rsidRPr="00CA2430">
        <w:rPr>
          <w:rFonts w:eastAsia="Calibri" w:cs="Arial"/>
          <w:noProof/>
          <w:kern w:val="2"/>
          <w14:ligatures w14:val="standardContextual"/>
        </w:rPr>
        <w:t>milj.</w:t>
      </w:r>
      <w:r w:rsidR="00174092" w:rsidRPr="00CA2430">
        <w:rPr>
          <w:rFonts w:eastAsia="Calibri" w:cs="Arial"/>
          <w:noProof/>
          <w:kern w:val="2"/>
          <w14:ligatures w14:val="standardContextual"/>
        </w:rPr>
        <w:t xml:space="preserve"> </w:t>
      </w:r>
      <w:r w:rsidRPr="00CA2430">
        <w:rPr>
          <w:rFonts w:eastAsia="Aptos" w:cs="Times New Roman"/>
          <w:i/>
          <w:iCs/>
          <w:noProof/>
          <w:kern w:val="2"/>
          <w14:ligatures w14:val="standardContextual"/>
        </w:rPr>
        <w:t xml:space="preserve">euro </w:t>
      </w:r>
      <w:r w:rsidRPr="00CA2430">
        <w:rPr>
          <w:rFonts w:eastAsia="Aptos" w:cs="Times New Roman"/>
          <w:noProof/>
          <w:kern w:val="2"/>
          <w14:ligatures w14:val="standardContextual"/>
        </w:rPr>
        <w:t xml:space="preserve">salīdzināmās cenās, kas bija par 5,9% mazāk nekā iepriekšējā gadā. </w:t>
      </w:r>
      <w:r w:rsidR="00BC59F4" w:rsidRPr="00CA2430">
        <w:rPr>
          <w:rFonts w:eastAsia="Aptos" w:cs="Times New Roman"/>
          <w:noProof/>
          <w:kern w:val="2"/>
          <w14:ligatures w14:val="standardContextual"/>
        </w:rPr>
        <w:t>Šāds eksporta kritums bija viens no straujākajiem ES dalībvalstu vidū</w:t>
      </w:r>
      <w:r w:rsidRPr="00CA2430">
        <w:rPr>
          <w:rFonts w:eastAsia="Aptos" w:cs="Times New Roman"/>
          <w:noProof/>
          <w:kern w:val="2"/>
          <w14:ligatures w14:val="standardContextual"/>
        </w:rPr>
        <w:t>.</w:t>
      </w:r>
      <w:r w:rsidR="00BC59F4" w:rsidRPr="00CA2430">
        <w:rPr>
          <w:rFonts w:eastAsia="Aptos" w:cs="Times New Roman"/>
          <w:noProof/>
          <w:kern w:val="2"/>
          <w14:ligatures w14:val="standardContextual"/>
        </w:rPr>
        <w:t xml:space="preserve"> </w:t>
      </w:r>
      <w:r w:rsidRPr="00CA2430">
        <w:rPr>
          <w:rFonts w:eastAsia="Aptos" w:cs="Times New Roman"/>
          <w:noProof/>
          <w:kern w:val="2"/>
          <w14:ligatures w14:val="standardContextual"/>
        </w:rPr>
        <w:t xml:space="preserve">Vēl straujāks preču un pakalpojumu eksporta kritums pērnajā gadā bija tikai Igaunijā </w:t>
      </w:r>
      <w:r w:rsidR="00174092" w:rsidRPr="00CA2430">
        <w:rPr>
          <w:rFonts w:eastAsia="Aptos" w:cs="Times New Roman"/>
          <w:noProof/>
          <w:kern w:val="2"/>
          <w14:ligatures w14:val="standardContextual"/>
        </w:rPr>
        <w:t>–</w:t>
      </w:r>
      <w:r w:rsidRPr="00CA2430">
        <w:rPr>
          <w:rFonts w:eastAsia="Aptos" w:cs="Times New Roman"/>
          <w:noProof/>
          <w:kern w:val="2"/>
          <w14:ligatures w14:val="standardContextual"/>
        </w:rPr>
        <w:t xml:space="preserve"> par 6,9%, bet  Lietuvas eksporta vērtība samazinājās par 3,3%. Tas apliecina, ka Baltijas valstis pagājušajā gadā visasāk izjuta ārējā pieprasījuma kritumu. Papildus tam jānorāda, ka visām Baltijas valstīm pagājušajā gadā samazinājās arī iekšzemes kopprodukts, ko lielā mērā noteica tieši eksporta kritums. </w:t>
      </w:r>
    </w:p>
    <w:p w14:paraId="7AF6CA9F" w14:textId="1D65F76B" w:rsidR="009771C1" w:rsidRPr="00CA2430" w:rsidRDefault="009771C1" w:rsidP="0083634D">
      <w:pPr>
        <w:rPr>
          <w:rFonts w:eastAsia="Calibri" w:cs="Arial"/>
          <w:noProof/>
          <w:kern w:val="2"/>
          <w14:ligatures w14:val="standardContextual"/>
        </w:rPr>
      </w:pPr>
      <w:r w:rsidRPr="00CA2430">
        <w:rPr>
          <w:rFonts w:eastAsia="Aptos" w:cs="Times New Roman"/>
          <w:noProof/>
          <w:kern w:val="2"/>
          <w14:ligatures w14:val="standardContextual"/>
        </w:rPr>
        <w:t xml:space="preserve">Pagājušajā gadā samazinājusies arī Latvijas preču un pakalpojumu importa vērtība </w:t>
      </w:r>
      <w:r w:rsidR="00174092" w:rsidRPr="00CA2430">
        <w:rPr>
          <w:rFonts w:eastAsia="Aptos" w:cs="Times New Roman"/>
          <w:noProof/>
          <w:kern w:val="2"/>
          <w14:ligatures w14:val="standardContextual"/>
        </w:rPr>
        <w:t>–</w:t>
      </w:r>
      <w:r w:rsidRPr="00CA2430">
        <w:rPr>
          <w:rFonts w:eastAsia="Aptos" w:cs="Times New Roman"/>
          <w:noProof/>
          <w:kern w:val="2"/>
          <w14:ligatures w14:val="standardContextual"/>
        </w:rPr>
        <w:t xml:space="preserve"> par 2,8%, ko noteica starppatēriņa preču importa kritums zemākas apstrādes rūpniecības aktivitātes dēļ. </w:t>
      </w:r>
      <w:r w:rsidRPr="00CA2430">
        <w:rPr>
          <w:rFonts w:eastAsia="Calibri" w:cs="Arial"/>
          <w:noProof/>
          <w:kern w:val="2"/>
          <w14:ligatures w14:val="standardContextual"/>
        </w:rPr>
        <w:t>Ņemot vērā, ka preču un pakalpojumu eksports ir samazinājies straujāk nekā imports, ārējās tirdzniecības bilance 2023. gadā ir pasliktinājusies. Tādējādi ārējās tirdzniecības devums IKP pieaugumā bija negatīvs jeb -2,1 procentpunkti, kas ir būtiski vairāk nekā 2022. gadā, kad neto eksporta devums bija -0,9 procentpunkti. Eksporta un importa kritums pērnajā gadā bijis straujāks nekā IKP samazinājums, līdz ar to ārējās tirdzniecības īpatsvars tautsaimniecībā samazinājusies. Eksporta īpatsvars nominālajā IKP 2023. gadā samazinājās par 8,8</w:t>
      </w:r>
      <w:r w:rsidR="00174092" w:rsidRPr="00CA2430">
        <w:rPr>
          <w:rFonts w:eastAsia="Calibri" w:cs="Arial"/>
          <w:noProof/>
          <w:kern w:val="2"/>
          <w14:ligatures w14:val="standardContextual"/>
        </w:rPr>
        <w:t> </w:t>
      </w:r>
      <w:r w:rsidRPr="00CA2430">
        <w:rPr>
          <w:rFonts w:eastAsia="Calibri" w:cs="Arial"/>
          <w:noProof/>
          <w:kern w:val="2"/>
          <w14:ligatures w14:val="standardContextual"/>
        </w:rPr>
        <w:t>procentpunktiem un sasniedza 64,1%. Savukārt importa īpatsvars valsts ekonomikā pērnajā gadā veidoja 67,9%, samazinoties par 9,6 procentpunktiem salīdzinājumā ar 2022. gadu.</w:t>
      </w:r>
    </w:p>
    <w:p w14:paraId="68C83091" w14:textId="77777777" w:rsidR="009771C1" w:rsidRPr="00CA2430" w:rsidRDefault="009771C1" w:rsidP="0083634D">
      <w:pPr>
        <w:rPr>
          <w:noProof/>
        </w:rPr>
      </w:pPr>
      <w:r w:rsidRPr="00CA2430">
        <w:rPr>
          <w:rFonts w:eastAsia="Calibri" w:cs="Arial"/>
          <w:noProof/>
        </w:rPr>
        <w:t xml:space="preserve">Mēnešu statistika uzrāda, ka 2024. gada pirmajos piecos mēnešos preču eksporta vērtība faktiskajās cenās ir </w:t>
      </w:r>
      <w:r w:rsidRPr="00CA2430">
        <w:rPr>
          <w:rFonts w:cs="Times New Roman"/>
          <w:noProof/>
        </w:rPr>
        <w:t>samazinājusies par 5,8%, salīdzinot ar attiecīgo periodu pērn.</w:t>
      </w:r>
      <w:r w:rsidRPr="00CA2430">
        <w:rPr>
          <w:rFonts w:eastAsia="Calibri" w:cs="Arial"/>
          <w:noProof/>
          <w:kern w:val="2"/>
          <w14:ligatures w14:val="standardContextual"/>
        </w:rPr>
        <w:t xml:space="preserve"> </w:t>
      </w:r>
      <w:r w:rsidRPr="00CA2430">
        <w:rPr>
          <w:noProof/>
        </w:rPr>
        <w:t>Vērtējot preču eksporta dinamiku, jāsecina, ka arī šī gada jūnijā turpināsies preču eksporta kritums. Pagrieziena brīdis varētu būt jūlijs, kad galvenokārt bāzes efektu dēļ atsāksies preču eksporta pieaugums gada griezumā. Tomēr pat šādā scenārijā eksporta pieaugums būs mērens un pakāpenisks.</w:t>
      </w:r>
    </w:p>
    <w:p w14:paraId="62FC1FC9" w14:textId="16B4A7B8" w:rsidR="009771C1" w:rsidRPr="00CA2430" w:rsidRDefault="009771C1" w:rsidP="0083634D">
      <w:pPr>
        <w:rPr>
          <w:rFonts w:cs="Times New Roman"/>
          <w:noProof/>
        </w:rPr>
      </w:pPr>
      <w:r w:rsidRPr="00CA2430">
        <w:rPr>
          <w:noProof/>
        </w:rPr>
        <w:t xml:space="preserve">Eksporta kritums šogad fiksēts lielākai daļai no preču grupām. </w:t>
      </w:r>
      <w:r w:rsidRPr="00CA2430">
        <w:rPr>
          <w:rFonts w:cs="Times New Roman"/>
          <w:noProof/>
        </w:rPr>
        <w:t xml:space="preserve">Lielākais negatīvais devums kopējā preču eksporta samazinājumā šā gada piecos mēnešos bija minerālproduktu eksportam, kas kritās par 20,8%, tādējādi izskaidrojot 2,0 procentpunktus no kopējā preču eksporta samazinājuma. </w:t>
      </w:r>
      <w:bookmarkStart w:id="2" w:name="_Hlk172292502"/>
      <w:r w:rsidRPr="00CA2430">
        <w:rPr>
          <w:rFonts w:cs="Times New Roman"/>
          <w:noProof/>
        </w:rPr>
        <w:t xml:space="preserve">Minerālproduktu eksporta kritumu noteica sašķidrinātās naftas gāzes reeksporta samazinājums par 55,3%, </w:t>
      </w:r>
      <w:bookmarkEnd w:id="2"/>
      <w:r w:rsidRPr="00CA2430">
        <w:rPr>
          <w:rFonts w:cs="Times New Roman"/>
          <w:noProof/>
        </w:rPr>
        <w:t>kā arī elektroenerģijas eksporta kritums par 10,8%. Naftas gāzes reeksporta kritums tika fiksēts uz Igauniju un Somiju, bet elektroenerģijas eksporta samazinājums uz Lietuvu. Zīmīgi, ka šā gada piecos mēnešos būtiski (vairāk nekā 4 reizes) pieauga elektroenerģijas eksports uz Krieviju, sasniedzot 13,6 milj.</w:t>
      </w:r>
      <w:r w:rsidR="0083634D" w:rsidRPr="00CA2430">
        <w:rPr>
          <w:rFonts w:cs="Times New Roman"/>
          <w:noProof/>
        </w:rPr>
        <w:t xml:space="preserve"> </w:t>
      </w:r>
      <w:r w:rsidRPr="00CA2430">
        <w:rPr>
          <w:rFonts w:cs="Times New Roman"/>
          <w:i/>
          <w:iCs/>
          <w:noProof/>
        </w:rPr>
        <w:t xml:space="preserve">euro. </w:t>
      </w:r>
      <w:r w:rsidRPr="00CA2430">
        <w:rPr>
          <w:rFonts w:cs="Times New Roman"/>
          <w:noProof/>
        </w:rPr>
        <w:t xml:space="preserve">Turpretim </w:t>
      </w:r>
      <w:r w:rsidRPr="00CA2430">
        <w:rPr>
          <w:rFonts w:cs="Times New Roman"/>
          <w:noProof/>
        </w:rPr>
        <w:lastRenderedPageBreak/>
        <w:t>elektroenerģijas imports, kā arī jēlnaftas un naftas gāzes imports no Krievijas attiecīgajā laika periodā būtiski samazinājies.</w:t>
      </w:r>
    </w:p>
    <w:p w14:paraId="7D5C5E8C" w14:textId="77777777" w:rsidR="009771C1" w:rsidRPr="00CA2430" w:rsidRDefault="009771C1" w:rsidP="0083634D">
      <w:pPr>
        <w:rPr>
          <w:b/>
          <w:bCs/>
          <w:noProof/>
          <w:color w:val="000000" w:themeColor="text1"/>
        </w:rPr>
      </w:pPr>
      <w:r w:rsidRPr="00CA2430">
        <w:rPr>
          <w:rFonts w:cs="Times New Roman"/>
          <w:noProof/>
        </w:rPr>
        <w:t>Būtisku negatīvu</w:t>
      </w:r>
      <w:r w:rsidRPr="00CA2430">
        <w:rPr>
          <w:noProof/>
        </w:rPr>
        <w:t xml:space="preserve"> ietekmi kopējā preču eksporta samazinājumā atstāja mehānismu un elektroiekārtu eksporta kritums par 8,6%, izskaidrojot 1,4 procentpunktus no kopējā preču eksporta samazinājuma. Eksporta struktūra šajā preču grupā ir </w:t>
      </w:r>
      <w:r w:rsidRPr="00CA2430">
        <w:rPr>
          <w:noProof/>
          <w:color w:val="000000" w:themeColor="text1"/>
        </w:rPr>
        <w:t>sadrumstalota, to veido dažādi mehāniskie un elektroierīču izstrādājumi vai to detaļas, kas tiek saražotas gan iekšzemē, gan importētas. Lai arī precīzi nav iespējams pateikt reeksporta īpatsvaru šajā preču grupā, tomēr jāsecina, ka noteicošā loma preču eksporta samazinājumā bija tieši reeksporta daļai. Būtiski samazinājies telefonu aparātu un mobilo telefonu eksports, kā arī elektriskai kontrolei vai elektrības sadalei paredzēto iekārtu un</w:t>
      </w:r>
      <w:r w:rsidRPr="00CA2430">
        <w:rPr>
          <w:b/>
          <w:bCs/>
          <w:noProof/>
          <w:color w:val="000000" w:themeColor="text1"/>
        </w:rPr>
        <w:t xml:space="preserve"> </w:t>
      </w:r>
      <w:r w:rsidRPr="00CA2430">
        <w:rPr>
          <w:noProof/>
          <w:color w:val="000000" w:themeColor="text1"/>
        </w:rPr>
        <w:t>elektroaparatūras elektrisko ķēžu ieslēgšanai eksports. Lielāka daļa no augstākminētajām precēm tiek reeksportēta.</w:t>
      </w:r>
    </w:p>
    <w:p w14:paraId="5BA41CB7" w14:textId="61041EA9" w:rsidR="009771C1" w:rsidRPr="00CA2430" w:rsidRDefault="009771C1" w:rsidP="0083634D">
      <w:pPr>
        <w:rPr>
          <w:noProof/>
        </w:rPr>
      </w:pPr>
      <w:r w:rsidRPr="00CA2430">
        <w:rPr>
          <w:noProof/>
          <w:color w:val="000000" w:themeColor="text1"/>
        </w:rPr>
        <w:t>Lauksaimniecības un pārtikas preču eksporta vērtība piecos mēnešos samazinājās par 4,6%, tādējādi izskaidrojot 1,0</w:t>
      </w:r>
      <w:r w:rsidR="00174092" w:rsidRPr="00CA2430">
        <w:rPr>
          <w:noProof/>
          <w:color w:val="000000" w:themeColor="text1"/>
        </w:rPr>
        <w:t> </w:t>
      </w:r>
      <w:r w:rsidRPr="00CA2430">
        <w:rPr>
          <w:noProof/>
          <w:color w:val="000000" w:themeColor="text1"/>
        </w:rPr>
        <w:t xml:space="preserve">procentpunktu no kopējā preču eksporta samazinājuma. Eksporta kritumu šajā preču grupā galvenokārt noteica </w:t>
      </w:r>
      <w:r w:rsidRPr="00CA2430">
        <w:rPr>
          <w:noProof/>
        </w:rPr>
        <w:t xml:space="preserve">graudaugu, alkoholisko dzērienu, kā arī pārtikas rūpniecības atlieku eksporta samazinājums. </w:t>
      </w:r>
    </w:p>
    <w:p w14:paraId="41EE7C0F" w14:textId="77777777" w:rsidR="009771C1" w:rsidRPr="00CA2430" w:rsidRDefault="009771C1" w:rsidP="0083634D">
      <w:pPr>
        <w:rPr>
          <w:noProof/>
        </w:rPr>
      </w:pPr>
      <w:r w:rsidRPr="00CA2430">
        <w:rPr>
          <w:noProof/>
        </w:rPr>
        <w:t>Koka un koksnes izstrādājumu eksporta vērtība piecos mēnešos samazinājās par 2,9%. Tomēr analizējot aktuālākos šā gada maija datus, var novērot arī pozitīvas tendences. Šā gada maijā pēc gandrīz pusotra gada pārtraukuma šai preču grupai tika fiksēts eksporta pieaugums 7,1% apmērā salīdzinājumā ar pērnā gada maiju. Šajā preču grupā eksportu labvēlīgi ietekmēja koksnes granulu un kokmateriālu eksporta pieaugums, un sagaidāms, ka arī turpmākajos mēnešos varētu būt vērojams mērens koka un koksnes izstrādājumu eksporta palielinājums.</w:t>
      </w:r>
    </w:p>
    <w:p w14:paraId="751A34A5" w14:textId="77777777" w:rsidR="009771C1" w:rsidRPr="00CA2430" w:rsidRDefault="009771C1" w:rsidP="0083634D">
      <w:pPr>
        <w:rPr>
          <w:noProof/>
        </w:rPr>
      </w:pPr>
      <w:r w:rsidRPr="00CA2430">
        <w:rPr>
          <w:noProof/>
        </w:rPr>
        <w:t>Kopējo preču eksporta kritumu šogad nedaudz mazināja ķīmiskās rūpniecības ražojumu eksporta pieaugums par 13,4%, salīdzinot ar pērnā gada pirmajiem pieciem mēnešiem.</w:t>
      </w:r>
    </w:p>
    <w:p w14:paraId="09629F0C" w14:textId="77777777" w:rsidR="009771C1" w:rsidRPr="00CA2430" w:rsidRDefault="009771C1" w:rsidP="0083634D">
      <w:pPr>
        <w:rPr>
          <w:rFonts w:eastAsia="Calibri" w:cs="Arial"/>
          <w:noProof/>
          <w:szCs w:val="20"/>
        </w:rPr>
      </w:pPr>
      <w:r w:rsidRPr="00CA2430">
        <w:rPr>
          <w:noProof/>
        </w:rPr>
        <w:t xml:space="preserve">Arī pakalpojumu eksportam šogad vērojama lejupvērsta dinamika. 2024. gada pirmajos piecos mēnešos pakalpojumu eksporta vērtība bija par 4,1% zemāka nekā pērnā gada attiecīgajā periodā, ko </w:t>
      </w:r>
      <w:r w:rsidRPr="00CA2430">
        <w:rPr>
          <w:rFonts w:eastAsia="Calibri" w:cs="Arial"/>
          <w:noProof/>
          <w:szCs w:val="20"/>
        </w:rPr>
        <w:t xml:space="preserve">negatīvi ietekmēja komerciālo pakalpojumu eksporta samazinājums, tostarp telesakaru pakalpojumiem, atpūtas pakalpojumiem, kā arī citiem saimnieciskās darbības pakalpojumiem. Lai arī apkalpoto ārvalstu viesu skaits Latvijas viesnīcās šā gada piecos mēnešos bijis par 11,2% lielāks nekā pirms gada, ārvalstu tūristu izdevumi Latvijā bija par 0,2% mazāki nekā pērnā gada attiecīgajā periodā. Savukārt transporta pakalpojumu eksporta vērtība bija par 4,7% augstāka salīdzinājumā ar 2023. gada pirmajiem pieciem mēnešiem. Transporta pakalpojumu eksportu veicina augstāki ieņēmumi gaisa transporta un autotransporta apakšnozarē. </w:t>
      </w:r>
    </w:p>
    <w:p w14:paraId="277C41A3" w14:textId="77777777" w:rsidR="009771C1" w:rsidRPr="00CA2430" w:rsidRDefault="009771C1" w:rsidP="0083634D">
      <w:pPr>
        <w:rPr>
          <w:noProof/>
          <w:szCs w:val="20"/>
        </w:rPr>
      </w:pPr>
      <w:r w:rsidRPr="00CA2430">
        <w:rPr>
          <w:noProof/>
          <w:szCs w:val="20"/>
        </w:rPr>
        <w:t>Preču importa kritums 2024. gada piecos mēnešos bija būtiski straujāks nekā preču eksporta samazinājums. Preču importa vērtība, salīdzinot ar pērnā gada pirmajiem pieciem mēnešiem, samazinājās par 11,8%, tādējādi samazinot preču ārējās tirdzniecības deficītu. Tāpat kā preču eksportā, arī preču importā kritums bija fiksēts praktiski visās preču grupās. Noteicošā loma preču importa kritumā bija minerālproduktu grupai (-35,7%), samazinoties jēlnaftas un gāzes importam. Satiksmes līdzekļu importa vērtības samazinājumu par 26,9% noteica automobiļu un lidmašīnu importa kritums. Par 14,7% samazinājās mehānismu un elektroiekārtu preču imports, ko ietekmēja lauksaimniecībā un mežsaimniecībā izmantotās tehnikas importa kritums, telefonu aparātu, pusvadītājierīču, kā arī integrālo shēmu importa kritums. Preču importa kritums bija fiksēts arī pārējām preču grupām, tomēr tas bija nenozīmīgs.</w:t>
      </w:r>
    </w:p>
    <w:p w14:paraId="64EEDF7B" w14:textId="77777777" w:rsidR="009771C1" w:rsidRPr="00CA2430" w:rsidRDefault="009771C1" w:rsidP="0083634D">
      <w:pPr>
        <w:rPr>
          <w:noProof/>
          <w:szCs w:val="20"/>
        </w:rPr>
      </w:pPr>
      <w:r w:rsidRPr="00CA2430">
        <w:rPr>
          <w:noProof/>
          <w:szCs w:val="20"/>
        </w:rPr>
        <w:t xml:space="preserve">Pakalpojumu imports 2024. gada piecos mēnešos samazinājies par 2,4% salīdzinājumā ar pērnā gada attiecīgo periodu. Importa samazinājums tika fiksēts praktiski visiem pakalpojumu veidiem, izņemot tūrisma pakalpojumus. Tā, transporta pakalpojumu importa vērtība samazinājās par 7,1%, bet citu komerciālu pakalpojumu importa vērtības kritums veidoja 7,5%. Savukārt Latvijas iedzīvotāju izdevumi ārvalstīs šā gada piecos mēnešos bija par 17,3% augstāki nekā pērnā gada attiecīgajā periodā. </w:t>
      </w:r>
    </w:p>
    <w:p w14:paraId="3B0066A6" w14:textId="77777777" w:rsidR="009771C1" w:rsidRPr="00CA2430" w:rsidRDefault="009771C1" w:rsidP="0083634D">
      <w:pPr>
        <w:rPr>
          <w:rFonts w:eastAsia="Calibri" w:cs="Arial"/>
          <w:noProof/>
          <w:szCs w:val="20"/>
        </w:rPr>
      </w:pPr>
      <w:r w:rsidRPr="00CA2430">
        <w:rPr>
          <w:rFonts w:cs="Times New Roman"/>
          <w:noProof/>
        </w:rPr>
        <w:lastRenderedPageBreak/>
        <w:t xml:space="preserve">Vērtējot aktuālākos ES ekonomikas konfidences rādītājus, jāsecina, ka tie saglabājas stabili zemā līmenī. Uzņēmēju un patērētāju novērtējums par ekonomisko aktivitāti dažādās ES dalībvalstīs ir atšķirīgs, tomēr Latvijai nozīmīgākajos eksporta tirgos – Vācijā, Lietuvā, Igaunijā, Nīderlandē un Zviedrijā – ekonomikas konfidenci var vērtēt drīzāk kā pesimistisku. </w:t>
      </w:r>
      <w:r w:rsidRPr="00CA2430">
        <w:rPr>
          <w:rFonts w:eastAsia="Aptos"/>
          <w:noProof/>
        </w:rPr>
        <w:t>Vērtējot kopējo noskaņojumu Eiropas Savienībā nozaru griezumā, jāsecina, ka situācija pakalpojumu nozarēs pakāpeniski uzlabojas. Savukārt konfidence rūpniecībā un būvniecībā, kas ir svarīgākās nozares tieši Latvijas eksportētājiem, ES saglabājas pesimistiska.</w:t>
      </w:r>
    </w:p>
    <w:p w14:paraId="475D8381" w14:textId="11CE5E17" w:rsidR="009771C1" w:rsidRPr="00CA2430" w:rsidRDefault="009771C1" w:rsidP="0083634D">
      <w:pPr>
        <w:rPr>
          <w:rFonts w:cs="Times New Roman"/>
          <w:noProof/>
        </w:rPr>
      </w:pPr>
      <w:r w:rsidRPr="00CA2430">
        <w:rPr>
          <w:rFonts w:cs="Times New Roman"/>
          <w:noProof/>
        </w:rPr>
        <w:t>Šā gada jūlijā Starptautiskais Valūtas fonds aktualizēja savas makroekonomikas prognozes, palielinot eirozonas IKP pieaugumu šim gadam par 0,1 procentpunktu līdz 0,9%, ko lielā mērā noteica augstākas ekonomikas izaugsmes prognozes Francijā un Spānijā, salīdzinot ar iepriekšējo novērtējumu šā gada aprīlī. Lai arī eirozonas ekonomikas izaugsmes prognoze šim gadam ir paaugstināta, tomēr šis paaugstinājums ir vērtējams kā simbolisks un apstiprina, ka ārējais pieprasījums joprojām saglabājas vājš, līdz ar to nav priekšnosacījumu straujai Latvijas eksporta attīstībai. Atbilstoši Finanšu ministrijas aktualizētajām makroekonomisko rādītāju prognozēm, Latvijas preču un pakalpojumu eksports 2024.</w:t>
      </w:r>
      <w:r w:rsidR="00174092" w:rsidRPr="00CA2430">
        <w:rPr>
          <w:rFonts w:cs="Times New Roman"/>
          <w:noProof/>
        </w:rPr>
        <w:t> </w:t>
      </w:r>
      <w:r w:rsidRPr="00CA2430">
        <w:rPr>
          <w:rFonts w:cs="Times New Roman"/>
          <w:noProof/>
        </w:rPr>
        <w:t>gadā salīdzināmajās cenās palielināsies par 0,3%, bet preču un pakalpojumu imports pieaugs par 1,0%.</w:t>
      </w:r>
    </w:p>
    <w:p w14:paraId="698ACE9E"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Tekošais konts</w:t>
      </w:r>
    </w:p>
    <w:p w14:paraId="0D256CAD" w14:textId="76A72168" w:rsidR="009771C1" w:rsidRPr="00CA2430" w:rsidRDefault="009771C1" w:rsidP="0083634D">
      <w:pPr>
        <w:rPr>
          <w:rFonts w:eastAsia="Calibri" w:cs="Arial"/>
          <w:noProof/>
          <w:kern w:val="2"/>
          <w14:ligatures w14:val="standardContextual"/>
        </w:rPr>
      </w:pPr>
      <w:r w:rsidRPr="00CA2430">
        <w:rPr>
          <w:rFonts w:eastAsia="Calibri" w:cs="Arial"/>
          <w:noProof/>
          <w:kern w:val="2"/>
          <w14:ligatures w14:val="standardContextual"/>
        </w:rPr>
        <w:t>2023. gadā maksājumu bilances tekošā konta deficīts salīdzinājumā ar iepriekšējo gadu ir samazinājies, tomēr saglabājies augsts. Tā 2022.gadā tekošā konta deficīts bija 4,7% no IKP, bet pagājušajā  gadā deficīts bija 1</w:t>
      </w:r>
      <w:r w:rsidR="00174092" w:rsidRPr="00CA2430">
        <w:rPr>
          <w:rFonts w:eastAsia="Calibri" w:cs="Arial"/>
          <w:noProof/>
          <w:kern w:val="2"/>
          <w14:ligatures w14:val="standardContextual"/>
        </w:rPr>
        <w:t> </w:t>
      </w:r>
      <w:r w:rsidRPr="00CA2430">
        <w:rPr>
          <w:rFonts w:eastAsia="Calibri" w:cs="Arial"/>
          <w:noProof/>
          <w:kern w:val="2"/>
          <w14:ligatures w14:val="standardContextual"/>
        </w:rPr>
        <w:t xml:space="preserve">617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jeb 4,0% no IKP. Tekošā konta uzlabojumu noteica otrreizējo ienākumu konta pārpalikuma pieaugums un preču konta deficīta samazinājums. Pateicoties augstākiem ienākumiem no ārvalstīm, ko saņēma gan uzņēmēji, gan mājsaimniecības, kā arī augstākai ES struktūrfondu investīciju plūsmai, otrreizējo ienākumu konta pārpalikums pieauga par 380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līdz 885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2023. gadā samazinājusies gan preču eksporta, gan importa vērtība. Tomēr preču importa kritums bijis nedaudz lielāks, kas labvēlīgi ietekmēja šī konta bilanci, samazinot deficītu par 357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līdz 3</w:t>
      </w:r>
      <w:r w:rsidR="00174092" w:rsidRPr="00CA2430">
        <w:rPr>
          <w:rFonts w:eastAsia="Calibri" w:cs="Arial"/>
          <w:noProof/>
          <w:kern w:val="2"/>
          <w14:ligatures w14:val="standardContextual"/>
        </w:rPr>
        <w:t> </w:t>
      </w:r>
      <w:r w:rsidRPr="00CA2430">
        <w:rPr>
          <w:rFonts w:eastAsia="Calibri" w:cs="Arial"/>
          <w:noProof/>
          <w:kern w:val="2"/>
          <w14:ligatures w14:val="standardContextual"/>
        </w:rPr>
        <w:t xml:space="preserve">736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Lai arī šis samazinājums vērtējams pozitīvi, tomēr preču konta deficīts saglabājas būtisks, kas arī nosaka tekošā konta deficītu. Tā, preču konta deficīts 2023. gadā bija par 1 miljardu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lielāks nekā 2021. gadā un par 2,2 miljardiem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lielāks nekā 2020. gadā. Preču konta deficītu pēdējos gados nosaka augstā importa vērtība, ko izraisījis straujais cenu lēciens, it īpaši energoresursiem, kurus Latvija lielākoties importē. </w:t>
      </w:r>
    </w:p>
    <w:p w14:paraId="6FC6E430" w14:textId="127F3095" w:rsidR="009771C1" w:rsidRPr="00CA2430" w:rsidRDefault="009771C1" w:rsidP="0083634D">
      <w:pPr>
        <w:rPr>
          <w:rFonts w:eastAsia="Calibri" w:cs="Arial"/>
          <w:noProof/>
          <w:kern w:val="2"/>
          <w14:ligatures w14:val="standardContextual"/>
        </w:rPr>
      </w:pPr>
      <w:r w:rsidRPr="00CA2430">
        <w:rPr>
          <w:rFonts w:eastAsia="Calibri" w:cs="Arial"/>
          <w:noProof/>
          <w:kern w:val="2"/>
          <w14:ligatures w14:val="standardContextual"/>
        </w:rPr>
        <w:t xml:space="preserve">Neskatoties uz to, ka 2023. gadā turpinājās pakalpojumu eksporta pieaugums, pakalpojumu imports ir pieaudzis straujāk, tādējādi samazinot konta pārpalikumu par 150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līdz 2</w:t>
      </w:r>
      <w:r w:rsidR="00174092" w:rsidRPr="00CA2430">
        <w:rPr>
          <w:rFonts w:eastAsia="Calibri" w:cs="Arial"/>
          <w:noProof/>
          <w:kern w:val="2"/>
          <w14:ligatures w14:val="standardContextual"/>
        </w:rPr>
        <w:t> </w:t>
      </w:r>
      <w:r w:rsidRPr="00CA2430">
        <w:rPr>
          <w:rFonts w:eastAsia="Calibri" w:cs="Arial"/>
          <w:noProof/>
          <w:kern w:val="2"/>
          <w14:ligatures w14:val="standardContextual"/>
        </w:rPr>
        <w:t xml:space="preserve">182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Vērtējot kopējo ārējās tirdzniecības vērtību, jāsecina, ka preču un pakalpojumu kopējā ārējās tirdzniecības bilance 2023. gadā ir nedaudz uzlabojusies, gan nominālā izteiksmē, gan attiecībā pret IKP. Kopējais preču un pakalpojumu ārējās tirdzniecības deficīts sasniedza 1554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jeb 3,9% no IKP. Sākotnējo ienākumu konta bilanci negatīvi ietekmēja augstākas ārvalstu investoriem izmaksātas dividendes, kā arī citi maksājumi ārvalstīs saistībā ar augstākiem kredītu maksājumiem. Tā rezultātā šī konta deficīts pieauga par 372</w:t>
      </w:r>
      <w:r w:rsidR="00174092" w:rsidRPr="00CA2430">
        <w:rPr>
          <w:rFonts w:eastAsia="Calibri" w:cs="Arial"/>
          <w:noProof/>
          <w:kern w:val="2"/>
          <w14:ligatures w14:val="standardContextual"/>
        </w:rPr>
        <w:t> </w:t>
      </w:r>
      <w:r w:rsidRPr="00CA2430">
        <w:rPr>
          <w:rFonts w:eastAsia="Calibri" w:cs="Arial"/>
          <w:noProof/>
          <w:kern w:val="2"/>
          <w14:ligatures w14:val="standardContextual"/>
        </w:rPr>
        <w:t xml:space="preserve">milj. </w:t>
      </w:r>
      <w:r w:rsidRPr="00CA2430">
        <w:rPr>
          <w:rFonts w:eastAsia="Calibri" w:cs="Arial"/>
          <w:i/>
          <w:iCs/>
          <w:noProof/>
          <w:kern w:val="2"/>
          <w14:ligatures w14:val="standardContextual"/>
        </w:rPr>
        <w:t>euro</w:t>
      </w:r>
      <w:r w:rsidRPr="00CA2430">
        <w:rPr>
          <w:rFonts w:eastAsia="Calibri" w:cs="Arial"/>
          <w:noProof/>
          <w:kern w:val="2"/>
          <w14:ligatures w14:val="standardContextual"/>
        </w:rPr>
        <w:t xml:space="preserve"> līdz 949 milj. </w:t>
      </w:r>
      <w:r w:rsidRPr="00CA2430">
        <w:rPr>
          <w:rFonts w:eastAsia="Calibri" w:cs="Arial"/>
          <w:i/>
          <w:iCs/>
          <w:noProof/>
          <w:kern w:val="2"/>
          <w14:ligatures w14:val="standardContextual"/>
        </w:rPr>
        <w:t>euro</w:t>
      </w:r>
      <w:r w:rsidRPr="00CA2430">
        <w:rPr>
          <w:rFonts w:eastAsia="Calibri" w:cs="Arial"/>
          <w:noProof/>
          <w:kern w:val="2"/>
          <w14:ligatures w14:val="standardContextual"/>
        </w:rPr>
        <w:t>.</w:t>
      </w:r>
    </w:p>
    <w:p w14:paraId="3C2D003F" w14:textId="12B2B144" w:rsidR="009771C1" w:rsidRPr="00CA2430" w:rsidRDefault="009771C1" w:rsidP="0083634D">
      <w:pPr>
        <w:rPr>
          <w:rFonts w:eastAsia="Calibri" w:cs="Arial"/>
          <w:noProof/>
          <w:szCs w:val="20"/>
        </w:rPr>
      </w:pPr>
      <w:r w:rsidRPr="00CA2430">
        <w:rPr>
          <w:rFonts w:eastAsia="Calibri" w:cs="Arial"/>
          <w:noProof/>
          <w:szCs w:val="20"/>
        </w:rPr>
        <w:t xml:space="preserve">2024. gada pirmajos piecos mēnešos Latvijas maksājumu bilances tekošā konta deficīts veidoja 284 milj. </w:t>
      </w:r>
      <w:r w:rsidRPr="00CA2430">
        <w:rPr>
          <w:rFonts w:eastAsia="Calibri" w:cs="Arial"/>
          <w:i/>
          <w:iCs/>
          <w:noProof/>
          <w:szCs w:val="20"/>
        </w:rPr>
        <w:t>euro</w:t>
      </w:r>
      <w:r w:rsidRPr="00CA2430">
        <w:rPr>
          <w:rFonts w:eastAsia="Calibri" w:cs="Arial"/>
          <w:noProof/>
          <w:szCs w:val="20"/>
        </w:rPr>
        <w:t xml:space="preserve"> pretstatā 634 milj. </w:t>
      </w:r>
      <w:r w:rsidRPr="00CA2430">
        <w:rPr>
          <w:rFonts w:eastAsia="Calibri" w:cs="Arial"/>
          <w:i/>
          <w:iCs/>
          <w:noProof/>
          <w:szCs w:val="20"/>
        </w:rPr>
        <w:t xml:space="preserve">euro </w:t>
      </w:r>
      <w:r w:rsidRPr="00CA2430">
        <w:rPr>
          <w:rFonts w:eastAsia="Calibri" w:cs="Arial"/>
          <w:noProof/>
          <w:szCs w:val="20"/>
        </w:rPr>
        <w:t xml:space="preserve">attiecīgajā periodā pagājušajā gadā. Tekošā konta uzlabojumu noteica deficīta samazinājums preču un sākotnējo ienākumu kontā. Ņemot vērā, ka preču imports samazinājies straujāk par preču eksportu, preču konta deficīts samazinājies par 275 milj. </w:t>
      </w:r>
      <w:r w:rsidRPr="00CA2430">
        <w:rPr>
          <w:rFonts w:eastAsia="Calibri" w:cs="Arial"/>
          <w:i/>
          <w:iCs/>
          <w:noProof/>
          <w:szCs w:val="20"/>
        </w:rPr>
        <w:t>euro</w:t>
      </w:r>
      <w:r w:rsidRPr="00CA2430">
        <w:rPr>
          <w:rFonts w:eastAsia="Calibri" w:cs="Arial"/>
          <w:noProof/>
          <w:szCs w:val="20"/>
        </w:rPr>
        <w:t xml:space="preserve"> un veidoja 1112 milj. </w:t>
      </w:r>
      <w:r w:rsidRPr="00CA2430">
        <w:rPr>
          <w:rFonts w:eastAsia="Calibri" w:cs="Arial"/>
          <w:i/>
          <w:iCs/>
          <w:noProof/>
          <w:szCs w:val="20"/>
        </w:rPr>
        <w:t>euro</w:t>
      </w:r>
      <w:r w:rsidRPr="00CA2430">
        <w:rPr>
          <w:rFonts w:eastAsia="Calibri" w:cs="Arial"/>
          <w:noProof/>
          <w:szCs w:val="20"/>
        </w:rPr>
        <w:t>. Sagaidāms, ka šā gada otrajā pusē preču ārējā tirdzniecība kļūs intensīvāka un ārējā pieprasījuma uzlabošanās labvēlīgi ietekmēs preču eksportu. Tomēr iekšējā pieprasījuma pieaugums veicinās preču importu. Tādējādi jāsecina, ka preču ārējās tirdzniecības bilances deficīts 2024. gadā būs mazāks nekā pērn, tomēr samazinājums būs mērens. Pakalpojumu kontā saglabājies pārpalikums.</w:t>
      </w:r>
      <w:r w:rsidR="00FD42B4" w:rsidRPr="00CA2430">
        <w:rPr>
          <w:rFonts w:eastAsia="Calibri" w:cs="Arial"/>
          <w:noProof/>
          <w:szCs w:val="20"/>
        </w:rPr>
        <w:t xml:space="preserve"> </w:t>
      </w:r>
      <w:r w:rsidRPr="00CA2430">
        <w:rPr>
          <w:rFonts w:eastAsia="Calibri" w:cs="Arial"/>
          <w:noProof/>
          <w:szCs w:val="20"/>
        </w:rPr>
        <w:t xml:space="preserve">Šā gada piecos mēnešos tas veidoja 718 milj. </w:t>
      </w:r>
      <w:r w:rsidRPr="00CA2430">
        <w:rPr>
          <w:rFonts w:eastAsia="Calibri" w:cs="Arial"/>
          <w:i/>
          <w:iCs/>
          <w:noProof/>
          <w:szCs w:val="20"/>
        </w:rPr>
        <w:t>euro</w:t>
      </w:r>
      <w:r w:rsidRPr="00CA2430">
        <w:rPr>
          <w:rFonts w:eastAsia="Calibri" w:cs="Arial"/>
          <w:noProof/>
          <w:szCs w:val="20"/>
        </w:rPr>
        <w:t xml:space="preserve">, kas bija par 69 milj. </w:t>
      </w:r>
      <w:r w:rsidRPr="00CA2430">
        <w:rPr>
          <w:rFonts w:eastAsia="Calibri" w:cs="Arial"/>
          <w:i/>
          <w:iCs/>
          <w:noProof/>
          <w:szCs w:val="20"/>
        </w:rPr>
        <w:t>euro</w:t>
      </w:r>
      <w:r w:rsidRPr="00CA2430">
        <w:rPr>
          <w:rFonts w:eastAsia="Calibri" w:cs="Arial"/>
          <w:noProof/>
          <w:szCs w:val="20"/>
        </w:rPr>
        <w:t xml:space="preserve"> mazāk nekā iepriekšējā gada </w:t>
      </w:r>
      <w:r w:rsidRPr="00CA2430">
        <w:rPr>
          <w:rFonts w:eastAsia="Calibri" w:cs="Arial"/>
          <w:noProof/>
          <w:szCs w:val="20"/>
        </w:rPr>
        <w:lastRenderedPageBreak/>
        <w:t>attiecīgajā periodā</w:t>
      </w:r>
      <w:r w:rsidR="00FD42B4" w:rsidRPr="00CA2430">
        <w:rPr>
          <w:rFonts w:eastAsia="Calibri" w:cs="Arial"/>
          <w:noProof/>
          <w:szCs w:val="20"/>
        </w:rPr>
        <w:t>,</w:t>
      </w:r>
      <w:r w:rsidRPr="00CA2430">
        <w:rPr>
          <w:rFonts w:eastAsia="Calibri" w:cs="Arial"/>
          <w:noProof/>
          <w:szCs w:val="20"/>
        </w:rPr>
        <w:t xml:space="preserve"> un to noteica straujāks pakalpojumu eksporta kritums salīdzinājumā ar pakalpojumu importu. Pakalpojumu eksporta vērtības kritumu par 4,1% salīdzinājumā ar pērnā gada pirmajiem pieciem mēnešiem negatīvi ietekmēja komerciālo pakalpojumu eksporta samazinājums, tostarp telesakaru pakalpojumiem, atpūtas pakalpojumiem, kā arī citiem saimnieciskās darbības pakalpojumiem. </w:t>
      </w:r>
    </w:p>
    <w:p w14:paraId="256F3FA3" w14:textId="77777777" w:rsidR="009771C1" w:rsidRPr="00CA2430" w:rsidRDefault="009771C1" w:rsidP="0083634D">
      <w:pPr>
        <w:rPr>
          <w:rFonts w:eastAsia="Calibri" w:cs="Arial"/>
          <w:noProof/>
          <w:szCs w:val="20"/>
        </w:rPr>
      </w:pPr>
      <w:r w:rsidRPr="00CA2430">
        <w:rPr>
          <w:rFonts w:eastAsia="Calibri" w:cs="Arial"/>
          <w:noProof/>
          <w:szCs w:val="20"/>
        </w:rPr>
        <w:t xml:space="preserve">Sākotnējo ienākumu konta deficīts šā gada piecos mēnešos samazinājies par 263 milj. </w:t>
      </w:r>
      <w:r w:rsidRPr="00CA2430">
        <w:rPr>
          <w:rFonts w:eastAsia="Calibri" w:cs="Arial"/>
          <w:i/>
          <w:iCs/>
          <w:noProof/>
          <w:szCs w:val="20"/>
        </w:rPr>
        <w:t xml:space="preserve">euro </w:t>
      </w:r>
      <w:r w:rsidRPr="00CA2430">
        <w:rPr>
          <w:rFonts w:eastAsia="Calibri" w:cs="Arial"/>
          <w:noProof/>
          <w:szCs w:val="20"/>
        </w:rPr>
        <w:t xml:space="preserve">un veidoja 182 milj. </w:t>
      </w:r>
      <w:r w:rsidRPr="00CA2430">
        <w:rPr>
          <w:rFonts w:eastAsia="Calibri" w:cs="Arial"/>
          <w:i/>
          <w:iCs/>
          <w:noProof/>
          <w:szCs w:val="20"/>
        </w:rPr>
        <w:t xml:space="preserve">euro. </w:t>
      </w:r>
      <w:r w:rsidRPr="00CA2430">
        <w:rPr>
          <w:rFonts w:eastAsia="Calibri" w:cs="Arial"/>
          <w:noProof/>
          <w:szCs w:val="20"/>
        </w:rPr>
        <w:t xml:space="preserve">Konta bilances uzlabošanos labvēlīgi ietekmēja augstāki ieguldījumu ienākumi, ko Latvijas rezidenti saņēma no aktīviem citas valstīs, kā arī lielāka ES fondu investīciju plūsma. Papildus tam, mazākā apmērā tika izmaksātas dividendes ārvalstu investoriem, kas tāpat veicināja konta deficīta sarukumu. Otrreizējo ienākumu konta pārpalikums veidoja 292 milj. </w:t>
      </w:r>
      <w:r w:rsidRPr="00CA2430">
        <w:rPr>
          <w:rFonts w:eastAsia="Calibri" w:cs="Arial"/>
          <w:i/>
          <w:iCs/>
          <w:noProof/>
          <w:szCs w:val="20"/>
        </w:rPr>
        <w:t>euro</w:t>
      </w:r>
      <w:r w:rsidRPr="00CA2430">
        <w:rPr>
          <w:rFonts w:eastAsia="Calibri" w:cs="Arial"/>
          <w:noProof/>
          <w:szCs w:val="20"/>
        </w:rPr>
        <w:t xml:space="preserve">, kas bija par 120 milj. </w:t>
      </w:r>
      <w:r w:rsidRPr="00CA2430">
        <w:rPr>
          <w:rFonts w:eastAsia="Calibri" w:cs="Arial"/>
          <w:i/>
          <w:iCs/>
          <w:noProof/>
          <w:szCs w:val="20"/>
        </w:rPr>
        <w:t xml:space="preserve">euro </w:t>
      </w:r>
      <w:r w:rsidRPr="00CA2430">
        <w:rPr>
          <w:rFonts w:eastAsia="Calibri" w:cs="Arial"/>
          <w:noProof/>
          <w:szCs w:val="20"/>
        </w:rPr>
        <w:t>mazāk nekā 2023. gada piecos mēnešos. Pārpalikuma samazinājumu, no vienas puses, noteica mazāka ienākošā finanšu plūsma no ārvalstīm un, no otras puses, to ietekmēja nedaudz augstākas Latvijas iemaksas ES budžetā.</w:t>
      </w:r>
    </w:p>
    <w:p w14:paraId="37E92662"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Investīcijas</w:t>
      </w:r>
    </w:p>
    <w:p w14:paraId="06725319" w14:textId="7E34321F" w:rsidR="009771C1" w:rsidRPr="00CA2430" w:rsidRDefault="009771C1" w:rsidP="0083634D">
      <w:pPr>
        <w:rPr>
          <w:rFonts w:eastAsia="Calibri" w:cs="Times New Roman"/>
          <w:noProof/>
          <w:color w:val="000000"/>
          <w:kern w:val="2"/>
          <w14:ligatures w14:val="standardContextual"/>
        </w:rPr>
      </w:pPr>
      <w:r w:rsidRPr="00CA2430">
        <w:rPr>
          <w:rFonts w:eastAsia="Calibri" w:cs="Times New Roman"/>
          <w:noProof/>
          <w:kern w:val="2"/>
          <w14:ligatures w14:val="standardContextual"/>
        </w:rPr>
        <w:t xml:space="preserve">Augstas inflācijas un ārējā pieprasījuma krituma apstākļos, </w:t>
      </w:r>
      <w:r w:rsidRPr="00CA2430">
        <w:rPr>
          <w:rFonts w:eastAsia="Aptos" w:cs="Times New Roman"/>
          <w:noProof/>
          <w:kern w:val="2"/>
          <w14:ligatures w14:val="standardContextual"/>
        </w:rPr>
        <w:t xml:space="preserve">sabiedriskajam patēriņam un investīcijām </w:t>
      </w:r>
      <w:r w:rsidRPr="00CA2430">
        <w:rPr>
          <w:rFonts w:eastAsia="Calibri" w:cs="Times New Roman"/>
          <w:noProof/>
          <w:kern w:val="2"/>
          <w14:ligatures w14:val="standardContextual"/>
        </w:rPr>
        <w:t xml:space="preserve">2023. gadā </w:t>
      </w:r>
      <w:r w:rsidRPr="00CA2430">
        <w:rPr>
          <w:rFonts w:eastAsia="Aptos" w:cs="Times New Roman"/>
          <w:noProof/>
          <w:kern w:val="2"/>
          <w14:ligatures w14:val="standardContextual"/>
        </w:rPr>
        <w:t xml:space="preserve">bija būtiska </w:t>
      </w:r>
      <w:r w:rsidRPr="00CA2430">
        <w:rPr>
          <w:rFonts w:eastAsia="Calibri" w:cs="Times New Roman"/>
          <w:noProof/>
          <w:kern w:val="2"/>
          <w14:ligatures w14:val="standardContextual"/>
        </w:rPr>
        <w:t>loma ekonomiskās aktivitātes veicināšanā.</w:t>
      </w:r>
      <w:r w:rsidR="00FD42B4" w:rsidRPr="00CA2430">
        <w:rPr>
          <w:rFonts w:eastAsia="Calibri" w:cs="Times New Roman"/>
          <w:noProof/>
          <w:kern w:val="2"/>
          <w14:ligatures w14:val="standardContextual"/>
        </w:rPr>
        <w:t xml:space="preserve"> </w:t>
      </w:r>
      <w:r w:rsidRPr="00CA2430">
        <w:rPr>
          <w:rFonts w:eastAsia="Calibri" w:cs="Times New Roman"/>
          <w:noProof/>
          <w:kern w:val="2"/>
          <w14:ligatures w14:val="standardContextual"/>
        </w:rPr>
        <w:t>Tieši investīciju pieaugums salīdzinājumā ar pārējām IKP sastāvdaļām bija visaugstākais. Pērnajā gadā</w:t>
      </w:r>
      <w:r w:rsidRPr="00CA2430">
        <w:rPr>
          <w:rFonts w:eastAsia="Aptos" w:cs="Times New Roman"/>
          <w:noProof/>
          <w:kern w:val="2"/>
          <w14:ligatures w14:val="standardContextual"/>
        </w:rPr>
        <w:t xml:space="preserve"> investīciju apjoms Latvijā salīdzināmajās cenās palielinājās par 8,2% un kopumā veidoja 7110 milj. </w:t>
      </w:r>
      <w:r w:rsidRPr="00CA2430">
        <w:rPr>
          <w:rFonts w:eastAsia="Aptos" w:cs="Times New Roman"/>
          <w:i/>
          <w:iCs/>
          <w:noProof/>
          <w:kern w:val="2"/>
          <w14:ligatures w14:val="standardContextual"/>
        </w:rPr>
        <w:t>euro</w:t>
      </w:r>
      <w:r w:rsidRPr="00CA2430">
        <w:rPr>
          <w:rFonts w:eastAsia="Aptos" w:cs="Times New Roman"/>
          <w:noProof/>
          <w:kern w:val="2"/>
          <w14:ligatures w14:val="standardContextual"/>
        </w:rPr>
        <w:t xml:space="preserve">, </w:t>
      </w:r>
      <w:r w:rsidRPr="00CA2430">
        <w:rPr>
          <w:rFonts w:eastAsia="Calibri" w:cs="Times New Roman"/>
          <w:noProof/>
          <w:kern w:val="2"/>
          <w14:ligatures w14:val="standardContextual"/>
        </w:rPr>
        <w:t>nodrošinot 1,8 procentpunktus IKP pieaugumā, tādējādi nedaudz mīkstinot privātā patēriņa un eksporta krituma negatīvo ietekmi. Pateicoties straujajam kāpumam, investīciju īpatsvars IKP pieauga par 2,1 procentpunktiem - līdz 24,1%.</w:t>
      </w:r>
      <w:r w:rsidRPr="00CA2430">
        <w:rPr>
          <w:rFonts w:eastAsia="Calibri" w:cs="Times New Roman"/>
          <w:noProof/>
          <w:color w:val="000000"/>
          <w:kern w:val="2"/>
          <w14:ligatures w14:val="standardContextual"/>
        </w:rPr>
        <w:t xml:space="preserve"> Šāds investīciju apjoms ekonomikā ir lielāks gan salīdzinājumā ar ES vidējo līmeni, gan salīdzinājumā ar vidējo īpatsvaru Latvijas IKP pēdējos gados. Tas ir vērtējams pozitīvi, tomēr, lai veicinātu konkurētspēju un produktivitāti, svarīgi uzturēt augstu investīciju īpatsvaru ekonomikā ilgtermiņā. </w:t>
      </w:r>
    </w:p>
    <w:p w14:paraId="6AEAA339" w14:textId="77777777" w:rsidR="009771C1" w:rsidRPr="00CA2430" w:rsidRDefault="009771C1" w:rsidP="0083634D">
      <w:pPr>
        <w:rPr>
          <w:rFonts w:eastAsia="Calibri" w:cs="Times New Roman"/>
          <w:noProof/>
          <w:color w:val="000000"/>
          <w:kern w:val="2"/>
          <w14:ligatures w14:val="standardContextual"/>
        </w:rPr>
      </w:pPr>
      <w:r w:rsidRPr="00CA2430">
        <w:rPr>
          <w:rFonts w:eastAsia="Calibri" w:cs="Times New Roman"/>
          <w:noProof/>
          <w:kern w:val="2"/>
          <w14:ligatures w14:val="standardContextual"/>
        </w:rPr>
        <w:t>Analizējot investīciju pārmaiņas pa pamatlīdzekļu veidiem, jāsecina, ka investīciju pieaugumu nodrošināja augstāka aktivitāte būvniecības sektorā. Savukārt investīciju apjoms pārējos pamatlīdzekļos ir samazinājies, kas liecina par tautsaimniecības nozaru nevienmērīgu attīstību pagājušā gada laikā.</w:t>
      </w:r>
    </w:p>
    <w:p w14:paraId="4684A3F0" w14:textId="34777CDA" w:rsidR="009771C1" w:rsidRPr="00CA2430" w:rsidRDefault="009771C1" w:rsidP="0083634D">
      <w:pPr>
        <w:rPr>
          <w:rFonts w:eastAsia="Aptos" w:cs="Times New Roman"/>
          <w:noProof/>
          <w:kern w:val="2"/>
          <w14:ligatures w14:val="standardContextual"/>
        </w:rPr>
      </w:pPr>
      <w:r w:rsidRPr="00CA2430">
        <w:rPr>
          <w:rFonts w:eastAsia="Calibri" w:cs="Times New Roman"/>
          <w:noProof/>
          <w:kern w:val="2"/>
          <w14:ligatures w14:val="standardContextual"/>
        </w:rPr>
        <w:t xml:space="preserve">2023. gadā investīcijas biroju, mājokļu, noliktavu un citu ēku būvniecībā, kā arī jau esošo ēku un būvju renovācijā pieauga par 18,9% jeb 493 milj. </w:t>
      </w:r>
      <w:r w:rsidRPr="00CA2430">
        <w:rPr>
          <w:rFonts w:eastAsia="Aptos" w:cs="Times New Roman"/>
          <w:i/>
          <w:iCs/>
          <w:noProof/>
          <w:kern w:val="2"/>
          <w14:ligatures w14:val="standardContextual"/>
        </w:rPr>
        <w:t xml:space="preserve">euro </w:t>
      </w:r>
      <w:r w:rsidRPr="00CA2430">
        <w:rPr>
          <w:rFonts w:eastAsia="Aptos" w:cs="Times New Roman"/>
          <w:noProof/>
          <w:kern w:val="2"/>
          <w14:ligatures w14:val="standardContextual"/>
        </w:rPr>
        <w:t>salīdzināmajās cenās,</w:t>
      </w:r>
      <w:r w:rsidRPr="00CA2430">
        <w:rPr>
          <w:rFonts w:eastAsia="Aptos" w:cs="Times New Roman"/>
          <w:i/>
          <w:iCs/>
          <w:noProof/>
          <w:kern w:val="2"/>
          <w14:ligatures w14:val="standardContextual"/>
        </w:rPr>
        <w:t xml:space="preserve"> </w:t>
      </w:r>
      <w:r w:rsidRPr="00CA2430">
        <w:rPr>
          <w:rFonts w:eastAsia="Aptos" w:cs="Times New Roman"/>
          <w:noProof/>
          <w:kern w:val="2"/>
          <w14:ligatures w14:val="standardContextual"/>
        </w:rPr>
        <w:t xml:space="preserve">tādējādi pārtraucot nepārkraukto investīciju kritumu šajos pamatlīdzekļos, kas bija vērojams kopš 2019. gada. Pērnajā gadā investīciju apjoms būvniecībā un renovācijā sasniedza 3108 </w:t>
      </w:r>
      <w:r w:rsidRPr="00CA2430">
        <w:rPr>
          <w:rFonts w:eastAsia="Calibri" w:cs="Times New Roman"/>
          <w:noProof/>
          <w:kern w:val="2"/>
          <w14:ligatures w14:val="standardContextual"/>
        </w:rPr>
        <w:t xml:space="preserve">milj. </w:t>
      </w:r>
      <w:r w:rsidRPr="00CA2430">
        <w:rPr>
          <w:rFonts w:eastAsia="Aptos" w:cs="Times New Roman"/>
          <w:i/>
          <w:iCs/>
          <w:noProof/>
          <w:kern w:val="2"/>
          <w14:ligatures w14:val="standardContextual"/>
        </w:rPr>
        <w:t>euro</w:t>
      </w:r>
      <w:r w:rsidRPr="00CA2430">
        <w:rPr>
          <w:rFonts w:eastAsia="Aptos" w:cs="Times New Roman"/>
          <w:noProof/>
          <w:kern w:val="2"/>
          <w14:ligatures w14:val="standardContextual"/>
        </w:rPr>
        <w:t>, līdz ar to pietuvojoties 2018. gada līmenim. Investīciju pieaugums šajos pamatlīdzekļos ir cieši saistīts ar būvniecības nozares aktivitāti, kur 2023. gadā produkcijas apjoms palielinājies par 18,9%. Straujo investīciju kāpumu būvniecībā, kā arī būvniecības produkcijas pieaugumu 2023. gadā noteica vairāki faktori- gan 2022. gada zemā bāze iepriekšējo gadu vājās aktivitātes dēļ, gan būtiski lielāks ES struktūrfondu investīciju un Eiropas Atveseļošanas fonda investīciju apjoms, kā arī būtiski palielinājās arī privātā sektora investīcijas. 2023. gadā vispārējās valdības bruto pamatkapitāla veidošanas jeb investīciju apjoms faktiskajās cenās sasniedza</w:t>
      </w:r>
      <w:r w:rsidR="00FD42B4" w:rsidRPr="00CA2430">
        <w:rPr>
          <w:rFonts w:eastAsia="Aptos" w:cs="Times New Roman"/>
          <w:noProof/>
          <w:kern w:val="2"/>
          <w14:ligatures w14:val="standardContextual"/>
        </w:rPr>
        <w:t xml:space="preserve"> </w:t>
      </w:r>
      <w:r w:rsidRPr="00CA2430">
        <w:rPr>
          <w:rFonts w:eastAsia="Aptos" w:cs="Times New Roman"/>
          <w:noProof/>
          <w:kern w:val="2"/>
          <w14:ligatures w14:val="standardContextual"/>
        </w:rPr>
        <w:t>1</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 xml:space="preserve">682 </w:t>
      </w:r>
      <w:r w:rsidRPr="00CA2430">
        <w:rPr>
          <w:rFonts w:eastAsia="Calibri" w:cs="Times New Roman"/>
          <w:noProof/>
          <w:kern w:val="2"/>
          <w14:ligatures w14:val="standardContextual"/>
        </w:rPr>
        <w:t xml:space="preserve">milj. </w:t>
      </w:r>
      <w:r w:rsidRPr="00CA2430">
        <w:rPr>
          <w:rFonts w:eastAsia="Aptos" w:cs="Times New Roman"/>
          <w:i/>
          <w:iCs/>
          <w:noProof/>
          <w:kern w:val="2"/>
          <w14:ligatures w14:val="standardContextual"/>
        </w:rPr>
        <w:t>euro</w:t>
      </w:r>
      <w:r w:rsidRPr="00CA2430">
        <w:rPr>
          <w:rFonts w:eastAsia="Aptos" w:cs="Times New Roman"/>
          <w:noProof/>
          <w:kern w:val="2"/>
          <w14:ligatures w14:val="standardContextual"/>
        </w:rPr>
        <w:t xml:space="preserve">, kas bija par 11,0% vairāk nekā iepriekšējā gadā. </w:t>
      </w:r>
      <w:r w:rsidRPr="00CA2430">
        <w:rPr>
          <w:rFonts w:eastAsia="Aptos" w:cs="Times New Roman"/>
          <w:noProof/>
          <w:color w:val="000000" w:themeColor="text1"/>
          <w:kern w:val="2"/>
          <w14:ligatures w14:val="standardContextual"/>
        </w:rPr>
        <w:t xml:space="preserve">Savukārt, privātā sektora un to uzņēmumu investīciju apjoms, kuri neietilpst vispārējās valdības sektorā, bet pieder valstij vai pašvaldībai, pieauga </w:t>
      </w:r>
      <w:r w:rsidRPr="00CA2430">
        <w:rPr>
          <w:rFonts w:eastAsia="Aptos" w:cs="Times New Roman"/>
          <w:noProof/>
          <w:kern w:val="2"/>
          <w14:ligatures w14:val="standardContextual"/>
        </w:rPr>
        <w:t>par 16,0%</w:t>
      </w:r>
      <w:r w:rsidRPr="00CA2430">
        <w:rPr>
          <w:rFonts w:eastAsia="Aptos" w:cs="Times New Roman"/>
          <w:i/>
          <w:iCs/>
          <w:noProof/>
          <w:kern w:val="2"/>
          <w14:ligatures w14:val="standardContextual"/>
        </w:rPr>
        <w:t>.</w:t>
      </w:r>
    </w:p>
    <w:p w14:paraId="69920D1F" w14:textId="66FD7DED" w:rsidR="009771C1" w:rsidRPr="00CA2430" w:rsidRDefault="009771C1" w:rsidP="0083634D">
      <w:pPr>
        <w:rPr>
          <w:rFonts w:eastAsia="Calibri" w:cs="Times New Roman"/>
          <w:noProof/>
          <w:color w:val="FF0000"/>
          <w:kern w:val="2"/>
          <w14:ligatures w14:val="standardContextual"/>
        </w:rPr>
      </w:pPr>
      <w:r w:rsidRPr="00CA2430">
        <w:rPr>
          <w:rFonts w:eastAsia="Calibri" w:cs="Times New Roman"/>
          <w:noProof/>
          <w:kern w:val="2"/>
          <w14:ligatures w14:val="standardContextual"/>
        </w:rPr>
        <w:t>Investīciju apjoms tehnoloģiskajās iekārtās un mašīnās 2023. gadā veidoja 3</w:t>
      </w:r>
      <w:r w:rsidR="00174092" w:rsidRPr="00CA2430">
        <w:rPr>
          <w:rFonts w:eastAsia="Calibri" w:cs="Times New Roman"/>
          <w:noProof/>
          <w:kern w:val="2"/>
          <w14:ligatures w14:val="standardContextual"/>
        </w:rPr>
        <w:t> </w:t>
      </w:r>
      <w:r w:rsidRPr="00CA2430">
        <w:rPr>
          <w:rFonts w:eastAsia="Calibri" w:cs="Times New Roman"/>
          <w:noProof/>
          <w:kern w:val="2"/>
          <w14:ligatures w14:val="standardContextual"/>
        </w:rPr>
        <w:t xml:space="preserve">286 milj. </w:t>
      </w:r>
      <w:r w:rsidRPr="00CA2430">
        <w:rPr>
          <w:rFonts w:eastAsia="Aptos" w:cs="Times New Roman"/>
          <w:i/>
          <w:iCs/>
          <w:noProof/>
          <w:kern w:val="2"/>
          <w14:ligatures w14:val="standardContextual"/>
        </w:rPr>
        <w:t>euro</w:t>
      </w:r>
      <w:r w:rsidRPr="00CA2430">
        <w:rPr>
          <w:rFonts w:eastAsia="Aptos" w:cs="Times New Roman"/>
          <w:noProof/>
          <w:kern w:val="2"/>
          <w14:ligatures w14:val="standardContextual"/>
        </w:rPr>
        <w:t xml:space="preserve"> salīdzināmajās cenās, kas bija par 0,3% mazāk nekā iepriekšējā gadā. </w:t>
      </w:r>
      <w:r w:rsidRPr="00CA2430">
        <w:rPr>
          <w:rFonts w:eastAsia="Calibri" w:cs="Times New Roman"/>
          <w:noProof/>
          <w:kern w:val="2"/>
          <w14:ligatures w14:val="standardContextual"/>
        </w:rPr>
        <w:t xml:space="preserve">Informācija par investīciju struktūru šajos pamatlīdzekļos ir ierobežota un precīzi dati ir pieejami tikai par transportlīdzekļiem, bet dati pār pārējiem pamatlīdzekļiem, tajā skaitā informācijas un komunikācijas iekārtām, ieroču sistēmām, kā arī pārējām tehnoloģiskām iekārtām nav pieejami. Investīcijas transportlīdzekļos, kas veido nedaudz mazāk par trešdaļu no kopējām investīcijām </w:t>
      </w:r>
      <w:r w:rsidRPr="00CA2430">
        <w:rPr>
          <w:rFonts w:eastAsia="Calibri" w:cs="Times New Roman"/>
          <w:noProof/>
          <w:kern w:val="2"/>
          <w14:ligatures w14:val="standardContextual"/>
        </w:rPr>
        <w:lastRenderedPageBreak/>
        <w:t>šajā grupā, pērnajā gadā pieauga par 28,1%, kas vērtējams kā straujš kāpums</w:t>
      </w:r>
      <w:r w:rsidRPr="00CA2430">
        <w:rPr>
          <w:rFonts w:eastAsia="Calibri" w:cs="Times New Roman"/>
          <w:noProof/>
          <w:color w:val="000000" w:themeColor="text1"/>
          <w:kern w:val="2"/>
          <w14:ligatures w14:val="standardContextual"/>
        </w:rPr>
        <w:t xml:space="preserve">. Balstoties uz šo informāciju, var secināt, ka investīcijas vai daļa no tām, tādos pamatlīdzekļos kā informācijas un komunikācijas iekārtas, ieroču sistēmas, kā arī pārējās tehnoloģiskās iekārtas, būtiski mazinājās. Atbilstoši ārējās tirdzniecības datiem, automobiļu, </w:t>
      </w:r>
      <w:r w:rsidRPr="00CA2430">
        <w:rPr>
          <w:rFonts w:eastAsia="Calibri" w:cs="Times New Roman"/>
          <w:noProof/>
          <w:kern w:val="2"/>
          <w14:ligatures w14:val="standardContextual"/>
        </w:rPr>
        <w:t xml:space="preserve">dzelzceļa un gaisa kuģu un citu mehānisko transportlīdzekļu imports 2023. gadā arī būtiski pieauga, kas kopumā izskaidro straujo investīciju kāpumu transportlīdzekļos. Neskatoties uz to, ka investīcijas būvniecības projektos palielinājušās, bet investīcijas tehnoloģiskajās iekārtās kritušās, investīciju apjoms iekārtās un mašīnās joprojām veido lielāko daļu jeb 46,2% no kopējām investīcijām, kamēr investīcijas ēkās un būves sastāda 43,7%. </w:t>
      </w:r>
    </w:p>
    <w:p w14:paraId="230E3D6C" w14:textId="719297D2" w:rsidR="009771C1" w:rsidRPr="00CA2430" w:rsidRDefault="009771C1" w:rsidP="0083634D">
      <w:pPr>
        <w:rPr>
          <w:rFonts w:eastAsia="Calibri" w:cs="Times New Roman"/>
          <w:noProof/>
          <w:kern w:val="2"/>
          <w14:ligatures w14:val="standardContextual"/>
        </w:rPr>
      </w:pPr>
      <w:r w:rsidRPr="00CA2430">
        <w:rPr>
          <w:rFonts w:eastAsia="Calibri" w:cs="Times New Roman"/>
          <w:noProof/>
          <w:kern w:val="2"/>
          <w14:ligatures w14:val="standardContextual"/>
        </w:rPr>
        <w:t>Investīciju apjoms intelektuāla īpašuma produktos un pārējos pamatlīdzekļos 2023.</w:t>
      </w:r>
      <w:r w:rsidR="00174092" w:rsidRPr="00CA2430">
        <w:rPr>
          <w:rFonts w:eastAsia="Calibri" w:cs="Times New Roman"/>
          <w:noProof/>
          <w:kern w:val="2"/>
          <w14:ligatures w14:val="standardContextual"/>
        </w:rPr>
        <w:t> </w:t>
      </w:r>
      <w:r w:rsidRPr="00CA2430">
        <w:rPr>
          <w:rFonts w:eastAsia="Calibri" w:cs="Times New Roman"/>
          <w:noProof/>
          <w:kern w:val="2"/>
          <w14:ligatures w14:val="standardContextual"/>
        </w:rPr>
        <w:t xml:space="preserve">gadā samazinājies attiecīgi par 0,8% un 8,0%. </w:t>
      </w:r>
    </w:p>
    <w:p w14:paraId="745725EF" w14:textId="1E1BCF07" w:rsidR="009771C1" w:rsidRPr="00CA2430" w:rsidRDefault="009771C1" w:rsidP="0083634D">
      <w:pPr>
        <w:rPr>
          <w:rFonts w:cs="Times New Roman"/>
          <w:noProof/>
        </w:rPr>
      </w:pPr>
      <w:r w:rsidRPr="00CA2430">
        <w:rPr>
          <w:rFonts w:eastAsia="Calibri" w:cs="Times New Roman"/>
          <w:noProof/>
          <w:kern w:val="2"/>
          <w14:ligatures w14:val="standardContextual"/>
        </w:rPr>
        <w:t>Investīcijas</w:t>
      </w:r>
      <w:r w:rsidR="00FD42B4" w:rsidRPr="00CA2430">
        <w:rPr>
          <w:rFonts w:eastAsia="Calibri" w:cs="Times New Roman"/>
          <w:noProof/>
          <w:kern w:val="2"/>
          <w14:ligatures w14:val="standardContextual"/>
        </w:rPr>
        <w:t xml:space="preserve"> </w:t>
      </w:r>
      <w:r w:rsidRPr="00CA2430">
        <w:rPr>
          <w:rFonts w:eastAsia="Calibri" w:cs="Times New Roman"/>
          <w:noProof/>
          <w:kern w:val="2"/>
          <w14:ligatures w14:val="standardContextual"/>
        </w:rPr>
        <w:t>2024. gada pirmajā ceturksnī</w:t>
      </w:r>
      <w:r w:rsidRPr="00CA2430">
        <w:rPr>
          <w:rFonts w:cs="Times New Roman"/>
          <w:noProof/>
          <w:szCs w:val="20"/>
        </w:rPr>
        <w:t xml:space="preserve"> uz</w:t>
      </w:r>
      <w:r w:rsidR="00FD42B4" w:rsidRPr="00CA2430">
        <w:rPr>
          <w:rFonts w:cs="Times New Roman"/>
          <w:noProof/>
          <w:szCs w:val="20"/>
        </w:rPr>
        <w:t xml:space="preserve"> </w:t>
      </w:r>
      <w:r w:rsidRPr="00CA2430">
        <w:rPr>
          <w:rFonts w:cs="Times New Roman"/>
          <w:noProof/>
          <w:szCs w:val="20"/>
        </w:rPr>
        <w:t>pērnā gada fona neiepriecina. Salīdzinājumā ar pērnā gada attiecīgo periodu bruto pamatkapitāla veidošanas apjoms samazinājies par 9,3%, tādējādi atgriežoties 2022.</w:t>
      </w:r>
      <w:r w:rsidR="00174092" w:rsidRPr="00CA2430">
        <w:rPr>
          <w:rFonts w:cs="Times New Roman"/>
          <w:noProof/>
          <w:szCs w:val="20"/>
        </w:rPr>
        <w:t> </w:t>
      </w:r>
      <w:r w:rsidRPr="00CA2430">
        <w:rPr>
          <w:rFonts w:cs="Times New Roman"/>
          <w:noProof/>
          <w:szCs w:val="20"/>
        </w:rPr>
        <w:t xml:space="preserve">gada pirmā ceturkšņa līmenī. Investīciju kritums tika fiksēts visās pamatlīdzekļu grupās. Latvijas IKP šā gada pirmajā ceturksnī praktiski saglabājās pērnā gada attiecīga ceturkšņa līmenī (+0,1%), bet </w:t>
      </w:r>
      <w:r w:rsidRPr="00CA2430">
        <w:rPr>
          <w:rFonts w:cs="Times New Roman"/>
          <w:noProof/>
        </w:rPr>
        <w:t xml:space="preserve">investīciju devums izaugsmē bija negatīvs (- 2 procentpunkti). </w:t>
      </w:r>
    </w:p>
    <w:p w14:paraId="4E572986" w14:textId="77777777" w:rsidR="009771C1" w:rsidRPr="00CA2430" w:rsidRDefault="009771C1" w:rsidP="0083634D">
      <w:pPr>
        <w:rPr>
          <w:rFonts w:eastAsia="Calibri" w:cs="Times New Roman"/>
          <w:noProof/>
          <w:kern w:val="2"/>
          <w14:ligatures w14:val="standardContextual"/>
        </w:rPr>
      </w:pPr>
      <w:r w:rsidRPr="00CA2430">
        <w:rPr>
          <w:rFonts w:cs="Times New Roman"/>
          <w:noProof/>
        </w:rPr>
        <w:t xml:space="preserve">Lielāko devumu kopējā investīciju kritumā šā gada pirmajā ceturksnī noteica zemākas investīcijas </w:t>
      </w:r>
      <w:r w:rsidRPr="00CA2430">
        <w:rPr>
          <w:rFonts w:eastAsia="Calibri" w:cs="Times New Roman"/>
          <w:noProof/>
          <w:kern w:val="2"/>
          <w14:ligatures w14:val="standardContextual"/>
        </w:rPr>
        <w:t xml:space="preserve">tehnoloģiskajās iekārtās un mašīnās. </w:t>
      </w:r>
      <w:r w:rsidRPr="00CA2430">
        <w:rPr>
          <w:rFonts w:cs="Times New Roman"/>
          <w:noProof/>
        </w:rPr>
        <w:t>Investīciju apjoms šajos pamatlīdzekļos samazinājies par 14,6% salīdzinājumā ar 2023. gada pirmo ceturksni</w:t>
      </w:r>
      <w:r w:rsidRPr="00CA2430">
        <w:rPr>
          <w:rFonts w:cs="Times New Roman"/>
          <w:i/>
          <w:noProof/>
        </w:rPr>
        <w:t>.</w:t>
      </w:r>
      <w:r w:rsidRPr="00CA2430">
        <w:rPr>
          <w:rFonts w:cs="Times New Roman"/>
          <w:noProof/>
        </w:rPr>
        <w:t xml:space="preserve"> </w:t>
      </w:r>
      <w:r w:rsidRPr="00CA2430">
        <w:rPr>
          <w:rFonts w:eastAsia="Calibri" w:cs="Times New Roman"/>
          <w:noProof/>
          <w:kern w:val="2"/>
          <w14:ligatures w14:val="standardContextual"/>
        </w:rPr>
        <w:t>Investīcijas transportlīdzekļos samazinājās par 7,8%. Lai arī dati nav pieejami, tomēr droši var apgalvot, ka investīciju apjoms arī pārējos pamatlīdzekļos šajā grupā ir samazinājies. Atbilstoši ārējās tirdzniecības datiem, kapitālietilpīgo preču imports šā gada pirmajā ceturksnī faktiskajās cenās samazinājies par 13,4%. Aktuālākie apstrādes rūpniecības nozarē strādājošo uzņēmēju aptaujas dati rāda, ka 33,1% no plānotajām investīcijām 2024. gadā būs vērstas uz ražošanas paplašināšanu. Tas ir zīmīgs skaitlis, jo tas ir augstākais rādītājs, kopš tika uzsākta šādas statistikas apkopošana jeb kopš 2004. gada. Papildus tam, svarīgi atzīmēt arī to, ka pirmo reizi 21 gadu periodā investīciju apjoms, kas paredzēts tieši uzņēmumu paplašināšanai, veido lielāko daļu no plānotajām investīcijām. Līdz 2024. gadam lielākā daļa no investīcijām bija vērsta uz veco iekārtu aizvietošanu, sastādot gandrīz 40% no visām paredzētajām investīcijām. Šogad šis īpatsvars samazinājies līdz 32%. Pozitīvi vērtējams arī tas, ka palielinājusies tā investīciju daļa, kas vērsta uz racionalizāciju. Lai arī dati uzrāda pozitīvu tendenci, kas varētu liecināt par apstrādes rūpniecības nozares attīstību, tomēr šādus datus jāvērtē piesardzīgi, jo tie atspoguļo tikai nodomu par investīciju veikšanu, nevis faktiski veiktās investīcijas.</w:t>
      </w:r>
    </w:p>
    <w:p w14:paraId="00E0E282" w14:textId="77777777" w:rsidR="009771C1" w:rsidRPr="00CA2430" w:rsidRDefault="009771C1" w:rsidP="0083634D">
      <w:pPr>
        <w:rPr>
          <w:rFonts w:eastAsia="Calibri" w:cs="Times New Roman"/>
          <w:noProof/>
          <w:kern w:val="2"/>
          <w14:ligatures w14:val="standardContextual"/>
        </w:rPr>
      </w:pPr>
      <w:r w:rsidRPr="00CA2430">
        <w:rPr>
          <w:rFonts w:eastAsia="Calibri" w:cs="Times New Roman"/>
          <w:noProof/>
          <w:kern w:val="2"/>
          <w14:ligatures w14:val="standardContextual"/>
        </w:rPr>
        <w:t>Investīciju apjoms biroju, mājokļu, noliktavu un citu ēku būvniecībā šā gada pirmajā ceturksnī samazinājies par 5,5%, salīdzinot ar pērnā gada atbilstošo periodu. Kritums tika fiksēts gan dzīvojamiem mājokļiem (-9,4%), gan citām ēkām un būvēm (-4,5%). ES struktūrfondu un citas ārvalstu finanšu palīdzības apjoms šā gada pirmajā ceturksnī bija par 13,2% zemāks nekā 2023. gada attiecīgajā ceturksnī. Ņemot vērā, ka lielākā daļa no ES fondu līdzekļiem tiek investēta būvniecībā, tas negatīvi ietekmēja būvniecības aktivitāti. Būvniecības produkcijas apjoms šā gada pirmajā ceturksnī gada izteiksmē samazinājies par 5,5%.</w:t>
      </w:r>
    </w:p>
    <w:p w14:paraId="4E5E4D1F" w14:textId="1AB584A2" w:rsidR="009771C1" w:rsidRPr="00CA2430" w:rsidRDefault="009771C1" w:rsidP="0083634D">
      <w:pPr>
        <w:rPr>
          <w:rFonts w:eastAsia="Calibri" w:cs="Times New Roman"/>
          <w:noProof/>
          <w:kern w:val="2"/>
          <w14:ligatures w14:val="standardContextual"/>
        </w:rPr>
      </w:pPr>
      <w:r w:rsidRPr="00CA2430">
        <w:rPr>
          <w:rFonts w:eastAsia="Aptos" w:cs="Times New Roman"/>
          <w:noProof/>
          <w:kern w:val="2"/>
          <w14:ligatures w14:val="standardContextual"/>
        </w:rPr>
        <w:t xml:space="preserve">Sagaidāms, ka investīciju apjoms </w:t>
      </w:r>
      <w:r w:rsidRPr="00CA2430">
        <w:rPr>
          <w:rFonts w:eastAsia="Calibri" w:cs="Times New Roman"/>
          <w:noProof/>
          <w:kern w:val="2"/>
          <w14:ligatures w14:val="standardContextual"/>
        </w:rPr>
        <w:t>biroju, mājokļu, noliktavu un citu ēku būvniecībā arī šā gada otrajā ceturksnī samazināsies. Tomēr gada otrajā pusē investīciju aktivitātei jāpalielinās. Vienlaicīgi pastāv vairāki faktori, kas varētu negatīvi ietekmēt investīcijas gan šogad, gan nākamajā gadā. Pirmkārt, joprojām augstās būvniecības izmaksas. Ražotāju un patērētāju cenu inflācija ir būtiski samazinājusies kopš 2022. gada beigām, kad straujā izejvielu cenu kāpuma dēļ inflācija sasniedza ļoti augstu līmeni. Tam sekoja arī būvniecības izmaksas. 2023. gadā būvniecības izmaksas pieauga par 5,8% pretstatā 19,7% kāpumam 2022. gadā. Vērtējot 2024.</w:t>
      </w:r>
      <w:r w:rsidR="00174092" w:rsidRPr="00CA2430">
        <w:rPr>
          <w:rFonts w:eastAsia="Calibri" w:cs="Times New Roman"/>
          <w:noProof/>
          <w:kern w:val="2"/>
          <w14:ligatures w14:val="standardContextual"/>
        </w:rPr>
        <w:t> </w:t>
      </w:r>
      <w:r w:rsidRPr="00CA2430">
        <w:rPr>
          <w:rFonts w:eastAsia="Calibri" w:cs="Times New Roman"/>
          <w:noProof/>
          <w:kern w:val="2"/>
          <w14:ligatures w14:val="standardContextual"/>
        </w:rPr>
        <w:t xml:space="preserve">gada piecu mēnešu datus, jāsecina, ka kopējais būvniecības izmaksu pieauguma temps turpina samazināties. Šā gada piecos mēnešos būvniecības izmaksas bija par 2,0% augstākas nekā attiecīgajā periodā pērn. Tā, strādnieku darba samaksa pieauga par 6,4%, mašīnu un citu </w:t>
      </w:r>
      <w:r w:rsidRPr="00CA2430">
        <w:rPr>
          <w:rFonts w:eastAsia="Calibri" w:cs="Times New Roman"/>
          <w:noProof/>
          <w:kern w:val="2"/>
          <w14:ligatures w14:val="standardContextual"/>
        </w:rPr>
        <w:lastRenderedPageBreak/>
        <w:t xml:space="preserve">mehānismu uzturēšanas un ekspluatācijas izmaksas palielinājās par 3,4%, bet būvmateriālu sastāvdaļai bija fiksēta neliela deflācija, kas vērtējams pozitīvi. Tomēr būvniecības izmaksu līmenis joprojām saglabājas augsts, un zemas vispārējas ekonomiskās aktivitātes apstākļos tas joprojām ir šķērslis investīciju projektu realizēšanai. Otrkārt, tās ir augstās procentu likmes, kas uztur uzņēmumu kredītu apkalpošanas izmaksas augstā līmenī. Lai arī Eiropas Centrālā banka šā gada jūnijā samazināja galveno refinansēšanas procentu likmi par 25 bāzes punktiem un pastāv visi priekšnosacījumi turpmākam samazinājumam, tomēr procentu likmju samazinājums būs mērens un pakāpenisks. Tādējādi arī 2024. gadu kopumā var droši raksturot kā augstu procentu likmju gadu. Treškārt, zemāki nekā prognozēts iepriekš 2021.-2027. gada plānošanas perioda ES struktūrfondu izdevumi, kā arī </w:t>
      </w:r>
      <w:r w:rsidRPr="00CA2430">
        <w:rPr>
          <w:rFonts w:eastAsia="Calibri" w:cs="Times New Roman"/>
          <w:i/>
          <w:iCs/>
          <w:noProof/>
          <w:kern w:val="2"/>
          <w14:ligatures w14:val="standardContextual"/>
        </w:rPr>
        <w:t xml:space="preserve">Rail Baltica </w:t>
      </w:r>
      <w:r w:rsidRPr="00CA2430">
        <w:rPr>
          <w:rFonts w:eastAsia="Calibri" w:cs="Times New Roman"/>
          <w:noProof/>
          <w:kern w:val="2"/>
          <w14:ligatures w14:val="standardContextual"/>
        </w:rPr>
        <w:t xml:space="preserve">projektu realizēšanas kavēšanās. </w:t>
      </w:r>
    </w:p>
    <w:p w14:paraId="12C18B70" w14:textId="40ADEAF5" w:rsidR="009771C1" w:rsidRPr="00CA2430" w:rsidRDefault="009771C1" w:rsidP="0083634D">
      <w:pPr>
        <w:rPr>
          <w:rFonts w:eastAsia="Calibri" w:cs="Times New Roman"/>
          <w:noProof/>
          <w:kern w:val="2"/>
          <w14:ligatures w14:val="standardContextual"/>
        </w:rPr>
      </w:pPr>
      <w:r w:rsidRPr="00CA2430">
        <w:rPr>
          <w:rFonts w:cs="Times New Roman"/>
          <w:noProof/>
          <w:color w:val="000000" w:themeColor="text1"/>
        </w:rPr>
        <w:t>Atbilstoši Finanšu ministrijas aktualizētajām makroekonomisko rādītāju prognozēm 2024. gadā investīciju apjoms palielināsies par 0,3%.</w:t>
      </w:r>
    </w:p>
    <w:p w14:paraId="260EF938"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 xml:space="preserve">Darba tirgus </w:t>
      </w:r>
    </w:p>
    <w:p w14:paraId="277B8F4B" w14:textId="77777777"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Līdz ar stabilo ekonomikas izaugsmi laikā līdz 2019. gadam bezdarba līmenis Latvijā strauji samazinājās, atsevišķās nozarēs un profesijās jau robežojoties ar darbaspēka trūkumu. 2020. gadā šo dinamiku pārtrauca koronavīrusa izraisītā krīze, tomēr tās ietekme darba tirgū izrādījās ļoti ierobežota, tajā skaitā pateicoties valsts atbalsta pasākumiem. Nodarbinātības situāciju nemainīja arī Krievijas sāktais karš Ukrainā 2022. gada februārī, un bezdarba līmenis pastāvīgi un visai strauji turpināja samazināties.</w:t>
      </w:r>
    </w:p>
    <w:p w14:paraId="4A3501B1" w14:textId="77777777"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Pēc īslaicīgā pieauguma līdz 8,1% 2020. gadā, bezdarba līmenis pēc darbaspēka apsekojuma jau 2021. gadā samazinājās līdz 7,6% un 2022. gadā noslīdēja līdz 6,9%.</w:t>
      </w:r>
      <w:r w:rsidRPr="00CA2430">
        <w:rPr>
          <w:rFonts w:eastAsia="Times New Roman" w:cs="Times New Roman"/>
          <w:noProof/>
          <w:color w:val="000000"/>
          <w:lang w:eastAsia="lv-LV"/>
        </w:rPr>
        <w:t xml:space="preserve"> 2023. gadā, n</w:t>
      </w:r>
      <w:r w:rsidRPr="00CA2430">
        <w:rPr>
          <w:rFonts w:eastAsia="Times New Roman" w:cs="Times New Roman"/>
          <w:noProof/>
          <w:lang w:eastAsia="lv-LV"/>
        </w:rPr>
        <w:t>eskatoties uz ekonomiskās izaugsmes bremzēšanos un atsevišķos ceturkšņos piedzīvoto kritumu, bezdarba līmenis turpināja pazemināties, salīdzinājumā ar iepriekšējo gadu noslīdot par 0,4 procentpunktiem līdz 6,5%.</w:t>
      </w:r>
    </w:p>
    <w:p w14:paraId="6E8ECE25" w14:textId="19A413C0"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color w:val="000000"/>
          <w:lang w:eastAsia="lv-LV"/>
        </w:rPr>
        <w:t>Bezdarba līmeņa mazināšanos līdzās ekonomikas attīstībai būtiski ietekmē arī demogrāfiskā situācija, kad jau kopš 2015. gada darba tirgū ienākošo jauniešu skaits ir mazāks nekā darba tirgu atstājošo sešdesmitgadnieku skaits un kopējais darbspējas vecuma iedzīvotāju skaits ir pastāvīgi samazinājies, ar izņēmumu 2022.</w:t>
      </w:r>
      <w:r w:rsidR="00174092" w:rsidRPr="00CA2430">
        <w:rPr>
          <w:rFonts w:eastAsia="Times New Roman" w:cs="Times New Roman"/>
          <w:noProof/>
          <w:color w:val="000000"/>
          <w:lang w:eastAsia="lv-LV"/>
        </w:rPr>
        <w:t> </w:t>
      </w:r>
      <w:r w:rsidRPr="00CA2430">
        <w:rPr>
          <w:rFonts w:eastAsia="Times New Roman" w:cs="Times New Roman"/>
          <w:noProof/>
          <w:color w:val="000000"/>
          <w:lang w:eastAsia="lv-LV"/>
        </w:rPr>
        <w:t>gadā, kad Latvijā tika uzņemti Ukrainas kara bēgļi.</w:t>
      </w:r>
    </w:p>
    <w:p w14:paraId="77876264" w14:textId="1371D1AD"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2023. gada pēdējos mēnešos un 2024. gada sākumā ekonomikas krituma negatīvā ietekme darba tirgū tomēr ir sākusi atspoguļoties, lai arī ar ļoti lielu laika nobīdi un tikai ļoti mēreni. 2023. gada ceturtajā ceturksnī bezdarbs bija palielinājies līdz 6,8% no ekonomiski aktīvajiem iedzīvotājiem, bet 2024. gada pirmajā ceturksnī pieaudzis līdz 7,2%, kas ir par 0,8</w:t>
      </w:r>
      <w:r w:rsidR="00174092" w:rsidRPr="00CA2430">
        <w:rPr>
          <w:rFonts w:eastAsia="Times New Roman" w:cs="Times New Roman"/>
          <w:noProof/>
          <w:lang w:eastAsia="lv-LV"/>
        </w:rPr>
        <w:t> </w:t>
      </w:r>
      <w:r w:rsidRPr="00CA2430">
        <w:rPr>
          <w:rFonts w:eastAsia="Times New Roman" w:cs="Times New Roman"/>
          <w:noProof/>
          <w:lang w:eastAsia="lv-LV"/>
        </w:rPr>
        <w:t>procentpunktiem vairāk nekā attiecīgajā ceturksnī pirms gada. Vienlaikus reģistrētā bezdarba līmenis saglabājas zems, un turpina pazemināties</w:t>
      </w:r>
      <w:r w:rsidRPr="00CA2430">
        <w:rPr>
          <w:rFonts w:eastAsia="Times New Roman" w:cs="Times New Roman"/>
          <w:noProof/>
          <w:color w:val="FF0000"/>
          <w:lang w:eastAsia="lv-LV"/>
        </w:rPr>
        <w:t xml:space="preserve"> </w:t>
      </w:r>
      <w:r w:rsidRPr="00CA2430">
        <w:rPr>
          <w:rFonts w:eastAsia="Times New Roman" w:cs="Times New Roman"/>
          <w:noProof/>
          <w:lang w:eastAsia="lv-LV"/>
        </w:rPr>
        <w:t>visu  2024. gada pirmo pusi, jūnija beigās noslīdot līdz 5,1%. Tas ir par 0,4 procentpunktiem mazāk nekā 2023. gada jūnija beigās, un liecina, ka arī bezdarba līmenim pēc darbaspēka apsekojuma nav pamata tālākam pieaugumam. Finanšu ministrijas bezdarba prognoze 2024. gadam kopumā ir nedaudz koriģēta uz augšu, līdz 6,7%, ņemot vērā augstāko bezdarba līmeni pagājušā gada beigās un šā gada sākumā, bet nākamajos gados bezdarbs turpinās samazināties, 2025. gadā noslīdot līdz 6,3% un vidējā termiņā, līdz 2028. gadam pazeminoties līdz tuvu 5%.</w:t>
      </w:r>
    </w:p>
    <w:p w14:paraId="1FD68766" w14:textId="77777777"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 xml:space="preserve">Tautsaimniecībā nodarbināto iedzīvotāju skaits pagājušajā gadā kopumā samazinājies par 0,2% jeb diviem tūkstošiem līdz 884,2 tūkstošiem. 2023. gada ceturtajā ceturksnī nodarbināto skaits bijis par 1,4% jeb 12,9 tūkstošiem mazāks nekā 2022. gada attiecīgajā ceturksnī, bet šā gada pirmajā ceturksnī, salīdzinot ar attiecīgo ceturksni pirms gada, nodarbināto skaits sarucis par 0,1% līdz </w:t>
      </w:r>
      <w:r w:rsidRPr="00CA2430">
        <w:rPr>
          <w:rFonts w:eastAsia="Times New Roman" w:cs="Times New Roman"/>
          <w:noProof/>
          <w:color w:val="000000"/>
          <w:lang w:eastAsia="lv-LV"/>
        </w:rPr>
        <w:t xml:space="preserve">879,9 tūkstošiem. Līdz ar straujāku ekonomiskās izaugsmes atsākšanos šā gada otrajā pusē, </w:t>
      </w:r>
      <w:r w:rsidRPr="00CA2430">
        <w:rPr>
          <w:rFonts w:eastAsia="Times New Roman" w:cs="Times New Roman"/>
          <w:noProof/>
          <w:lang w:eastAsia="lv-LV"/>
        </w:rPr>
        <w:t xml:space="preserve">2024. un 2025. gadā nodarbināto skaits varētu vairs nesamazināties, saglabājoties pagājušā gada līmenī, bet nākamajos gados sagaidāms neliels nodarbināto skaita kritums, ko pamatā noteiks darbspējas vecuma iedzīvotāju skaita samazināšanās demogrāfijas tendenču rezultātā. </w:t>
      </w:r>
    </w:p>
    <w:p w14:paraId="04150B48" w14:textId="108585FC"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lastRenderedPageBreak/>
        <w:t>Neskatoties uz ekonomiskās situācijas pasliktināšanos gan Covid-19 pandēmijas, gan Krievijas uzsāktā kara ietekmē, iedzīvotāju ienākumi un darba samaksa visus pēdējos gadus turpināja spēcīgi palielināties. Mēneša vidējā bruto darba samaksa 2022. gadā pieauga par 7,5%, bet 2023. gadā pieaugums vēl paātrinājās līdz 11,9%, mēneša vidējai bruto darba samaksai sasniedzot 1</w:t>
      </w:r>
      <w:r w:rsidR="00174092" w:rsidRPr="00CA2430">
        <w:rPr>
          <w:rFonts w:eastAsia="Times New Roman" w:cs="Times New Roman"/>
          <w:noProof/>
          <w:lang w:eastAsia="lv-LV"/>
        </w:rPr>
        <w:t> </w:t>
      </w:r>
      <w:r w:rsidRPr="00CA2430">
        <w:rPr>
          <w:rFonts w:eastAsia="Times New Roman" w:cs="Times New Roman"/>
          <w:noProof/>
          <w:lang w:eastAsia="lv-LV"/>
        </w:rPr>
        <w:t xml:space="preserve">537 </w:t>
      </w:r>
      <w:r w:rsidRPr="00CA2430">
        <w:rPr>
          <w:rFonts w:eastAsia="Times New Roman" w:cs="Times New Roman"/>
          <w:i/>
          <w:iCs/>
          <w:noProof/>
          <w:lang w:eastAsia="lv-LV"/>
        </w:rPr>
        <w:t>euro</w:t>
      </w:r>
      <w:r w:rsidRPr="00CA2430">
        <w:rPr>
          <w:rFonts w:eastAsia="Times New Roman" w:cs="Times New Roman"/>
          <w:noProof/>
          <w:lang w:eastAsia="lv-LV"/>
        </w:rPr>
        <w:t xml:space="preserve">. Arī šā gada pirmajā ceturksnī algas turpināja salīdzinoši strauji augt, pilnas slodzes algai pret pērnā gada pirmo ceturksni palielinoties par 11,0% un sasniedzot 1623 </w:t>
      </w:r>
      <w:r w:rsidRPr="00CA2430">
        <w:rPr>
          <w:rFonts w:eastAsia="Times New Roman" w:cs="Times New Roman"/>
          <w:i/>
          <w:iCs/>
          <w:noProof/>
          <w:lang w:eastAsia="lv-LV"/>
        </w:rPr>
        <w:t>euro</w:t>
      </w:r>
      <w:r w:rsidRPr="00CA2430">
        <w:rPr>
          <w:rFonts w:eastAsia="Times New Roman" w:cs="Times New Roman"/>
          <w:noProof/>
          <w:lang w:eastAsia="lv-LV"/>
        </w:rPr>
        <w:t>.</w:t>
      </w:r>
    </w:p>
    <w:p w14:paraId="365E779D" w14:textId="40FF40C2"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Straujo algu kāpumu 2023.</w:t>
      </w:r>
      <w:r w:rsidR="00174092" w:rsidRPr="00CA2430">
        <w:rPr>
          <w:rFonts w:eastAsia="Times New Roman" w:cs="Times New Roman"/>
          <w:noProof/>
          <w:lang w:eastAsia="lv-LV"/>
        </w:rPr>
        <w:t> </w:t>
      </w:r>
      <w:r w:rsidRPr="00CA2430">
        <w:rPr>
          <w:rFonts w:eastAsia="Times New Roman" w:cs="Times New Roman"/>
          <w:noProof/>
          <w:lang w:eastAsia="lv-LV"/>
        </w:rPr>
        <w:t xml:space="preserve">gadā noteica gan būtiskais minimālās darba samaksas paaugstinājums no 500 līdz 620 </w:t>
      </w:r>
      <w:r w:rsidRPr="00CA2430">
        <w:rPr>
          <w:rFonts w:eastAsia="Times New Roman" w:cs="Times New Roman"/>
          <w:i/>
          <w:iCs/>
          <w:noProof/>
          <w:lang w:eastAsia="lv-LV"/>
        </w:rPr>
        <w:t>euro</w:t>
      </w:r>
      <w:r w:rsidRPr="00CA2430">
        <w:rPr>
          <w:rFonts w:eastAsia="Times New Roman" w:cs="Times New Roman"/>
          <w:noProof/>
          <w:lang w:eastAsia="lv-LV"/>
        </w:rPr>
        <w:t xml:space="preserve">, gan valsts budžeta izdevumu pieaugums sabiedriskā sektora darbinieku algām, gan privāto uzņēmumu sniegtais energoatbalsts saviem darbiniekiem un augstais inflācijas līmenis. Arī 2024. gadā algu pieaugumu veicina minimālās algas tālāks pieaugums – līdz 700 </w:t>
      </w:r>
      <w:r w:rsidRPr="00CA2430">
        <w:rPr>
          <w:rFonts w:eastAsia="Times New Roman" w:cs="Times New Roman"/>
          <w:i/>
          <w:iCs/>
          <w:noProof/>
          <w:lang w:eastAsia="lv-LV"/>
        </w:rPr>
        <w:t>euro</w:t>
      </w:r>
      <w:r w:rsidRPr="00CA2430">
        <w:rPr>
          <w:rFonts w:eastAsia="Times New Roman" w:cs="Times New Roman"/>
          <w:noProof/>
          <w:lang w:eastAsia="lv-LV"/>
        </w:rPr>
        <w:t>, un sabiedriskā sektora, tajā skaitā izglītības, aizsardzības un iekšlietu darbinieku darba samaksas kāpums. Šā gada pirmajā ceturksnī mēneša vidējā bruto darba samaksa īpaši strauji palielinājās sabiedriskajā sektorā – par 16,3%, kamēr privātajā sektorā samaksas pieaugums bija mērenāks – par 8,9%.</w:t>
      </w:r>
    </w:p>
    <w:p w14:paraId="611F8D30" w14:textId="7A78232B"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color w:val="000000"/>
          <w:lang w:eastAsia="lv-LV"/>
        </w:rPr>
        <w:t xml:space="preserve">Nozaru griezumā vidējā alga šā gada pirmajā ceturksnī visstraujāk augusi izglītības nozarē, kur tā palielinājās par 20,4%, valsts pārvaldē un aizsardzībā </w:t>
      </w:r>
      <w:r w:rsidR="00174092" w:rsidRPr="00CA2430">
        <w:rPr>
          <w:rFonts w:eastAsia="Times New Roman" w:cs="Times New Roman"/>
          <w:noProof/>
          <w:color w:val="000000"/>
          <w:lang w:eastAsia="lv-LV"/>
        </w:rPr>
        <w:t>–</w:t>
      </w:r>
      <w:r w:rsidRPr="00CA2430">
        <w:rPr>
          <w:rFonts w:eastAsia="Times New Roman" w:cs="Times New Roman"/>
          <w:noProof/>
          <w:color w:val="000000"/>
          <w:lang w:eastAsia="lv-LV"/>
        </w:rPr>
        <w:t xml:space="preserve"> par 15,7% un izmitināšanas un ēdināšanas nozarē </w:t>
      </w:r>
      <w:r w:rsidR="00174092" w:rsidRPr="00CA2430">
        <w:rPr>
          <w:rFonts w:eastAsia="Times New Roman" w:cs="Times New Roman"/>
          <w:noProof/>
          <w:color w:val="000000"/>
          <w:lang w:eastAsia="lv-LV"/>
        </w:rPr>
        <w:t>–</w:t>
      </w:r>
      <w:r w:rsidRPr="00CA2430">
        <w:rPr>
          <w:rFonts w:eastAsia="Times New Roman" w:cs="Times New Roman"/>
          <w:noProof/>
          <w:color w:val="000000"/>
          <w:lang w:eastAsia="lv-LV"/>
        </w:rPr>
        <w:t xml:space="preserve"> par 13,8% Savukārt zemākais pieaugums bijis finanšu pakalpojumu nozarē, kur mēneša vidējā darba samaksa palielinājusies tikai par 4,5% un ieguves rūpniecībā – par 4,6%.</w:t>
      </w:r>
      <w:r w:rsidR="00705297" w:rsidRPr="00CA2430">
        <w:rPr>
          <w:rFonts w:eastAsia="Times New Roman" w:cs="Times New Roman"/>
          <w:noProof/>
          <w:color w:val="000000"/>
          <w:lang w:eastAsia="lv-LV"/>
        </w:rPr>
        <w:t xml:space="preserve"> </w:t>
      </w:r>
      <w:r w:rsidRPr="00CA2430">
        <w:rPr>
          <w:rFonts w:eastAsia="Times New Roman" w:cs="Times New Roman"/>
          <w:noProof/>
          <w:color w:val="000000"/>
          <w:lang w:eastAsia="lv-LV"/>
        </w:rPr>
        <w:t xml:space="preserve">Augstākais darba samaksas līmenis joprojām saglabājies finanšu pakalpojumu nozarē – 2956 </w:t>
      </w:r>
      <w:r w:rsidRPr="00CA2430">
        <w:rPr>
          <w:rFonts w:eastAsia="Times New Roman" w:cs="Times New Roman"/>
          <w:i/>
          <w:iCs/>
          <w:noProof/>
          <w:color w:val="000000"/>
          <w:lang w:eastAsia="lv-LV"/>
        </w:rPr>
        <w:t>euro</w:t>
      </w:r>
      <w:r w:rsidRPr="00CA2430">
        <w:rPr>
          <w:rFonts w:eastAsia="Times New Roman" w:cs="Times New Roman"/>
          <w:noProof/>
          <w:color w:val="000000"/>
          <w:lang w:eastAsia="lv-LV"/>
        </w:rPr>
        <w:t xml:space="preserve"> un informācijas un komunikācijas pakalpojumu nozarē – 2</w:t>
      </w:r>
      <w:r w:rsidR="00174092" w:rsidRPr="00CA2430">
        <w:rPr>
          <w:rFonts w:eastAsia="Times New Roman" w:cs="Times New Roman"/>
          <w:noProof/>
          <w:color w:val="000000"/>
          <w:lang w:eastAsia="lv-LV"/>
        </w:rPr>
        <w:t> </w:t>
      </w:r>
      <w:r w:rsidRPr="00CA2430">
        <w:rPr>
          <w:rFonts w:eastAsia="Times New Roman" w:cs="Times New Roman"/>
          <w:noProof/>
          <w:color w:val="000000"/>
          <w:lang w:eastAsia="lv-LV"/>
        </w:rPr>
        <w:t>675</w:t>
      </w:r>
      <w:r w:rsidR="00174092" w:rsidRPr="00CA2430">
        <w:rPr>
          <w:rFonts w:eastAsia="Times New Roman" w:cs="Times New Roman"/>
          <w:noProof/>
          <w:color w:val="000000"/>
          <w:lang w:eastAsia="lv-LV"/>
        </w:rPr>
        <w:t> </w:t>
      </w:r>
      <w:r w:rsidRPr="00CA2430">
        <w:rPr>
          <w:rFonts w:eastAsia="Times New Roman" w:cs="Times New Roman"/>
          <w:i/>
          <w:iCs/>
          <w:noProof/>
          <w:color w:val="000000"/>
          <w:lang w:eastAsia="lv-LV"/>
        </w:rPr>
        <w:t>euro</w:t>
      </w:r>
      <w:r w:rsidRPr="00CA2430">
        <w:rPr>
          <w:rFonts w:eastAsia="Times New Roman" w:cs="Times New Roman"/>
          <w:noProof/>
          <w:color w:val="000000"/>
          <w:lang w:eastAsia="lv-LV"/>
        </w:rPr>
        <w:t>, kamēr zemākās algas ir izmitināšanā un ēdināšanā – 1</w:t>
      </w:r>
      <w:r w:rsidR="00174092" w:rsidRPr="00CA2430">
        <w:rPr>
          <w:rFonts w:eastAsia="Times New Roman" w:cs="Times New Roman"/>
          <w:noProof/>
          <w:color w:val="000000"/>
          <w:lang w:eastAsia="lv-LV"/>
        </w:rPr>
        <w:t> </w:t>
      </w:r>
      <w:r w:rsidRPr="00CA2430">
        <w:rPr>
          <w:rFonts w:eastAsia="Times New Roman" w:cs="Times New Roman"/>
          <w:noProof/>
          <w:color w:val="000000"/>
          <w:lang w:eastAsia="lv-LV"/>
        </w:rPr>
        <w:t xml:space="preserve">071 </w:t>
      </w:r>
      <w:r w:rsidRPr="00CA2430">
        <w:rPr>
          <w:rFonts w:eastAsia="Times New Roman" w:cs="Times New Roman"/>
          <w:i/>
          <w:iCs/>
          <w:noProof/>
          <w:color w:val="000000"/>
          <w:lang w:eastAsia="lv-LV"/>
        </w:rPr>
        <w:t>euro</w:t>
      </w:r>
      <w:r w:rsidRPr="00CA2430">
        <w:rPr>
          <w:rFonts w:eastAsia="Times New Roman" w:cs="Times New Roman"/>
          <w:noProof/>
          <w:color w:val="000000"/>
          <w:lang w:eastAsia="lv-LV"/>
        </w:rPr>
        <w:t xml:space="preserve"> un nekustamā īpašuma nozarē – 1</w:t>
      </w:r>
      <w:r w:rsidR="00174092" w:rsidRPr="00CA2430">
        <w:rPr>
          <w:rFonts w:eastAsia="Times New Roman" w:cs="Times New Roman"/>
          <w:noProof/>
          <w:color w:val="000000"/>
          <w:lang w:eastAsia="lv-LV"/>
        </w:rPr>
        <w:t> </w:t>
      </w:r>
      <w:r w:rsidRPr="00CA2430">
        <w:rPr>
          <w:rFonts w:eastAsia="Times New Roman" w:cs="Times New Roman"/>
          <w:noProof/>
          <w:color w:val="000000"/>
          <w:lang w:eastAsia="lv-LV"/>
        </w:rPr>
        <w:t xml:space="preserve">318 </w:t>
      </w:r>
      <w:r w:rsidRPr="00CA2430">
        <w:rPr>
          <w:rFonts w:eastAsia="Times New Roman" w:cs="Times New Roman"/>
          <w:i/>
          <w:iCs/>
          <w:noProof/>
          <w:color w:val="000000"/>
          <w:lang w:eastAsia="lv-LV"/>
        </w:rPr>
        <w:t>euro</w:t>
      </w:r>
      <w:r w:rsidRPr="00CA2430">
        <w:rPr>
          <w:rFonts w:eastAsia="Times New Roman" w:cs="Times New Roman"/>
          <w:noProof/>
          <w:color w:val="000000"/>
          <w:lang w:eastAsia="lv-LV"/>
        </w:rPr>
        <w:t xml:space="preserve"> mēnesī.</w:t>
      </w:r>
    </w:p>
    <w:p w14:paraId="12784B66" w14:textId="77777777"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Strādājošo reālā neto darba samaksa, kas parāda ienākumus, atskaitot inflācijas ietekmi un precīzāk raksturo strādājošo pirktspējas izmaiņas, augstās inflācijas dēļ 2022. gadā bija samazinājusies par 8,7%, piedzīvojot pirmo kritumu kopš pagājušās finanšu krīzes 2009.-2010. gadā. 2023. gadā, patēriņa cenu pieaugumam mazinoties un darba samaksai palielinoties straujāk, algu pirktspēja pakāpeniski sāk atjaunoties, un gadā kopumā reālā neto darba samaksa ir pieaugusi par 2,2%. Šā gada pirmajā ceturksnī, reālajai neto darba samaksai pret pagājušā gada pirmo ceturksni palielinoties jau par 9,3%, algu pirktspēja jau ir atgriezusies līmenī, kādā tā bija pirms straujā cenu pieauguma, 2021. gada pirmajā ceturksnī.</w:t>
      </w:r>
    </w:p>
    <w:p w14:paraId="2BF13D2E" w14:textId="6DEA25F9" w:rsidR="009771C1" w:rsidRPr="00CA2430" w:rsidRDefault="009771C1" w:rsidP="0083634D">
      <w:pPr>
        <w:autoSpaceDE w:val="0"/>
        <w:autoSpaceDN w:val="0"/>
        <w:adjustRightInd w:val="0"/>
        <w:rPr>
          <w:rFonts w:eastAsia="Times New Roman" w:cs="Times New Roman"/>
          <w:noProof/>
          <w:lang w:eastAsia="lv-LV"/>
        </w:rPr>
      </w:pPr>
      <w:r w:rsidRPr="00CA2430">
        <w:rPr>
          <w:rFonts w:eastAsia="Times New Roman" w:cs="Times New Roman"/>
          <w:noProof/>
          <w:lang w:eastAsia="lv-LV"/>
        </w:rPr>
        <w:t xml:space="preserve">Sagaidāms, ka mēneša vidējā darba samaksa šogad turpinās palielināties, ko ietekmēs gan minimālās darba samaksas kāpums no 620 līdz 700 </w:t>
      </w:r>
      <w:r w:rsidRPr="00CA2430">
        <w:rPr>
          <w:rFonts w:eastAsia="Times New Roman" w:cs="Times New Roman"/>
          <w:i/>
          <w:iCs/>
          <w:noProof/>
          <w:lang w:eastAsia="lv-LV"/>
        </w:rPr>
        <w:t>euro</w:t>
      </w:r>
      <w:r w:rsidRPr="00CA2430">
        <w:rPr>
          <w:rFonts w:eastAsia="Times New Roman" w:cs="Times New Roman"/>
          <w:noProof/>
          <w:lang w:eastAsia="lv-LV"/>
        </w:rPr>
        <w:t>, gan valsts budžeta izdevumu pieaugums sabiedriskā sektora darbinieku algām, tomēr algu pieauguma temps kļūs lēnāks. Gada otrajā pusē līdz ar inflācijas pazemināšanos un salīdzinoši zemo ekonomikas izaugsmi, kā arī pakāpeniski izzūdot bāzes efektiem sabiedriskajā sektorā, kopējie algu pieauguma tempi palēnināsies un 2024. gadā kopā mēneša vidējā bruto darba samaksa varētu pieaugt par 7,7%, sasniedzot 1</w:t>
      </w:r>
      <w:r w:rsidR="00174092" w:rsidRPr="00CA2430">
        <w:rPr>
          <w:rFonts w:eastAsia="Times New Roman" w:cs="Times New Roman"/>
          <w:noProof/>
          <w:lang w:eastAsia="lv-LV"/>
        </w:rPr>
        <w:t> </w:t>
      </w:r>
      <w:r w:rsidRPr="00CA2430">
        <w:rPr>
          <w:rFonts w:eastAsia="Times New Roman" w:cs="Times New Roman"/>
          <w:noProof/>
          <w:lang w:eastAsia="lv-LV"/>
        </w:rPr>
        <w:t xml:space="preserve">655 </w:t>
      </w:r>
      <w:r w:rsidRPr="00CA2430">
        <w:rPr>
          <w:rFonts w:eastAsia="Times New Roman" w:cs="Times New Roman"/>
          <w:i/>
          <w:iCs/>
          <w:noProof/>
          <w:lang w:eastAsia="lv-LV"/>
        </w:rPr>
        <w:t>euro</w:t>
      </w:r>
      <w:r w:rsidRPr="00CA2430">
        <w:rPr>
          <w:rFonts w:eastAsia="Times New Roman" w:cs="Times New Roman"/>
          <w:noProof/>
          <w:lang w:eastAsia="lv-LV"/>
        </w:rPr>
        <w:t xml:space="preserve">. </w:t>
      </w:r>
    </w:p>
    <w:p w14:paraId="60C4DF3B"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Inflācija</w:t>
      </w:r>
    </w:p>
    <w:p w14:paraId="7BB4CC3F" w14:textId="38CE89A5" w:rsidR="009771C1" w:rsidRPr="00CA2430" w:rsidRDefault="009771C1" w:rsidP="0083634D">
      <w:pPr>
        <w:rPr>
          <w:rFonts w:eastAsia="Aptos" w:cs="Times New Roman"/>
          <w:noProof/>
          <w:kern w:val="2"/>
          <w14:ligatures w14:val="standardContextual"/>
        </w:rPr>
      </w:pPr>
      <w:r w:rsidRPr="00CA2430">
        <w:rPr>
          <w:rFonts w:eastAsia="Aptos" w:cs="Times New Roman"/>
          <w:noProof/>
          <w:kern w:val="2"/>
          <w14:ligatures w14:val="standardContextual"/>
        </w:rPr>
        <w:t>Pagājušajā gadā inflācijai bija pievērsta pastiprināta uzmanība gan Latvijā, gan arī citās pasaules valstīs, jo straujais patēriņa cenu pieaugums, kas aizsākās vēl 2022.</w:t>
      </w:r>
      <w:r w:rsidR="00174092" w:rsidRPr="00CA2430">
        <w:rPr>
          <w:rFonts w:eastAsia="Aptos" w:cs="Times New Roman"/>
          <w:noProof/>
          <w:kern w:val="2"/>
          <w14:ligatures w14:val="standardContextual"/>
        </w:rPr>
        <w:t> </w:t>
      </w:r>
      <w:r w:rsidRPr="00CA2430">
        <w:rPr>
          <w:rFonts w:eastAsia="Aptos" w:cs="Times New Roman"/>
          <w:noProof/>
          <w:kern w:val="2"/>
          <w14:ligatures w14:val="standardContextual"/>
        </w:rPr>
        <w:t xml:space="preserve">gadā, būtiski ietekmēja pasaules ekonomikas attīstību un mazināja iedzīvotāju pirktspēju. </w:t>
      </w:r>
    </w:p>
    <w:p w14:paraId="620C89B7" w14:textId="4895A75A" w:rsidR="009771C1" w:rsidRPr="00CA2430" w:rsidRDefault="009771C1" w:rsidP="0083634D">
      <w:pPr>
        <w:rPr>
          <w:rFonts w:eastAsia="Aptos" w:cs="Times New Roman"/>
          <w:noProof/>
          <w:kern w:val="2"/>
          <w14:ligatures w14:val="standardContextual"/>
        </w:rPr>
      </w:pPr>
      <w:r w:rsidRPr="00CA2430">
        <w:rPr>
          <w:rFonts w:eastAsia="Aptos"/>
          <w:bCs/>
          <w:noProof/>
          <w:kern w:val="2"/>
          <w14:ligatures w14:val="standardContextual"/>
        </w:rPr>
        <w:t>2023.</w:t>
      </w:r>
      <w:r w:rsidR="00754CCE" w:rsidRPr="00CA2430">
        <w:rPr>
          <w:rFonts w:eastAsia="Aptos"/>
          <w:bCs/>
          <w:noProof/>
          <w:kern w:val="2"/>
          <w14:ligatures w14:val="standardContextual"/>
        </w:rPr>
        <w:t> </w:t>
      </w:r>
      <w:r w:rsidRPr="00CA2430">
        <w:rPr>
          <w:rFonts w:eastAsia="Aptos"/>
          <w:bCs/>
          <w:noProof/>
          <w:kern w:val="2"/>
          <w14:ligatures w14:val="standardContextual"/>
        </w:rPr>
        <w:t>gada janvārī un februārī Latvija bija vienīgā eirozonas valsts, kur gada inflācija pārsniedza 20%, tādējādi ievērojami pārsniedzot vidējo inflāciju eirozonā. Taču 2023. gads bija zīmīgs ar to, ka patēriņa cenu kāpums gan eirozonā, gan Latvijā kopš gada sākuma ar katru mēnesi palēninājās. Tādējādi saskaņotais patēriņa cenu indekss (SPCI) Latvijā samazinājās no 21,4% janvārī līdz 0,9% decembrī. Tādējādi vidējā inflācija (SPCI) Latvijā 2023. gadā bija 9,1%, savukārt eirozonā tā bija 5,4%. Kopumā jāsecina, ka inflācijas bremzēšanās Latvijā 2023.</w:t>
      </w:r>
      <w:r w:rsidR="00754CCE" w:rsidRPr="00CA2430">
        <w:rPr>
          <w:rFonts w:eastAsia="Aptos"/>
          <w:bCs/>
          <w:noProof/>
          <w:kern w:val="2"/>
          <w14:ligatures w14:val="standardContextual"/>
        </w:rPr>
        <w:t> </w:t>
      </w:r>
      <w:r w:rsidRPr="00CA2430">
        <w:rPr>
          <w:rFonts w:eastAsia="Aptos"/>
          <w:bCs/>
          <w:noProof/>
          <w:kern w:val="2"/>
          <w14:ligatures w14:val="standardContextual"/>
        </w:rPr>
        <w:t xml:space="preserve">gada nogalē bija būtiski straujāka nekā vidēji eirozonā, tādējādi ierindojot Latviju valstu grupā ar zemāko inflāciju. Jāatzīmē, ka tik straujš inflācijas samazinājums lielā mērā ir saistīts </w:t>
      </w:r>
      <w:r w:rsidRPr="00CA2430">
        <w:rPr>
          <w:rFonts w:eastAsia="Aptos"/>
          <w:bCs/>
          <w:noProof/>
          <w:kern w:val="2"/>
          <w14:ligatures w14:val="standardContextual"/>
        </w:rPr>
        <w:lastRenderedPageBreak/>
        <w:t>ar bāzes efektiem, jo 2022. gada nogalē patēriņa cenu pieaugums Latvijā bija viens no augstākajiem eirozonā.</w:t>
      </w:r>
    </w:p>
    <w:p w14:paraId="160C2300" w14:textId="6ED75B39" w:rsidR="009771C1" w:rsidRPr="00CA2430" w:rsidRDefault="009771C1" w:rsidP="0083634D">
      <w:pPr>
        <w:rPr>
          <w:rFonts w:eastAsia="Aptos" w:cs="Times New Roman"/>
          <w:noProof/>
          <w:kern w:val="2"/>
          <w14:ligatures w14:val="standardContextual"/>
        </w:rPr>
      </w:pPr>
      <w:r w:rsidRPr="00CA2430">
        <w:rPr>
          <w:rFonts w:eastAsia="Aptos" w:cs="Times New Roman"/>
          <w:noProof/>
          <w:kern w:val="2"/>
          <w14:ligatures w14:val="standardContextual"/>
        </w:rPr>
        <w:t>Atbilstoši Centrālās statistikas pārvaldes datiem, patēriņa cenas Latvijā 2023.</w:t>
      </w:r>
      <w:r w:rsidR="00754CCE" w:rsidRPr="00CA2430">
        <w:rPr>
          <w:rFonts w:eastAsia="Aptos" w:cs="Times New Roman"/>
          <w:noProof/>
          <w:kern w:val="2"/>
          <w14:ligatures w14:val="standardContextual"/>
        </w:rPr>
        <w:t> </w:t>
      </w:r>
      <w:r w:rsidRPr="00CA2430">
        <w:rPr>
          <w:rFonts w:eastAsia="Aptos" w:cs="Times New Roman"/>
          <w:noProof/>
          <w:kern w:val="2"/>
          <w14:ligatures w14:val="standardContextual"/>
        </w:rPr>
        <w:t xml:space="preserve">gadā pieauga par 8,9%, kas bija gandrīz divas reizes mazāks kāpums nekā iepriekšējā gadā. Tāpat kā 2022. gadā, arī pērnajā gadā galvenie inflāciju ietekmējoši faktori bija saistīti ar energoresursu un pārtikas cenu svārstībām. </w:t>
      </w:r>
    </w:p>
    <w:p w14:paraId="6AA77197" w14:textId="77777777" w:rsidR="009771C1" w:rsidRPr="00CA2430" w:rsidRDefault="009771C1" w:rsidP="0083634D">
      <w:pPr>
        <w:rPr>
          <w:rFonts w:eastAsia="Aptos" w:cs="Times New Roman"/>
          <w:noProof/>
          <w:color w:val="000000"/>
          <w:kern w:val="2"/>
          <w14:ligatures w14:val="standardContextual"/>
        </w:rPr>
      </w:pPr>
      <w:r w:rsidRPr="00CA2430">
        <w:rPr>
          <w:rFonts w:eastAsia="Aptos" w:cs="Times New Roman"/>
          <w:noProof/>
          <w:color w:val="000000"/>
          <w:kern w:val="2"/>
          <w14:ligatures w14:val="standardContextual"/>
        </w:rPr>
        <w:t xml:space="preserve">Lielākais devums patēriņa cenu kāpumā 2023. gadā bija pārtikas un bezalkoholisko dzērienu sadārdzinājumam par 13,2%, tādējādi izskaidrojot vairāk nekā trešdaļu no kopējās inflācijas. Pārtikas cenām ir būtiska ietekme uz vidējo inflāciju, jo tai mājsaimniecības patēriņa grozā ir vislielākais īpatsvars starp visām precēm un pakalpojumiem - 26,2%. Pārtikas cenu pieaugums 2023. gada laikā, tāpat kā vidējā inflācija, bremzējās, tomēr pārtikas inflācija visa gada garumā bija augstāka par vidējo inflāciju, kas radīja būtisku spiedienu uz mājsaimniecību izdevumiem. </w:t>
      </w:r>
    </w:p>
    <w:p w14:paraId="34BDAFB5" w14:textId="0E8DB3C7" w:rsidR="009771C1" w:rsidRPr="00CA2430" w:rsidRDefault="009771C1" w:rsidP="0083634D">
      <w:pPr>
        <w:rPr>
          <w:rFonts w:eastAsia="Aptos" w:cs="Times New Roman"/>
          <w:noProof/>
          <w:color w:val="000000"/>
          <w:kern w:val="2"/>
          <w14:ligatures w14:val="standardContextual"/>
        </w:rPr>
      </w:pPr>
      <w:r w:rsidRPr="00CA2430">
        <w:rPr>
          <w:rFonts w:eastAsia="Aptos" w:cs="Times New Roman"/>
          <w:noProof/>
          <w:color w:val="000000"/>
          <w:kern w:val="2"/>
          <w14:ligatures w14:val="standardContextual"/>
        </w:rPr>
        <w:t xml:space="preserve">2023. gadā palielinājās arī ar mājokļa apsaimniekošanu saistīto pakalpojumu cenas. Tā, siltumenerģijas cena pieauga par 19,6%, savukārt elektroenerģija un gāze sadārdzinājās attiecīgi par 12,5% un 2,7%. Lai arī šāds cenu pieaugums komunālajiem pakalpojumiem ir pietiekoši augsts, tomēr tas ir vairākas reizes mazāks nekā 2022. gadā. Šo pakalpojumu cenu pieaugums pērnā gada pirmajā pusē bija ļoti augsts, tomēr otrajā pusgadā, būtiski samazinoties dabasgāzes cenām Eiropā, samazinājās arī elektroenerģijas, gāzes un siltumenerģijas tarifi Latvijā. Pērnajā gadā samazinājās arī degvielas cena, kopumā par 9,2%. Dīzeļdegvielas vidējā cena 2023. gadā bija 1,589 </w:t>
      </w:r>
      <w:r w:rsidRPr="00CA2430">
        <w:rPr>
          <w:rFonts w:eastAsia="Aptos" w:cs="Times New Roman"/>
          <w:i/>
          <w:iCs/>
          <w:noProof/>
          <w:color w:val="000000"/>
          <w:kern w:val="2"/>
          <w14:ligatures w14:val="standardContextual"/>
        </w:rPr>
        <w:t xml:space="preserve">euro </w:t>
      </w:r>
      <w:r w:rsidRPr="00CA2430">
        <w:rPr>
          <w:rFonts w:eastAsia="Aptos" w:cs="Times New Roman"/>
          <w:noProof/>
          <w:color w:val="000000"/>
          <w:kern w:val="2"/>
          <w14:ligatures w14:val="standardContextual"/>
        </w:rPr>
        <w:t xml:space="preserve">par litru, kas bija par 18,3 </w:t>
      </w:r>
      <w:r w:rsidRPr="00CA2430">
        <w:rPr>
          <w:rFonts w:eastAsia="Aptos" w:cs="Times New Roman"/>
          <w:i/>
          <w:iCs/>
          <w:noProof/>
          <w:color w:val="000000"/>
          <w:kern w:val="2"/>
          <w14:ligatures w14:val="standardContextual"/>
        </w:rPr>
        <w:t>euro</w:t>
      </w:r>
      <w:r w:rsidRPr="00CA2430">
        <w:rPr>
          <w:rFonts w:eastAsia="Aptos" w:cs="Times New Roman"/>
          <w:noProof/>
          <w:color w:val="000000"/>
          <w:kern w:val="2"/>
          <w14:ligatures w14:val="standardContextual"/>
        </w:rPr>
        <w:t xml:space="preserve"> centiem mazāk nekā 2022.</w:t>
      </w:r>
      <w:r w:rsidR="00754CCE" w:rsidRPr="00CA2430">
        <w:rPr>
          <w:rFonts w:eastAsia="Aptos" w:cs="Times New Roman"/>
          <w:noProof/>
          <w:color w:val="000000"/>
          <w:kern w:val="2"/>
          <w14:ligatures w14:val="standardContextual"/>
        </w:rPr>
        <w:t> </w:t>
      </w:r>
      <w:r w:rsidRPr="00CA2430">
        <w:rPr>
          <w:rFonts w:eastAsia="Aptos" w:cs="Times New Roman"/>
          <w:noProof/>
          <w:color w:val="000000"/>
          <w:kern w:val="2"/>
          <w14:ligatures w14:val="standardContextual"/>
        </w:rPr>
        <w:t xml:space="preserve">gadā. Savukārt 95.markas benzīna cena 2023. gadā samazinājās par 14,2 </w:t>
      </w:r>
      <w:r w:rsidRPr="00CA2430">
        <w:rPr>
          <w:rFonts w:eastAsia="Aptos" w:cs="Times New Roman"/>
          <w:i/>
          <w:iCs/>
          <w:noProof/>
          <w:color w:val="000000"/>
          <w:kern w:val="2"/>
          <w14:ligatures w14:val="standardContextual"/>
        </w:rPr>
        <w:t>euro</w:t>
      </w:r>
      <w:r w:rsidRPr="00CA2430">
        <w:rPr>
          <w:rFonts w:eastAsia="Aptos" w:cs="Times New Roman"/>
          <w:noProof/>
          <w:color w:val="000000"/>
          <w:kern w:val="2"/>
          <w14:ligatures w14:val="standardContextual"/>
        </w:rPr>
        <w:t xml:space="preserve"> centiem līdz 1,637 </w:t>
      </w:r>
      <w:r w:rsidRPr="00CA2430">
        <w:rPr>
          <w:rFonts w:eastAsia="Aptos" w:cs="Times New Roman"/>
          <w:i/>
          <w:iCs/>
          <w:noProof/>
          <w:color w:val="000000"/>
          <w:kern w:val="2"/>
          <w14:ligatures w14:val="standardContextual"/>
        </w:rPr>
        <w:t>euro</w:t>
      </w:r>
      <w:r w:rsidRPr="00CA2430">
        <w:rPr>
          <w:rFonts w:eastAsia="Aptos" w:cs="Times New Roman"/>
          <w:noProof/>
          <w:color w:val="000000"/>
          <w:kern w:val="2"/>
          <w14:ligatures w14:val="standardContextual"/>
        </w:rPr>
        <w:t xml:space="preserve"> par litru. </w:t>
      </w:r>
      <w:r w:rsidRPr="00CA2430">
        <w:rPr>
          <w:rFonts w:eastAsia="Aptos" w:cs="Times New Roman"/>
          <w:noProof/>
          <w:kern w:val="2"/>
          <w14:ligatures w14:val="standardContextual"/>
        </w:rPr>
        <w:t xml:space="preserve">Neskatoties uz  ģeopolitiskās situācijas eskalāciju </w:t>
      </w:r>
      <w:r w:rsidRPr="00CA2430">
        <w:rPr>
          <w:rFonts w:eastAsia="Aptos" w:cs="Times New Roman"/>
          <w:noProof/>
          <w:color w:val="000000"/>
          <w:kern w:val="2"/>
          <w14:ligatures w14:val="standardContextual"/>
        </w:rPr>
        <w:t xml:space="preserve">Tuvajos Austrumos 2023. gada oktobrī, reģionā, kuram ir būtiska nozīme gāzes un naftas tirgū, gan gāzes, gan naftas cenas pērnā gada nogalē turpināja samazināties. Kopumā dabasgāzes cena Eiropā 2023. gadā samazinājusies 3,3 reizes salīdzinājumā ar 2022. gadu, sasniedzot 40,2 </w:t>
      </w:r>
      <w:r w:rsidRPr="00CA2430">
        <w:rPr>
          <w:rFonts w:eastAsia="Aptos" w:cs="Times New Roman"/>
          <w:i/>
          <w:iCs/>
          <w:noProof/>
          <w:color w:val="000000"/>
          <w:kern w:val="2"/>
          <w14:ligatures w14:val="standardContextual"/>
        </w:rPr>
        <w:t>euro</w:t>
      </w:r>
      <w:r w:rsidRPr="00CA2430">
        <w:rPr>
          <w:rFonts w:eastAsia="Aptos" w:cs="Times New Roman"/>
          <w:noProof/>
          <w:color w:val="000000"/>
          <w:kern w:val="2"/>
          <w14:ligatures w14:val="standardContextual"/>
        </w:rPr>
        <w:t xml:space="preserve">/Mh. Savukārt </w:t>
      </w:r>
      <w:r w:rsidRPr="00CA2430">
        <w:rPr>
          <w:rFonts w:eastAsia="Aptos" w:cs="Times New Roman"/>
          <w:i/>
          <w:iCs/>
          <w:noProof/>
          <w:color w:val="000000"/>
          <w:kern w:val="2"/>
          <w14:ligatures w14:val="standardContextual"/>
        </w:rPr>
        <w:t>Brent</w:t>
      </w:r>
      <w:r w:rsidRPr="00CA2430">
        <w:rPr>
          <w:rFonts w:eastAsia="Aptos" w:cs="Times New Roman"/>
          <w:noProof/>
          <w:color w:val="000000"/>
          <w:kern w:val="2"/>
          <w14:ligatures w14:val="standardContextual"/>
        </w:rPr>
        <w:t xml:space="preserve"> markas jēlnaftas cena 2023. gadā bija 82,5 ASV dolāri par barelu, kas bija par 18,2% mazāk nekā gadu iepriekš. Pērnajā gadā šo izejvielu cenu dinamiku ietekmēja virkne faktoru, bet viens no galvenajiem bija pasaules ekonomikas attīstības tempu samazinājums un tā rezultātā arī mazāks naftas un gāzes patēriņš pasaulē.</w:t>
      </w:r>
    </w:p>
    <w:p w14:paraId="6C0A8446" w14:textId="77777777" w:rsidR="009771C1" w:rsidRPr="00CA2430" w:rsidRDefault="009771C1" w:rsidP="0083634D">
      <w:pPr>
        <w:rPr>
          <w:rFonts w:eastAsia="Aptos" w:cs="Times New Roman"/>
          <w:noProof/>
          <w:color w:val="000000"/>
          <w:kern w:val="2"/>
          <w14:ligatures w14:val="standardContextual"/>
        </w:rPr>
      </w:pPr>
      <w:r w:rsidRPr="00CA2430">
        <w:rPr>
          <w:rFonts w:eastAsia="Aptos" w:cs="Times New Roman"/>
          <w:noProof/>
          <w:kern w:val="2"/>
          <w14:ligatures w14:val="standardContextual"/>
        </w:rPr>
        <w:t>Pateicoties energoresursu cenu kritumam gada otrajā pusē, 2023. gadā būtiski mazinājusies importētā inflācija</w:t>
      </w:r>
      <w:r w:rsidRPr="00CA2430">
        <w:rPr>
          <w:rFonts w:eastAsia="Aptos" w:cs="Times New Roman"/>
          <w:noProof/>
          <w:color w:val="000000"/>
          <w:kern w:val="2"/>
          <w14:ligatures w14:val="standardContextual"/>
        </w:rPr>
        <w:t>, kas raksturo energoresursu un pārtikas cenu pārmaiņu ietekmi. Savukārt pamatinflācija, kas raksturo vietējo faktoru ietekmi uz cenu dinamiku, pērnajā gadā bija noturīga un tikai nedaudz pazeminājusies. Atbilstoši Finanšu ministrijas novērtējumam, pamatinflācijas pieaugums 2023. gadā veidoja 9,4% pretstatā 11,0% 2022. gadā. Augsto pamatinflāciju nosaka otrreizējie efekti strauja energoresursu un pārtikas cenu pieauguma dēļ, kā arī saspringtā situācija darba tirgū un spiediens, ko rada darbaspēka izmaksu pieaugums.</w:t>
      </w:r>
    </w:p>
    <w:p w14:paraId="6A81633E" w14:textId="77777777" w:rsidR="009771C1" w:rsidRPr="00CA2430" w:rsidRDefault="009771C1" w:rsidP="0083634D">
      <w:pPr>
        <w:rPr>
          <w:rFonts w:eastAsia="Aptos" w:cs="Times New Roman"/>
          <w:noProof/>
          <w:color w:val="000000"/>
          <w:kern w:val="2"/>
          <w14:ligatures w14:val="standardContextual"/>
        </w:rPr>
      </w:pPr>
      <w:r w:rsidRPr="00CA2430">
        <w:rPr>
          <w:rFonts w:eastAsia="Aptos" w:cs="Times New Roman"/>
          <w:noProof/>
          <w:color w:val="000000"/>
          <w:kern w:val="2"/>
          <w14:ligatures w14:val="standardContextual"/>
        </w:rPr>
        <w:t xml:space="preserve">2024. gada pirmajā pusgadā inflācija Latvijā ir stabilizējusies zemā līmenī. Atbilstoši Centrālas statistikas pārvaldes datiem, vidējais patēriņa cenu līmenis bija par 0,8% augstāks, salīdzinot ar 2023. gada pirmo pusgadu. </w:t>
      </w:r>
    </w:p>
    <w:p w14:paraId="00C93E6F" w14:textId="7C6D2F2E" w:rsidR="009771C1" w:rsidRPr="00CA2430" w:rsidRDefault="009771C1" w:rsidP="0083634D">
      <w:pPr>
        <w:rPr>
          <w:rFonts w:cs="Times New Roman"/>
          <w:noProof/>
          <w:color w:val="000000" w:themeColor="text1"/>
          <w:shd w:val="clear" w:color="auto" w:fill="FFFFFF"/>
        </w:rPr>
      </w:pPr>
      <w:r w:rsidRPr="00CA2430">
        <w:rPr>
          <w:rFonts w:cs="Times New Roman"/>
          <w:noProof/>
          <w:color w:val="000000" w:themeColor="text1"/>
          <w:shd w:val="clear" w:color="auto" w:fill="FFFFFF"/>
        </w:rPr>
        <w:t>Zemo gada inflācijas līmeni nosaka energoresursu cenu kritums pasaules tirgū pēc straujā kāpuma 2022. gadā, kas 2024. gada pirmajā pusgadā pazeminājis ar mājokli saistīto preču un pakalpojumu cenas kopumā par 8,4%, salīdzinot ar pagājušā gada attiecīgo periodu. Noteicošo pazeminošo ietekmi nodrošināja elektroenerģijas un siltumenerģijas tarifu samazinājums attiecīgi par 11,4% un 19,7%. Samazinājās arī gāzes un cietā kurināmā cenas</w:t>
      </w:r>
      <w:r w:rsidR="00754CCE" w:rsidRPr="00CA2430">
        <w:rPr>
          <w:rFonts w:cs="Times New Roman"/>
          <w:noProof/>
          <w:color w:val="000000" w:themeColor="text1"/>
          <w:shd w:val="clear" w:color="auto" w:fill="FFFFFF"/>
        </w:rPr>
        <w:t xml:space="preserve"> –</w:t>
      </w:r>
      <w:r w:rsidRPr="00CA2430">
        <w:rPr>
          <w:rFonts w:cs="Times New Roman"/>
          <w:noProof/>
          <w:color w:val="000000" w:themeColor="text1"/>
          <w:shd w:val="clear" w:color="auto" w:fill="FFFFFF"/>
        </w:rPr>
        <w:t xml:space="preserve"> attiecīgi par 11,5% un 14,9% salīdzinājumā ar pērnā gada pirmo pusgadu. Tomēr gāzes un cietā kurināmā īpatsvars patēriņa grozā ir būtiski zemāks, līdz ar to arī ietekme uz inflāciju ir būtiski zemāka nekā elektroenerģijas un siltumenerģijas cenu kritumam. </w:t>
      </w:r>
      <w:r w:rsidRPr="00CA2430">
        <w:rPr>
          <w:rFonts w:eastAsia="Aptos" w:cs="Times New Roman"/>
          <w:noProof/>
          <w:color w:val="000000"/>
          <w:shd w:val="clear" w:color="auto" w:fill="FFFFFF"/>
        </w:rPr>
        <w:t xml:space="preserve">Jāatzīmē, ka augstāk minēto preču cenu pārmaiņas gada izteiksmē, it īpaši elektroenerģijai un siltumenerģijai, būtiski ietekmēja bāzes efekti, jo līdz pērnā gada aprīlim bija spēkā valdības atbalsts energoresursu </w:t>
      </w:r>
      <w:r w:rsidRPr="00CA2430">
        <w:rPr>
          <w:rFonts w:eastAsia="Aptos" w:cs="Times New Roman"/>
          <w:noProof/>
          <w:color w:val="000000"/>
          <w:shd w:val="clear" w:color="auto" w:fill="FFFFFF"/>
        </w:rPr>
        <w:lastRenderedPageBreak/>
        <w:t xml:space="preserve">cenu pieauguma daļējai kompensēšanai mājsaimniecībām, līdz ar to, sākot ar šā gada maiju, beigusies šī atbalsta ietekme uz cenu dinamiku. </w:t>
      </w:r>
      <w:r w:rsidRPr="00CA2430">
        <w:rPr>
          <w:rFonts w:cs="Times New Roman"/>
          <w:noProof/>
          <w:color w:val="000000" w:themeColor="text1"/>
          <w:shd w:val="clear" w:color="auto" w:fill="FFFFFF"/>
        </w:rPr>
        <w:t>Tieši ar šo ir skaidrojama situācija, ka 2024.</w:t>
      </w:r>
      <w:r w:rsidR="00754CCE" w:rsidRPr="00CA2430">
        <w:rPr>
          <w:rFonts w:cs="Times New Roman"/>
          <w:noProof/>
          <w:color w:val="000000" w:themeColor="text1"/>
          <w:shd w:val="clear" w:color="auto" w:fill="FFFFFF"/>
        </w:rPr>
        <w:t> </w:t>
      </w:r>
      <w:r w:rsidRPr="00CA2430">
        <w:rPr>
          <w:rFonts w:cs="Times New Roman"/>
          <w:noProof/>
          <w:color w:val="000000" w:themeColor="text1"/>
          <w:shd w:val="clear" w:color="auto" w:fill="FFFFFF"/>
        </w:rPr>
        <w:t xml:space="preserve">gada maijā elektroenerģijas un siltumenerģijas </w:t>
      </w:r>
      <w:bookmarkStart w:id="3" w:name="_Hlk168922927"/>
      <w:r w:rsidRPr="00CA2430">
        <w:rPr>
          <w:rFonts w:cs="Times New Roman"/>
          <w:noProof/>
          <w:color w:val="000000" w:themeColor="text1"/>
          <w:shd w:val="clear" w:color="auto" w:fill="FFFFFF"/>
        </w:rPr>
        <w:t>tarifu samazinājums kļuva lielāks</w:t>
      </w:r>
      <w:bookmarkEnd w:id="3"/>
      <w:r w:rsidRPr="00CA2430">
        <w:rPr>
          <w:rFonts w:cs="Times New Roman"/>
          <w:noProof/>
          <w:color w:val="000000" w:themeColor="text1"/>
          <w:shd w:val="clear" w:color="auto" w:fill="FFFFFF"/>
        </w:rPr>
        <w:t xml:space="preserve">, salīdzinot ar šā gada iepriekšējiem mēnešiem. Sagaidāms, ka arī turpmākajos mēnešos augstāk minētajām precēm un pakalpojumiem turpināsies deflācija. Pretēja situācija ir vērojama citiem komunālajiem pakalpojumiem. Tā, ūdensapgādes un atkritumu savākšanas pakalpojumu cenas šā gada pirmajā pusgadā bija attiecīgi par 0,9% un 15,2% augstākas nekā pirms gada. Šo pakalpojumu cenu arī ietekmē energoresursu cenu svārstības, tomēr mazākā mērā nekā elektroenerģijai vai siltumenerģijai. Cenu pieaugumu šiem pakalpojumiem lielā mērā nosaka darba samaksas pieaugums, kā arī infrastruktūras uzturēšanas izmaksu kāpums. </w:t>
      </w:r>
    </w:p>
    <w:p w14:paraId="436CD3EF" w14:textId="77777777" w:rsidR="009771C1" w:rsidRPr="00CA2430" w:rsidRDefault="009771C1" w:rsidP="0083634D">
      <w:pPr>
        <w:rPr>
          <w:rFonts w:cs="Times New Roman"/>
          <w:noProof/>
          <w:color w:val="000000" w:themeColor="text1"/>
          <w:shd w:val="clear" w:color="auto" w:fill="FFFFFF"/>
        </w:rPr>
      </w:pPr>
      <w:r w:rsidRPr="00CA2430">
        <w:rPr>
          <w:rFonts w:cs="Times New Roman"/>
          <w:noProof/>
          <w:color w:val="000000" w:themeColor="text1"/>
          <w:shd w:val="clear" w:color="auto" w:fill="FFFFFF"/>
        </w:rPr>
        <w:t xml:space="preserve">2024. gada pirmajā pusgadā preču cenām ar 0,7% kopējo kritumu bijusi pazeminoša ietekme uz inflācijas līmeni. Preču cenu samazinājums varētu būt bijis vēl straujāks, taču to ierobežo pārtikas cenu pieaugums, kas aizvien ir augstāks nekā vidējā inflācija. Pārtika un bezalkoholiskie dzērieni šā gada pirmajā pusgadā bija par 1,3% dārgāki nekā attiecīgajā periodā pērn. Lai arī šāds pieaugums ir būtiski zemāks nekā vidēji pērn, tomēr </w:t>
      </w:r>
      <w:r w:rsidRPr="00CA2430">
        <w:rPr>
          <w:rFonts w:cs="Times New Roman"/>
          <w:noProof/>
        </w:rPr>
        <w:t>pārtikas cenu pieaugumam būtu jābūt vēl mazākam, jo pārtikas ražošanas izmaksas, kā arī loģistikas izmaksas ir būtiski samazinājušās. Tā, ražotāju cenas vietējā tirgū realizētajai pārtikai jau kopš pērnā gada oktobra nepārtraukti samazinās un šā gada pirmajos piecos mēnešos kopā bija par 1,4% zemākas nekā attiecīgajā periodā pirms gada. Samazinās arī neapstrādātās pārtikas cenas pasaulē, kas ietekmē mūsu importētās pārtikas cenas. Atbilstoši ANO Pārtikas un lauksaimniecības organizācijas datiem, neapstrādātās pārtikas cenas šā gada pirmajā pusē bija par 6,8% zemākas nekā pērnā gada attiecīgajā periodā. Tas, kopā ar būtiski zemākiem elektroenerģijas un siltumenerģijas tarifiem Latvijā, kas samazina arī mazumtirgotāju izmaksas, atstāj būtisku pazeminošu ietekmi uz pārtikas cenām.</w:t>
      </w:r>
    </w:p>
    <w:p w14:paraId="410B46BA" w14:textId="42ABF4EF" w:rsidR="009771C1" w:rsidRPr="00CA2430" w:rsidRDefault="009771C1" w:rsidP="0083634D">
      <w:pPr>
        <w:rPr>
          <w:rFonts w:cs="Times New Roman"/>
          <w:noProof/>
          <w:color w:val="000000" w:themeColor="text1"/>
          <w:shd w:val="clear" w:color="auto" w:fill="FFFFFF"/>
        </w:rPr>
      </w:pPr>
      <w:r w:rsidRPr="00CA2430">
        <w:rPr>
          <w:rFonts w:cs="Times New Roman"/>
          <w:noProof/>
          <w:color w:val="000000" w:themeColor="text1"/>
          <w:shd w:val="clear" w:color="auto" w:fill="FFFFFF"/>
        </w:rPr>
        <w:t>Savukārt pakalpojumu cenas 2024.</w:t>
      </w:r>
      <w:r w:rsidR="00754CCE" w:rsidRPr="00CA2430">
        <w:rPr>
          <w:rFonts w:cs="Times New Roman"/>
          <w:noProof/>
          <w:color w:val="000000" w:themeColor="text1"/>
          <w:shd w:val="clear" w:color="auto" w:fill="FFFFFF"/>
        </w:rPr>
        <w:t> </w:t>
      </w:r>
      <w:r w:rsidRPr="00CA2430">
        <w:rPr>
          <w:rFonts w:cs="Times New Roman"/>
          <w:noProof/>
          <w:color w:val="000000" w:themeColor="text1"/>
          <w:shd w:val="clear" w:color="auto" w:fill="FFFFFF"/>
        </w:rPr>
        <w:t xml:space="preserve">gada pirmajā pusē palielinājās par 5,3%, atspoguļojot iepriekš strauji augušās izmaksas un joprojām spēcīgo darba samaksas pieaugumu. Visbūtiskāk pakalpojumu sektorā cenas palielinājušās veselības aprūpes, izglītības, kultūras un atpūtas pakalpojumiem, kā arī pasažieru pārvadājumiem. Pakalpojumu cenu pieaugumu spilgti raksturo pamatinflācijas attīstība. Tā, 2024. gada pirmajā pusē pamatinflācija bija 3,3%, tādējādi tās devums patēriņa cenu pieaugumā veidoja 2,1 procentpunktu. Savukārt importētās inflācijas devums, kas raksturo energoresursu un pārtikas cenu pārmaiņas, šā gada pirmajā pusē bija 1,7 procentpunkti. Tomēr, kā jau atzīmēts iepriekš, pazeminošu ietekmi uz inflāciju atstāja ar energoresursiem saistīto pakalpojumu cenu kritums. </w:t>
      </w:r>
    </w:p>
    <w:p w14:paraId="68A516C6" w14:textId="77777777" w:rsidR="009771C1" w:rsidRPr="00CA2430" w:rsidRDefault="009771C1" w:rsidP="0083634D">
      <w:pPr>
        <w:rPr>
          <w:rFonts w:cs="Times New Roman"/>
          <w:noProof/>
          <w:color w:val="000000" w:themeColor="text1"/>
          <w:shd w:val="clear" w:color="auto" w:fill="FFFFFF"/>
        </w:rPr>
      </w:pPr>
      <w:r w:rsidRPr="00CA2430">
        <w:rPr>
          <w:rFonts w:cs="Times New Roman"/>
          <w:noProof/>
          <w:color w:val="000000" w:themeColor="text1"/>
          <w:shd w:val="clear" w:color="auto" w:fill="FFFFFF"/>
        </w:rPr>
        <w:t xml:space="preserve">Šā gada martā palielinājās akcīzes nodokļa likme tabakas izstrādājumiem un alkoholiskajiem dzērieniem, tādējādi nedaudz paaugstinot šīs produkcijas cenas. Atbilstoši Finanšu ministrijas novērtējumam, nodokļu likmju paaugstināšanas devums vidējā patēriņa cenu pieaugumā šā gada pirmajā pusē bija 0,4 procentpunkti. </w:t>
      </w:r>
    </w:p>
    <w:p w14:paraId="20679587" w14:textId="77777777" w:rsidR="009771C1" w:rsidRPr="00CA2430" w:rsidRDefault="009771C1" w:rsidP="0083634D">
      <w:pPr>
        <w:rPr>
          <w:rFonts w:eastAsia="Aptos" w:cs="Times New Roman"/>
          <w:noProof/>
          <w:color w:val="000000" w:themeColor="text1"/>
          <w:kern w:val="2"/>
          <w14:ligatures w14:val="standardContextual"/>
        </w:rPr>
      </w:pPr>
      <w:r w:rsidRPr="00CA2430">
        <w:rPr>
          <w:rFonts w:cs="Times New Roman"/>
          <w:noProof/>
          <w:color w:val="000000" w:themeColor="text1"/>
        </w:rPr>
        <w:t xml:space="preserve">Atbilstoši aktualizētajām makroekonomisko rādītāju prognozēm, kuras ir izstrādātas 2024. gadā jūnijā un veidos pamatu valsts 2025. gada budžetam, prognozēts, ka patēriņa cenas šogad vidēji palielināsies par 1,2%, kas ir būtiski mazāk nekā iepriekšējos gados. </w:t>
      </w:r>
      <w:r w:rsidRPr="00CA2430">
        <w:rPr>
          <w:rFonts w:eastAsia="Aptos" w:cs="Times New Roman"/>
          <w:noProof/>
          <w:color w:val="000000" w:themeColor="text1"/>
          <w:kern w:val="2"/>
          <w14:ligatures w14:val="standardContextual"/>
        </w:rPr>
        <w:t>Šogad inflāciju paaugstinošie faktori galvenokārt būs saistīti ar iekšējiem ekonomikas procesiem, ko ietekmēs darba tirgus attīstība, it īpaši pakalpojumu nozarēs. Savukārt ārējiem faktoriem drīzāk būs inflāciju pazeminoša ietekme, ko noteiks energoresursu cenu stabilizēšanās. Neliela inflāciju paaugstinoša ietekme 2024. gadā būs nodokļu likmju pieaugumam.</w:t>
      </w:r>
    </w:p>
    <w:p w14:paraId="40E02F97" w14:textId="77777777" w:rsidR="009771C1" w:rsidRPr="00CA2430" w:rsidRDefault="009771C1" w:rsidP="0083634D">
      <w:pPr>
        <w:pStyle w:val="H4"/>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Makroekonomiskās attīstības scenārijs</w:t>
      </w:r>
    </w:p>
    <w:p w14:paraId="738E7BA2" w14:textId="77777777" w:rsidR="009771C1" w:rsidRPr="00CA2430" w:rsidRDefault="009771C1" w:rsidP="0083634D">
      <w:pPr>
        <w:rPr>
          <w:noProof/>
        </w:rPr>
      </w:pPr>
      <w:r w:rsidRPr="00CA2430">
        <w:rPr>
          <w:noProof/>
        </w:rPr>
        <w:t>Vidēja termiņa makroekonomiskās attīstības scenārijs 2024.</w:t>
      </w:r>
      <w:r w:rsidRPr="00CA2430">
        <w:rPr>
          <w:noProof/>
        </w:rPr>
        <w:noBreakHyphen/>
        <w:t xml:space="preserve">2028. gadam izstrādāts 2024. gada jūnijā, balstoties uz 2024. gada pirmā ceturkšņa IKP datiem, kā arī līdz šā gada jūnijam pieejamo īstermiņa makroekonomisko informāciju. Izstrādājot vidēja termiņa makroekonomiskās attīstības scenāriju, FM ir konsultējusies ar SVF, EK un komercbanku ekspertiem. Makroekonomisko rādītāju prognozes ir saskaņotas ar Latvijas Banku un </w:t>
      </w:r>
      <w:r w:rsidRPr="00CA2430">
        <w:rPr>
          <w:noProof/>
        </w:rPr>
        <w:lastRenderedPageBreak/>
        <w:t>Ekonomikas ministriju, kā arī tās 2024. gada 10. jūnijā ir apstiprinājusi Fiskālās disciplīnas padome.</w:t>
      </w:r>
    </w:p>
    <w:p w14:paraId="3C29F681" w14:textId="77777777" w:rsidR="009771C1" w:rsidRPr="00CA2430" w:rsidRDefault="009771C1" w:rsidP="0083634D">
      <w:pPr>
        <w:rPr>
          <w:noProof/>
        </w:rPr>
      </w:pPr>
      <w:r w:rsidRPr="00CA2430">
        <w:rPr>
          <w:noProof/>
        </w:rPr>
        <w:t>Latvijas un tās ārējo tirdzniecības partnervalstu ekonomiskā situācija pēdējos mēnešos nav būtiski mainījusies, tāpēc ekonomikas izaugsmes prognoze šim gadam ir 1,4%, bet 2025. gadam – 2,9%, kas sakrīt ar Finanšu ministrijas februārī sagatavotās Latvijas Stabilitātes programmas 2024.-2028. gadam prognozēm. Tuvākajos trīs gados ekonomikas izaugsme nedaudz palēnināsies, stabilizējoties līmenī ap 2,5%.</w:t>
      </w:r>
    </w:p>
    <w:p w14:paraId="30E2880F" w14:textId="77777777" w:rsidR="009771C1" w:rsidRPr="00CA2430" w:rsidRDefault="009771C1" w:rsidP="0083634D">
      <w:pPr>
        <w:rPr>
          <w:noProof/>
        </w:rPr>
      </w:pPr>
      <w:r w:rsidRPr="00CA2430">
        <w:rPr>
          <w:noProof/>
        </w:rPr>
        <w:t xml:space="preserve">Pēc neliela krituma 2023. gadā, ko galvenokārt izraisīja ģeopolitiskā situācija un vājā ekonomikas izaugsme ārējos tirgos, 2024. gada sākumā </w:t>
      </w:r>
      <w:r w:rsidRPr="00CA2430">
        <w:rPr>
          <w:b/>
          <w:bCs/>
          <w:noProof/>
        </w:rPr>
        <w:t>iekšzemes kopprodukta</w:t>
      </w:r>
      <w:r w:rsidRPr="00CA2430">
        <w:rPr>
          <w:noProof/>
        </w:rPr>
        <w:t xml:space="preserve"> (IKP) pieaugums ir atjaunojies. Pirmajā ceturksnī izaugsmi veicināja spēcīgs sabiedriskā patēriņa pieaugums un privātā patēriņa atgūšanās pēc iepriekšējo gadu straujā cenu kāpuma. Nākamajos ceturkšņos izaugsmi galvenokārt stimulēs ārējā pieprasījuma atjaunošanās un intensīvāka Eiropas Savienības fondu investīciju izmantošana. Pēdējos mēnešos vērojama pakāpeniska uzņēmēju un patērētāju konfidences rādītāju uzlabošanās. Eirozonas ekonomiskās izaugsmes atjaunošanos veicinās arī procentu likmju samazinājums, ko Eiropas Centrālā banka uzsāka šā gada jūnijā, samazinot procentu likmi par 0,25 procentpunktiem.</w:t>
      </w:r>
    </w:p>
    <w:p w14:paraId="7D8A6F14" w14:textId="77777777" w:rsidR="009771C1" w:rsidRPr="00CA2430" w:rsidRDefault="009771C1" w:rsidP="0083634D">
      <w:pPr>
        <w:rPr>
          <w:noProof/>
        </w:rPr>
      </w:pPr>
      <w:r w:rsidRPr="00CA2430">
        <w:rPr>
          <w:noProof/>
        </w:rPr>
        <w:t xml:space="preserve">2023. gadā </w:t>
      </w:r>
      <w:r w:rsidRPr="00CA2430">
        <w:rPr>
          <w:b/>
          <w:bCs/>
          <w:noProof/>
        </w:rPr>
        <w:t>privāto patēriņu</w:t>
      </w:r>
      <w:r w:rsidRPr="00CA2430">
        <w:rPr>
          <w:noProof/>
        </w:rPr>
        <w:t xml:space="preserve"> jūtami bremzēja augstā inflācija un pirktspējas samazinājums, ietekmējot iedzīvotāju konfidenci. Līdz ar to scenārijs paredz tikai ļoti mērenu privātā patēriņa pieaugumu 2024. un 2025. gadā, ko lielā mērā nosaka nenoteiktība par savu finanšu situāciju, neskatoties uz pašlaik zemo inflāciju un joprojām augsto algu pieaugumu. Tāpēc kopumā patēriņa izaugsme būs nedaudz zemāka, nekā prognozēts 2024. gada februārī. Atbilstoši aktualizētajām prognozēm 2024. gadā privātā patēriņa pieaugums varētu sasniegt 1,6% un 2025. gadā 1,8%, kas ir attiecīgi par 0,3 un 0,8 procentpunktiem mazāk nekā februāra prognozēs, un  privātais patēriņš būs ar lielāko devumu (ap 1 procentpunktu) IKP izaugsmē.</w:t>
      </w:r>
    </w:p>
    <w:p w14:paraId="42D444FB" w14:textId="77777777" w:rsidR="009771C1" w:rsidRPr="00CA2430" w:rsidRDefault="009771C1" w:rsidP="0083634D">
      <w:pPr>
        <w:rPr>
          <w:noProof/>
        </w:rPr>
      </w:pPr>
      <w:r w:rsidRPr="00CA2430">
        <w:rPr>
          <w:noProof/>
        </w:rPr>
        <w:t xml:space="preserve">Nozīmīgu devumu izaugsmē nodrošinās arī </w:t>
      </w:r>
      <w:r w:rsidRPr="00CA2430">
        <w:rPr>
          <w:b/>
          <w:bCs/>
          <w:noProof/>
        </w:rPr>
        <w:t>sabiedriskais patēriņš</w:t>
      </w:r>
      <w:r w:rsidRPr="00CA2430">
        <w:rPr>
          <w:noProof/>
        </w:rPr>
        <w:t>. 2024. gada budžeta izdevumi nodrošinās, ka sabiedriskais patēriņš pieaugs par 4,6%, kas ir saistīts gan ar algu pieaugumu sabiedriskajā sektorā, gan pieaugošo aizsardzības budžetu. Savukārt nākamajos gados pie nemainīgas politikas scenārijs paredz sabiedriskā patēriņa pieaugumu ap 2% gadā.</w:t>
      </w:r>
    </w:p>
    <w:p w14:paraId="64672E9E" w14:textId="77777777" w:rsidR="009771C1" w:rsidRPr="00CA2430" w:rsidRDefault="009771C1" w:rsidP="0083634D">
      <w:pPr>
        <w:rPr>
          <w:noProof/>
        </w:rPr>
      </w:pPr>
      <w:r w:rsidRPr="00CA2430">
        <w:rPr>
          <w:b/>
          <w:bCs/>
          <w:noProof/>
        </w:rPr>
        <w:t>Investīciju</w:t>
      </w:r>
      <w:r w:rsidRPr="00CA2430">
        <w:rPr>
          <w:noProof/>
        </w:rPr>
        <w:t xml:space="preserve"> pieaugums 2024. gadā tiek prognozēts ļoti zems, jo gads sākās ar investīciju samazinājumu, kas sekoja iepriekšējā gada ļoti straujam pieaugumam. Joprojām arī kavējas ES fondu investīciju apguve nozīmīgos projektos. Tādējādi tiek prognozēts, ka 2024. gadā investīciju apjoms palielināsies tikai par 0,3%, kas ir par 3,6 procentpunktiem mazāk nekā februāra prognozēs. Savukārt 2025. gadā paredzams, ka investīcijas stimulēs ES fondu un Atveseļošanās un noturības mehānisma finansējums, kā arī </w:t>
      </w:r>
      <w:r w:rsidRPr="00CA2430">
        <w:rPr>
          <w:i/>
          <w:iCs/>
          <w:noProof/>
        </w:rPr>
        <w:t>Rail Baltica</w:t>
      </w:r>
      <w:r w:rsidRPr="00CA2430">
        <w:rPr>
          <w:noProof/>
        </w:rPr>
        <w:t xml:space="preserve"> projekta realizācija, nodrošinot investīciju pieaugumu par 4,5%, bet turpmākajos gados investīcijas palielināsies vidēji par 2% gadā.</w:t>
      </w:r>
    </w:p>
    <w:p w14:paraId="3A469D56" w14:textId="0C1FCDFA" w:rsidR="009771C1" w:rsidRPr="00CA2430" w:rsidRDefault="009771C1" w:rsidP="00AA1CD6">
      <w:pPr>
        <w:rPr>
          <w:noProof/>
        </w:rPr>
      </w:pPr>
      <w:r w:rsidRPr="00CA2430">
        <w:rPr>
          <w:noProof/>
        </w:rPr>
        <w:t xml:space="preserve">Attiecībā uz </w:t>
      </w:r>
      <w:r w:rsidRPr="00CA2430">
        <w:rPr>
          <w:b/>
          <w:bCs/>
          <w:noProof/>
        </w:rPr>
        <w:t>eksporta</w:t>
      </w:r>
      <w:r w:rsidRPr="00CA2430">
        <w:rPr>
          <w:noProof/>
        </w:rPr>
        <w:t xml:space="preserve"> prognozi, tā dinamiku ietekmēs Latvijas tirdzniecības partneru ekonomiskā aktivitāte, balstoties uz Eiropas Komisijas pavasara prognozēm. Ārējais pieprasījums 2024.</w:t>
      </w:r>
      <w:r w:rsidR="00754CCE" w:rsidRPr="00CA2430">
        <w:rPr>
          <w:noProof/>
        </w:rPr>
        <w:t> </w:t>
      </w:r>
      <w:r w:rsidRPr="00CA2430">
        <w:rPr>
          <w:noProof/>
        </w:rPr>
        <w:t>gadā būs mērens, un eksportu vairs neveicinās straujais eksporta cenu pieaugums. Tādējādi eksporta apjoms varētu saglabāties aptuveni iepriekšējā gada līmenī, palielinoties par 0,3%. Savukārt 2025. gadā eksporta pieaugums atjaunosies līdz 3,2%, un līdzīgs, nedaudz straujāks pieaugums ir gaidāms arī vidējā termiņā.</w:t>
      </w:r>
    </w:p>
    <w:p w14:paraId="420ECC73" w14:textId="406B9B03" w:rsidR="009771C1" w:rsidRPr="00CA2430" w:rsidRDefault="009771C1" w:rsidP="00AA1CD6">
      <w:pPr>
        <w:jc w:val="center"/>
        <w:rPr>
          <w:b/>
          <w:bCs/>
          <w:noProof/>
        </w:rPr>
      </w:pPr>
      <w:r w:rsidRPr="00CA2430">
        <w:rPr>
          <w:b/>
          <w:bCs/>
          <w:noProof/>
        </w:rPr>
        <w:t>2. tabula. Makroekonomiskie rādītāji 2023. – 2028. gadā</w:t>
      </w:r>
    </w:p>
    <w:tbl>
      <w:tblPr>
        <w:tblW w:w="4885" w:type="pct"/>
        <w:jc w:val="center"/>
        <w:tblLayout w:type="fixed"/>
        <w:tblCellMar>
          <w:left w:w="85" w:type="dxa"/>
          <w:right w:w="85" w:type="dxa"/>
        </w:tblCellMar>
        <w:tblLook w:val="04A0" w:firstRow="1" w:lastRow="0" w:firstColumn="1" w:lastColumn="0" w:noHBand="0" w:noVBand="1"/>
      </w:tblPr>
      <w:tblGrid>
        <w:gridCol w:w="3312"/>
        <w:gridCol w:w="872"/>
        <w:gridCol w:w="932"/>
        <w:gridCol w:w="934"/>
        <w:gridCol w:w="932"/>
        <w:gridCol w:w="934"/>
        <w:gridCol w:w="937"/>
      </w:tblGrid>
      <w:tr w:rsidR="00FE0109" w:rsidRPr="00CA2430" w14:paraId="22F49A24" w14:textId="77777777" w:rsidTr="00017774">
        <w:trPr>
          <w:trHeight w:val="20"/>
          <w:tblHeader/>
          <w:jc w:val="center"/>
        </w:trPr>
        <w:tc>
          <w:tcPr>
            <w:tcW w:w="3312" w:type="dxa"/>
            <w:vMerge w:val="restart"/>
            <w:tcBorders>
              <w:top w:val="single" w:sz="4" w:space="0" w:color="auto"/>
              <w:left w:val="single" w:sz="4" w:space="0" w:color="auto"/>
              <w:right w:val="single" w:sz="4" w:space="0" w:color="auto"/>
            </w:tcBorders>
            <w:shd w:val="clear" w:color="auto" w:fill="auto"/>
            <w:noWrap/>
            <w:vAlign w:val="center"/>
            <w:hideMark/>
          </w:tcPr>
          <w:p w14:paraId="4CC63A4F" w14:textId="77777777" w:rsidR="00FE0109" w:rsidRPr="00CA2430" w:rsidRDefault="00FE0109" w:rsidP="00AD5A28">
            <w:pPr>
              <w:spacing w:before="0" w:after="0"/>
              <w:ind w:firstLine="0"/>
              <w:rPr>
                <w:rFonts w:eastAsia="Calibri" w:cs="Times New Roman"/>
                <w:noProof/>
                <w:sz w:val="20"/>
                <w:szCs w:val="20"/>
                <w:lang w:eastAsia="lv-LV"/>
              </w:rPr>
            </w:pP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BB7BD11"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2023</w:t>
            </w:r>
          </w:p>
        </w:tc>
        <w:tc>
          <w:tcPr>
            <w:tcW w:w="93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2DD2340"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2024</w:t>
            </w:r>
          </w:p>
        </w:tc>
        <w:tc>
          <w:tcPr>
            <w:tcW w:w="93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89DFB47"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2025</w:t>
            </w:r>
          </w:p>
        </w:tc>
        <w:tc>
          <w:tcPr>
            <w:tcW w:w="93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FBDD95D"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2026</w:t>
            </w:r>
          </w:p>
        </w:tc>
        <w:tc>
          <w:tcPr>
            <w:tcW w:w="93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148BE66"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2027</w:t>
            </w:r>
          </w:p>
        </w:tc>
        <w:tc>
          <w:tcPr>
            <w:tcW w:w="93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EBCFAF7" w14:textId="77777777" w:rsidR="00FE0109" w:rsidRPr="00CA2430" w:rsidRDefault="00FE0109" w:rsidP="00AA1CD6">
            <w:pPr>
              <w:spacing w:before="0" w:after="0"/>
              <w:ind w:firstLine="0"/>
              <w:jc w:val="center"/>
              <w:rPr>
                <w:rFonts w:eastAsia="Calibri" w:cs="Times New Roman"/>
                <w:b/>
                <w:bCs/>
                <w:noProof/>
                <w:sz w:val="20"/>
                <w:szCs w:val="20"/>
                <w:lang w:eastAsia="lv-LV"/>
              </w:rPr>
            </w:pPr>
            <w:r w:rsidRPr="00CA2430">
              <w:rPr>
                <w:rFonts w:eastAsia="Calibri" w:cs="Times New Roman"/>
                <w:b/>
                <w:bCs/>
                <w:noProof/>
                <w:sz w:val="20"/>
                <w:szCs w:val="20"/>
                <w:lang w:eastAsia="lv-LV"/>
              </w:rPr>
              <w:t>2028</w:t>
            </w:r>
          </w:p>
        </w:tc>
      </w:tr>
      <w:tr w:rsidR="00FE0109" w:rsidRPr="00CA2430" w14:paraId="204AC75D" w14:textId="77777777" w:rsidTr="00017774">
        <w:trPr>
          <w:trHeight w:val="20"/>
          <w:tblHeader/>
          <w:jc w:val="center"/>
        </w:trPr>
        <w:tc>
          <w:tcPr>
            <w:tcW w:w="3312" w:type="dxa"/>
            <w:vMerge/>
            <w:tcBorders>
              <w:left w:val="single" w:sz="4" w:space="0" w:color="auto"/>
              <w:bottom w:val="single" w:sz="4" w:space="0" w:color="auto"/>
              <w:right w:val="single" w:sz="4" w:space="0" w:color="auto"/>
            </w:tcBorders>
            <w:shd w:val="clear" w:color="auto" w:fill="auto"/>
            <w:noWrap/>
            <w:vAlign w:val="center"/>
          </w:tcPr>
          <w:p w14:paraId="1CCA2AB3" w14:textId="77777777" w:rsidR="00FE0109" w:rsidRPr="00CA2430" w:rsidRDefault="00FE0109" w:rsidP="00AD5A28">
            <w:pPr>
              <w:spacing w:before="0" w:after="0"/>
              <w:ind w:firstLine="0"/>
              <w:rPr>
                <w:rFonts w:eastAsia="Calibri" w:cs="Times New Roman"/>
                <w:noProof/>
                <w:sz w:val="20"/>
                <w:szCs w:val="20"/>
                <w:lang w:eastAsia="lv-LV"/>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2D4E3C8" w14:textId="77777777" w:rsidR="00FE0109" w:rsidRPr="00F823D1" w:rsidRDefault="00FE0109" w:rsidP="00AA1CD6">
            <w:pPr>
              <w:spacing w:before="0" w:after="0"/>
              <w:ind w:firstLine="0"/>
              <w:jc w:val="center"/>
              <w:rPr>
                <w:rFonts w:eastAsia="Calibri" w:cs="Times New Roman"/>
                <w:noProof/>
                <w:sz w:val="20"/>
                <w:szCs w:val="20"/>
                <w:lang w:eastAsia="lv-LV"/>
              </w:rPr>
            </w:pPr>
            <w:r w:rsidRPr="00F823D1">
              <w:rPr>
                <w:rFonts w:eastAsia="Calibri" w:cs="Times New Roman"/>
                <w:noProof/>
                <w:sz w:val="20"/>
                <w:szCs w:val="20"/>
                <w:lang w:eastAsia="lv-LV"/>
              </w:rPr>
              <w:t>fakts</w:t>
            </w:r>
          </w:p>
        </w:tc>
        <w:tc>
          <w:tcPr>
            <w:tcW w:w="4669" w:type="dxa"/>
            <w:gridSpan w:val="5"/>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C331F77" w14:textId="77777777" w:rsidR="00FE0109" w:rsidRPr="00F823D1" w:rsidRDefault="00FE0109" w:rsidP="00AA1CD6">
            <w:pPr>
              <w:spacing w:before="0" w:after="0"/>
              <w:ind w:firstLine="0"/>
              <w:jc w:val="center"/>
              <w:rPr>
                <w:rFonts w:eastAsia="Calibri" w:cs="Times New Roman"/>
                <w:noProof/>
                <w:sz w:val="20"/>
                <w:szCs w:val="20"/>
                <w:lang w:eastAsia="lv-LV"/>
              </w:rPr>
            </w:pPr>
            <w:r w:rsidRPr="00F823D1">
              <w:rPr>
                <w:rFonts w:eastAsia="Calibri" w:cs="Times New Roman"/>
                <w:noProof/>
                <w:sz w:val="20"/>
                <w:szCs w:val="20"/>
                <w:lang w:eastAsia="lv-LV"/>
              </w:rPr>
              <w:t>prognoze</w:t>
            </w:r>
          </w:p>
        </w:tc>
      </w:tr>
      <w:tr w:rsidR="00AD5A28" w:rsidRPr="00CA2430" w14:paraId="5FDDA342"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6FCEF7ED" w14:textId="77777777" w:rsidR="009771C1" w:rsidRPr="00CA2430" w:rsidRDefault="009771C1" w:rsidP="00AD5A28">
            <w:pPr>
              <w:spacing w:before="0" w:after="0"/>
              <w:ind w:firstLine="0"/>
              <w:rPr>
                <w:rFonts w:eastAsia="Calibri" w:cs="Times New Roman"/>
                <w:b/>
                <w:bCs/>
                <w:noProof/>
                <w:sz w:val="20"/>
                <w:szCs w:val="20"/>
                <w:lang w:eastAsia="lv-LV"/>
              </w:rPr>
            </w:pPr>
            <w:r w:rsidRPr="00CA2430">
              <w:rPr>
                <w:rFonts w:eastAsia="Calibri" w:cs="Times New Roman"/>
                <w:b/>
                <w:bCs/>
                <w:noProof/>
                <w:sz w:val="20"/>
                <w:szCs w:val="20"/>
                <w:lang w:eastAsia="lv-LV"/>
              </w:rPr>
              <w:t xml:space="preserve">Iekšzemes kopprodukts, milj. </w:t>
            </w:r>
            <w:r w:rsidRPr="00CA2430">
              <w:rPr>
                <w:rFonts w:eastAsia="Calibri" w:cs="Times New Roman"/>
                <w:b/>
                <w:bCs/>
                <w:i/>
                <w:iCs/>
                <w:noProof/>
                <w:sz w:val="20"/>
                <w:szCs w:val="20"/>
                <w:lang w:eastAsia="lv-LV"/>
              </w:rPr>
              <w:t>euro</w:t>
            </w:r>
          </w:p>
        </w:tc>
        <w:tc>
          <w:tcPr>
            <w:tcW w:w="872"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720A215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40 348</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9AD7274"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41 894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E0C8502"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44 379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15798C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46 836</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88C2E0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49 349</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74CFB848"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51 851</w:t>
            </w:r>
          </w:p>
        </w:tc>
      </w:tr>
      <w:tr w:rsidR="00AD5A28" w:rsidRPr="00CA2430" w14:paraId="2D1873AD"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54CCF39E" w14:textId="77777777" w:rsidR="009771C1" w:rsidRPr="00CA2430" w:rsidRDefault="009771C1" w:rsidP="00AD5A28">
            <w:pPr>
              <w:spacing w:before="0" w:after="0"/>
              <w:rPr>
                <w:rFonts w:eastAsia="Calibri" w:cs="Times New Roman"/>
                <w:noProof/>
                <w:sz w:val="20"/>
                <w:szCs w:val="20"/>
                <w:lang w:eastAsia="lv-LV"/>
              </w:rPr>
            </w:pPr>
            <w:r w:rsidRPr="00CA2430">
              <w:rPr>
                <w:rFonts w:eastAsia="Calibri" w:cs="Times New Roman"/>
                <w:noProof/>
                <w:sz w:val="20"/>
                <w:szCs w:val="20"/>
                <w:lang w:eastAsia="lv-LV"/>
              </w:rPr>
              <w:t>izmaiņas faktiskajās cenās,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55AAC9AA"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5,1</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40773B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3,8</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CEF486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2BACE6D"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5,5</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38DE81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5,4</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060C9E1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5,1</w:t>
            </w:r>
          </w:p>
        </w:tc>
      </w:tr>
      <w:tr w:rsidR="00AD5A28" w:rsidRPr="00CA2430" w14:paraId="72F4F6D1"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1E1A7F9A" w14:textId="77777777" w:rsidR="009771C1" w:rsidRPr="00CA2430" w:rsidRDefault="009771C1" w:rsidP="00AD5A28">
            <w:pPr>
              <w:spacing w:before="0" w:after="0"/>
              <w:rPr>
                <w:rFonts w:eastAsia="Calibri" w:cs="Times New Roman"/>
                <w:noProof/>
                <w:sz w:val="20"/>
                <w:szCs w:val="20"/>
                <w:lang w:eastAsia="lv-LV"/>
              </w:rPr>
            </w:pPr>
            <w:r w:rsidRPr="00CA2430">
              <w:rPr>
                <w:rFonts w:eastAsia="Calibri" w:cs="Times New Roman"/>
                <w:noProof/>
                <w:sz w:val="20"/>
                <w:szCs w:val="20"/>
                <w:lang w:eastAsia="lv-LV"/>
              </w:rPr>
              <w:t>izmaiņas salīdzin. cenās,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799E02EB"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-0,3</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DE2F89E"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76899FE"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2E881E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2,8</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CCBA86B"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2,6</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2C09119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2,3</w:t>
            </w:r>
          </w:p>
        </w:tc>
      </w:tr>
      <w:tr w:rsidR="00AD5A28" w:rsidRPr="00CA2430" w14:paraId="77A5D62F"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3AADA0C5" w14:textId="0DCC550E" w:rsidR="009771C1" w:rsidRPr="00CA2430" w:rsidRDefault="00277F0E" w:rsidP="00AD5A28">
            <w:pPr>
              <w:spacing w:before="0" w:after="0"/>
              <w:ind w:firstLine="0"/>
              <w:rPr>
                <w:rFonts w:eastAsia="Calibri" w:cs="Times New Roman"/>
                <w:noProof/>
                <w:sz w:val="20"/>
                <w:szCs w:val="20"/>
                <w:lang w:eastAsia="lv-LV"/>
              </w:rPr>
            </w:pPr>
            <w:r w:rsidRPr="00CA2430">
              <w:rPr>
                <w:rFonts w:eastAsia="Calibri" w:cs="Times New Roman"/>
                <w:b/>
                <w:bCs/>
                <w:noProof/>
                <w:sz w:val="20"/>
                <w:szCs w:val="20"/>
                <w:lang w:eastAsia="lv-LV"/>
              </w:rPr>
              <w:t xml:space="preserve">IKP </w:t>
            </w:r>
            <w:r w:rsidR="009771C1" w:rsidRPr="00CA2430">
              <w:rPr>
                <w:rFonts w:eastAsia="Calibri" w:cs="Times New Roman"/>
                <w:b/>
                <w:bCs/>
                <w:noProof/>
                <w:sz w:val="20"/>
                <w:szCs w:val="20"/>
                <w:lang w:eastAsia="lv-LV"/>
              </w:rPr>
              <w:t>deflators</w:t>
            </w:r>
            <w:r w:rsidR="009771C1" w:rsidRPr="00CA2430">
              <w:rPr>
                <w:rFonts w:eastAsia="Calibri" w:cs="Times New Roman"/>
                <w:noProof/>
                <w:sz w:val="20"/>
                <w:szCs w:val="20"/>
                <w:lang w:eastAsia="lv-LV"/>
              </w:rPr>
              <w:t xml:space="preserve"> (gads pret gadu),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31FD6E5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5,4</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27E27F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CCF0E7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E6A8A6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2,7</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84C5A7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2,7</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5437B19E"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2,7</w:t>
            </w:r>
          </w:p>
        </w:tc>
      </w:tr>
      <w:tr w:rsidR="00AD5A28" w:rsidRPr="00CA2430" w14:paraId="4B4ED346"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3016B679" w14:textId="77777777" w:rsidR="009771C1" w:rsidRPr="00CA2430" w:rsidRDefault="009771C1" w:rsidP="00AD5A28">
            <w:pPr>
              <w:spacing w:before="0" w:after="0"/>
              <w:ind w:firstLine="0"/>
              <w:rPr>
                <w:rFonts w:eastAsia="Calibri" w:cs="Times New Roman"/>
                <w:noProof/>
                <w:sz w:val="20"/>
                <w:szCs w:val="20"/>
                <w:lang w:eastAsia="lv-LV"/>
              </w:rPr>
            </w:pPr>
            <w:r w:rsidRPr="00CA2430">
              <w:rPr>
                <w:rFonts w:eastAsia="Calibri" w:cs="Times New Roman"/>
                <w:b/>
                <w:bCs/>
                <w:noProof/>
                <w:sz w:val="20"/>
                <w:szCs w:val="20"/>
                <w:lang w:eastAsia="lv-LV"/>
              </w:rPr>
              <w:t>PCI</w:t>
            </w:r>
            <w:r w:rsidRPr="00CA2430">
              <w:rPr>
                <w:rFonts w:eastAsia="Calibri" w:cs="Times New Roman"/>
                <w:noProof/>
                <w:sz w:val="20"/>
                <w:szCs w:val="20"/>
                <w:lang w:eastAsia="lv-LV"/>
              </w:rPr>
              <w:t xml:space="preserve"> (gads pret gadu),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7262FAEC"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A412E1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1,2</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190FF3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2,2</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29CC8CA"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2,5</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3CFAA0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2,5</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60B999D1"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2,5</w:t>
            </w:r>
          </w:p>
        </w:tc>
      </w:tr>
      <w:tr w:rsidR="00AD5A28" w:rsidRPr="00CA2430" w14:paraId="7EFD17C0"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2A0BF0EF" w14:textId="77777777" w:rsidR="009771C1" w:rsidRPr="00CA2430" w:rsidRDefault="009771C1" w:rsidP="00AD5A28">
            <w:pPr>
              <w:spacing w:before="0" w:after="0"/>
              <w:ind w:firstLine="0"/>
              <w:rPr>
                <w:rFonts w:eastAsia="Calibri" w:cs="Times New Roman"/>
                <w:b/>
                <w:bCs/>
                <w:noProof/>
                <w:sz w:val="20"/>
                <w:szCs w:val="20"/>
                <w:lang w:eastAsia="lv-LV"/>
              </w:rPr>
            </w:pPr>
            <w:r w:rsidRPr="00CA2430">
              <w:rPr>
                <w:rFonts w:eastAsia="Calibri" w:cs="Times New Roman"/>
                <w:b/>
                <w:bCs/>
                <w:noProof/>
                <w:sz w:val="20"/>
                <w:szCs w:val="20"/>
                <w:lang w:eastAsia="lv-LV"/>
              </w:rPr>
              <w:lastRenderedPageBreak/>
              <w:t xml:space="preserve">Nodarbināto mēn. vid. bruto darba samaksa, </w:t>
            </w:r>
            <w:r w:rsidRPr="00CA2430">
              <w:rPr>
                <w:rFonts w:eastAsia="Calibri" w:cs="Times New Roman"/>
                <w:b/>
                <w:bCs/>
                <w:i/>
                <w:iCs/>
                <w:noProof/>
                <w:sz w:val="20"/>
                <w:szCs w:val="20"/>
                <w:lang w:eastAsia="lv-LV"/>
              </w:rPr>
              <w:t>euro</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2726C5C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1 537</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57D8184"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1 655</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ADE56DC"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1 760</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EB6E85A"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1 865</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9FC818A"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1 958</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0702517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2 056</w:t>
            </w:r>
          </w:p>
        </w:tc>
      </w:tr>
      <w:tr w:rsidR="00AD5A28" w:rsidRPr="00CA2430" w14:paraId="18898ECF"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4E851DCE" w14:textId="77777777" w:rsidR="009771C1" w:rsidRPr="00CA2430" w:rsidRDefault="009771C1" w:rsidP="00AA1CD6">
            <w:pPr>
              <w:spacing w:before="0" w:after="0"/>
              <w:rPr>
                <w:rFonts w:eastAsia="Calibri" w:cs="Times New Roman"/>
                <w:noProof/>
                <w:sz w:val="20"/>
                <w:szCs w:val="20"/>
                <w:lang w:eastAsia="lv-LV"/>
              </w:rPr>
            </w:pPr>
            <w:r w:rsidRPr="00CA2430">
              <w:rPr>
                <w:rFonts w:eastAsia="Calibri" w:cs="Times New Roman"/>
                <w:noProof/>
                <w:sz w:val="20"/>
                <w:szCs w:val="20"/>
                <w:lang w:eastAsia="lv-LV"/>
              </w:rPr>
              <w:t>izmaiņas faktiskajās cenās,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63D547D1"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11,9</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83110EB"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7,7</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D62C1BD"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6,3</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0AF5C9B"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6,0</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2808431"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5,0</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275C3C7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5,0</w:t>
            </w:r>
          </w:p>
        </w:tc>
      </w:tr>
      <w:tr w:rsidR="00AD5A28" w:rsidRPr="00CA2430" w14:paraId="690D5F8D"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7038574A" w14:textId="77777777" w:rsidR="009771C1" w:rsidRPr="00CA2430" w:rsidRDefault="009771C1" w:rsidP="00AA1CD6">
            <w:pPr>
              <w:spacing w:before="0" w:after="0"/>
              <w:rPr>
                <w:rFonts w:eastAsia="Calibri" w:cs="Times New Roman"/>
                <w:noProof/>
                <w:sz w:val="20"/>
                <w:szCs w:val="20"/>
                <w:lang w:eastAsia="lv-LV"/>
              </w:rPr>
            </w:pPr>
            <w:r w:rsidRPr="00CA2430">
              <w:rPr>
                <w:rFonts w:eastAsia="Calibri" w:cs="Times New Roman"/>
                <w:noProof/>
                <w:sz w:val="20"/>
                <w:szCs w:val="20"/>
                <w:lang w:eastAsia="lv-LV"/>
              </w:rPr>
              <w:t>izmaiņas salīdzin. cenās,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3C79A5A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2,8</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1D49D3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49FD42A"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4,0</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29B4E4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3,4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B1635B0"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2,4</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6E165024"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2,4</w:t>
            </w:r>
          </w:p>
        </w:tc>
      </w:tr>
      <w:tr w:rsidR="00AD5A28" w:rsidRPr="00CA2430" w14:paraId="0A51B941"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41178268" w14:textId="77777777" w:rsidR="009771C1" w:rsidRPr="00CA2430" w:rsidRDefault="009771C1" w:rsidP="00AD5A28">
            <w:pPr>
              <w:spacing w:before="0" w:after="0"/>
              <w:ind w:firstLine="0"/>
              <w:rPr>
                <w:rFonts w:eastAsia="Calibri" w:cs="Times New Roman"/>
                <w:noProof/>
                <w:sz w:val="20"/>
                <w:szCs w:val="20"/>
                <w:lang w:eastAsia="lv-LV"/>
              </w:rPr>
            </w:pPr>
            <w:r w:rsidRPr="00CA2430">
              <w:rPr>
                <w:rFonts w:eastAsia="Calibri" w:cs="Times New Roman"/>
                <w:b/>
                <w:bCs/>
                <w:noProof/>
                <w:sz w:val="20"/>
                <w:szCs w:val="20"/>
                <w:lang w:eastAsia="lv-LV"/>
              </w:rPr>
              <w:t>Nodarbinātība</w:t>
            </w:r>
            <w:r w:rsidRPr="00CA2430">
              <w:rPr>
                <w:rFonts w:eastAsia="Calibri" w:cs="Times New Roman"/>
                <w:noProof/>
                <w:sz w:val="20"/>
                <w:szCs w:val="20"/>
                <w:lang w:eastAsia="lv-LV"/>
              </w:rPr>
              <w:t>, tūkst. iedzīvotāju (atbilstoši darbaspēka apsekoj.)</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3DF2B5FC"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884</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33C551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884</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C995DAC"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884</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2AB752B"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883</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6BA9265"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882</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3E8EE0C5"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878</w:t>
            </w:r>
          </w:p>
        </w:tc>
      </w:tr>
      <w:tr w:rsidR="00AD5A28" w:rsidRPr="00CA2430" w14:paraId="32000B2E" w14:textId="77777777" w:rsidTr="00FE0109">
        <w:trPr>
          <w:trHeight w:val="20"/>
          <w:jc w:val="center"/>
        </w:trPr>
        <w:tc>
          <w:tcPr>
            <w:tcW w:w="3312" w:type="dxa"/>
            <w:tcBorders>
              <w:top w:val="nil"/>
              <w:left w:val="single" w:sz="4" w:space="0" w:color="auto"/>
              <w:bottom w:val="single" w:sz="4" w:space="0" w:color="auto"/>
              <w:right w:val="single" w:sz="4" w:space="0" w:color="auto"/>
            </w:tcBorders>
            <w:shd w:val="clear" w:color="auto" w:fill="auto"/>
            <w:noWrap/>
            <w:vAlign w:val="center"/>
            <w:hideMark/>
          </w:tcPr>
          <w:p w14:paraId="7C3CB90B" w14:textId="77777777" w:rsidR="009771C1" w:rsidRPr="00CA2430" w:rsidRDefault="009771C1" w:rsidP="00AA1CD6">
            <w:pPr>
              <w:spacing w:before="0" w:after="0"/>
              <w:rPr>
                <w:rFonts w:eastAsia="Calibri" w:cs="Times New Roman"/>
                <w:noProof/>
                <w:sz w:val="20"/>
                <w:szCs w:val="20"/>
                <w:lang w:eastAsia="lv-LV"/>
              </w:rPr>
            </w:pPr>
            <w:r w:rsidRPr="00CA2430">
              <w:rPr>
                <w:rFonts w:eastAsia="Calibri" w:cs="Times New Roman"/>
                <w:noProof/>
                <w:sz w:val="20"/>
                <w:szCs w:val="20"/>
                <w:lang w:eastAsia="lv-LV"/>
              </w:rPr>
              <w:t>izmaiņas, %</w:t>
            </w:r>
          </w:p>
        </w:tc>
        <w:tc>
          <w:tcPr>
            <w:tcW w:w="872" w:type="dxa"/>
            <w:tcBorders>
              <w:top w:val="nil"/>
              <w:left w:val="nil"/>
              <w:bottom w:val="single" w:sz="4" w:space="0" w:color="auto"/>
              <w:right w:val="single" w:sz="4" w:space="0" w:color="auto"/>
            </w:tcBorders>
            <w:shd w:val="clear" w:color="auto" w:fill="auto"/>
            <w:noWrap/>
            <w:tcMar>
              <w:right w:w="170" w:type="dxa"/>
            </w:tcMar>
            <w:vAlign w:val="center"/>
          </w:tcPr>
          <w:p w14:paraId="4093D14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-0,2</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1D1965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0,0</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0819538"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0,0</w:t>
            </w:r>
          </w:p>
        </w:tc>
        <w:tc>
          <w:tcPr>
            <w:tcW w:w="932"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6466AB9"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-0,1</w:t>
            </w:r>
          </w:p>
        </w:tc>
        <w:tc>
          <w:tcPr>
            <w:tcW w:w="93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67922D5"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-0,2</w:t>
            </w:r>
          </w:p>
        </w:tc>
        <w:tc>
          <w:tcPr>
            <w:tcW w:w="937" w:type="dxa"/>
            <w:tcBorders>
              <w:top w:val="nil"/>
              <w:left w:val="nil"/>
              <w:bottom w:val="single" w:sz="4" w:space="0" w:color="auto"/>
              <w:right w:val="single" w:sz="4" w:space="0" w:color="auto"/>
            </w:tcBorders>
            <w:shd w:val="clear" w:color="auto" w:fill="DEEAF6" w:themeFill="accent1" w:themeFillTint="33"/>
            <w:vAlign w:val="center"/>
          </w:tcPr>
          <w:p w14:paraId="603A273C"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-0,4</w:t>
            </w:r>
          </w:p>
        </w:tc>
      </w:tr>
      <w:tr w:rsidR="00AD5A28" w:rsidRPr="00CA2430" w14:paraId="634F49E3" w14:textId="77777777" w:rsidTr="00FE0109">
        <w:trPr>
          <w:trHeight w:val="20"/>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9AA25" w14:textId="77777777" w:rsidR="009771C1" w:rsidRPr="00CA2430" w:rsidRDefault="009771C1" w:rsidP="00AD5A28">
            <w:pPr>
              <w:spacing w:before="0" w:after="0"/>
              <w:ind w:firstLine="0"/>
              <w:rPr>
                <w:rFonts w:eastAsia="Calibri" w:cs="Times New Roman"/>
                <w:noProof/>
                <w:sz w:val="20"/>
                <w:szCs w:val="20"/>
                <w:lang w:eastAsia="lv-LV"/>
              </w:rPr>
            </w:pPr>
            <w:r w:rsidRPr="00CA2430">
              <w:rPr>
                <w:rFonts w:eastAsia="Calibri" w:cs="Times New Roman"/>
                <w:b/>
                <w:bCs/>
                <w:noProof/>
                <w:sz w:val="20"/>
                <w:szCs w:val="20"/>
                <w:lang w:eastAsia="lv-LV"/>
              </w:rPr>
              <w:t>Bezdarba līmenis</w:t>
            </w:r>
            <w:r w:rsidRPr="00CA2430">
              <w:rPr>
                <w:rFonts w:eastAsia="Calibri" w:cs="Times New Roman"/>
                <w:noProof/>
                <w:sz w:val="20"/>
                <w:szCs w:val="20"/>
                <w:lang w:eastAsia="lv-LV"/>
              </w:rPr>
              <w:t xml:space="preserve"> (gada vidējais),</w:t>
            </w:r>
            <w:r w:rsidRPr="00CA2430">
              <w:rPr>
                <w:rFonts w:eastAsia="Calibri" w:cs="Times New Roman"/>
                <w:noProof/>
                <w:sz w:val="20"/>
                <w:szCs w:val="20"/>
                <w:lang w:eastAsia="lv-LV"/>
              </w:rPr>
              <w:br/>
              <w:t>% no ekon. aktīviem iedzīv.</w:t>
            </w:r>
          </w:p>
        </w:tc>
        <w:tc>
          <w:tcPr>
            <w:tcW w:w="872"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5BC11D6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6,5</w:t>
            </w:r>
          </w:p>
        </w:tc>
        <w:tc>
          <w:tcPr>
            <w:tcW w:w="932"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1A9157E7"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6,7</w:t>
            </w:r>
          </w:p>
        </w:tc>
        <w:tc>
          <w:tcPr>
            <w:tcW w:w="93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54E5F2D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6,3</w:t>
            </w:r>
          </w:p>
        </w:tc>
        <w:tc>
          <w:tcPr>
            <w:tcW w:w="932"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14A1E53F"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6,0</w:t>
            </w:r>
          </w:p>
        </w:tc>
        <w:tc>
          <w:tcPr>
            <w:tcW w:w="93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21E44BC6"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5,5</w:t>
            </w:r>
          </w:p>
        </w:tc>
        <w:tc>
          <w:tcPr>
            <w:tcW w:w="93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E3BB303" w14:textId="77777777" w:rsidR="009771C1" w:rsidRPr="00CA2430" w:rsidRDefault="009771C1" w:rsidP="00AA1CD6">
            <w:pPr>
              <w:spacing w:before="0" w:after="0"/>
              <w:ind w:firstLine="0"/>
              <w:jc w:val="center"/>
              <w:rPr>
                <w:rFonts w:eastAsia="Calibri" w:cs="Times New Roman"/>
                <w:noProof/>
                <w:sz w:val="20"/>
                <w:szCs w:val="20"/>
                <w:lang w:eastAsia="lv-LV"/>
              </w:rPr>
            </w:pPr>
            <w:r w:rsidRPr="00CA2430">
              <w:rPr>
                <w:rFonts w:eastAsia="Calibri" w:cs="Times New Roman"/>
                <w:noProof/>
                <w:sz w:val="20"/>
                <w:szCs w:val="20"/>
                <w:lang w:eastAsia="lv-LV"/>
              </w:rPr>
              <w:t>4,9</w:t>
            </w:r>
          </w:p>
        </w:tc>
      </w:tr>
    </w:tbl>
    <w:p w14:paraId="6BCABB64" w14:textId="46F44835" w:rsidR="009771C1" w:rsidRPr="00CA2430" w:rsidRDefault="009771C1" w:rsidP="0083634D">
      <w:pPr>
        <w:rPr>
          <w:noProof/>
        </w:rPr>
      </w:pPr>
      <w:r w:rsidRPr="00CA2430">
        <w:rPr>
          <w:b/>
          <w:bCs/>
          <w:noProof/>
        </w:rPr>
        <w:t>Inflācija</w:t>
      </w:r>
      <w:r w:rsidRPr="00CA2430">
        <w:rPr>
          <w:noProof/>
        </w:rPr>
        <w:t xml:space="preserve"> 2024. gada pirmajos mēnešos mazinājusies nedaudz straujāk nekā prognozēts, jo energoresursu cenu samazinājums bijis straujāks nekā gaidīts gada sākumā. Tāpēc 2024. gada kopējā patēriņa cenu pieauguma prognoze ir pazemināta līdz 1,2%, kas ir par 0,4</w:t>
      </w:r>
      <w:r w:rsidR="00754CCE" w:rsidRPr="00CA2430">
        <w:rPr>
          <w:noProof/>
        </w:rPr>
        <w:t> </w:t>
      </w:r>
      <w:r w:rsidRPr="00CA2430">
        <w:rPr>
          <w:noProof/>
        </w:rPr>
        <w:t>procentpunktiem mazāk nekā Finanšu ministrija paredzēja februārī. 2025. gadā sagaidāms inflācijas pieaugums līdz 2,2%, bet vidējā termiņā, līdz 2028. gadam, prognozēta inflācijas stabilizēšanās ap 2,5% gadā, kas atbilst konverģējošas valsts cenu pieauguma līmenim.</w:t>
      </w:r>
    </w:p>
    <w:p w14:paraId="5B83D427" w14:textId="77777777" w:rsidR="009771C1" w:rsidRPr="00CA2430" w:rsidRDefault="009771C1" w:rsidP="0083634D">
      <w:pPr>
        <w:rPr>
          <w:noProof/>
        </w:rPr>
      </w:pPr>
      <w:r w:rsidRPr="00CA2430">
        <w:rPr>
          <w:noProof/>
        </w:rPr>
        <w:t xml:space="preserve">2024. gada sākumā mēneša vidējā </w:t>
      </w:r>
      <w:r w:rsidRPr="00CA2430">
        <w:rPr>
          <w:b/>
          <w:bCs/>
          <w:noProof/>
        </w:rPr>
        <w:t>darba samaksa</w:t>
      </w:r>
      <w:r w:rsidRPr="00CA2430">
        <w:rPr>
          <w:noProof/>
        </w:rPr>
        <w:t xml:space="preserve"> turpināja strauji augt, pateicoties minimālās darba algas paaugstināšanai un valsts budžeta izdevumu palielināšanai darbinieku algām sabiedriskajā sektorā. Tādējādi tautsaimniecībā nodarbināto mēneša vidējā bruto darba samaksa  2024. gadā pieaugs par  7,7%, bet 2025. gadā par 6,3%. Vidējā termiņā ir sagaidāms, ka algu pieauguma temps palēnināsies un tuvosies produktivitātes pieauguma tempam, stabilizējoties 5% līmenī.</w:t>
      </w:r>
    </w:p>
    <w:p w14:paraId="6B6EBA80" w14:textId="77777777" w:rsidR="009771C1" w:rsidRPr="00CA2430" w:rsidRDefault="009771C1" w:rsidP="0083634D">
      <w:pPr>
        <w:rPr>
          <w:noProof/>
        </w:rPr>
      </w:pPr>
      <w:r w:rsidRPr="00CA2430">
        <w:rPr>
          <w:noProof/>
        </w:rPr>
        <w:t xml:space="preserve">Ekonomikas krituma dēļ pagājušā gada beigās un šā gada pirmajos mēnešos </w:t>
      </w:r>
      <w:r w:rsidRPr="00CA2430">
        <w:rPr>
          <w:b/>
          <w:bCs/>
          <w:noProof/>
        </w:rPr>
        <w:t>bezdarba līmenis</w:t>
      </w:r>
      <w:r w:rsidRPr="00CA2430">
        <w:rPr>
          <w:noProof/>
        </w:rPr>
        <w:t xml:space="preserve"> ir nedaudz palielinājies, un bezdarba prognoze ir koriģēta uz augšu – līdz 6,7% 2024. gadam un 6,3% 2025. gadam. Neskatoties uz šo korekciju, kopējā bezdarba līmeņa samazināšanās tendence saglabājas, ko veicina darbspējas vecuma iedzīvotāju skaita samazināšanās un straujāka ekonomiskās izaugsmes atjaunošanās. Līdz 2028. gadam bezdarba līmenis varētu noslīdēt līdz 5,0%. Tautsaimniecībā nodarbināto iedzīvotāju skaits saglabāsies stabils, ap 884 tūkstošiem, ar nelielu samazinājuma tendenci.</w:t>
      </w:r>
    </w:p>
    <w:p w14:paraId="11F5B4A4" w14:textId="77777777" w:rsidR="009771C1" w:rsidRPr="00CA2430" w:rsidRDefault="009771C1" w:rsidP="0083634D">
      <w:pPr>
        <w:rPr>
          <w:noProof/>
        </w:rPr>
      </w:pPr>
      <w:r w:rsidRPr="00CA2430">
        <w:rPr>
          <w:noProof/>
        </w:rPr>
        <w:t>Izstrādājot makroekonomisko rādītāju prognozes, Finanšu ministrija pieņēma, ka ģeopolitiskā situācija būtiski nepasliktināsies. Tika izvērtēti gan ārējie, gan iekšējie riski. Prognozes joprojām ir izstrādātas ļoti augstas nenoteiktības apstākļos, un būtiskākie negatīvie riski ir saistīti ar ģeopolitisko situāciju, kur pieaugoša spriedze var ievērojami vājināt investoru un patērētāju pārliecību, atkārtoti izraisīt strauju energoresursu cenu kāpumu vai piegādes ķēžu traucējumus. Citu risku vidū ir Latvijas ārējo tirdzniecības partnervalstu izaugsmes vājināšanās, inflācijas un procentu likmju ilgstoša saglabāšanās augstākā līmenī nekā prognozēts, kā arī kavēšanās ar Eiropas Savienības fondu investīciju projektu realizāciju.</w:t>
      </w:r>
    </w:p>
    <w:p w14:paraId="1A1FC009" w14:textId="77777777" w:rsidR="009771C1" w:rsidRPr="00CA2430" w:rsidRDefault="009771C1" w:rsidP="0083634D">
      <w:pPr>
        <w:rPr>
          <w:noProof/>
        </w:rPr>
      </w:pPr>
      <w:r w:rsidRPr="00CA2430">
        <w:rPr>
          <w:noProof/>
        </w:rPr>
        <w:t>Finanšu ministrijas prognozes par ekonomikas attīstību ir nedaudz piesardzīgākas, taču ļoti tuvas Eiropas Komisijas 2024. gada 15. maijā publiskotajām prognozēm, kas paredz, ka Latvijas IKP 2024. gadā palielināsies par 1,7% un 2025. gadā – par 2,6%. Eiropas Komisija 2024. gadam Latvijai prognozē nedaudz augstāku patēriņa cenu pieaugumu, paredzot gada vidējo inflāciju 1,6% apmērā, kamēr 2025. gadā prognozēta 2,0% inflācija.</w:t>
      </w:r>
    </w:p>
    <w:p w14:paraId="2BC1BDA6" w14:textId="429554D5" w:rsidR="00565001" w:rsidRPr="00CA2430" w:rsidRDefault="00EE5E38" w:rsidP="00EE5E38">
      <w:pPr>
        <w:rPr>
          <w:noProof/>
          <w:highlight w:val="yellow"/>
        </w:rPr>
      </w:pPr>
      <w:r w:rsidRPr="00CA2430">
        <w:rPr>
          <w:noProof/>
          <w:highlight w:val="yellow"/>
        </w:rPr>
        <w:br w:type="page"/>
      </w:r>
    </w:p>
    <w:p w14:paraId="1A0DD6F9" w14:textId="240597DF" w:rsidR="007C45DB" w:rsidRPr="00CA2430" w:rsidRDefault="00377CA0" w:rsidP="00101BED">
      <w:pPr>
        <w:pStyle w:val="Heading1"/>
        <w:spacing w:after="120"/>
        <w:ind w:left="357" w:hanging="357"/>
        <w:rPr>
          <w:noProof/>
          <w:sz w:val="28"/>
          <w:szCs w:val="28"/>
        </w:rPr>
      </w:pPr>
      <w:bookmarkStart w:id="4" w:name="_Toc403038743"/>
      <w:bookmarkStart w:id="5" w:name="_Toc174016999"/>
      <w:r w:rsidRPr="00CA2430">
        <w:rPr>
          <w:noProof/>
          <w:sz w:val="28"/>
          <w:szCs w:val="28"/>
        </w:rPr>
        <w:lastRenderedPageBreak/>
        <w:t xml:space="preserve">Kopbudžeta nodokļu un valsts pamatbudžeta nenodokļu </w:t>
      </w:r>
      <w:r w:rsidR="000A6ED3" w:rsidRPr="00CA2430">
        <w:rPr>
          <w:noProof/>
          <w:sz w:val="28"/>
          <w:szCs w:val="28"/>
        </w:rPr>
        <w:t>ieņēmumu prognoze</w:t>
      </w:r>
      <w:r w:rsidR="00E95377" w:rsidRPr="00CA2430">
        <w:rPr>
          <w:noProof/>
          <w:sz w:val="28"/>
          <w:szCs w:val="28"/>
        </w:rPr>
        <w:t>s</w:t>
      </w:r>
      <w:r w:rsidR="000A6ED3" w:rsidRPr="00CA2430">
        <w:rPr>
          <w:noProof/>
          <w:sz w:val="28"/>
          <w:szCs w:val="28"/>
        </w:rPr>
        <w:t xml:space="preserve"> </w:t>
      </w:r>
      <w:r w:rsidR="00754CCE" w:rsidRPr="00CA2430">
        <w:rPr>
          <w:noProof/>
          <w:sz w:val="28"/>
          <w:szCs w:val="28"/>
        </w:rPr>
        <w:t xml:space="preserve">pie nemainīgas politikas </w:t>
      </w:r>
      <w:r w:rsidR="000A6ED3" w:rsidRPr="00CA2430">
        <w:rPr>
          <w:noProof/>
          <w:sz w:val="28"/>
          <w:szCs w:val="28"/>
        </w:rPr>
        <w:t>202</w:t>
      </w:r>
      <w:r w:rsidR="00E63AF8" w:rsidRPr="00CA2430">
        <w:rPr>
          <w:noProof/>
          <w:sz w:val="28"/>
          <w:szCs w:val="28"/>
        </w:rPr>
        <w:t>5</w:t>
      </w:r>
      <w:r w:rsidR="000A6ED3" w:rsidRPr="00CA2430">
        <w:rPr>
          <w:noProof/>
          <w:sz w:val="28"/>
          <w:szCs w:val="28"/>
        </w:rPr>
        <w:t>.-202</w:t>
      </w:r>
      <w:r w:rsidR="00E63AF8" w:rsidRPr="00CA2430">
        <w:rPr>
          <w:noProof/>
          <w:sz w:val="28"/>
          <w:szCs w:val="28"/>
        </w:rPr>
        <w:t>8</w:t>
      </w:r>
      <w:r w:rsidRPr="00CA2430">
        <w:rPr>
          <w:noProof/>
          <w:sz w:val="28"/>
          <w:szCs w:val="28"/>
        </w:rPr>
        <w:t>.</w:t>
      </w:r>
      <w:r w:rsidR="0001729F" w:rsidRPr="00CA2430">
        <w:rPr>
          <w:noProof/>
          <w:sz w:val="28"/>
          <w:szCs w:val="28"/>
        </w:rPr>
        <w:t> </w:t>
      </w:r>
      <w:r w:rsidRPr="00CA2430">
        <w:rPr>
          <w:noProof/>
          <w:sz w:val="28"/>
          <w:szCs w:val="28"/>
        </w:rPr>
        <w:t>gadam</w:t>
      </w:r>
      <w:bookmarkEnd w:id="4"/>
      <w:bookmarkEnd w:id="5"/>
    </w:p>
    <w:p w14:paraId="54FC8E6C" w14:textId="10418A83" w:rsidR="00E63AF8" w:rsidRPr="00CA2430" w:rsidRDefault="00E63AF8" w:rsidP="00E63AF8">
      <w:pPr>
        <w:rPr>
          <w:noProof/>
        </w:rPr>
      </w:pPr>
      <w:r w:rsidRPr="00CA2430">
        <w:rPr>
          <w:noProof/>
        </w:rPr>
        <w:t xml:space="preserve">Nodokļu ieņēmumu prognozes ir sagatavotas pie nemainīgas nodokļu politikas un atbilstoši vidēja termiņa makroekonomisko rādītāju scenārijam, kā arī ņemot vērā 2024. gada </w:t>
      </w:r>
      <w:r w:rsidR="00754CCE" w:rsidRPr="00CA2430">
        <w:rPr>
          <w:noProof/>
        </w:rPr>
        <w:t xml:space="preserve">pirmā </w:t>
      </w:r>
      <w:r w:rsidRPr="00CA2430">
        <w:rPr>
          <w:noProof/>
        </w:rPr>
        <w:t>pusgada faktisko izpildi.</w:t>
      </w:r>
    </w:p>
    <w:p w14:paraId="6452D63D" w14:textId="550C68EA" w:rsidR="00E63AF8" w:rsidRPr="00CA2430" w:rsidRDefault="00E63AF8" w:rsidP="00E63AF8">
      <w:pPr>
        <w:rPr>
          <w:noProof/>
        </w:rPr>
      </w:pPr>
      <w:r w:rsidRPr="00CA2430">
        <w:rPr>
          <w:noProof/>
        </w:rPr>
        <w:t xml:space="preserve">2024. gada </w:t>
      </w:r>
      <w:r w:rsidR="00754CCE" w:rsidRPr="00CA2430">
        <w:rPr>
          <w:noProof/>
        </w:rPr>
        <w:t>pirmā</w:t>
      </w:r>
      <w:r w:rsidRPr="00CA2430">
        <w:rPr>
          <w:noProof/>
        </w:rPr>
        <w:t xml:space="preserve"> pusgada kopbudžeta nodokļu ieņēmumi ir 6 615,5 milj. </w:t>
      </w:r>
      <w:r w:rsidRPr="00CA2430">
        <w:rPr>
          <w:i/>
          <w:iCs/>
          <w:noProof/>
        </w:rPr>
        <w:t>euro</w:t>
      </w:r>
      <w:r w:rsidRPr="00CA2430">
        <w:rPr>
          <w:noProof/>
        </w:rPr>
        <w:t xml:space="preserve"> (tajā skaitā valsts budžetā – 5 517,5 milj.</w:t>
      </w:r>
      <w:r w:rsidR="00E9112D" w:rsidRPr="00CA2430">
        <w:rPr>
          <w:noProof/>
        </w:rPr>
        <w:t xml:space="preserve"> </w:t>
      </w:r>
      <w:r w:rsidRPr="00CA2430">
        <w:rPr>
          <w:i/>
          <w:iCs/>
          <w:noProof/>
        </w:rPr>
        <w:t>euro</w:t>
      </w:r>
      <w:r w:rsidRPr="00CA2430">
        <w:rPr>
          <w:noProof/>
        </w:rPr>
        <w:t xml:space="preserve"> un pašvaldību budžetā – 1 098,0 milj. </w:t>
      </w:r>
      <w:r w:rsidRPr="00CA2430">
        <w:rPr>
          <w:i/>
          <w:iCs/>
          <w:noProof/>
        </w:rPr>
        <w:t>euro</w:t>
      </w:r>
      <w:r w:rsidRPr="00CA2430">
        <w:rPr>
          <w:noProof/>
        </w:rPr>
        <w:t xml:space="preserve">), kas salīdzinajumā ar pērnā gada attiecīgo periodu ir par 406,1 milj. euro jeb 6,5% vairāk, bet salīdzinājumā ar likumā “Par valsts budžetu 2024. gadam un budžeta ietvaru 2024., 2025. un 2026. gadam” plānoto – par 29,5 milj. </w:t>
      </w:r>
      <w:r w:rsidRPr="00CA2430">
        <w:rPr>
          <w:i/>
          <w:iCs/>
          <w:noProof/>
        </w:rPr>
        <w:t>euro</w:t>
      </w:r>
      <w:r w:rsidRPr="00CA2430">
        <w:rPr>
          <w:noProof/>
        </w:rPr>
        <w:t xml:space="preserve"> jeb 0,4% mazāk. Attiecībā pret pērnā gada </w:t>
      </w:r>
      <w:r w:rsidR="00754CCE" w:rsidRPr="00CA2430">
        <w:rPr>
          <w:noProof/>
        </w:rPr>
        <w:t>pirmo</w:t>
      </w:r>
      <w:r w:rsidRPr="00CA2430">
        <w:rPr>
          <w:noProof/>
        </w:rPr>
        <w:t xml:space="preserve"> pusgadu nodokļu ieņēmumi palielinājušies visās nodokļu kategorijās, izņemot pievienotās vērtības nodokli (turpmāk – PVN) un transportlīdzekļu ekspluatācijas nodokli. Lielākais samazinājums ir PVN ieņēmumiem, ko galvenokārt ietekmēja makroekonomiskie faktori – kopējās inflācijas pieauguma tempu samazinājums, visbūtiskāko ietekmi atstājot uz energoresursu produktiem, kā arī vājš iekšzemes pieprasījums, kas bija vērojams 2024. gada </w:t>
      </w:r>
      <w:r w:rsidR="00754CCE" w:rsidRPr="00CA2430">
        <w:rPr>
          <w:noProof/>
        </w:rPr>
        <w:t>pirmajā</w:t>
      </w:r>
      <w:r w:rsidRPr="00CA2430">
        <w:rPr>
          <w:noProof/>
        </w:rPr>
        <w:t xml:space="preserve"> pusgadā. </w:t>
      </w:r>
      <w:r w:rsidR="00C04D14" w:rsidRPr="00CA2430">
        <w:rPr>
          <w:noProof/>
        </w:rPr>
        <w:t xml:space="preserve">Būtiskākais palielinājums vērojams sociālās apdrošināšanas iemaksu ieņēmumos, iedzīvotāju ienākuma nodoklim un uzņēmumu ienākuma nodoklim – ieņēmumi pieauguši attiecīgi par 265,4 milj. </w:t>
      </w:r>
      <w:r w:rsidR="00C04D14" w:rsidRPr="00CA2430">
        <w:rPr>
          <w:i/>
          <w:iCs/>
          <w:noProof/>
        </w:rPr>
        <w:t>euro</w:t>
      </w:r>
      <w:r w:rsidR="00C04D14" w:rsidRPr="00CA2430">
        <w:rPr>
          <w:noProof/>
        </w:rPr>
        <w:t xml:space="preserve"> jeb 11,4%, 134,8 milj. </w:t>
      </w:r>
      <w:r w:rsidR="00C04D14" w:rsidRPr="00CA2430">
        <w:rPr>
          <w:i/>
          <w:iCs/>
          <w:noProof/>
        </w:rPr>
        <w:t>euro</w:t>
      </w:r>
      <w:r w:rsidR="00C04D14" w:rsidRPr="00CA2430">
        <w:rPr>
          <w:noProof/>
        </w:rPr>
        <w:t xml:space="preserve"> jeb 12,3% un 118,4 milj. </w:t>
      </w:r>
      <w:r w:rsidR="00C04D14" w:rsidRPr="00CA2430">
        <w:rPr>
          <w:i/>
          <w:iCs/>
          <w:noProof/>
        </w:rPr>
        <w:t>euro</w:t>
      </w:r>
      <w:r w:rsidR="00C04D14" w:rsidRPr="00CA2430">
        <w:rPr>
          <w:noProof/>
        </w:rPr>
        <w:t xml:space="preserve"> jeb 35,7 procentiem. </w:t>
      </w:r>
      <w:r w:rsidRPr="00CA2430">
        <w:rPr>
          <w:noProof/>
        </w:rPr>
        <w:t xml:space="preserve"> Darbaspēka nodokļu pieaugumu galvenokārt noteica straujāks darba samaksas fonda pieaugums nekā tika prognozēts. Jāatzīmē, ka darba samaksas pieaugums </w:t>
      </w:r>
      <w:r w:rsidR="00754CCE" w:rsidRPr="00CA2430">
        <w:rPr>
          <w:noProof/>
        </w:rPr>
        <w:t>sabiedriskajā</w:t>
      </w:r>
      <w:r w:rsidRPr="00CA2430">
        <w:rPr>
          <w:noProof/>
        </w:rPr>
        <w:t xml:space="preserve"> sektorā pieauga straujāk kā privātajā sektorā. Savukārt uzņēmumu ienākuma nodokļa pieaugums saistās ar izmaiņām likumdošanā – kredītiestādēm un patērētāju kreditēšanas pakalpojumu sniedzējiem no 2024. gada 1.</w:t>
      </w:r>
      <w:r w:rsidR="00754CCE" w:rsidRPr="00CA2430">
        <w:rPr>
          <w:noProof/>
        </w:rPr>
        <w:t> </w:t>
      </w:r>
      <w:r w:rsidRPr="00CA2430">
        <w:rPr>
          <w:noProof/>
        </w:rPr>
        <w:t xml:space="preserve">janvāra noteikts pienākums veikt ikgadēju nodokļa piemaksu 20% apmērā. Vienlaikus jāņem vērā, ka ekonomiku joprojām ietekmē ģeopolitiskā </w:t>
      </w:r>
      <w:r w:rsidR="00754CCE" w:rsidRPr="00CA2430">
        <w:rPr>
          <w:noProof/>
        </w:rPr>
        <w:t>situācija</w:t>
      </w:r>
      <w:r w:rsidRPr="00CA2430">
        <w:rPr>
          <w:noProof/>
        </w:rPr>
        <w:t>, kā rezultātā tautsaimniecības izaugsmes tempu izmaiņas var atstāt iespaidu arī uz nodokļu ieņēmumiem gan absolūtajā, gan relatīvajā izteiksmē.</w:t>
      </w:r>
    </w:p>
    <w:p w14:paraId="58F1C331" w14:textId="5BA75279" w:rsidR="00E63AF8" w:rsidRPr="00CA2430" w:rsidRDefault="00E63AF8" w:rsidP="00E63AF8">
      <w:pPr>
        <w:rPr>
          <w:noProof/>
        </w:rPr>
      </w:pPr>
      <w:r w:rsidRPr="00CA2430">
        <w:rPr>
          <w:noProof/>
        </w:rPr>
        <w:t>Ņemot vērā iepriekš minētās tendences, kopbudžeta nodokļu ieņēmumi salīdzinājumā ar Stabilitātes programmas prognozēm 2024.-2028. gadam tiek prognozēti ar samazinājumu – 2025. gadā par 0,2%, 2026. gadā par 0,3%, 2027. gadā un 2028. gadā par 0,4 procentiem. 2025.</w:t>
      </w:r>
      <w:r w:rsidR="00754CCE" w:rsidRPr="00CA2430">
        <w:rPr>
          <w:noProof/>
        </w:rPr>
        <w:t> </w:t>
      </w:r>
      <w:r w:rsidRPr="00CA2430">
        <w:rPr>
          <w:noProof/>
        </w:rPr>
        <w:t xml:space="preserve">gadā kopbudžeta nodokļu ieņēmumi tiek prognozēti 14 458,5 milj. </w:t>
      </w:r>
      <w:r w:rsidRPr="00CA2430">
        <w:rPr>
          <w:i/>
          <w:iCs/>
          <w:noProof/>
        </w:rPr>
        <w:t>euro</w:t>
      </w:r>
      <w:r w:rsidRPr="00CA2430">
        <w:rPr>
          <w:noProof/>
        </w:rPr>
        <w:t xml:space="preserve"> apmērā jeb ar 5,5% pieaugumu salīdzinājumā ar 2024. gadu, 2026. gadā nodokļu ieņēmumi tiek prognozēti ar 5,3% pieaugumu, 2027. gadā ar 4,5% pieaugumu un 2028.gadā ar 4,4% pieaugumu pret iepriekšējo gadu (skat. 1. attēlu).</w:t>
      </w:r>
    </w:p>
    <w:p w14:paraId="4BAAAA55" w14:textId="4DDA1142" w:rsidR="0099160E" w:rsidRPr="00CA2430" w:rsidRDefault="00E63AF8" w:rsidP="00E63AF8">
      <w:pPr>
        <w:rPr>
          <w:noProof/>
          <w:highlight w:val="yellow"/>
        </w:rPr>
      </w:pPr>
      <w:r w:rsidRPr="00CA2430">
        <w:rPr>
          <w:noProof/>
        </w:rPr>
        <w:t>Kopumā tiek prognozēts, ka nodokļu ieņēmumu dinamika 2025.-2028.gadā būs atbilstoša prognozējamiem Latvijas tautsaimniecības attīstības tempiem, ņemot vērā katra nodokļa korelējošo makrodatu izmaiņas, taču rezultātā kopējo nodokļu ieņēmumu īpatsvaram IKP minētajā periodā saglabājoties relatīvi stabilā līmenī 34% apmērā.</w:t>
      </w:r>
    </w:p>
    <w:p w14:paraId="37674229" w14:textId="08CAF436" w:rsidR="00754CCE" w:rsidRPr="00CA2430" w:rsidRDefault="00754CCE" w:rsidP="00754CCE">
      <w:pPr>
        <w:rPr>
          <w:noProof/>
        </w:rPr>
      </w:pPr>
      <w:r w:rsidRPr="00CA2430">
        <w:rPr>
          <w:noProof/>
        </w:rPr>
        <w:t>Šobrīd norit aktīvs darbs pie valsts nodokļu politikas pamatnostādņu izstrādes vidējam termiņam, kurās tiks definētas nodokļu politikas prioritātes turpmākajiem gadiem. Lai sagatavotu valsts nodokļu politikas pamatnostādnes, tiek veikta plaša un rūpīga visas nodokļu sistēmas analīze. Šīs analīzes rezultātā ir izstrādāti vairāki analītiskie materiāli un scenāriji darbaspēka nodokļu izmaiņām, kuri būs par pamatu turpmāko lēmumu pieņemšanai.</w:t>
      </w:r>
    </w:p>
    <w:p w14:paraId="7ACBB9B6" w14:textId="77777777" w:rsidR="0099160E" w:rsidRPr="00CA2430" w:rsidRDefault="0099160E" w:rsidP="007C45DB">
      <w:pPr>
        <w:rPr>
          <w:noProof/>
          <w:highlight w:val="yellow"/>
        </w:rPr>
      </w:pPr>
    </w:p>
    <w:p w14:paraId="1FF2AAD9" w14:textId="77777777" w:rsidR="0099160E" w:rsidRPr="00CA2430" w:rsidRDefault="00B3512B" w:rsidP="0001729F">
      <w:pPr>
        <w:jc w:val="center"/>
        <w:rPr>
          <w:noProof/>
          <w:highlight w:val="yellow"/>
        </w:rPr>
      </w:pPr>
      <w:r w:rsidRPr="00CA2430">
        <w:rPr>
          <w:noProof/>
          <w:highlight w:val="yellow"/>
        </w:rPr>
        <w:br w:type="page"/>
      </w:r>
    </w:p>
    <w:p w14:paraId="6C3AC13B" w14:textId="3C89869C" w:rsidR="00E63AF8" w:rsidRPr="007C2718" w:rsidRDefault="007F7674" w:rsidP="00E63AF8">
      <w:pPr>
        <w:spacing w:before="0" w:after="0"/>
        <w:jc w:val="left"/>
        <w:rPr>
          <w:rFonts w:eastAsia="Aptos" w:cs="Times New Roman"/>
          <w:noProof/>
          <w:sz w:val="18"/>
          <w:szCs w:val="18"/>
        </w:rPr>
      </w:pPr>
      <w:r w:rsidRPr="007C2718">
        <w:rPr>
          <w:noProof/>
          <w:sz w:val="18"/>
          <w:szCs w:val="18"/>
          <w14:ligatures w14:val="standardContextual"/>
        </w:rPr>
        <w:lastRenderedPageBreak/>
        <w:drawing>
          <wp:anchor distT="0" distB="0" distL="114300" distR="114300" simplePos="0" relativeHeight="251663360" behindDoc="0" locked="0" layoutInCell="1" allowOverlap="1" wp14:anchorId="02FDD9AE" wp14:editId="31A633D2">
            <wp:simplePos x="0" y="0"/>
            <wp:positionH relativeFrom="margin">
              <wp:posOffset>104172</wp:posOffset>
            </wp:positionH>
            <wp:positionV relativeFrom="margin">
              <wp:posOffset>-45969</wp:posOffset>
            </wp:positionV>
            <wp:extent cx="5401310" cy="2520000"/>
            <wp:effectExtent l="0" t="0" r="8890" b="0"/>
            <wp:wrapTopAndBottom/>
            <wp:docPr id="919071142" name="Chart 1">
              <a:extLst xmlns:a="http://schemas.openxmlformats.org/drawingml/2006/main">
                <a:ext uri="{FF2B5EF4-FFF2-40B4-BE49-F238E27FC236}">
                  <a16:creationId xmlns:a16="http://schemas.microsoft.com/office/drawing/2014/main" id="{5FA04C50-42EF-5248-47CD-3EF40B785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E63AF8" w:rsidRPr="007C2718">
        <w:rPr>
          <w:rFonts w:eastAsia="Aptos" w:cs="Times New Roman"/>
          <w:noProof/>
          <w:sz w:val="18"/>
          <w:szCs w:val="18"/>
        </w:rPr>
        <w:t>* neieskaitot ieņēmumus vienotajā nodokļu kontā un VSAOI iemaksas 2.</w:t>
      </w:r>
      <w:r w:rsidR="002635EB" w:rsidRPr="007C2718">
        <w:rPr>
          <w:rFonts w:eastAsia="Aptos" w:cs="Times New Roman"/>
          <w:noProof/>
          <w:sz w:val="18"/>
          <w:szCs w:val="18"/>
        </w:rPr>
        <w:t> </w:t>
      </w:r>
      <w:r w:rsidR="00E63AF8" w:rsidRPr="007C2718">
        <w:rPr>
          <w:rFonts w:eastAsia="Aptos" w:cs="Times New Roman"/>
          <w:noProof/>
          <w:sz w:val="18"/>
          <w:szCs w:val="18"/>
        </w:rPr>
        <w:t>pensiju līmenī</w:t>
      </w:r>
      <w:r w:rsidR="002635EB" w:rsidRPr="007C2718">
        <w:rPr>
          <w:rFonts w:eastAsia="Aptos" w:cs="Times New Roman"/>
          <w:noProof/>
          <w:sz w:val="18"/>
          <w:szCs w:val="18"/>
        </w:rPr>
        <w:t>.</w:t>
      </w:r>
    </w:p>
    <w:p w14:paraId="41565381" w14:textId="06998FB9" w:rsidR="00E63AF8" w:rsidRPr="007C2718" w:rsidRDefault="00E63AF8" w:rsidP="00B13C44">
      <w:pPr>
        <w:spacing w:before="0" w:after="0"/>
        <w:jc w:val="left"/>
        <w:rPr>
          <w:rFonts w:eastAsia="Aptos" w:cs="Times New Roman"/>
          <w:noProof/>
          <w:sz w:val="18"/>
          <w:szCs w:val="18"/>
        </w:rPr>
      </w:pPr>
      <w:r w:rsidRPr="007C2718">
        <w:rPr>
          <w:rFonts w:eastAsia="Aptos" w:cs="Times New Roman"/>
          <w:noProof/>
          <w:sz w:val="18"/>
          <w:szCs w:val="18"/>
        </w:rPr>
        <w:t>** nodokļu ieņēmumi kopā</w:t>
      </w:r>
      <w:r w:rsidR="00754CCE" w:rsidRPr="007C2718">
        <w:rPr>
          <w:rFonts w:eastAsia="Aptos" w:cs="Times New Roman"/>
          <w:noProof/>
          <w:sz w:val="18"/>
          <w:szCs w:val="18"/>
        </w:rPr>
        <w:t>, ieskaitot VSAOI iemaksas 2. pensiju līmenī</w:t>
      </w:r>
      <w:r w:rsidR="002635EB" w:rsidRPr="007C2718">
        <w:rPr>
          <w:rFonts w:eastAsia="Aptos" w:cs="Times New Roman"/>
          <w:noProof/>
          <w:sz w:val="18"/>
          <w:szCs w:val="18"/>
        </w:rPr>
        <w:t>.</w:t>
      </w:r>
    </w:p>
    <w:p w14:paraId="1911CA0C" w14:textId="48E2AC7A" w:rsidR="0001729F" w:rsidRPr="00CA2430" w:rsidRDefault="0001729F" w:rsidP="0099160E">
      <w:pPr>
        <w:ind w:firstLine="0"/>
        <w:jc w:val="center"/>
        <w:rPr>
          <w:rFonts w:eastAsia="Calibri"/>
          <w:b/>
          <w:iCs/>
          <w:noProof/>
          <w:highlight w:val="yellow"/>
        </w:rPr>
      </w:pPr>
      <w:r w:rsidRPr="00CA2430">
        <w:rPr>
          <w:rFonts w:eastAsia="Calibri"/>
          <w:b/>
          <w:iCs/>
          <w:noProof/>
        </w:rPr>
        <w:t xml:space="preserve">1. attēls. </w:t>
      </w:r>
      <w:r w:rsidR="00E63AF8" w:rsidRPr="00CA2430">
        <w:rPr>
          <w:rFonts w:eastAsia="Calibri"/>
          <w:b/>
          <w:bCs/>
          <w:iCs/>
          <w:noProof/>
        </w:rPr>
        <w:t>Kopbudžeta nodokļu ieņēmumi</w:t>
      </w:r>
      <w:r w:rsidR="00F823D1">
        <w:rPr>
          <w:rFonts w:eastAsia="Calibri"/>
          <w:b/>
          <w:bCs/>
          <w:iCs/>
          <w:noProof/>
        </w:rPr>
        <w:t xml:space="preserve">, tūkst. </w:t>
      </w:r>
      <w:r w:rsidR="00F823D1" w:rsidRPr="00F823D1">
        <w:rPr>
          <w:rFonts w:eastAsia="Calibri"/>
          <w:b/>
          <w:bCs/>
          <w:i/>
          <w:noProof/>
        </w:rPr>
        <w:t>euro</w:t>
      </w:r>
      <w:r w:rsidR="00E63AF8" w:rsidRPr="00CA2430">
        <w:rPr>
          <w:rFonts w:eastAsia="Calibri"/>
          <w:b/>
          <w:bCs/>
          <w:iCs/>
          <w:noProof/>
        </w:rPr>
        <w:t xml:space="preserve"> un</w:t>
      </w:r>
      <w:r w:rsidR="002635EB" w:rsidRPr="00CA2430">
        <w:rPr>
          <w:rFonts w:eastAsia="Calibri"/>
          <w:b/>
          <w:bCs/>
          <w:iCs/>
          <w:noProof/>
        </w:rPr>
        <w:br/>
      </w:r>
      <w:r w:rsidR="00E63AF8" w:rsidRPr="00CA2430">
        <w:rPr>
          <w:rFonts w:eastAsia="Calibri"/>
          <w:b/>
          <w:bCs/>
          <w:iCs/>
          <w:noProof/>
        </w:rPr>
        <w:t>kopējo nodokļu ieņēmumu īpatsvars iekšzemes kopproduktā</w:t>
      </w:r>
      <w:r w:rsidR="00F823D1">
        <w:rPr>
          <w:rFonts w:eastAsia="Calibri"/>
          <w:b/>
          <w:bCs/>
          <w:iCs/>
          <w:noProof/>
        </w:rPr>
        <w:t>, %</w:t>
      </w:r>
    </w:p>
    <w:p w14:paraId="40FA3FDB" w14:textId="471C1ECC" w:rsidR="00E63AF8" w:rsidRPr="00CA2430" w:rsidRDefault="00E63AF8" w:rsidP="00E63AF8">
      <w:pPr>
        <w:rPr>
          <w:noProof/>
        </w:rPr>
      </w:pPr>
      <w:r w:rsidRPr="00CA2430">
        <w:rPr>
          <w:noProof/>
        </w:rPr>
        <w:t>Valsts pamatbudžeta nenodokļu ieņēmumi 2024.</w:t>
      </w:r>
      <w:r w:rsidR="002635EB" w:rsidRPr="00CA2430">
        <w:rPr>
          <w:noProof/>
        </w:rPr>
        <w:t> </w:t>
      </w:r>
      <w:r w:rsidRPr="00CA2430">
        <w:rPr>
          <w:noProof/>
        </w:rPr>
        <w:t xml:space="preserve">gada </w:t>
      </w:r>
      <w:r w:rsidR="00335BED" w:rsidRPr="00CA2430">
        <w:rPr>
          <w:noProof/>
        </w:rPr>
        <w:t>pirmajā pusgadā</w:t>
      </w:r>
      <w:r w:rsidRPr="00CA2430">
        <w:rPr>
          <w:noProof/>
        </w:rPr>
        <w:t xml:space="preserve"> ir 778,8 milj. </w:t>
      </w:r>
      <w:r w:rsidRPr="00CA2430">
        <w:rPr>
          <w:i/>
          <w:iCs/>
          <w:noProof/>
        </w:rPr>
        <w:t>euro</w:t>
      </w:r>
      <w:r w:rsidRPr="00CA2430">
        <w:rPr>
          <w:noProof/>
        </w:rPr>
        <w:t xml:space="preserve">, kas ir par 184,1 milj. </w:t>
      </w:r>
      <w:r w:rsidRPr="00CA2430">
        <w:rPr>
          <w:i/>
          <w:iCs/>
          <w:noProof/>
        </w:rPr>
        <w:t>euro</w:t>
      </w:r>
      <w:r w:rsidRPr="00CA2430">
        <w:rPr>
          <w:noProof/>
        </w:rPr>
        <w:t xml:space="preserve"> jeb 31,0% vairāk nekā 2023.</w:t>
      </w:r>
      <w:r w:rsidR="00335BED" w:rsidRPr="00CA2430">
        <w:rPr>
          <w:noProof/>
        </w:rPr>
        <w:t> </w:t>
      </w:r>
      <w:r w:rsidRPr="00CA2430">
        <w:rPr>
          <w:noProof/>
        </w:rPr>
        <w:t xml:space="preserve">gada attiecīgajā periodā un par 179,7 milj. </w:t>
      </w:r>
      <w:r w:rsidRPr="00CA2430">
        <w:rPr>
          <w:i/>
          <w:iCs/>
          <w:noProof/>
        </w:rPr>
        <w:t>euro</w:t>
      </w:r>
      <w:r w:rsidRPr="00CA2430">
        <w:rPr>
          <w:noProof/>
        </w:rPr>
        <w:t xml:space="preserve"> jeb 30,0% vairāk par likumā “Par valsts budžetu 2024. gadam un budžeta ietvaru 2024., 2025. un 2026. gadam” noteikto plānu.</w:t>
      </w:r>
    </w:p>
    <w:p w14:paraId="5B709537" w14:textId="139CB833" w:rsidR="00E63AF8" w:rsidRPr="00CA2430" w:rsidRDefault="00E63AF8" w:rsidP="00E63AF8">
      <w:pPr>
        <w:rPr>
          <w:noProof/>
        </w:rPr>
      </w:pPr>
      <w:r w:rsidRPr="00CA2430">
        <w:rPr>
          <w:noProof/>
        </w:rPr>
        <w:t>2024.</w:t>
      </w:r>
      <w:r w:rsidR="002635EB" w:rsidRPr="00CA2430">
        <w:rPr>
          <w:noProof/>
        </w:rPr>
        <w:t> </w:t>
      </w:r>
      <w:r w:rsidRPr="00CA2430">
        <w:rPr>
          <w:noProof/>
        </w:rPr>
        <w:t xml:space="preserve">gada </w:t>
      </w:r>
      <w:r w:rsidR="002635EB" w:rsidRPr="00CA2430">
        <w:rPr>
          <w:noProof/>
        </w:rPr>
        <w:t>pirmajā</w:t>
      </w:r>
      <w:r w:rsidRPr="00CA2430">
        <w:rPr>
          <w:noProof/>
        </w:rPr>
        <w:t xml:space="preserve"> pusgadā lielākos valsts pamatbudžeta nenodokļu ieņēmumus veido</w:t>
      </w:r>
      <w:r w:rsidR="002635EB" w:rsidRPr="00CA2430">
        <w:rPr>
          <w:noProof/>
        </w:rPr>
        <w:t>ja</w:t>
      </w:r>
      <w:r w:rsidRPr="00CA2430">
        <w:rPr>
          <w:noProof/>
        </w:rPr>
        <w:t xml:space="preserve"> ieņēmumi no dividendēm (maksājumi par valsts kapitāla izmantošanu), procentu ieņēmumi par aizdevumiem, depozītiem un kontu atlikumiem, ieņēmumi no Latvijai piešķirto emisijas kvotu izsolīšanas, ieņēmumi no valsts nodevām par valsts sniegto nodrošinājumu un juridiskajiem un citiem pakalpojumiem, kā arī speciāliem mērķiem paredzētās valsts nodevas.</w:t>
      </w:r>
    </w:p>
    <w:p w14:paraId="337F93AB" w14:textId="77777777" w:rsidR="00335BED" w:rsidRPr="00CA2430" w:rsidRDefault="00335BED" w:rsidP="00335BED">
      <w:pPr>
        <w:rPr>
          <w:noProof/>
        </w:rPr>
      </w:pPr>
      <w:r w:rsidRPr="00CA2430">
        <w:rPr>
          <w:noProof/>
        </w:rPr>
        <w:t>2025. gadā valsts pamatbudžeta nenodokļu ieņēmumi tiek prognozēti ar 29,4% samazinājumu salīdzinājumā ar 2024. gadu, ko pamatā ietekmē ieņēmumu samazinājums no dividendēm, procentu ieņēmumu samazinājums par depozītiem un kontu atlikumiem un ieņēmumu no Latvijai piešķirto emisijas kvotu izsolīšanas samazinājums. 2026. gadā nenodokļu ieņēmumi tiek prognozēti ar 5,6% samazinājumu, 2027. gadā ar 0,6% samazinājumu, bet 2028. gadā ar 1,1% pieaugumu salīdzinājumā ar iepriekšējo gadu.</w:t>
      </w:r>
    </w:p>
    <w:p w14:paraId="6103C489" w14:textId="78CFFB8E" w:rsidR="007C45DB" w:rsidRPr="00CA2430" w:rsidRDefault="007C45DB" w:rsidP="00E63AF8">
      <w:pPr>
        <w:rPr>
          <w:noProof/>
          <w:highlight w:val="yellow"/>
        </w:rPr>
      </w:pPr>
      <w:r w:rsidRPr="00CA2430">
        <w:rPr>
          <w:noProof/>
          <w:highlight w:val="yellow"/>
        </w:rPr>
        <w:br w:type="page"/>
      </w:r>
    </w:p>
    <w:p w14:paraId="55AE1EB6" w14:textId="6A4F6A84" w:rsidR="008C2A5C" w:rsidRPr="00CA2430" w:rsidRDefault="00377CA0" w:rsidP="00E9112D">
      <w:pPr>
        <w:pStyle w:val="Heading1"/>
        <w:spacing w:after="120"/>
        <w:ind w:left="357" w:hanging="357"/>
        <w:rPr>
          <w:noProof/>
          <w:sz w:val="28"/>
          <w:szCs w:val="28"/>
        </w:rPr>
      </w:pPr>
      <w:bookmarkStart w:id="6" w:name="_Toc403038744"/>
      <w:bookmarkStart w:id="7" w:name="_Toc174017000"/>
      <w:r w:rsidRPr="00CA2430">
        <w:rPr>
          <w:noProof/>
          <w:sz w:val="28"/>
          <w:szCs w:val="28"/>
        </w:rPr>
        <w:lastRenderedPageBreak/>
        <w:t>Vispārējās valdības budžeta bilances prognoze</w:t>
      </w:r>
      <w:r w:rsidR="002635EB" w:rsidRPr="00CA2430">
        <w:rPr>
          <w:noProof/>
          <w:sz w:val="28"/>
          <w:szCs w:val="28"/>
        </w:rPr>
        <w:t>s</w:t>
      </w:r>
      <w:r w:rsidR="002635EB" w:rsidRPr="00CA2430">
        <w:rPr>
          <w:noProof/>
          <w:sz w:val="28"/>
          <w:szCs w:val="28"/>
        </w:rPr>
        <w:br/>
      </w:r>
      <w:r w:rsidRPr="00CA2430">
        <w:rPr>
          <w:noProof/>
          <w:sz w:val="28"/>
          <w:szCs w:val="28"/>
        </w:rPr>
        <w:t>pie nemainīgas politikas 202</w:t>
      </w:r>
      <w:r w:rsidR="00E74824" w:rsidRPr="00CA2430">
        <w:rPr>
          <w:noProof/>
          <w:sz w:val="28"/>
          <w:szCs w:val="28"/>
        </w:rPr>
        <w:t>5</w:t>
      </w:r>
      <w:r w:rsidRPr="00CA2430">
        <w:rPr>
          <w:noProof/>
          <w:sz w:val="28"/>
          <w:szCs w:val="28"/>
        </w:rPr>
        <w:t>.-202</w:t>
      </w:r>
      <w:r w:rsidR="00E74824" w:rsidRPr="00CA2430">
        <w:rPr>
          <w:noProof/>
          <w:sz w:val="28"/>
          <w:szCs w:val="28"/>
        </w:rPr>
        <w:t>8</w:t>
      </w:r>
      <w:r w:rsidRPr="00CA2430">
        <w:rPr>
          <w:noProof/>
          <w:sz w:val="28"/>
          <w:szCs w:val="28"/>
        </w:rPr>
        <w:t>.</w:t>
      </w:r>
      <w:r w:rsidR="00F51ED8" w:rsidRPr="00CA2430">
        <w:rPr>
          <w:noProof/>
          <w:sz w:val="28"/>
          <w:szCs w:val="28"/>
        </w:rPr>
        <w:t> </w:t>
      </w:r>
      <w:r w:rsidRPr="00CA2430">
        <w:rPr>
          <w:noProof/>
          <w:sz w:val="28"/>
          <w:szCs w:val="28"/>
        </w:rPr>
        <w:t>gadam</w:t>
      </w:r>
      <w:bookmarkEnd w:id="6"/>
      <w:bookmarkEnd w:id="7"/>
    </w:p>
    <w:p w14:paraId="701A07A1" w14:textId="40274B23" w:rsidR="0027377E" w:rsidRPr="00CA2430" w:rsidRDefault="0027377E" w:rsidP="00101BED">
      <w:pPr>
        <w:rPr>
          <w:noProof/>
          <w:color w:val="000000" w:themeColor="text1"/>
        </w:rPr>
      </w:pPr>
      <w:r w:rsidRPr="00CA2430">
        <w:rPr>
          <w:noProof/>
          <w:color w:val="000000" w:themeColor="text1"/>
        </w:rPr>
        <w:t>Finanšu ministrija ir aktualizējusi vispārējās valdības budžeta bilances vidējam termiņam, ņemot vērā Valsts kases datus par konsolidētā kopbudžeta izpildi šā gada pirmaj</w:t>
      </w:r>
      <w:r w:rsidR="002327A1" w:rsidRPr="00CA2430">
        <w:rPr>
          <w:noProof/>
          <w:color w:val="000000" w:themeColor="text1"/>
        </w:rPr>
        <w:t>ā</w:t>
      </w:r>
      <w:r w:rsidRPr="00CA2430">
        <w:rPr>
          <w:noProof/>
          <w:color w:val="000000" w:themeColor="text1"/>
        </w:rPr>
        <w:t xml:space="preserve"> </w:t>
      </w:r>
      <w:r w:rsidR="002327A1" w:rsidRPr="00CA2430">
        <w:rPr>
          <w:noProof/>
          <w:color w:val="000000" w:themeColor="text1"/>
        </w:rPr>
        <w:t>pusgadā</w:t>
      </w:r>
      <w:r w:rsidRPr="00CA2430">
        <w:rPr>
          <w:noProof/>
          <w:color w:val="000000" w:themeColor="text1"/>
        </w:rPr>
        <w:t>, aktualizētās nodokļu un nenodokļu ieņēmumu prognozes</w:t>
      </w:r>
      <w:r w:rsidR="00D653F5" w:rsidRPr="00CA2430">
        <w:rPr>
          <w:noProof/>
          <w:color w:val="000000" w:themeColor="text1"/>
        </w:rPr>
        <w:t xml:space="preserve"> atbilstoši atjaunotajam makroscenārijam</w:t>
      </w:r>
      <w:r w:rsidRPr="00CA2430">
        <w:rPr>
          <w:noProof/>
          <w:color w:val="000000" w:themeColor="text1"/>
        </w:rPr>
        <w:t>, valsts pamatbudžeta un speciālā budžeta bāzes izdevumus</w:t>
      </w:r>
      <w:r w:rsidR="00D653F5" w:rsidRPr="00CA2430">
        <w:rPr>
          <w:noProof/>
          <w:color w:val="000000" w:themeColor="text1"/>
        </w:rPr>
        <w:t xml:space="preserve"> </w:t>
      </w:r>
      <w:r w:rsidRPr="00CA2430">
        <w:rPr>
          <w:noProof/>
          <w:color w:val="000000" w:themeColor="text1"/>
        </w:rPr>
        <w:t>vidējam termiņam</w:t>
      </w:r>
      <w:r w:rsidR="002635EB" w:rsidRPr="00CA2430">
        <w:rPr>
          <w:noProof/>
          <w:color w:val="000000" w:themeColor="text1"/>
        </w:rPr>
        <w:t xml:space="preserve">, aktualizētās pašvaldību budžeta prognozes, kā </w:t>
      </w:r>
      <w:r w:rsidR="002635EB" w:rsidRPr="00995E36">
        <w:rPr>
          <w:noProof/>
          <w:color w:val="000000" w:themeColor="text1"/>
        </w:rPr>
        <w:t xml:space="preserve">arī vispārējās valdības komersantu iesniegtās prognozes par to saimnieciskās </w:t>
      </w:r>
      <w:r w:rsidR="00995E36" w:rsidRPr="00995E36">
        <w:rPr>
          <w:noProof/>
          <w:color w:val="000000" w:themeColor="text1"/>
        </w:rPr>
        <w:t xml:space="preserve">un finanšu </w:t>
      </w:r>
      <w:r w:rsidR="002635EB" w:rsidRPr="00995E36">
        <w:rPr>
          <w:noProof/>
          <w:color w:val="000000" w:themeColor="text1"/>
        </w:rPr>
        <w:t>darbības rezultāta ietekmi uz bilanci.</w:t>
      </w:r>
      <w:r w:rsidR="002635EB" w:rsidRPr="00CA2430">
        <w:rPr>
          <w:noProof/>
          <w:color w:val="000000" w:themeColor="text1"/>
        </w:rPr>
        <w:t xml:space="preserve"> </w:t>
      </w:r>
    </w:p>
    <w:p w14:paraId="02B73FB7" w14:textId="38B5ED6E" w:rsidR="009E57D7" w:rsidRPr="00CA2430" w:rsidRDefault="002327A1" w:rsidP="00766ABC">
      <w:pPr>
        <w:rPr>
          <w:noProof/>
          <w:color w:val="000000" w:themeColor="text1"/>
          <w:szCs w:val="24"/>
        </w:rPr>
      </w:pPr>
      <w:r w:rsidRPr="00CA2430">
        <w:rPr>
          <w:noProof/>
          <w:color w:val="000000" w:themeColor="text1"/>
        </w:rPr>
        <w:t>V</w:t>
      </w:r>
      <w:r w:rsidR="00427EBB" w:rsidRPr="00CA2430">
        <w:rPr>
          <w:noProof/>
          <w:color w:val="000000" w:themeColor="text1"/>
        </w:rPr>
        <w:t>ispārējās valdības budžeta deficīts</w:t>
      </w:r>
      <w:r w:rsidRPr="00CA2430">
        <w:rPr>
          <w:noProof/>
          <w:color w:val="000000" w:themeColor="text1"/>
        </w:rPr>
        <w:t xml:space="preserve"> </w:t>
      </w:r>
      <w:r w:rsidR="00427EBB" w:rsidRPr="00CA2430">
        <w:rPr>
          <w:b/>
          <w:bCs/>
          <w:noProof/>
          <w:color w:val="000000" w:themeColor="text1"/>
        </w:rPr>
        <w:t>202</w:t>
      </w:r>
      <w:r w:rsidR="00E74824" w:rsidRPr="00CA2430">
        <w:rPr>
          <w:b/>
          <w:bCs/>
          <w:noProof/>
          <w:color w:val="000000" w:themeColor="text1"/>
        </w:rPr>
        <w:t>4</w:t>
      </w:r>
      <w:r w:rsidR="00427EBB" w:rsidRPr="00CA2430">
        <w:rPr>
          <w:b/>
          <w:bCs/>
          <w:noProof/>
          <w:color w:val="000000" w:themeColor="text1"/>
        </w:rPr>
        <w:t>. gad</w:t>
      </w:r>
      <w:r w:rsidRPr="00CA2430">
        <w:rPr>
          <w:b/>
          <w:bCs/>
          <w:noProof/>
          <w:color w:val="000000" w:themeColor="text1"/>
        </w:rPr>
        <w:t>ā</w:t>
      </w:r>
      <w:r w:rsidR="00427EBB" w:rsidRPr="00CA2430">
        <w:rPr>
          <w:noProof/>
          <w:color w:val="000000" w:themeColor="text1"/>
        </w:rPr>
        <w:t xml:space="preserve"> </w:t>
      </w:r>
      <w:r w:rsidR="00E74824" w:rsidRPr="00CA2430">
        <w:rPr>
          <w:noProof/>
          <w:color w:val="000000" w:themeColor="text1"/>
        </w:rPr>
        <w:t xml:space="preserve">Finanšu ministrijas vērtējumā </w:t>
      </w:r>
      <w:r w:rsidRPr="00CA2430">
        <w:rPr>
          <w:noProof/>
          <w:color w:val="000000" w:themeColor="text1"/>
        </w:rPr>
        <w:t>sasniegs 2,</w:t>
      </w:r>
      <w:r w:rsidR="00E74824" w:rsidRPr="00CA2430">
        <w:rPr>
          <w:noProof/>
          <w:color w:val="000000" w:themeColor="text1"/>
        </w:rPr>
        <w:t>6</w:t>
      </w:r>
      <w:r w:rsidRPr="00CA2430">
        <w:rPr>
          <w:noProof/>
          <w:color w:val="000000" w:themeColor="text1"/>
        </w:rPr>
        <w:t>% no IKP,</w:t>
      </w:r>
      <w:r w:rsidR="00F51ED8" w:rsidRPr="00CA2430">
        <w:rPr>
          <w:noProof/>
          <w:color w:val="000000" w:themeColor="text1"/>
        </w:rPr>
        <w:t xml:space="preserve"> un tas ir</w:t>
      </w:r>
      <w:r w:rsidR="00F70CA8" w:rsidRPr="00CA2430">
        <w:rPr>
          <w:noProof/>
          <w:color w:val="000000" w:themeColor="text1"/>
        </w:rPr>
        <w:t xml:space="preserve"> par </w:t>
      </w:r>
      <w:r w:rsidR="00E74824" w:rsidRPr="00CA2430">
        <w:rPr>
          <w:noProof/>
          <w:color w:val="000000" w:themeColor="text1"/>
        </w:rPr>
        <w:t>0</w:t>
      </w:r>
      <w:r w:rsidRPr="00CA2430">
        <w:rPr>
          <w:noProof/>
          <w:color w:val="000000" w:themeColor="text1"/>
        </w:rPr>
        <w:t>,3</w:t>
      </w:r>
      <w:r w:rsidR="00F70CA8" w:rsidRPr="00CA2430">
        <w:rPr>
          <w:noProof/>
          <w:color w:val="000000" w:themeColor="text1"/>
        </w:rPr>
        <w:t xml:space="preserve"> procentpunktiem zemāks </w:t>
      </w:r>
      <w:r w:rsidR="00F51ED8" w:rsidRPr="00CA2430">
        <w:rPr>
          <w:noProof/>
          <w:color w:val="000000" w:themeColor="text1"/>
        </w:rPr>
        <w:t>ne</w:t>
      </w:r>
      <w:r w:rsidR="00F70CA8" w:rsidRPr="00CA2430">
        <w:rPr>
          <w:noProof/>
          <w:color w:val="000000" w:themeColor="text1"/>
        </w:rPr>
        <w:t xml:space="preserve">kā </w:t>
      </w:r>
      <w:r w:rsidR="00E74824" w:rsidRPr="00CA2430">
        <w:rPr>
          <w:noProof/>
          <w:color w:val="000000" w:themeColor="text1"/>
        </w:rPr>
        <w:t xml:space="preserve">tika </w:t>
      </w:r>
      <w:r w:rsidR="00F51ED8" w:rsidRPr="00CA2430">
        <w:rPr>
          <w:noProof/>
          <w:color w:val="000000" w:themeColor="text1"/>
        </w:rPr>
        <w:t xml:space="preserve">prognozēts </w:t>
      </w:r>
      <w:r w:rsidRPr="00CA2430">
        <w:rPr>
          <w:noProof/>
          <w:color w:val="000000" w:themeColor="text1"/>
        </w:rPr>
        <w:t xml:space="preserve">šā gada </w:t>
      </w:r>
      <w:r w:rsidR="00CE3696" w:rsidRPr="00CA2430">
        <w:rPr>
          <w:noProof/>
          <w:color w:val="000000" w:themeColor="text1"/>
        </w:rPr>
        <w:t>aprīļa sākumā</w:t>
      </w:r>
      <w:r w:rsidR="00D653F5" w:rsidRPr="00CA2430">
        <w:rPr>
          <w:noProof/>
          <w:color w:val="000000" w:themeColor="text1"/>
        </w:rPr>
        <w:t>,</w:t>
      </w:r>
      <w:r w:rsidRPr="00CA2430">
        <w:rPr>
          <w:noProof/>
          <w:color w:val="000000" w:themeColor="text1"/>
        </w:rPr>
        <w:t xml:space="preserve"> izstrādājot Stabilitātes programmu 202</w:t>
      </w:r>
      <w:r w:rsidR="00E74824" w:rsidRPr="00CA2430">
        <w:rPr>
          <w:noProof/>
          <w:color w:val="000000" w:themeColor="text1"/>
        </w:rPr>
        <w:t>4</w:t>
      </w:r>
      <w:r w:rsidRPr="00CA2430">
        <w:rPr>
          <w:noProof/>
          <w:color w:val="000000" w:themeColor="text1"/>
        </w:rPr>
        <w:t>.-202</w:t>
      </w:r>
      <w:r w:rsidR="00E74824" w:rsidRPr="00CA2430">
        <w:rPr>
          <w:noProof/>
          <w:color w:val="000000" w:themeColor="text1"/>
        </w:rPr>
        <w:t>8</w:t>
      </w:r>
      <w:r w:rsidRPr="00CA2430">
        <w:rPr>
          <w:noProof/>
          <w:color w:val="000000" w:themeColor="text1"/>
        </w:rPr>
        <w:t>. gadam</w:t>
      </w:r>
      <w:r w:rsidR="009A32C3" w:rsidRPr="00CA2430">
        <w:rPr>
          <w:noProof/>
          <w:color w:val="000000" w:themeColor="text1"/>
        </w:rPr>
        <w:t xml:space="preserve"> (skat. 2.</w:t>
      </w:r>
      <w:r w:rsidR="00C71FAC" w:rsidRPr="00CA2430">
        <w:rPr>
          <w:noProof/>
          <w:color w:val="000000" w:themeColor="text1"/>
        </w:rPr>
        <w:t> </w:t>
      </w:r>
      <w:r w:rsidR="009A32C3" w:rsidRPr="00CA2430">
        <w:rPr>
          <w:noProof/>
          <w:color w:val="000000" w:themeColor="text1"/>
        </w:rPr>
        <w:t>attēlu)</w:t>
      </w:r>
      <w:r w:rsidR="00A8295B" w:rsidRPr="00CA2430">
        <w:rPr>
          <w:noProof/>
          <w:color w:val="000000" w:themeColor="text1"/>
        </w:rPr>
        <w:t>, un par</w:t>
      </w:r>
      <w:r w:rsidRPr="00CA2430">
        <w:rPr>
          <w:noProof/>
          <w:color w:val="000000" w:themeColor="text1"/>
        </w:rPr>
        <w:t xml:space="preserve"> </w:t>
      </w:r>
      <w:r w:rsidR="00E74824" w:rsidRPr="00CA2430">
        <w:rPr>
          <w:noProof/>
          <w:color w:val="000000" w:themeColor="text1"/>
        </w:rPr>
        <w:t>0,2</w:t>
      </w:r>
      <w:r w:rsidR="00A8295B" w:rsidRPr="00CA2430">
        <w:rPr>
          <w:noProof/>
          <w:color w:val="000000" w:themeColor="text1"/>
        </w:rPr>
        <w:t> </w:t>
      </w:r>
      <w:r w:rsidRPr="00CA2430">
        <w:rPr>
          <w:noProof/>
          <w:color w:val="000000" w:themeColor="text1"/>
        </w:rPr>
        <w:t xml:space="preserve">procentpunktiem zemāks kā pieļaujamais vispārējās valdības budžeta deficīts, kas noteikts </w:t>
      </w:r>
      <w:r w:rsidRPr="00CA2430">
        <w:rPr>
          <w:noProof/>
          <w:color w:val="000000" w:themeColor="text1"/>
          <w:szCs w:val="24"/>
        </w:rPr>
        <w:t>likumā “Par valsts budžetu 202</w:t>
      </w:r>
      <w:r w:rsidR="00E74824" w:rsidRPr="00CA2430">
        <w:rPr>
          <w:noProof/>
          <w:color w:val="000000" w:themeColor="text1"/>
          <w:szCs w:val="24"/>
        </w:rPr>
        <w:t>4</w:t>
      </w:r>
      <w:r w:rsidRPr="00CA2430">
        <w:rPr>
          <w:noProof/>
          <w:color w:val="000000" w:themeColor="text1"/>
          <w:szCs w:val="24"/>
        </w:rPr>
        <w:t>. gadam un budžeta ietvaru 202</w:t>
      </w:r>
      <w:r w:rsidR="00E74824" w:rsidRPr="00CA2430">
        <w:rPr>
          <w:noProof/>
          <w:color w:val="000000" w:themeColor="text1"/>
          <w:szCs w:val="24"/>
        </w:rPr>
        <w:t>4</w:t>
      </w:r>
      <w:r w:rsidRPr="00CA2430">
        <w:rPr>
          <w:noProof/>
          <w:color w:val="000000" w:themeColor="text1"/>
          <w:szCs w:val="24"/>
        </w:rPr>
        <w:t>., 202</w:t>
      </w:r>
      <w:r w:rsidR="00E74824" w:rsidRPr="00CA2430">
        <w:rPr>
          <w:noProof/>
          <w:color w:val="000000" w:themeColor="text1"/>
          <w:szCs w:val="24"/>
        </w:rPr>
        <w:t>5</w:t>
      </w:r>
      <w:r w:rsidRPr="00CA2430">
        <w:rPr>
          <w:noProof/>
          <w:color w:val="000000" w:themeColor="text1"/>
          <w:szCs w:val="24"/>
        </w:rPr>
        <w:t>. un 202</w:t>
      </w:r>
      <w:r w:rsidR="00E74824" w:rsidRPr="00CA2430">
        <w:rPr>
          <w:noProof/>
          <w:color w:val="000000" w:themeColor="text1"/>
          <w:szCs w:val="24"/>
        </w:rPr>
        <w:t>6</w:t>
      </w:r>
      <w:r w:rsidRPr="00CA2430">
        <w:rPr>
          <w:noProof/>
          <w:color w:val="000000" w:themeColor="text1"/>
          <w:szCs w:val="24"/>
        </w:rPr>
        <w:t>. gadam”</w:t>
      </w:r>
      <w:r w:rsidR="00700009" w:rsidRPr="00CA2430">
        <w:rPr>
          <w:noProof/>
          <w:color w:val="000000" w:themeColor="text1"/>
          <w:szCs w:val="24"/>
        </w:rPr>
        <w:t>.</w:t>
      </w:r>
    </w:p>
    <w:p w14:paraId="3B74898E" w14:textId="2C823540" w:rsidR="00C71FAC" w:rsidRPr="00CA2430" w:rsidRDefault="00C71FAC" w:rsidP="00CE3696">
      <w:pPr>
        <w:rPr>
          <w:noProof/>
        </w:rPr>
      </w:pPr>
      <w:r w:rsidRPr="00CA2430">
        <w:rPr>
          <w:noProof/>
        </w:rPr>
        <w:t>Salīdzinot ar apstiprināto budžetu, tiek prognozēti mazāki izdevumi</w:t>
      </w:r>
      <w:r w:rsidR="00EB7A3E" w:rsidRPr="00CA2430">
        <w:rPr>
          <w:noProof/>
        </w:rPr>
        <w:t xml:space="preserve"> un attiecīgi </w:t>
      </w:r>
      <w:r w:rsidR="009626B5">
        <w:rPr>
          <w:noProof/>
        </w:rPr>
        <w:t xml:space="preserve">nacionālais </w:t>
      </w:r>
      <w:r w:rsidR="00EB7A3E" w:rsidRPr="00CA2430">
        <w:rPr>
          <w:noProof/>
        </w:rPr>
        <w:t>līdzfinansējums</w:t>
      </w:r>
      <w:r w:rsidRPr="00CA2430">
        <w:rPr>
          <w:noProof/>
        </w:rPr>
        <w:t xml:space="preserve"> ārvalstu finanšu palīdzības projektiem, ņemot vērā iepriekšējā plānošanas perioda noslēgšanos un jaunā plānošanas perioda Kohēzijas politikas fondu un Atveseļošanas fonda projektu lēnāku uzsākšanos, attiecīgi FM samazinot šo izdevumu prognozi</w:t>
      </w:r>
      <w:r w:rsidR="0043034D">
        <w:rPr>
          <w:noProof/>
        </w:rPr>
        <w:t xml:space="preserve"> 2024. gadam un pārceļot izdevumus uz turpmākajiem gadiem.</w:t>
      </w:r>
      <w:r w:rsidR="009626B5">
        <w:rPr>
          <w:noProof/>
        </w:rPr>
        <w:t xml:space="preserve"> Tāpat lielāki pret plānoto tiek prognozēti nenodokļu un pašu ieņēmumi.</w:t>
      </w:r>
      <w:r w:rsidRPr="00CA2430">
        <w:rPr>
          <w:noProof/>
        </w:rPr>
        <w:t xml:space="preserve"> </w:t>
      </w:r>
    </w:p>
    <w:p w14:paraId="79798299" w14:textId="2F00F794" w:rsidR="00CE3696" w:rsidRPr="00CA2430" w:rsidRDefault="00F823D1" w:rsidP="00CE3696">
      <w:pPr>
        <w:rPr>
          <w:noProof/>
        </w:rPr>
      </w:pPr>
      <w:r w:rsidRPr="00F823D1">
        <w:rPr>
          <w:noProof/>
        </w:rPr>
        <w:drawing>
          <wp:anchor distT="0" distB="0" distL="114300" distR="114300" simplePos="0" relativeHeight="251664384" behindDoc="0" locked="0" layoutInCell="1" allowOverlap="1" wp14:anchorId="0F7EEF84" wp14:editId="40D46D9C">
            <wp:simplePos x="0" y="0"/>
            <wp:positionH relativeFrom="margin">
              <wp:align>right</wp:align>
            </wp:positionH>
            <wp:positionV relativeFrom="page">
              <wp:posOffset>5613400</wp:posOffset>
            </wp:positionV>
            <wp:extent cx="5196840" cy="3543300"/>
            <wp:effectExtent l="0" t="0" r="3810" b="0"/>
            <wp:wrapSquare wrapText="bothSides"/>
            <wp:docPr id="142579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565"/>
                    <a:stretch/>
                  </pic:blipFill>
                  <pic:spPr bwMode="auto">
                    <a:xfrm>
                      <a:off x="0" y="0"/>
                      <a:ext cx="5196840" cy="354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4F09" w:rsidRPr="00CA2430">
        <w:rPr>
          <w:noProof/>
        </w:rPr>
        <w:t>P</w:t>
      </w:r>
      <w:r w:rsidR="00CE3696" w:rsidRPr="00CA2430">
        <w:rPr>
          <w:noProof/>
        </w:rPr>
        <w:t xml:space="preserve">laša energoatbalsta sniegšana </w:t>
      </w:r>
      <w:r w:rsidR="00F84F09" w:rsidRPr="00CA2430">
        <w:rPr>
          <w:noProof/>
        </w:rPr>
        <w:t xml:space="preserve">kā iepriekšējos gados </w:t>
      </w:r>
      <w:r w:rsidR="00C71FAC" w:rsidRPr="00CA2430">
        <w:rPr>
          <w:noProof/>
        </w:rPr>
        <w:t xml:space="preserve">2024. gadā vairs nav </w:t>
      </w:r>
      <w:r w:rsidR="00CE3696" w:rsidRPr="00CA2430">
        <w:rPr>
          <w:noProof/>
        </w:rPr>
        <w:t xml:space="preserve">paredzēta, šim mērķim valdība bija atvēlējusi 50 milj. </w:t>
      </w:r>
      <w:r w:rsidR="00CE3696" w:rsidRPr="00CA2430">
        <w:rPr>
          <w:i/>
          <w:iCs/>
          <w:noProof/>
        </w:rPr>
        <w:t>euro</w:t>
      </w:r>
      <w:r w:rsidR="00CE3696" w:rsidRPr="00CA2430">
        <w:rPr>
          <w:noProof/>
        </w:rPr>
        <w:t xml:space="preserve">, </w:t>
      </w:r>
      <w:r w:rsidR="00F84F09" w:rsidRPr="00CA2430">
        <w:rPr>
          <w:noProof/>
        </w:rPr>
        <w:t>tādējādi</w:t>
      </w:r>
      <w:r w:rsidR="00CE3696" w:rsidRPr="00CA2430">
        <w:rPr>
          <w:noProof/>
        </w:rPr>
        <w:t xml:space="preserve"> mazin</w:t>
      </w:r>
      <w:r w:rsidR="00F84F09" w:rsidRPr="00CA2430">
        <w:rPr>
          <w:noProof/>
        </w:rPr>
        <w:t>ot</w:t>
      </w:r>
      <w:r w:rsidR="00CE3696" w:rsidRPr="00CA2430">
        <w:rPr>
          <w:noProof/>
        </w:rPr>
        <w:t xml:space="preserve"> ietekmi no elektroenerģijas tarifu pieauguma</w:t>
      </w:r>
      <w:r w:rsidR="00F84F09" w:rsidRPr="00CA2430">
        <w:rPr>
          <w:noProof/>
        </w:rPr>
        <w:t>. No tiem šā gada pirmajā pusgadā atbilstoši Klimata un enerģētikas ministrijas sniegtajai informācijai</w:t>
      </w:r>
      <w:r w:rsidR="00CE3696" w:rsidRPr="00CA2430">
        <w:rPr>
          <w:noProof/>
        </w:rPr>
        <w:t xml:space="preserve"> </w:t>
      </w:r>
      <w:r w:rsidR="00F84F09" w:rsidRPr="00CA2430">
        <w:rPr>
          <w:noProof/>
        </w:rPr>
        <w:t xml:space="preserve">izlietoti 25,7 milj. </w:t>
      </w:r>
      <w:r w:rsidR="00F84F09" w:rsidRPr="00CA2430">
        <w:rPr>
          <w:i/>
          <w:iCs/>
          <w:noProof/>
        </w:rPr>
        <w:t>euro</w:t>
      </w:r>
      <w:r w:rsidR="00F84F09" w:rsidRPr="00CA2430">
        <w:rPr>
          <w:noProof/>
        </w:rPr>
        <w:t xml:space="preserve">. 2024. gada budžetā tika </w:t>
      </w:r>
      <w:r w:rsidR="00CE3696" w:rsidRPr="00CA2430">
        <w:rPr>
          <w:noProof/>
        </w:rPr>
        <w:t xml:space="preserve">paredzēti </w:t>
      </w:r>
      <w:r w:rsidR="00C71FAC" w:rsidRPr="00CA2430">
        <w:rPr>
          <w:noProof/>
        </w:rPr>
        <w:t xml:space="preserve">70 milj. </w:t>
      </w:r>
      <w:r w:rsidR="00C71FAC" w:rsidRPr="00CA2430">
        <w:rPr>
          <w:i/>
          <w:iCs/>
          <w:noProof/>
        </w:rPr>
        <w:t>euro</w:t>
      </w:r>
      <w:r w:rsidR="00C71FAC" w:rsidRPr="00CA2430">
        <w:rPr>
          <w:noProof/>
        </w:rPr>
        <w:t xml:space="preserve"> </w:t>
      </w:r>
      <w:r w:rsidR="00CE3696" w:rsidRPr="00CA2430">
        <w:rPr>
          <w:noProof/>
        </w:rPr>
        <w:t xml:space="preserve">Ukrainas civiliedzīvotāju atbalstam, no tiem šā gada pirmajā pusgadā atbilstoši Finanšu ministrijas novērtējumam izlietoti 20,8 milj. </w:t>
      </w:r>
      <w:r w:rsidR="00CE3696" w:rsidRPr="00CA2430">
        <w:rPr>
          <w:i/>
          <w:iCs/>
          <w:noProof/>
        </w:rPr>
        <w:t>euro</w:t>
      </w:r>
      <w:r w:rsidR="00CE3696" w:rsidRPr="00CA2430">
        <w:rPr>
          <w:noProof/>
        </w:rPr>
        <w:t>.</w:t>
      </w:r>
    </w:p>
    <w:p w14:paraId="0596E6EF" w14:textId="10AF4544" w:rsidR="00C71FAC" w:rsidRPr="00CA2430" w:rsidRDefault="00C71FAC" w:rsidP="00C71FAC">
      <w:pPr>
        <w:jc w:val="center"/>
        <w:rPr>
          <w:rFonts w:eastAsia="Calibri"/>
          <w:b/>
          <w:iCs/>
          <w:noProof/>
          <w:highlight w:val="yellow"/>
        </w:rPr>
      </w:pPr>
      <w:r w:rsidRPr="00CA2430">
        <w:rPr>
          <w:rFonts w:eastAsia="Calibri"/>
          <w:b/>
          <w:iCs/>
          <w:noProof/>
        </w:rPr>
        <w:t>2. attēls. Vispārējās valdības budžeta ieņēmumi, izdevumi un bilance, % no IKP</w:t>
      </w:r>
      <w:r w:rsidRPr="00CA2430">
        <w:rPr>
          <w:b/>
          <w:noProof/>
          <w:color w:val="000000" w:themeColor="text1"/>
        </w:rPr>
        <w:br w:type="page"/>
      </w:r>
    </w:p>
    <w:p w14:paraId="2A27C3CB" w14:textId="50ED7C7A" w:rsidR="00700009" w:rsidRPr="00CA2430" w:rsidRDefault="00700009" w:rsidP="00766ABC">
      <w:pPr>
        <w:rPr>
          <w:noProof/>
          <w:color w:val="000000" w:themeColor="text1"/>
          <w:highlight w:val="yellow"/>
        </w:rPr>
      </w:pPr>
      <w:r w:rsidRPr="00CA2430">
        <w:rPr>
          <w:b/>
          <w:noProof/>
          <w:color w:val="000000" w:themeColor="text1"/>
        </w:rPr>
        <w:lastRenderedPageBreak/>
        <w:t>202</w:t>
      </w:r>
      <w:r w:rsidR="00E74824" w:rsidRPr="00CA2430">
        <w:rPr>
          <w:b/>
          <w:noProof/>
          <w:color w:val="000000" w:themeColor="text1"/>
        </w:rPr>
        <w:t>5</w:t>
      </w:r>
      <w:r w:rsidRPr="00CA2430">
        <w:rPr>
          <w:b/>
          <w:noProof/>
          <w:color w:val="000000" w:themeColor="text1"/>
        </w:rPr>
        <w:t>. -202</w:t>
      </w:r>
      <w:r w:rsidR="00E74824" w:rsidRPr="00CA2430">
        <w:rPr>
          <w:b/>
          <w:noProof/>
          <w:color w:val="000000" w:themeColor="text1"/>
        </w:rPr>
        <w:t>8</w:t>
      </w:r>
      <w:r w:rsidRPr="00CA2430">
        <w:rPr>
          <w:b/>
          <w:noProof/>
          <w:color w:val="000000" w:themeColor="text1"/>
        </w:rPr>
        <w:t>. gadā</w:t>
      </w:r>
      <w:r w:rsidRPr="00CA2430">
        <w:rPr>
          <w:noProof/>
          <w:color w:val="000000" w:themeColor="text1"/>
        </w:rPr>
        <w:t xml:space="preserve"> vispārējās valdības budžeta deficīts pie nemainīgas valdības politikas tiek prognozēts 2,</w:t>
      </w:r>
      <w:r w:rsidR="00E74824" w:rsidRPr="00CA2430">
        <w:rPr>
          <w:noProof/>
          <w:color w:val="000000" w:themeColor="text1"/>
        </w:rPr>
        <w:t>9</w:t>
      </w:r>
      <w:r w:rsidRPr="00CA2430">
        <w:rPr>
          <w:noProof/>
          <w:color w:val="000000" w:themeColor="text1"/>
        </w:rPr>
        <w:t>% no IKP 202</w:t>
      </w:r>
      <w:r w:rsidR="00E74824" w:rsidRPr="00CA2430">
        <w:rPr>
          <w:noProof/>
          <w:color w:val="000000" w:themeColor="text1"/>
        </w:rPr>
        <w:t>5</w:t>
      </w:r>
      <w:r w:rsidRPr="00CA2430">
        <w:rPr>
          <w:noProof/>
          <w:color w:val="000000" w:themeColor="text1"/>
        </w:rPr>
        <w:t>. gadā</w:t>
      </w:r>
      <w:r w:rsidR="00E74824" w:rsidRPr="00CA2430">
        <w:rPr>
          <w:noProof/>
          <w:color w:val="000000" w:themeColor="text1"/>
        </w:rPr>
        <w:t>,</w:t>
      </w:r>
      <w:r w:rsidRPr="00CA2430">
        <w:rPr>
          <w:noProof/>
          <w:color w:val="000000" w:themeColor="text1"/>
        </w:rPr>
        <w:t xml:space="preserve"> </w:t>
      </w:r>
      <w:r w:rsidR="00E74824" w:rsidRPr="00CA2430">
        <w:rPr>
          <w:noProof/>
          <w:color w:val="000000" w:themeColor="text1"/>
        </w:rPr>
        <w:t>2,7</w:t>
      </w:r>
      <w:r w:rsidRPr="00CA2430">
        <w:rPr>
          <w:noProof/>
          <w:color w:val="000000" w:themeColor="text1"/>
        </w:rPr>
        <w:t>% no IKP 202</w:t>
      </w:r>
      <w:r w:rsidR="00E74824" w:rsidRPr="00CA2430">
        <w:rPr>
          <w:noProof/>
          <w:color w:val="000000" w:themeColor="text1"/>
        </w:rPr>
        <w:t>6</w:t>
      </w:r>
      <w:r w:rsidRPr="00CA2430">
        <w:rPr>
          <w:noProof/>
          <w:color w:val="000000" w:themeColor="text1"/>
        </w:rPr>
        <w:t xml:space="preserve">. gadā, </w:t>
      </w:r>
      <w:r w:rsidR="00E74824" w:rsidRPr="00CA2430">
        <w:rPr>
          <w:noProof/>
          <w:color w:val="000000" w:themeColor="text1"/>
        </w:rPr>
        <w:t xml:space="preserve">2,4% no IKP </w:t>
      </w:r>
      <w:r w:rsidRPr="00CA2430">
        <w:rPr>
          <w:noProof/>
          <w:color w:val="000000" w:themeColor="text1"/>
        </w:rPr>
        <w:t>202</w:t>
      </w:r>
      <w:r w:rsidR="00E74824" w:rsidRPr="00CA2430">
        <w:rPr>
          <w:noProof/>
          <w:color w:val="000000" w:themeColor="text1"/>
        </w:rPr>
        <w:t>7</w:t>
      </w:r>
      <w:r w:rsidRPr="00CA2430">
        <w:rPr>
          <w:noProof/>
          <w:color w:val="000000" w:themeColor="text1"/>
        </w:rPr>
        <w:t xml:space="preserve">. gadā </w:t>
      </w:r>
      <w:r w:rsidR="00E74824" w:rsidRPr="00CA2430">
        <w:rPr>
          <w:noProof/>
          <w:color w:val="000000" w:themeColor="text1"/>
        </w:rPr>
        <w:t>un</w:t>
      </w:r>
      <w:r w:rsidRPr="00CA2430">
        <w:rPr>
          <w:noProof/>
          <w:color w:val="000000" w:themeColor="text1"/>
        </w:rPr>
        <w:t xml:space="preserve"> </w:t>
      </w:r>
      <w:r w:rsidR="00E74824" w:rsidRPr="00CA2430">
        <w:rPr>
          <w:noProof/>
          <w:color w:val="000000" w:themeColor="text1"/>
        </w:rPr>
        <w:t>2,2</w:t>
      </w:r>
      <w:r w:rsidRPr="00CA2430">
        <w:rPr>
          <w:noProof/>
          <w:color w:val="000000" w:themeColor="text1"/>
        </w:rPr>
        <w:t>% no IKP</w:t>
      </w:r>
      <w:r w:rsidR="00E74824" w:rsidRPr="00CA2430">
        <w:rPr>
          <w:noProof/>
          <w:color w:val="000000" w:themeColor="text1"/>
        </w:rPr>
        <w:t xml:space="preserve"> 2028. gadā</w:t>
      </w:r>
      <w:r w:rsidRPr="00CA2430">
        <w:rPr>
          <w:noProof/>
          <w:color w:val="000000" w:themeColor="text1"/>
        </w:rPr>
        <w:t xml:space="preserve"> (skat. </w:t>
      </w:r>
      <w:r w:rsidR="0076503C" w:rsidRPr="00CA2430">
        <w:rPr>
          <w:noProof/>
          <w:color w:val="000000" w:themeColor="text1"/>
        </w:rPr>
        <w:t>3</w:t>
      </w:r>
      <w:r w:rsidR="009A32C3" w:rsidRPr="00CA2430">
        <w:rPr>
          <w:noProof/>
          <w:color w:val="000000" w:themeColor="text1"/>
        </w:rPr>
        <w:t>. tabulu</w:t>
      </w:r>
      <w:r w:rsidRPr="00CA2430">
        <w:rPr>
          <w:noProof/>
          <w:color w:val="000000" w:themeColor="text1"/>
        </w:rPr>
        <w:t>).</w:t>
      </w:r>
      <w:r w:rsidR="00E74824" w:rsidRPr="00CA2430">
        <w:rPr>
          <w:noProof/>
          <w:color w:val="000000" w:themeColor="text1"/>
        </w:rPr>
        <w:t xml:space="preserve"> </w:t>
      </w:r>
    </w:p>
    <w:p w14:paraId="298C8CEA" w14:textId="025E8D53" w:rsidR="00EB7A3E" w:rsidRPr="00CA2430" w:rsidRDefault="00EB7A3E" w:rsidP="00EB7A3E">
      <w:pPr>
        <w:ind w:left="720" w:hanging="720"/>
        <w:jc w:val="center"/>
        <w:rPr>
          <w:rFonts w:eastAsia="Calibri" w:cs="Times New Roman"/>
          <w:b/>
          <w:noProof/>
          <w:szCs w:val="24"/>
          <w:highlight w:val="yellow"/>
        </w:rPr>
      </w:pPr>
      <w:r w:rsidRPr="00CA2430">
        <w:rPr>
          <w:rFonts w:eastAsia="Calibri" w:cs="Times New Roman"/>
          <w:b/>
          <w:noProof/>
          <w:szCs w:val="24"/>
        </w:rPr>
        <w:t>3. tabula. Vispārējās valdības budžeta bilance pa budžeta līmeņiem,</w:t>
      </w:r>
      <w:r w:rsidR="007E08EE" w:rsidRPr="00CA2430">
        <w:rPr>
          <w:rFonts w:eastAsia="Calibri" w:cs="Times New Roman"/>
          <w:b/>
          <w:noProof/>
          <w:szCs w:val="24"/>
        </w:rPr>
        <w:t xml:space="preserve"> </w:t>
      </w:r>
      <w:r w:rsidRPr="00CA2430">
        <w:rPr>
          <w:rFonts w:eastAsia="Calibri" w:cs="Times New Roman"/>
          <w:b/>
          <w:noProof/>
          <w:szCs w:val="24"/>
        </w:rPr>
        <w:t xml:space="preserve">milj. </w:t>
      </w:r>
      <w:r w:rsidRPr="00CA2430">
        <w:rPr>
          <w:rFonts w:eastAsia="Calibri" w:cs="Times New Roman"/>
          <w:b/>
          <w:i/>
          <w:noProof/>
          <w:szCs w:val="24"/>
        </w:rPr>
        <w:t>euro</w:t>
      </w:r>
      <w:r w:rsidRPr="00CA2430">
        <w:rPr>
          <w:rFonts w:eastAsia="Calibri" w:cs="Times New Roman"/>
          <w:b/>
          <w:noProof/>
          <w:szCs w:val="24"/>
        </w:rPr>
        <w:t xml:space="preserve"> </w:t>
      </w:r>
    </w:p>
    <w:tbl>
      <w:tblPr>
        <w:tblStyle w:val="TableGrid1"/>
        <w:tblW w:w="5580" w:type="pct"/>
        <w:jc w:val="center"/>
        <w:tblLayout w:type="fixed"/>
        <w:tblLook w:val="04A0" w:firstRow="1" w:lastRow="0" w:firstColumn="1" w:lastColumn="0" w:noHBand="0" w:noVBand="1"/>
      </w:tblPr>
      <w:tblGrid>
        <w:gridCol w:w="3167"/>
        <w:gridCol w:w="860"/>
        <w:gridCol w:w="860"/>
        <w:gridCol w:w="860"/>
        <w:gridCol w:w="18"/>
        <w:gridCol w:w="869"/>
        <w:gridCol w:w="860"/>
        <w:gridCol w:w="860"/>
        <w:gridCol w:w="879"/>
        <w:gridCol w:w="879"/>
      </w:tblGrid>
      <w:tr w:rsidR="00EB7A3E" w:rsidRPr="00CA2430" w14:paraId="71D84F01" w14:textId="77777777" w:rsidTr="00887E8A">
        <w:trPr>
          <w:trHeight w:val="19"/>
          <w:tblHeader/>
          <w:jc w:val="center"/>
        </w:trPr>
        <w:tc>
          <w:tcPr>
            <w:tcW w:w="3167" w:type="dxa"/>
            <w:tcBorders>
              <w:bottom w:val="nil"/>
            </w:tcBorders>
            <w:noWrap/>
            <w:hideMark/>
          </w:tcPr>
          <w:p w14:paraId="1006AD86" w14:textId="77777777" w:rsidR="00EB7A3E" w:rsidRPr="00CA2430" w:rsidRDefault="00EB7A3E" w:rsidP="00887E8A">
            <w:pPr>
              <w:spacing w:before="0" w:after="0"/>
              <w:ind w:firstLine="0"/>
              <w:contextualSpacing/>
              <w:jc w:val="left"/>
              <w:rPr>
                <w:rFonts w:eastAsia="Times New Roman"/>
                <w:noProof/>
                <w:color w:val="000000"/>
                <w:sz w:val="18"/>
                <w:szCs w:val="18"/>
              </w:rPr>
            </w:pPr>
            <w:bookmarkStart w:id="8" w:name="_Hlk173765638"/>
            <w:r w:rsidRPr="00CA2430">
              <w:rPr>
                <w:rFonts w:eastAsia="Times New Roman"/>
                <w:noProof/>
                <w:color w:val="000000"/>
                <w:sz w:val="18"/>
                <w:szCs w:val="18"/>
              </w:rPr>
              <w:t> </w:t>
            </w:r>
          </w:p>
        </w:tc>
        <w:tc>
          <w:tcPr>
            <w:tcW w:w="860" w:type="dxa"/>
            <w:noWrap/>
            <w:hideMark/>
          </w:tcPr>
          <w:p w14:paraId="6B3BB037"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2021</w:t>
            </w:r>
          </w:p>
        </w:tc>
        <w:tc>
          <w:tcPr>
            <w:tcW w:w="860" w:type="dxa"/>
            <w:noWrap/>
            <w:hideMark/>
          </w:tcPr>
          <w:p w14:paraId="6BE41335"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2022</w:t>
            </w:r>
          </w:p>
        </w:tc>
        <w:tc>
          <w:tcPr>
            <w:tcW w:w="860" w:type="dxa"/>
            <w:noWrap/>
            <w:hideMark/>
          </w:tcPr>
          <w:p w14:paraId="27C1C161" w14:textId="22E37035"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2023</w:t>
            </w:r>
          </w:p>
        </w:tc>
        <w:tc>
          <w:tcPr>
            <w:tcW w:w="887" w:type="dxa"/>
            <w:gridSpan w:val="2"/>
            <w:noWrap/>
            <w:hideMark/>
          </w:tcPr>
          <w:p w14:paraId="4F247A15"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2024</w:t>
            </w:r>
          </w:p>
        </w:tc>
        <w:tc>
          <w:tcPr>
            <w:tcW w:w="860" w:type="dxa"/>
            <w:noWrap/>
            <w:hideMark/>
          </w:tcPr>
          <w:p w14:paraId="456C5B49"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2025</w:t>
            </w:r>
          </w:p>
        </w:tc>
        <w:tc>
          <w:tcPr>
            <w:tcW w:w="860" w:type="dxa"/>
            <w:noWrap/>
            <w:hideMark/>
          </w:tcPr>
          <w:p w14:paraId="68F6C952"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2026</w:t>
            </w:r>
          </w:p>
        </w:tc>
        <w:tc>
          <w:tcPr>
            <w:tcW w:w="879" w:type="dxa"/>
            <w:noWrap/>
            <w:hideMark/>
          </w:tcPr>
          <w:p w14:paraId="5E964BC5"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2027</w:t>
            </w:r>
          </w:p>
        </w:tc>
        <w:tc>
          <w:tcPr>
            <w:tcW w:w="879" w:type="dxa"/>
          </w:tcPr>
          <w:p w14:paraId="46E59D82" w14:textId="77777777" w:rsidR="00EB7A3E" w:rsidRPr="00CA2430" w:rsidRDefault="00EB7A3E" w:rsidP="00887E8A">
            <w:pPr>
              <w:spacing w:before="0" w:after="0"/>
              <w:ind w:firstLine="0"/>
              <w:contextualSpacing/>
              <w:jc w:val="center"/>
              <w:rPr>
                <w:rFonts w:eastAsia="Times New Roman"/>
                <w:b/>
                <w:bCs/>
                <w:noProof/>
                <w:sz w:val="18"/>
                <w:szCs w:val="18"/>
              </w:rPr>
            </w:pPr>
            <w:r w:rsidRPr="00CA2430">
              <w:rPr>
                <w:rFonts w:eastAsia="Times New Roman"/>
                <w:b/>
                <w:bCs/>
                <w:noProof/>
                <w:sz w:val="18"/>
                <w:szCs w:val="18"/>
              </w:rPr>
              <w:t>2028</w:t>
            </w:r>
          </w:p>
        </w:tc>
      </w:tr>
      <w:tr w:rsidR="006D5F83" w:rsidRPr="00CA2430" w14:paraId="648D003A" w14:textId="77777777" w:rsidTr="004848AF">
        <w:trPr>
          <w:trHeight w:val="19"/>
          <w:tblHeader/>
          <w:jc w:val="center"/>
        </w:trPr>
        <w:tc>
          <w:tcPr>
            <w:tcW w:w="3167" w:type="dxa"/>
            <w:tcBorders>
              <w:top w:val="nil"/>
            </w:tcBorders>
            <w:noWrap/>
            <w:hideMark/>
          </w:tcPr>
          <w:p w14:paraId="125BBDD8" w14:textId="77777777" w:rsidR="006D5F83" w:rsidRPr="00CA2430" w:rsidRDefault="006D5F83" w:rsidP="00887E8A">
            <w:pPr>
              <w:spacing w:before="0" w:after="0"/>
              <w:ind w:firstLine="0"/>
              <w:contextualSpacing/>
              <w:jc w:val="left"/>
              <w:rPr>
                <w:rFonts w:eastAsia="Times New Roman"/>
                <w:b/>
                <w:bCs/>
                <w:noProof/>
                <w:color w:val="000000"/>
                <w:sz w:val="18"/>
                <w:szCs w:val="18"/>
              </w:rPr>
            </w:pPr>
            <w:r w:rsidRPr="00CA2430">
              <w:rPr>
                <w:rFonts w:eastAsia="Times New Roman"/>
                <w:b/>
                <w:bCs/>
                <w:noProof/>
                <w:color w:val="000000"/>
                <w:sz w:val="18"/>
                <w:szCs w:val="18"/>
              </w:rPr>
              <w:t> </w:t>
            </w:r>
          </w:p>
        </w:tc>
        <w:tc>
          <w:tcPr>
            <w:tcW w:w="2598" w:type="dxa"/>
            <w:gridSpan w:val="4"/>
            <w:hideMark/>
          </w:tcPr>
          <w:p w14:paraId="648ED145" w14:textId="77777777" w:rsidR="006D5F83" w:rsidRPr="00CA2430" w:rsidRDefault="006D5F83" w:rsidP="00887E8A">
            <w:pPr>
              <w:spacing w:before="0" w:after="0"/>
              <w:ind w:firstLine="0"/>
              <w:contextualSpacing/>
              <w:jc w:val="center"/>
              <w:rPr>
                <w:rFonts w:eastAsia="Times New Roman"/>
                <w:noProof/>
                <w:sz w:val="18"/>
                <w:szCs w:val="18"/>
              </w:rPr>
            </w:pPr>
            <w:r w:rsidRPr="00CA2430">
              <w:rPr>
                <w:rFonts w:eastAsia="Times New Roman"/>
                <w:noProof/>
                <w:sz w:val="18"/>
                <w:szCs w:val="18"/>
              </w:rPr>
              <w:t>Fakts</w:t>
            </w:r>
          </w:p>
        </w:tc>
        <w:tc>
          <w:tcPr>
            <w:tcW w:w="869" w:type="dxa"/>
            <w:hideMark/>
          </w:tcPr>
          <w:p w14:paraId="55FF410C" w14:textId="77777777" w:rsidR="006D5F83" w:rsidRPr="00CA2430" w:rsidRDefault="006D5F83" w:rsidP="00887E8A">
            <w:pPr>
              <w:spacing w:before="0" w:after="0"/>
              <w:ind w:firstLine="0"/>
              <w:contextualSpacing/>
              <w:jc w:val="center"/>
              <w:rPr>
                <w:rFonts w:eastAsia="Times New Roman"/>
                <w:noProof/>
                <w:sz w:val="18"/>
                <w:szCs w:val="18"/>
              </w:rPr>
            </w:pPr>
            <w:r w:rsidRPr="00CA2430">
              <w:rPr>
                <w:rFonts w:eastAsia="Times New Roman"/>
                <w:noProof/>
                <w:sz w:val="18"/>
                <w:szCs w:val="18"/>
              </w:rPr>
              <w:t>Novērt.</w:t>
            </w:r>
          </w:p>
        </w:tc>
        <w:tc>
          <w:tcPr>
            <w:tcW w:w="3478" w:type="dxa"/>
            <w:gridSpan w:val="4"/>
            <w:hideMark/>
          </w:tcPr>
          <w:p w14:paraId="134F4EC1" w14:textId="31ADB4D2" w:rsidR="006D5F83" w:rsidRPr="00CA2430" w:rsidRDefault="006D5F83" w:rsidP="00887E8A">
            <w:pPr>
              <w:spacing w:before="0" w:after="0"/>
              <w:ind w:firstLine="0"/>
              <w:contextualSpacing/>
              <w:jc w:val="center"/>
              <w:rPr>
                <w:rFonts w:eastAsia="Times New Roman"/>
                <w:noProof/>
                <w:sz w:val="18"/>
                <w:szCs w:val="18"/>
              </w:rPr>
            </w:pPr>
            <w:r w:rsidRPr="00CA2430">
              <w:rPr>
                <w:rFonts w:eastAsia="Times New Roman"/>
                <w:noProof/>
                <w:sz w:val="18"/>
                <w:szCs w:val="18"/>
              </w:rPr>
              <w:t>Prognoze (pie nemainīgas politikas)</w:t>
            </w:r>
          </w:p>
        </w:tc>
      </w:tr>
      <w:tr w:rsidR="00EB7A3E" w:rsidRPr="00CA2430" w14:paraId="68B5B9A4" w14:textId="77777777" w:rsidTr="00887E8A">
        <w:trPr>
          <w:trHeight w:val="103"/>
          <w:tblHeader/>
          <w:jc w:val="center"/>
        </w:trPr>
        <w:tc>
          <w:tcPr>
            <w:tcW w:w="3167" w:type="dxa"/>
            <w:shd w:val="clear" w:color="auto" w:fill="5B9BD5" w:themeFill="accent1"/>
            <w:noWrap/>
            <w:hideMark/>
          </w:tcPr>
          <w:p w14:paraId="104EA12B"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Vispārējās valdības budžeta bilance, % no IKP</w:t>
            </w:r>
          </w:p>
        </w:tc>
        <w:tc>
          <w:tcPr>
            <w:tcW w:w="860" w:type="dxa"/>
            <w:shd w:val="clear" w:color="auto" w:fill="5B9BD5" w:themeFill="accent1"/>
            <w:noWrap/>
            <w:vAlign w:val="center"/>
            <w:hideMark/>
          </w:tcPr>
          <w:p w14:paraId="338997E8" w14:textId="77777777" w:rsidR="00EB7A3E" w:rsidRPr="00CA2430" w:rsidRDefault="00EB7A3E" w:rsidP="00887E8A">
            <w:pPr>
              <w:spacing w:before="0" w:after="0"/>
              <w:ind w:firstLine="0"/>
              <w:contextualSpacing/>
              <w:jc w:val="center"/>
              <w:rPr>
                <w:rFonts w:eastAsia="Times New Roman"/>
                <w:b/>
                <w:bCs/>
                <w:noProof/>
                <w:sz w:val="18"/>
                <w:szCs w:val="18"/>
                <w:highlight w:val="yellow"/>
              </w:rPr>
            </w:pPr>
            <w:r w:rsidRPr="00CA2430">
              <w:rPr>
                <w:b/>
                <w:bCs/>
                <w:noProof/>
                <w:sz w:val="18"/>
                <w:szCs w:val="18"/>
              </w:rPr>
              <w:t>-7,2</w:t>
            </w:r>
          </w:p>
        </w:tc>
        <w:tc>
          <w:tcPr>
            <w:tcW w:w="860" w:type="dxa"/>
            <w:shd w:val="clear" w:color="auto" w:fill="5B9BD5" w:themeFill="accent1"/>
            <w:noWrap/>
            <w:vAlign w:val="center"/>
          </w:tcPr>
          <w:p w14:paraId="40957C58" w14:textId="77777777" w:rsidR="00EB7A3E" w:rsidRPr="00CA2430" w:rsidRDefault="00EB7A3E" w:rsidP="00887E8A">
            <w:pPr>
              <w:spacing w:before="0" w:after="0"/>
              <w:ind w:firstLine="0"/>
              <w:contextualSpacing/>
              <w:jc w:val="center"/>
              <w:rPr>
                <w:rFonts w:eastAsia="Times New Roman"/>
                <w:b/>
                <w:bCs/>
                <w:noProof/>
                <w:sz w:val="18"/>
                <w:szCs w:val="18"/>
                <w:highlight w:val="yellow"/>
              </w:rPr>
            </w:pPr>
            <w:r w:rsidRPr="00CA2430">
              <w:rPr>
                <w:b/>
                <w:bCs/>
                <w:noProof/>
                <w:sz w:val="18"/>
                <w:szCs w:val="18"/>
              </w:rPr>
              <w:t>-4,6</w:t>
            </w:r>
          </w:p>
        </w:tc>
        <w:tc>
          <w:tcPr>
            <w:tcW w:w="860" w:type="dxa"/>
            <w:shd w:val="clear" w:color="auto" w:fill="5B9BD5" w:themeFill="accent1"/>
            <w:noWrap/>
            <w:vAlign w:val="center"/>
          </w:tcPr>
          <w:p w14:paraId="41D0065F"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-2,2</w:t>
            </w:r>
          </w:p>
        </w:tc>
        <w:tc>
          <w:tcPr>
            <w:tcW w:w="887" w:type="dxa"/>
            <w:gridSpan w:val="2"/>
            <w:shd w:val="clear" w:color="auto" w:fill="5B9BD5" w:themeFill="accent1"/>
            <w:noWrap/>
            <w:vAlign w:val="center"/>
          </w:tcPr>
          <w:p w14:paraId="64915283"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-2,6</w:t>
            </w:r>
          </w:p>
        </w:tc>
        <w:tc>
          <w:tcPr>
            <w:tcW w:w="860" w:type="dxa"/>
            <w:shd w:val="clear" w:color="auto" w:fill="5B9BD5" w:themeFill="accent1"/>
            <w:noWrap/>
            <w:vAlign w:val="center"/>
          </w:tcPr>
          <w:p w14:paraId="361749ED"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-2,9</w:t>
            </w:r>
          </w:p>
        </w:tc>
        <w:tc>
          <w:tcPr>
            <w:tcW w:w="860" w:type="dxa"/>
            <w:shd w:val="clear" w:color="auto" w:fill="5B9BD5" w:themeFill="accent1"/>
            <w:noWrap/>
            <w:vAlign w:val="center"/>
          </w:tcPr>
          <w:p w14:paraId="367BD6E0"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-2,7</w:t>
            </w:r>
          </w:p>
        </w:tc>
        <w:tc>
          <w:tcPr>
            <w:tcW w:w="879" w:type="dxa"/>
            <w:shd w:val="clear" w:color="auto" w:fill="5B9BD5" w:themeFill="accent1"/>
            <w:noWrap/>
            <w:vAlign w:val="center"/>
          </w:tcPr>
          <w:p w14:paraId="47EF17AE"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-2,4</w:t>
            </w:r>
          </w:p>
        </w:tc>
        <w:tc>
          <w:tcPr>
            <w:tcW w:w="879" w:type="dxa"/>
            <w:shd w:val="clear" w:color="auto" w:fill="5B9BD5" w:themeFill="accent1"/>
            <w:vAlign w:val="center"/>
          </w:tcPr>
          <w:p w14:paraId="3A6C52EA" w14:textId="77777777" w:rsidR="00EB7A3E" w:rsidRPr="00CA2430" w:rsidRDefault="00EB7A3E" w:rsidP="00887E8A">
            <w:pPr>
              <w:spacing w:before="0" w:after="0"/>
              <w:ind w:firstLine="0"/>
              <w:contextualSpacing/>
              <w:jc w:val="center"/>
              <w:rPr>
                <w:b/>
                <w:bCs/>
                <w:noProof/>
                <w:sz w:val="18"/>
                <w:szCs w:val="18"/>
                <w:highlight w:val="yellow"/>
              </w:rPr>
            </w:pPr>
            <w:r w:rsidRPr="00CA2430">
              <w:rPr>
                <w:b/>
                <w:bCs/>
                <w:noProof/>
                <w:sz w:val="18"/>
                <w:szCs w:val="18"/>
              </w:rPr>
              <w:t>-2,2</w:t>
            </w:r>
          </w:p>
        </w:tc>
      </w:tr>
      <w:tr w:rsidR="00EB7A3E" w:rsidRPr="00CA2430" w14:paraId="1685931B" w14:textId="77777777" w:rsidTr="00887E8A">
        <w:trPr>
          <w:trHeight w:val="65"/>
          <w:tblHeader/>
          <w:jc w:val="center"/>
        </w:trPr>
        <w:tc>
          <w:tcPr>
            <w:tcW w:w="3167" w:type="dxa"/>
            <w:shd w:val="clear" w:color="auto" w:fill="BDD6EE" w:themeFill="accent1" w:themeFillTint="66"/>
            <w:noWrap/>
            <w:hideMark/>
          </w:tcPr>
          <w:p w14:paraId="1E9FB23B"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Vispārējās valdības budžeta bilance</w:t>
            </w:r>
          </w:p>
        </w:tc>
        <w:tc>
          <w:tcPr>
            <w:tcW w:w="860" w:type="dxa"/>
            <w:shd w:val="clear" w:color="auto" w:fill="BDD6EE" w:themeFill="accent1" w:themeFillTint="66"/>
            <w:noWrap/>
            <w:vAlign w:val="center"/>
          </w:tcPr>
          <w:p w14:paraId="6F853941" w14:textId="77777777" w:rsidR="00EB7A3E" w:rsidRPr="00CA2430" w:rsidRDefault="00EB7A3E" w:rsidP="00887E8A">
            <w:pPr>
              <w:spacing w:before="0" w:after="0"/>
              <w:ind w:firstLine="0"/>
              <w:contextualSpacing/>
              <w:jc w:val="center"/>
              <w:rPr>
                <w:rFonts w:eastAsia="Times New Roman"/>
                <w:b/>
                <w:bCs/>
                <w:noProof/>
                <w:sz w:val="18"/>
                <w:szCs w:val="18"/>
                <w:highlight w:val="yellow"/>
              </w:rPr>
            </w:pPr>
            <w:r w:rsidRPr="00CA2430">
              <w:rPr>
                <w:noProof/>
                <w:sz w:val="18"/>
                <w:szCs w:val="18"/>
              </w:rPr>
              <w:t>-2 396,1</w:t>
            </w:r>
          </w:p>
        </w:tc>
        <w:tc>
          <w:tcPr>
            <w:tcW w:w="860" w:type="dxa"/>
            <w:shd w:val="clear" w:color="auto" w:fill="BDD6EE" w:themeFill="accent1" w:themeFillTint="66"/>
            <w:noWrap/>
            <w:vAlign w:val="center"/>
          </w:tcPr>
          <w:p w14:paraId="64F258D0" w14:textId="77777777" w:rsidR="00EB7A3E" w:rsidRPr="00CA2430" w:rsidRDefault="00EB7A3E" w:rsidP="00887E8A">
            <w:pPr>
              <w:spacing w:before="0" w:after="0"/>
              <w:ind w:firstLine="0"/>
              <w:contextualSpacing/>
              <w:jc w:val="center"/>
              <w:rPr>
                <w:rFonts w:eastAsia="Times New Roman"/>
                <w:b/>
                <w:bCs/>
                <w:noProof/>
                <w:sz w:val="18"/>
                <w:szCs w:val="18"/>
                <w:highlight w:val="yellow"/>
              </w:rPr>
            </w:pPr>
            <w:r w:rsidRPr="00CA2430">
              <w:rPr>
                <w:noProof/>
                <w:sz w:val="18"/>
                <w:szCs w:val="18"/>
              </w:rPr>
              <w:t>-1 778,8</w:t>
            </w:r>
          </w:p>
        </w:tc>
        <w:tc>
          <w:tcPr>
            <w:tcW w:w="860" w:type="dxa"/>
            <w:shd w:val="clear" w:color="auto" w:fill="BDD6EE" w:themeFill="accent1" w:themeFillTint="66"/>
            <w:noWrap/>
            <w:vAlign w:val="center"/>
          </w:tcPr>
          <w:p w14:paraId="40461A79" w14:textId="77777777" w:rsidR="00EB7A3E" w:rsidRPr="00CA2430" w:rsidRDefault="00EB7A3E" w:rsidP="00887E8A">
            <w:pPr>
              <w:spacing w:before="0" w:after="0"/>
              <w:ind w:firstLine="0"/>
              <w:contextualSpacing/>
              <w:jc w:val="center"/>
              <w:rPr>
                <w:b/>
                <w:bCs/>
                <w:noProof/>
                <w:sz w:val="18"/>
                <w:szCs w:val="18"/>
                <w:highlight w:val="yellow"/>
              </w:rPr>
            </w:pPr>
            <w:r w:rsidRPr="00CA2430">
              <w:rPr>
                <w:noProof/>
                <w:sz w:val="18"/>
                <w:szCs w:val="18"/>
              </w:rPr>
              <w:t>-893,1</w:t>
            </w:r>
          </w:p>
        </w:tc>
        <w:tc>
          <w:tcPr>
            <w:tcW w:w="887" w:type="dxa"/>
            <w:gridSpan w:val="2"/>
            <w:shd w:val="clear" w:color="auto" w:fill="BDD6EE" w:themeFill="accent1" w:themeFillTint="66"/>
            <w:noWrap/>
            <w:vAlign w:val="center"/>
          </w:tcPr>
          <w:p w14:paraId="5C7277E9" w14:textId="77777777" w:rsidR="00EB7A3E" w:rsidRPr="00CA2430" w:rsidRDefault="00EB7A3E" w:rsidP="00887E8A">
            <w:pPr>
              <w:spacing w:before="0" w:after="0"/>
              <w:ind w:firstLine="0"/>
              <w:contextualSpacing/>
              <w:jc w:val="center"/>
              <w:rPr>
                <w:b/>
                <w:bCs/>
                <w:noProof/>
                <w:sz w:val="18"/>
                <w:szCs w:val="18"/>
                <w:highlight w:val="yellow"/>
              </w:rPr>
            </w:pPr>
            <w:r w:rsidRPr="00CA2430">
              <w:rPr>
                <w:noProof/>
                <w:sz w:val="18"/>
                <w:szCs w:val="18"/>
              </w:rPr>
              <w:t>-1 075,4</w:t>
            </w:r>
          </w:p>
        </w:tc>
        <w:tc>
          <w:tcPr>
            <w:tcW w:w="860" w:type="dxa"/>
            <w:shd w:val="clear" w:color="auto" w:fill="BDD6EE" w:themeFill="accent1" w:themeFillTint="66"/>
            <w:noWrap/>
            <w:vAlign w:val="center"/>
          </w:tcPr>
          <w:p w14:paraId="2E6F0B53" w14:textId="77777777" w:rsidR="00EB7A3E" w:rsidRPr="00CA2430" w:rsidRDefault="00EB7A3E" w:rsidP="00887E8A">
            <w:pPr>
              <w:spacing w:before="0" w:after="0"/>
              <w:ind w:firstLine="0"/>
              <w:contextualSpacing/>
              <w:jc w:val="center"/>
              <w:rPr>
                <w:b/>
                <w:bCs/>
                <w:noProof/>
                <w:sz w:val="18"/>
                <w:szCs w:val="18"/>
                <w:highlight w:val="yellow"/>
              </w:rPr>
            </w:pPr>
            <w:r w:rsidRPr="00CA2430">
              <w:rPr>
                <w:noProof/>
                <w:sz w:val="18"/>
                <w:szCs w:val="18"/>
              </w:rPr>
              <w:t>-1 295,9</w:t>
            </w:r>
          </w:p>
        </w:tc>
        <w:tc>
          <w:tcPr>
            <w:tcW w:w="860" w:type="dxa"/>
            <w:shd w:val="clear" w:color="auto" w:fill="BDD6EE" w:themeFill="accent1" w:themeFillTint="66"/>
            <w:noWrap/>
            <w:vAlign w:val="center"/>
          </w:tcPr>
          <w:p w14:paraId="75123548" w14:textId="77777777" w:rsidR="00EB7A3E" w:rsidRPr="00CA2430" w:rsidRDefault="00EB7A3E" w:rsidP="00887E8A">
            <w:pPr>
              <w:spacing w:before="0" w:after="0"/>
              <w:ind w:firstLine="0"/>
              <w:contextualSpacing/>
              <w:jc w:val="center"/>
              <w:rPr>
                <w:b/>
                <w:bCs/>
                <w:noProof/>
                <w:sz w:val="18"/>
                <w:szCs w:val="18"/>
                <w:highlight w:val="yellow"/>
              </w:rPr>
            </w:pPr>
            <w:r w:rsidRPr="00CA2430">
              <w:rPr>
                <w:noProof/>
                <w:sz w:val="18"/>
                <w:szCs w:val="18"/>
              </w:rPr>
              <w:t>-1 269,3</w:t>
            </w:r>
          </w:p>
        </w:tc>
        <w:tc>
          <w:tcPr>
            <w:tcW w:w="879" w:type="dxa"/>
            <w:shd w:val="clear" w:color="auto" w:fill="BDD6EE" w:themeFill="accent1" w:themeFillTint="66"/>
            <w:noWrap/>
            <w:vAlign w:val="center"/>
          </w:tcPr>
          <w:p w14:paraId="56930BF5" w14:textId="77777777" w:rsidR="00EB7A3E" w:rsidRPr="00CA2430" w:rsidRDefault="00EB7A3E" w:rsidP="00887E8A">
            <w:pPr>
              <w:spacing w:before="0" w:after="0"/>
              <w:ind w:firstLine="0"/>
              <w:contextualSpacing/>
              <w:jc w:val="center"/>
              <w:rPr>
                <w:b/>
                <w:bCs/>
                <w:noProof/>
                <w:sz w:val="18"/>
                <w:szCs w:val="18"/>
                <w:highlight w:val="yellow"/>
              </w:rPr>
            </w:pPr>
            <w:r w:rsidRPr="00CA2430">
              <w:rPr>
                <w:noProof/>
                <w:sz w:val="18"/>
                <w:szCs w:val="18"/>
              </w:rPr>
              <w:t>-1 177,2</w:t>
            </w:r>
          </w:p>
        </w:tc>
        <w:tc>
          <w:tcPr>
            <w:tcW w:w="879" w:type="dxa"/>
            <w:shd w:val="clear" w:color="auto" w:fill="BDD6EE" w:themeFill="accent1" w:themeFillTint="66"/>
          </w:tcPr>
          <w:p w14:paraId="623E9922"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-1 155,6</w:t>
            </w:r>
          </w:p>
        </w:tc>
      </w:tr>
      <w:tr w:rsidR="00EB7A3E" w:rsidRPr="00CA2430" w14:paraId="045B4028" w14:textId="77777777" w:rsidTr="00887E8A">
        <w:trPr>
          <w:trHeight w:val="65"/>
          <w:tblHeader/>
          <w:jc w:val="center"/>
        </w:trPr>
        <w:tc>
          <w:tcPr>
            <w:tcW w:w="3167" w:type="dxa"/>
            <w:noWrap/>
            <w:hideMark/>
          </w:tcPr>
          <w:p w14:paraId="1D693FEA" w14:textId="77777777" w:rsidR="00EB7A3E" w:rsidRPr="00CA2430" w:rsidRDefault="00EB7A3E" w:rsidP="00887E8A">
            <w:pPr>
              <w:spacing w:before="0" w:after="0"/>
              <w:ind w:firstLine="0"/>
              <w:contextualSpacing/>
              <w:jc w:val="left"/>
              <w:rPr>
                <w:rFonts w:eastAsia="Times New Roman"/>
                <w:noProof/>
                <w:sz w:val="18"/>
                <w:szCs w:val="18"/>
                <w:highlight w:val="yellow"/>
              </w:rPr>
            </w:pPr>
            <w:r w:rsidRPr="00CA2430">
              <w:rPr>
                <w:rFonts w:eastAsia="Times New Roman"/>
                <w:noProof/>
                <w:sz w:val="18"/>
                <w:szCs w:val="18"/>
              </w:rPr>
              <w:t>EKS KOREKCIJAS</w:t>
            </w:r>
          </w:p>
        </w:tc>
        <w:tc>
          <w:tcPr>
            <w:tcW w:w="860" w:type="dxa"/>
            <w:noWrap/>
            <w:vAlign w:val="center"/>
          </w:tcPr>
          <w:p w14:paraId="69C5A3F6" w14:textId="77777777" w:rsidR="00EB7A3E" w:rsidRPr="00CA2430" w:rsidRDefault="00EB7A3E" w:rsidP="00887E8A">
            <w:pPr>
              <w:spacing w:before="0" w:after="0"/>
              <w:ind w:firstLine="0"/>
              <w:contextualSpacing/>
              <w:jc w:val="center"/>
              <w:rPr>
                <w:rFonts w:eastAsia="Times New Roman"/>
                <w:noProof/>
                <w:sz w:val="18"/>
                <w:szCs w:val="18"/>
                <w:highlight w:val="yellow"/>
              </w:rPr>
            </w:pPr>
            <w:r w:rsidRPr="00CA2430">
              <w:rPr>
                <w:noProof/>
                <w:sz w:val="18"/>
                <w:szCs w:val="18"/>
              </w:rPr>
              <w:t>-551,3</w:t>
            </w:r>
          </w:p>
        </w:tc>
        <w:tc>
          <w:tcPr>
            <w:tcW w:w="860" w:type="dxa"/>
            <w:noWrap/>
            <w:vAlign w:val="center"/>
          </w:tcPr>
          <w:p w14:paraId="5E2FF7CC" w14:textId="77777777" w:rsidR="00EB7A3E" w:rsidRPr="00CA2430" w:rsidRDefault="00EB7A3E" w:rsidP="00887E8A">
            <w:pPr>
              <w:spacing w:before="0" w:after="0"/>
              <w:ind w:firstLine="0"/>
              <w:contextualSpacing/>
              <w:jc w:val="center"/>
              <w:rPr>
                <w:rFonts w:eastAsia="Times New Roman"/>
                <w:noProof/>
                <w:sz w:val="18"/>
                <w:szCs w:val="18"/>
                <w:highlight w:val="yellow"/>
              </w:rPr>
            </w:pPr>
            <w:r w:rsidRPr="00CA2430">
              <w:rPr>
                <w:noProof/>
                <w:sz w:val="18"/>
                <w:szCs w:val="18"/>
              </w:rPr>
              <w:t>-355,0</w:t>
            </w:r>
          </w:p>
        </w:tc>
        <w:tc>
          <w:tcPr>
            <w:tcW w:w="860" w:type="dxa"/>
            <w:noWrap/>
            <w:vAlign w:val="center"/>
          </w:tcPr>
          <w:p w14:paraId="7142285F"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529,8</w:t>
            </w:r>
          </w:p>
        </w:tc>
        <w:tc>
          <w:tcPr>
            <w:tcW w:w="887" w:type="dxa"/>
            <w:gridSpan w:val="2"/>
            <w:noWrap/>
            <w:vAlign w:val="center"/>
          </w:tcPr>
          <w:p w14:paraId="1213A77F"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76,9</w:t>
            </w:r>
          </w:p>
        </w:tc>
        <w:tc>
          <w:tcPr>
            <w:tcW w:w="860" w:type="dxa"/>
            <w:noWrap/>
            <w:vAlign w:val="center"/>
          </w:tcPr>
          <w:p w14:paraId="170D64AB"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574,3</w:t>
            </w:r>
          </w:p>
        </w:tc>
        <w:tc>
          <w:tcPr>
            <w:tcW w:w="860" w:type="dxa"/>
            <w:noWrap/>
            <w:vAlign w:val="center"/>
          </w:tcPr>
          <w:p w14:paraId="77DBAA11"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-146,9</w:t>
            </w:r>
          </w:p>
        </w:tc>
        <w:tc>
          <w:tcPr>
            <w:tcW w:w="879" w:type="dxa"/>
            <w:noWrap/>
            <w:vAlign w:val="center"/>
          </w:tcPr>
          <w:p w14:paraId="411845FD"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-1,5</w:t>
            </w:r>
          </w:p>
        </w:tc>
        <w:tc>
          <w:tcPr>
            <w:tcW w:w="879" w:type="dxa"/>
          </w:tcPr>
          <w:p w14:paraId="5B41BF78" w14:textId="77777777" w:rsidR="00EB7A3E" w:rsidRPr="00CA2430" w:rsidRDefault="00EB7A3E" w:rsidP="00887E8A">
            <w:pPr>
              <w:spacing w:before="0" w:after="0"/>
              <w:ind w:firstLine="0"/>
              <w:contextualSpacing/>
              <w:jc w:val="center"/>
              <w:rPr>
                <w:noProof/>
                <w:sz w:val="18"/>
                <w:szCs w:val="18"/>
                <w:highlight w:val="yellow"/>
              </w:rPr>
            </w:pPr>
            <w:r w:rsidRPr="00CA2430">
              <w:rPr>
                <w:noProof/>
                <w:sz w:val="18"/>
                <w:szCs w:val="18"/>
              </w:rPr>
              <w:t>-171,6</w:t>
            </w:r>
          </w:p>
        </w:tc>
      </w:tr>
      <w:tr w:rsidR="00FE0DFC" w:rsidRPr="00CA2430" w14:paraId="353B27E4" w14:textId="77777777" w:rsidTr="0095299E">
        <w:trPr>
          <w:trHeight w:val="65"/>
          <w:tblHeader/>
          <w:jc w:val="center"/>
        </w:trPr>
        <w:tc>
          <w:tcPr>
            <w:tcW w:w="3167" w:type="dxa"/>
            <w:noWrap/>
          </w:tcPr>
          <w:p w14:paraId="58EEEB43" w14:textId="529AC5C3" w:rsidR="00FE0DFC" w:rsidRPr="00CA2430" w:rsidRDefault="00FE0DFC" w:rsidP="00FE0DFC">
            <w:pPr>
              <w:spacing w:before="0" w:after="0"/>
              <w:ind w:firstLine="0"/>
              <w:contextualSpacing/>
              <w:jc w:val="left"/>
              <w:rPr>
                <w:rFonts w:eastAsia="Times New Roman"/>
                <w:noProof/>
                <w:sz w:val="18"/>
                <w:szCs w:val="18"/>
              </w:rPr>
            </w:pPr>
            <w:r w:rsidRPr="00CA2430">
              <w:rPr>
                <w:rFonts w:eastAsia="Times New Roman"/>
                <w:noProof/>
                <w:sz w:val="18"/>
                <w:szCs w:val="18"/>
              </w:rPr>
              <w:t xml:space="preserve">    </w:t>
            </w:r>
            <w:r w:rsidRPr="00FE0DFC">
              <w:rPr>
                <w:rFonts w:eastAsia="Times New Roman"/>
                <w:noProof/>
                <w:sz w:val="18"/>
                <w:szCs w:val="18"/>
              </w:rPr>
              <w:t>Pieklasificēto komersantu bilance</w:t>
            </w:r>
          </w:p>
        </w:tc>
        <w:tc>
          <w:tcPr>
            <w:tcW w:w="860" w:type="dxa"/>
            <w:noWrap/>
            <w:vAlign w:val="center"/>
          </w:tcPr>
          <w:p w14:paraId="60C44D72" w14:textId="44C32527" w:rsidR="00FE0DFC" w:rsidRPr="00CA2430" w:rsidRDefault="00FE0DFC" w:rsidP="00FE0DFC">
            <w:pPr>
              <w:spacing w:before="0" w:after="0"/>
              <w:ind w:firstLine="0"/>
              <w:contextualSpacing/>
              <w:jc w:val="center"/>
              <w:rPr>
                <w:noProof/>
                <w:sz w:val="18"/>
                <w:szCs w:val="18"/>
              </w:rPr>
            </w:pPr>
            <w:r>
              <w:rPr>
                <w:color w:val="000000"/>
                <w:sz w:val="18"/>
                <w:szCs w:val="18"/>
              </w:rPr>
              <w:t>-14,4</w:t>
            </w:r>
          </w:p>
        </w:tc>
        <w:tc>
          <w:tcPr>
            <w:tcW w:w="860" w:type="dxa"/>
            <w:noWrap/>
            <w:vAlign w:val="center"/>
          </w:tcPr>
          <w:p w14:paraId="65DBE721" w14:textId="0D751F57" w:rsidR="00FE0DFC" w:rsidRPr="00CA2430" w:rsidRDefault="00FE0DFC" w:rsidP="00FE0DFC">
            <w:pPr>
              <w:spacing w:before="0" w:after="0"/>
              <w:ind w:firstLine="0"/>
              <w:contextualSpacing/>
              <w:jc w:val="center"/>
              <w:rPr>
                <w:noProof/>
                <w:sz w:val="18"/>
                <w:szCs w:val="18"/>
              </w:rPr>
            </w:pPr>
            <w:r>
              <w:rPr>
                <w:color w:val="000000"/>
                <w:sz w:val="18"/>
                <w:szCs w:val="18"/>
              </w:rPr>
              <w:t>-39,9</w:t>
            </w:r>
          </w:p>
        </w:tc>
        <w:tc>
          <w:tcPr>
            <w:tcW w:w="860" w:type="dxa"/>
            <w:noWrap/>
            <w:vAlign w:val="center"/>
          </w:tcPr>
          <w:p w14:paraId="403EB93A" w14:textId="613FFBBC" w:rsidR="00FE0DFC" w:rsidRPr="00CA2430" w:rsidRDefault="00FE0DFC" w:rsidP="00FE0DFC">
            <w:pPr>
              <w:spacing w:before="0" w:after="0"/>
              <w:ind w:firstLine="0"/>
              <w:contextualSpacing/>
              <w:jc w:val="center"/>
              <w:rPr>
                <w:noProof/>
                <w:sz w:val="18"/>
                <w:szCs w:val="18"/>
              </w:rPr>
            </w:pPr>
            <w:r>
              <w:rPr>
                <w:color w:val="000000"/>
                <w:sz w:val="18"/>
                <w:szCs w:val="18"/>
              </w:rPr>
              <w:t>-190,2</w:t>
            </w:r>
          </w:p>
        </w:tc>
        <w:tc>
          <w:tcPr>
            <w:tcW w:w="887" w:type="dxa"/>
            <w:gridSpan w:val="2"/>
            <w:noWrap/>
            <w:vAlign w:val="center"/>
          </w:tcPr>
          <w:p w14:paraId="4154B08D" w14:textId="6EA93ECD" w:rsidR="00FE0DFC" w:rsidRPr="00CA2430" w:rsidRDefault="00FE0DFC" w:rsidP="00FE0DFC">
            <w:pPr>
              <w:spacing w:before="0" w:after="0"/>
              <w:ind w:firstLine="0"/>
              <w:contextualSpacing/>
              <w:jc w:val="center"/>
              <w:rPr>
                <w:noProof/>
                <w:sz w:val="18"/>
                <w:szCs w:val="18"/>
              </w:rPr>
            </w:pPr>
            <w:r>
              <w:rPr>
                <w:color w:val="000000"/>
                <w:sz w:val="18"/>
                <w:szCs w:val="18"/>
              </w:rPr>
              <w:t>-149,0</w:t>
            </w:r>
          </w:p>
        </w:tc>
        <w:tc>
          <w:tcPr>
            <w:tcW w:w="860" w:type="dxa"/>
            <w:noWrap/>
            <w:vAlign w:val="center"/>
          </w:tcPr>
          <w:p w14:paraId="6905D9D3" w14:textId="6DDB20B4" w:rsidR="00FE0DFC" w:rsidRPr="00CA2430" w:rsidRDefault="00FE0DFC" w:rsidP="00FE0DFC">
            <w:pPr>
              <w:spacing w:before="0" w:after="0"/>
              <w:ind w:firstLine="0"/>
              <w:contextualSpacing/>
              <w:jc w:val="center"/>
              <w:rPr>
                <w:noProof/>
                <w:sz w:val="18"/>
                <w:szCs w:val="18"/>
              </w:rPr>
            </w:pPr>
            <w:r>
              <w:rPr>
                <w:color w:val="000000"/>
                <w:sz w:val="18"/>
                <w:szCs w:val="18"/>
              </w:rPr>
              <w:t>-82,2</w:t>
            </w:r>
          </w:p>
        </w:tc>
        <w:tc>
          <w:tcPr>
            <w:tcW w:w="860" w:type="dxa"/>
            <w:noWrap/>
            <w:vAlign w:val="center"/>
          </w:tcPr>
          <w:p w14:paraId="2082743B" w14:textId="0A827854" w:rsidR="00FE0DFC" w:rsidRPr="00CA2430" w:rsidRDefault="00FE0DFC" w:rsidP="00FE0DFC">
            <w:pPr>
              <w:spacing w:before="0" w:after="0"/>
              <w:ind w:firstLine="0"/>
              <w:contextualSpacing/>
              <w:jc w:val="center"/>
              <w:rPr>
                <w:noProof/>
                <w:sz w:val="18"/>
                <w:szCs w:val="18"/>
              </w:rPr>
            </w:pPr>
            <w:r>
              <w:rPr>
                <w:color w:val="000000"/>
                <w:sz w:val="18"/>
                <w:szCs w:val="18"/>
              </w:rPr>
              <w:t>-24,7</w:t>
            </w:r>
          </w:p>
        </w:tc>
        <w:tc>
          <w:tcPr>
            <w:tcW w:w="879" w:type="dxa"/>
            <w:noWrap/>
            <w:vAlign w:val="center"/>
          </w:tcPr>
          <w:p w14:paraId="47B1C995" w14:textId="4A4EE763" w:rsidR="00FE0DFC" w:rsidRPr="00CA2430" w:rsidRDefault="00FE0DFC" w:rsidP="00FE0DFC">
            <w:pPr>
              <w:spacing w:before="0" w:after="0"/>
              <w:ind w:firstLine="0"/>
              <w:contextualSpacing/>
              <w:jc w:val="center"/>
              <w:rPr>
                <w:noProof/>
                <w:sz w:val="18"/>
                <w:szCs w:val="18"/>
              </w:rPr>
            </w:pPr>
            <w:r>
              <w:rPr>
                <w:color w:val="000000"/>
                <w:sz w:val="18"/>
                <w:szCs w:val="18"/>
              </w:rPr>
              <w:t>-37,8</w:t>
            </w:r>
          </w:p>
        </w:tc>
        <w:tc>
          <w:tcPr>
            <w:tcW w:w="879" w:type="dxa"/>
            <w:vAlign w:val="center"/>
          </w:tcPr>
          <w:p w14:paraId="0A8F4448" w14:textId="500F95A2" w:rsidR="00FE0DFC" w:rsidRPr="00CA2430" w:rsidRDefault="00FE0DFC" w:rsidP="00FE0DFC">
            <w:pPr>
              <w:spacing w:before="0" w:after="0"/>
              <w:ind w:firstLine="0"/>
              <w:contextualSpacing/>
              <w:jc w:val="center"/>
              <w:rPr>
                <w:noProof/>
                <w:sz w:val="18"/>
                <w:szCs w:val="18"/>
              </w:rPr>
            </w:pPr>
            <w:r>
              <w:rPr>
                <w:color w:val="000000"/>
                <w:sz w:val="18"/>
                <w:szCs w:val="18"/>
              </w:rPr>
              <w:t>-43,8</w:t>
            </w:r>
          </w:p>
        </w:tc>
      </w:tr>
      <w:tr w:rsidR="00EB7A3E" w:rsidRPr="00CA2430" w14:paraId="5EE8D941" w14:textId="77777777" w:rsidTr="00887E8A">
        <w:trPr>
          <w:trHeight w:val="65"/>
          <w:tblHeader/>
          <w:jc w:val="center"/>
        </w:trPr>
        <w:tc>
          <w:tcPr>
            <w:tcW w:w="3167" w:type="dxa"/>
            <w:shd w:val="clear" w:color="auto" w:fill="BDD6EE" w:themeFill="accent1" w:themeFillTint="66"/>
            <w:noWrap/>
            <w:hideMark/>
          </w:tcPr>
          <w:p w14:paraId="3BB8DEAD" w14:textId="0A546B23" w:rsidR="00EB7A3E" w:rsidRPr="00CA2430" w:rsidRDefault="00EB7A3E" w:rsidP="00887E8A">
            <w:pPr>
              <w:spacing w:before="0" w:after="0"/>
              <w:ind w:firstLine="0"/>
              <w:contextualSpacing/>
              <w:jc w:val="left"/>
              <w:rPr>
                <w:rFonts w:eastAsia="Times New Roman"/>
                <w:b/>
                <w:bCs/>
                <w:noProof/>
                <w:sz w:val="18"/>
                <w:szCs w:val="18"/>
                <w:highlight w:val="yellow"/>
              </w:rPr>
            </w:pPr>
            <w:r w:rsidRPr="00CA2430">
              <w:rPr>
                <w:rFonts w:eastAsia="Times New Roman"/>
                <w:b/>
                <w:bCs/>
                <w:noProof/>
                <w:sz w:val="18"/>
                <w:szCs w:val="18"/>
              </w:rPr>
              <w:t>KOPBUDŽETA BILANCE</w:t>
            </w:r>
            <w:r w:rsidR="006D5F83" w:rsidRPr="00CA2430">
              <w:rPr>
                <w:rFonts w:eastAsia="Times New Roman"/>
                <w:b/>
                <w:bCs/>
                <w:noProof/>
                <w:sz w:val="18"/>
                <w:szCs w:val="18"/>
              </w:rPr>
              <w:t>*</w:t>
            </w:r>
          </w:p>
        </w:tc>
        <w:tc>
          <w:tcPr>
            <w:tcW w:w="860" w:type="dxa"/>
            <w:shd w:val="clear" w:color="auto" w:fill="BDD6EE" w:themeFill="accent1" w:themeFillTint="66"/>
            <w:noWrap/>
            <w:vAlign w:val="center"/>
          </w:tcPr>
          <w:p w14:paraId="3E4369C4" w14:textId="77777777" w:rsidR="00EB7A3E" w:rsidRPr="00CA2430" w:rsidRDefault="00EB7A3E" w:rsidP="00887E8A">
            <w:pPr>
              <w:spacing w:before="0" w:after="0"/>
              <w:ind w:firstLine="0"/>
              <w:contextualSpacing/>
              <w:jc w:val="center"/>
              <w:rPr>
                <w:rFonts w:eastAsia="Times New Roman"/>
                <w:b/>
                <w:bCs/>
                <w:noProof/>
                <w:sz w:val="18"/>
                <w:szCs w:val="18"/>
                <w:highlight w:val="yellow"/>
              </w:rPr>
            </w:pPr>
            <w:r w:rsidRPr="00CA2430">
              <w:rPr>
                <w:noProof/>
                <w:sz w:val="18"/>
                <w:szCs w:val="18"/>
              </w:rPr>
              <w:t>-1 844,8</w:t>
            </w:r>
          </w:p>
        </w:tc>
        <w:tc>
          <w:tcPr>
            <w:tcW w:w="860" w:type="dxa"/>
            <w:shd w:val="clear" w:color="auto" w:fill="BDD6EE" w:themeFill="accent1" w:themeFillTint="66"/>
            <w:noWrap/>
          </w:tcPr>
          <w:p w14:paraId="3B3D52A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-1 423,9</w:t>
            </w:r>
          </w:p>
        </w:tc>
        <w:tc>
          <w:tcPr>
            <w:tcW w:w="860" w:type="dxa"/>
            <w:shd w:val="clear" w:color="auto" w:fill="BDD6EE" w:themeFill="accent1" w:themeFillTint="66"/>
            <w:noWrap/>
          </w:tcPr>
          <w:p w14:paraId="3A98B15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-1 330,0</w:t>
            </w:r>
          </w:p>
        </w:tc>
        <w:tc>
          <w:tcPr>
            <w:tcW w:w="887" w:type="dxa"/>
            <w:gridSpan w:val="2"/>
            <w:shd w:val="clear" w:color="auto" w:fill="BDD6EE" w:themeFill="accent1" w:themeFillTint="66"/>
            <w:noWrap/>
          </w:tcPr>
          <w:p w14:paraId="0ED7A32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-1 152,2</w:t>
            </w:r>
          </w:p>
        </w:tc>
        <w:tc>
          <w:tcPr>
            <w:tcW w:w="860" w:type="dxa"/>
            <w:shd w:val="clear" w:color="auto" w:fill="BDD6EE" w:themeFill="accent1" w:themeFillTint="66"/>
            <w:noWrap/>
          </w:tcPr>
          <w:p w14:paraId="019A0B0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-1 870,2</w:t>
            </w:r>
          </w:p>
        </w:tc>
        <w:tc>
          <w:tcPr>
            <w:tcW w:w="860" w:type="dxa"/>
            <w:shd w:val="clear" w:color="auto" w:fill="BDD6EE" w:themeFill="accent1" w:themeFillTint="66"/>
            <w:noWrap/>
          </w:tcPr>
          <w:p w14:paraId="0DA4A29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-1 122,4</w:t>
            </w:r>
          </w:p>
        </w:tc>
        <w:tc>
          <w:tcPr>
            <w:tcW w:w="879" w:type="dxa"/>
            <w:shd w:val="clear" w:color="auto" w:fill="BDD6EE" w:themeFill="accent1" w:themeFillTint="66"/>
            <w:noWrap/>
          </w:tcPr>
          <w:p w14:paraId="7FFE5F6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-1 175,6</w:t>
            </w:r>
          </w:p>
        </w:tc>
        <w:tc>
          <w:tcPr>
            <w:tcW w:w="879" w:type="dxa"/>
            <w:shd w:val="clear" w:color="auto" w:fill="BDD6EE" w:themeFill="accent1" w:themeFillTint="66"/>
          </w:tcPr>
          <w:p w14:paraId="5C9F1B5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-984,0</w:t>
            </w:r>
          </w:p>
        </w:tc>
      </w:tr>
      <w:tr w:rsidR="00EB7A3E" w:rsidRPr="00CA2430" w14:paraId="6F0CCAC6" w14:textId="77777777" w:rsidTr="00887E8A">
        <w:trPr>
          <w:trHeight w:val="65"/>
          <w:tblHeader/>
          <w:jc w:val="center"/>
        </w:trPr>
        <w:tc>
          <w:tcPr>
            <w:tcW w:w="3167" w:type="dxa"/>
            <w:noWrap/>
            <w:hideMark/>
          </w:tcPr>
          <w:p w14:paraId="25E38E19" w14:textId="77777777" w:rsidR="00EB7A3E" w:rsidRPr="00CA2430" w:rsidRDefault="00EB7A3E" w:rsidP="00887E8A">
            <w:pPr>
              <w:spacing w:before="0" w:after="0"/>
              <w:ind w:firstLine="0"/>
              <w:contextualSpacing/>
              <w:jc w:val="left"/>
              <w:rPr>
                <w:rFonts w:eastAsia="Times New Roman"/>
                <w:noProof/>
                <w:sz w:val="18"/>
                <w:szCs w:val="18"/>
                <w:highlight w:val="yellow"/>
              </w:rPr>
            </w:pPr>
            <w:r w:rsidRPr="00CA2430">
              <w:rPr>
                <w:rFonts w:eastAsia="Times New Roman"/>
                <w:noProof/>
                <w:sz w:val="18"/>
                <w:szCs w:val="18"/>
              </w:rPr>
              <w:t>Ieņēmumi</w:t>
            </w:r>
          </w:p>
        </w:tc>
        <w:tc>
          <w:tcPr>
            <w:tcW w:w="860" w:type="dxa"/>
            <w:noWrap/>
          </w:tcPr>
          <w:p w14:paraId="25CF15B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12 549,2</w:t>
            </w:r>
          </w:p>
        </w:tc>
        <w:tc>
          <w:tcPr>
            <w:tcW w:w="860" w:type="dxa"/>
            <w:noWrap/>
          </w:tcPr>
          <w:p w14:paraId="148210D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14 294,4</w:t>
            </w:r>
          </w:p>
        </w:tc>
        <w:tc>
          <w:tcPr>
            <w:tcW w:w="860" w:type="dxa"/>
            <w:noWrap/>
          </w:tcPr>
          <w:p w14:paraId="5CCDA4E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15 628,0</w:t>
            </w:r>
          </w:p>
        </w:tc>
        <w:tc>
          <w:tcPr>
            <w:tcW w:w="887" w:type="dxa"/>
            <w:gridSpan w:val="2"/>
            <w:noWrap/>
          </w:tcPr>
          <w:p w14:paraId="583C421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17 269,2</w:t>
            </w:r>
          </w:p>
        </w:tc>
        <w:tc>
          <w:tcPr>
            <w:tcW w:w="860" w:type="dxa"/>
            <w:noWrap/>
          </w:tcPr>
          <w:p w14:paraId="1ABFE56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17 616,1</w:t>
            </w:r>
          </w:p>
        </w:tc>
        <w:tc>
          <w:tcPr>
            <w:tcW w:w="860" w:type="dxa"/>
            <w:noWrap/>
          </w:tcPr>
          <w:p w14:paraId="4ECFE4E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18 842,6</w:t>
            </w:r>
          </w:p>
        </w:tc>
        <w:tc>
          <w:tcPr>
            <w:tcW w:w="879" w:type="dxa"/>
            <w:noWrap/>
          </w:tcPr>
          <w:p w14:paraId="188E296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18 672,8</w:t>
            </w:r>
          </w:p>
        </w:tc>
        <w:tc>
          <w:tcPr>
            <w:tcW w:w="879" w:type="dxa"/>
          </w:tcPr>
          <w:p w14:paraId="20D6E49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19 075,3</w:t>
            </w:r>
          </w:p>
        </w:tc>
      </w:tr>
      <w:tr w:rsidR="00EB7A3E" w:rsidRPr="00CA2430" w14:paraId="3080E965" w14:textId="77777777" w:rsidTr="00887E8A">
        <w:trPr>
          <w:trHeight w:val="65"/>
          <w:tblHeader/>
          <w:jc w:val="center"/>
        </w:trPr>
        <w:tc>
          <w:tcPr>
            <w:tcW w:w="3167" w:type="dxa"/>
            <w:noWrap/>
            <w:hideMark/>
          </w:tcPr>
          <w:p w14:paraId="58CBFE2C" w14:textId="77777777" w:rsidR="00EB7A3E" w:rsidRPr="00CA2430" w:rsidRDefault="00EB7A3E" w:rsidP="00887E8A">
            <w:pPr>
              <w:spacing w:before="0" w:after="0"/>
              <w:ind w:firstLineChars="100" w:firstLine="180"/>
              <w:contextualSpacing/>
              <w:jc w:val="left"/>
              <w:rPr>
                <w:rFonts w:eastAsia="Times New Roman"/>
                <w:noProof/>
                <w:sz w:val="18"/>
                <w:szCs w:val="18"/>
                <w:highlight w:val="yellow"/>
              </w:rPr>
            </w:pPr>
            <w:r w:rsidRPr="00CA2430">
              <w:rPr>
                <w:rFonts w:eastAsia="Times New Roman"/>
                <w:noProof/>
                <w:sz w:val="18"/>
                <w:szCs w:val="18"/>
              </w:rPr>
              <w:t>Nodokļu ieņēmumi</w:t>
            </w:r>
          </w:p>
        </w:tc>
        <w:tc>
          <w:tcPr>
            <w:tcW w:w="860" w:type="dxa"/>
            <w:noWrap/>
          </w:tcPr>
          <w:p w14:paraId="24E2BBB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10 031,0</w:t>
            </w:r>
          </w:p>
        </w:tc>
        <w:tc>
          <w:tcPr>
            <w:tcW w:w="860" w:type="dxa"/>
            <w:noWrap/>
          </w:tcPr>
          <w:p w14:paraId="2948649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11 557,3</w:t>
            </w:r>
          </w:p>
        </w:tc>
        <w:tc>
          <w:tcPr>
            <w:tcW w:w="860" w:type="dxa"/>
            <w:noWrap/>
          </w:tcPr>
          <w:p w14:paraId="59482AD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12 600,4</w:t>
            </w:r>
          </w:p>
        </w:tc>
        <w:tc>
          <w:tcPr>
            <w:tcW w:w="887" w:type="dxa"/>
            <w:gridSpan w:val="2"/>
            <w:noWrap/>
          </w:tcPr>
          <w:p w14:paraId="40A0F54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13 703,7</w:t>
            </w:r>
          </w:p>
        </w:tc>
        <w:tc>
          <w:tcPr>
            <w:tcW w:w="860" w:type="dxa"/>
            <w:noWrap/>
          </w:tcPr>
          <w:p w14:paraId="79EE062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14 458,5</w:t>
            </w:r>
          </w:p>
        </w:tc>
        <w:tc>
          <w:tcPr>
            <w:tcW w:w="860" w:type="dxa"/>
            <w:noWrap/>
          </w:tcPr>
          <w:p w14:paraId="3B6EAE7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15 228,7</w:t>
            </w:r>
          </w:p>
        </w:tc>
        <w:tc>
          <w:tcPr>
            <w:tcW w:w="879" w:type="dxa"/>
            <w:noWrap/>
          </w:tcPr>
          <w:p w14:paraId="2028740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15 909,2</w:t>
            </w:r>
          </w:p>
        </w:tc>
        <w:tc>
          <w:tcPr>
            <w:tcW w:w="879" w:type="dxa"/>
          </w:tcPr>
          <w:p w14:paraId="4AF83E7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16 602,9</w:t>
            </w:r>
          </w:p>
        </w:tc>
      </w:tr>
      <w:tr w:rsidR="00EB7A3E" w:rsidRPr="00CA2430" w14:paraId="1F1FDCF7" w14:textId="77777777" w:rsidTr="00887E8A">
        <w:trPr>
          <w:trHeight w:val="65"/>
          <w:tblHeader/>
          <w:jc w:val="center"/>
        </w:trPr>
        <w:tc>
          <w:tcPr>
            <w:tcW w:w="3167" w:type="dxa"/>
            <w:noWrap/>
            <w:hideMark/>
          </w:tcPr>
          <w:p w14:paraId="5C8687D4"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Nenodokļu ieņēmumi</w:t>
            </w:r>
          </w:p>
        </w:tc>
        <w:tc>
          <w:tcPr>
            <w:tcW w:w="860" w:type="dxa"/>
            <w:noWrap/>
          </w:tcPr>
          <w:p w14:paraId="3015BC7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771,2</w:t>
            </w:r>
          </w:p>
        </w:tc>
        <w:tc>
          <w:tcPr>
            <w:tcW w:w="860" w:type="dxa"/>
            <w:noWrap/>
          </w:tcPr>
          <w:p w14:paraId="4CEAE82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845,0</w:t>
            </w:r>
          </w:p>
        </w:tc>
        <w:tc>
          <w:tcPr>
            <w:tcW w:w="860" w:type="dxa"/>
            <w:noWrap/>
          </w:tcPr>
          <w:p w14:paraId="6AD92DB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1 063,6</w:t>
            </w:r>
          </w:p>
        </w:tc>
        <w:tc>
          <w:tcPr>
            <w:tcW w:w="887" w:type="dxa"/>
            <w:gridSpan w:val="2"/>
            <w:noWrap/>
          </w:tcPr>
          <w:p w14:paraId="28BB572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1 145,2</w:t>
            </w:r>
          </w:p>
        </w:tc>
        <w:tc>
          <w:tcPr>
            <w:tcW w:w="860" w:type="dxa"/>
            <w:noWrap/>
          </w:tcPr>
          <w:p w14:paraId="360BBB0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859,9</w:t>
            </w:r>
          </w:p>
        </w:tc>
        <w:tc>
          <w:tcPr>
            <w:tcW w:w="860" w:type="dxa"/>
            <w:noWrap/>
          </w:tcPr>
          <w:p w14:paraId="7B11D98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837,6</w:t>
            </w:r>
          </w:p>
        </w:tc>
        <w:tc>
          <w:tcPr>
            <w:tcW w:w="879" w:type="dxa"/>
            <w:noWrap/>
          </w:tcPr>
          <w:p w14:paraId="76D3B4E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853,3</w:t>
            </w:r>
          </w:p>
        </w:tc>
        <w:tc>
          <w:tcPr>
            <w:tcW w:w="879" w:type="dxa"/>
          </w:tcPr>
          <w:p w14:paraId="32D1366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882,3</w:t>
            </w:r>
          </w:p>
        </w:tc>
      </w:tr>
      <w:tr w:rsidR="00EB7A3E" w:rsidRPr="00CA2430" w14:paraId="26675221" w14:textId="77777777" w:rsidTr="00887E8A">
        <w:trPr>
          <w:trHeight w:val="65"/>
          <w:tblHeader/>
          <w:jc w:val="center"/>
        </w:trPr>
        <w:tc>
          <w:tcPr>
            <w:tcW w:w="3167" w:type="dxa"/>
            <w:noWrap/>
            <w:hideMark/>
          </w:tcPr>
          <w:p w14:paraId="246CAC46"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Pašu ieņēmumi</w:t>
            </w:r>
          </w:p>
        </w:tc>
        <w:tc>
          <w:tcPr>
            <w:tcW w:w="860" w:type="dxa"/>
            <w:noWrap/>
          </w:tcPr>
          <w:p w14:paraId="7819CA4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372,5</w:t>
            </w:r>
          </w:p>
        </w:tc>
        <w:tc>
          <w:tcPr>
            <w:tcW w:w="860" w:type="dxa"/>
            <w:noWrap/>
          </w:tcPr>
          <w:p w14:paraId="1071DF4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424,9</w:t>
            </w:r>
          </w:p>
        </w:tc>
        <w:tc>
          <w:tcPr>
            <w:tcW w:w="860" w:type="dxa"/>
            <w:noWrap/>
          </w:tcPr>
          <w:p w14:paraId="7B8EBC5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483,8</w:t>
            </w:r>
          </w:p>
        </w:tc>
        <w:tc>
          <w:tcPr>
            <w:tcW w:w="887" w:type="dxa"/>
            <w:gridSpan w:val="2"/>
            <w:noWrap/>
          </w:tcPr>
          <w:p w14:paraId="2DDB6B5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520,2</w:t>
            </w:r>
          </w:p>
        </w:tc>
        <w:tc>
          <w:tcPr>
            <w:tcW w:w="860" w:type="dxa"/>
            <w:noWrap/>
          </w:tcPr>
          <w:p w14:paraId="55B26CA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520,2</w:t>
            </w:r>
          </w:p>
        </w:tc>
        <w:tc>
          <w:tcPr>
            <w:tcW w:w="860" w:type="dxa"/>
            <w:noWrap/>
          </w:tcPr>
          <w:p w14:paraId="39003B4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528,4</w:t>
            </w:r>
          </w:p>
        </w:tc>
        <w:tc>
          <w:tcPr>
            <w:tcW w:w="879" w:type="dxa"/>
            <w:noWrap/>
          </w:tcPr>
          <w:p w14:paraId="58EE29F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538,1</w:t>
            </w:r>
          </w:p>
        </w:tc>
        <w:tc>
          <w:tcPr>
            <w:tcW w:w="879" w:type="dxa"/>
          </w:tcPr>
          <w:p w14:paraId="43CCE48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548,2</w:t>
            </w:r>
          </w:p>
        </w:tc>
      </w:tr>
      <w:tr w:rsidR="00EB7A3E" w:rsidRPr="00CA2430" w14:paraId="09327BEB" w14:textId="77777777" w:rsidTr="00887E8A">
        <w:trPr>
          <w:trHeight w:val="65"/>
          <w:tblHeader/>
          <w:jc w:val="center"/>
        </w:trPr>
        <w:tc>
          <w:tcPr>
            <w:tcW w:w="3167" w:type="dxa"/>
            <w:noWrap/>
            <w:hideMark/>
          </w:tcPr>
          <w:p w14:paraId="64C67BFA"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Ārvalstu finanšu palīdzība</w:t>
            </w:r>
          </w:p>
        </w:tc>
        <w:tc>
          <w:tcPr>
            <w:tcW w:w="860" w:type="dxa"/>
            <w:noWrap/>
          </w:tcPr>
          <w:p w14:paraId="2D8F044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1 371,0</w:t>
            </w:r>
          </w:p>
        </w:tc>
        <w:tc>
          <w:tcPr>
            <w:tcW w:w="860" w:type="dxa"/>
            <w:noWrap/>
          </w:tcPr>
          <w:p w14:paraId="62A5000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1 465,5</w:t>
            </w:r>
          </w:p>
        </w:tc>
        <w:tc>
          <w:tcPr>
            <w:tcW w:w="860" w:type="dxa"/>
            <w:noWrap/>
          </w:tcPr>
          <w:p w14:paraId="6EFFB2C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1 478,2</w:t>
            </w:r>
          </w:p>
        </w:tc>
        <w:tc>
          <w:tcPr>
            <w:tcW w:w="887" w:type="dxa"/>
            <w:gridSpan w:val="2"/>
            <w:noWrap/>
          </w:tcPr>
          <w:p w14:paraId="627AAE7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1 898,9</w:t>
            </w:r>
          </w:p>
        </w:tc>
        <w:tc>
          <w:tcPr>
            <w:tcW w:w="860" w:type="dxa"/>
            <w:noWrap/>
          </w:tcPr>
          <w:p w14:paraId="17842FB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1 776,2</w:t>
            </w:r>
          </w:p>
        </w:tc>
        <w:tc>
          <w:tcPr>
            <w:tcW w:w="860" w:type="dxa"/>
            <w:noWrap/>
          </w:tcPr>
          <w:p w14:paraId="4526B46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2 246,5</w:t>
            </w:r>
          </w:p>
        </w:tc>
        <w:tc>
          <w:tcPr>
            <w:tcW w:w="879" w:type="dxa"/>
            <w:noWrap/>
          </w:tcPr>
          <w:p w14:paraId="78E3AD1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1 370,8</w:t>
            </w:r>
          </w:p>
        </w:tc>
        <w:tc>
          <w:tcPr>
            <w:tcW w:w="879" w:type="dxa"/>
          </w:tcPr>
          <w:p w14:paraId="5174CEE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1 040,5</w:t>
            </w:r>
          </w:p>
        </w:tc>
      </w:tr>
      <w:tr w:rsidR="00EB7A3E" w:rsidRPr="00CA2430" w14:paraId="59E22E1D" w14:textId="77777777" w:rsidTr="00887E8A">
        <w:trPr>
          <w:trHeight w:val="65"/>
          <w:tblHeader/>
          <w:jc w:val="center"/>
        </w:trPr>
        <w:tc>
          <w:tcPr>
            <w:tcW w:w="3167" w:type="dxa"/>
            <w:noWrap/>
            <w:hideMark/>
          </w:tcPr>
          <w:p w14:paraId="70C88D7B"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Pārējie ieņēmumi</w:t>
            </w:r>
          </w:p>
        </w:tc>
        <w:tc>
          <w:tcPr>
            <w:tcW w:w="860" w:type="dxa"/>
            <w:noWrap/>
          </w:tcPr>
          <w:p w14:paraId="58E8A0D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3,4</w:t>
            </w:r>
          </w:p>
        </w:tc>
        <w:tc>
          <w:tcPr>
            <w:tcW w:w="860" w:type="dxa"/>
            <w:noWrap/>
          </w:tcPr>
          <w:p w14:paraId="6F6F4D5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w:t>
            </w:r>
          </w:p>
        </w:tc>
        <w:tc>
          <w:tcPr>
            <w:tcW w:w="860" w:type="dxa"/>
            <w:noWrap/>
          </w:tcPr>
          <w:p w14:paraId="1BF7F34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2,0</w:t>
            </w:r>
          </w:p>
        </w:tc>
        <w:tc>
          <w:tcPr>
            <w:tcW w:w="887" w:type="dxa"/>
            <w:gridSpan w:val="2"/>
            <w:noWrap/>
          </w:tcPr>
          <w:p w14:paraId="123BD1D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w:t>
            </w:r>
          </w:p>
        </w:tc>
        <w:tc>
          <w:tcPr>
            <w:tcW w:w="860" w:type="dxa"/>
            <w:noWrap/>
          </w:tcPr>
          <w:p w14:paraId="1BEEEF8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w:t>
            </w:r>
          </w:p>
        </w:tc>
        <w:tc>
          <w:tcPr>
            <w:tcW w:w="860" w:type="dxa"/>
            <w:noWrap/>
          </w:tcPr>
          <w:p w14:paraId="38685C5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w:t>
            </w:r>
          </w:p>
        </w:tc>
        <w:tc>
          <w:tcPr>
            <w:tcW w:w="879" w:type="dxa"/>
            <w:noWrap/>
          </w:tcPr>
          <w:p w14:paraId="16AA91C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w:t>
            </w:r>
          </w:p>
        </w:tc>
        <w:tc>
          <w:tcPr>
            <w:tcW w:w="879" w:type="dxa"/>
          </w:tcPr>
          <w:p w14:paraId="28A8416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w:t>
            </w:r>
          </w:p>
        </w:tc>
      </w:tr>
      <w:tr w:rsidR="00EB7A3E" w:rsidRPr="00CA2430" w14:paraId="6665CECB" w14:textId="77777777" w:rsidTr="00887E8A">
        <w:trPr>
          <w:trHeight w:val="65"/>
          <w:tblHeader/>
          <w:jc w:val="center"/>
        </w:trPr>
        <w:tc>
          <w:tcPr>
            <w:tcW w:w="3167" w:type="dxa"/>
            <w:noWrap/>
            <w:hideMark/>
          </w:tcPr>
          <w:p w14:paraId="550FE7A0"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tcPr>
          <w:p w14:paraId="5E35BDD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14 394,0</w:t>
            </w:r>
          </w:p>
        </w:tc>
        <w:tc>
          <w:tcPr>
            <w:tcW w:w="860" w:type="dxa"/>
            <w:noWrap/>
          </w:tcPr>
          <w:p w14:paraId="4EC0BD5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15 718,3</w:t>
            </w:r>
          </w:p>
        </w:tc>
        <w:tc>
          <w:tcPr>
            <w:tcW w:w="860" w:type="dxa"/>
            <w:noWrap/>
          </w:tcPr>
          <w:p w14:paraId="532CA37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16 958,0</w:t>
            </w:r>
          </w:p>
        </w:tc>
        <w:tc>
          <w:tcPr>
            <w:tcW w:w="887" w:type="dxa"/>
            <w:gridSpan w:val="2"/>
            <w:noWrap/>
          </w:tcPr>
          <w:p w14:paraId="72873B6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18 421,5</w:t>
            </w:r>
          </w:p>
        </w:tc>
        <w:tc>
          <w:tcPr>
            <w:tcW w:w="860" w:type="dxa"/>
            <w:noWrap/>
          </w:tcPr>
          <w:p w14:paraId="48FDF8D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19 486,3</w:t>
            </w:r>
          </w:p>
        </w:tc>
        <w:tc>
          <w:tcPr>
            <w:tcW w:w="860" w:type="dxa"/>
            <w:noWrap/>
          </w:tcPr>
          <w:p w14:paraId="523F381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19 965,0</w:t>
            </w:r>
          </w:p>
        </w:tc>
        <w:tc>
          <w:tcPr>
            <w:tcW w:w="879" w:type="dxa"/>
            <w:noWrap/>
          </w:tcPr>
          <w:p w14:paraId="5E571C0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19 848,5</w:t>
            </w:r>
          </w:p>
        </w:tc>
        <w:tc>
          <w:tcPr>
            <w:tcW w:w="879" w:type="dxa"/>
          </w:tcPr>
          <w:p w14:paraId="4EDBEED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20 059,3</w:t>
            </w:r>
          </w:p>
        </w:tc>
      </w:tr>
      <w:tr w:rsidR="00EB7A3E" w:rsidRPr="00CA2430" w14:paraId="79AAAF36" w14:textId="77777777" w:rsidTr="00887E8A">
        <w:trPr>
          <w:trHeight w:val="65"/>
          <w:tblHeader/>
          <w:jc w:val="center"/>
        </w:trPr>
        <w:tc>
          <w:tcPr>
            <w:tcW w:w="3167" w:type="dxa"/>
            <w:noWrap/>
            <w:hideMark/>
          </w:tcPr>
          <w:p w14:paraId="6ABB4026"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 xml:space="preserve">    Atlīdzība</w:t>
            </w:r>
          </w:p>
        </w:tc>
        <w:tc>
          <w:tcPr>
            <w:tcW w:w="860" w:type="dxa"/>
            <w:noWrap/>
          </w:tcPr>
          <w:p w14:paraId="2C98DC0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2 939,5</w:t>
            </w:r>
          </w:p>
        </w:tc>
        <w:tc>
          <w:tcPr>
            <w:tcW w:w="860" w:type="dxa"/>
            <w:noWrap/>
          </w:tcPr>
          <w:p w14:paraId="7F3ECE4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3 120,1</w:t>
            </w:r>
          </w:p>
        </w:tc>
        <w:tc>
          <w:tcPr>
            <w:tcW w:w="860" w:type="dxa"/>
            <w:noWrap/>
          </w:tcPr>
          <w:p w14:paraId="277CD87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3 601,4</w:t>
            </w:r>
          </w:p>
        </w:tc>
        <w:tc>
          <w:tcPr>
            <w:tcW w:w="887" w:type="dxa"/>
            <w:gridSpan w:val="2"/>
            <w:noWrap/>
          </w:tcPr>
          <w:p w14:paraId="7B89BA3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4 115,7</w:t>
            </w:r>
          </w:p>
        </w:tc>
        <w:tc>
          <w:tcPr>
            <w:tcW w:w="860" w:type="dxa"/>
            <w:noWrap/>
          </w:tcPr>
          <w:p w14:paraId="6DBA313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4 222,9</w:t>
            </w:r>
          </w:p>
        </w:tc>
        <w:tc>
          <w:tcPr>
            <w:tcW w:w="860" w:type="dxa"/>
            <w:noWrap/>
          </w:tcPr>
          <w:p w14:paraId="1AFEE56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4 312,0</w:t>
            </w:r>
          </w:p>
        </w:tc>
        <w:tc>
          <w:tcPr>
            <w:tcW w:w="879" w:type="dxa"/>
            <w:noWrap/>
          </w:tcPr>
          <w:p w14:paraId="3FB41D0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4 395,0</w:t>
            </w:r>
          </w:p>
        </w:tc>
        <w:tc>
          <w:tcPr>
            <w:tcW w:w="879" w:type="dxa"/>
          </w:tcPr>
          <w:p w14:paraId="7BC96EC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4 502,8</w:t>
            </w:r>
          </w:p>
        </w:tc>
      </w:tr>
      <w:tr w:rsidR="00EB7A3E" w:rsidRPr="00CA2430" w14:paraId="0D157518" w14:textId="77777777" w:rsidTr="00887E8A">
        <w:trPr>
          <w:trHeight w:val="65"/>
          <w:tblHeader/>
          <w:jc w:val="center"/>
        </w:trPr>
        <w:tc>
          <w:tcPr>
            <w:tcW w:w="3167" w:type="dxa"/>
            <w:noWrap/>
            <w:hideMark/>
          </w:tcPr>
          <w:p w14:paraId="2410A760"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Preces un pakalpojumi</w:t>
            </w:r>
          </w:p>
        </w:tc>
        <w:tc>
          <w:tcPr>
            <w:tcW w:w="860" w:type="dxa"/>
            <w:noWrap/>
          </w:tcPr>
          <w:p w14:paraId="2DF1D1F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1 554,6</w:t>
            </w:r>
          </w:p>
        </w:tc>
        <w:tc>
          <w:tcPr>
            <w:tcW w:w="860" w:type="dxa"/>
            <w:noWrap/>
          </w:tcPr>
          <w:p w14:paraId="31118EA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2 309,0</w:t>
            </w:r>
          </w:p>
        </w:tc>
        <w:tc>
          <w:tcPr>
            <w:tcW w:w="860" w:type="dxa"/>
            <w:noWrap/>
          </w:tcPr>
          <w:p w14:paraId="099AA24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2 312,9</w:t>
            </w:r>
          </w:p>
        </w:tc>
        <w:tc>
          <w:tcPr>
            <w:tcW w:w="887" w:type="dxa"/>
            <w:gridSpan w:val="2"/>
            <w:noWrap/>
          </w:tcPr>
          <w:p w14:paraId="0C4FDF6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2 170,9</w:t>
            </w:r>
          </w:p>
        </w:tc>
        <w:tc>
          <w:tcPr>
            <w:tcW w:w="860" w:type="dxa"/>
            <w:noWrap/>
          </w:tcPr>
          <w:p w14:paraId="6F39231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2 184,8</w:t>
            </w:r>
          </w:p>
        </w:tc>
        <w:tc>
          <w:tcPr>
            <w:tcW w:w="860" w:type="dxa"/>
            <w:noWrap/>
          </w:tcPr>
          <w:p w14:paraId="7E04128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2 217,8</w:t>
            </w:r>
          </w:p>
        </w:tc>
        <w:tc>
          <w:tcPr>
            <w:tcW w:w="879" w:type="dxa"/>
            <w:noWrap/>
          </w:tcPr>
          <w:p w14:paraId="7D48AC5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2 297,4</w:t>
            </w:r>
          </w:p>
        </w:tc>
        <w:tc>
          <w:tcPr>
            <w:tcW w:w="879" w:type="dxa"/>
          </w:tcPr>
          <w:p w14:paraId="6807C4C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2 289,5</w:t>
            </w:r>
          </w:p>
        </w:tc>
      </w:tr>
      <w:tr w:rsidR="00EB7A3E" w:rsidRPr="00CA2430" w14:paraId="4D39A700" w14:textId="77777777" w:rsidTr="00887E8A">
        <w:trPr>
          <w:trHeight w:val="65"/>
          <w:tblHeader/>
          <w:jc w:val="center"/>
        </w:trPr>
        <w:tc>
          <w:tcPr>
            <w:tcW w:w="3167" w:type="dxa"/>
            <w:noWrap/>
            <w:hideMark/>
          </w:tcPr>
          <w:p w14:paraId="0B39C8ED"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Procentu izdevumi</w:t>
            </w:r>
          </w:p>
        </w:tc>
        <w:tc>
          <w:tcPr>
            <w:tcW w:w="860" w:type="dxa"/>
            <w:noWrap/>
          </w:tcPr>
          <w:p w14:paraId="42DDF03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256,6</w:t>
            </w:r>
          </w:p>
        </w:tc>
        <w:tc>
          <w:tcPr>
            <w:tcW w:w="860" w:type="dxa"/>
            <w:noWrap/>
          </w:tcPr>
          <w:p w14:paraId="5754FF5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196,5</w:t>
            </w:r>
          </w:p>
        </w:tc>
        <w:tc>
          <w:tcPr>
            <w:tcW w:w="860" w:type="dxa"/>
            <w:noWrap/>
          </w:tcPr>
          <w:p w14:paraId="72D5720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228,9</w:t>
            </w:r>
          </w:p>
        </w:tc>
        <w:tc>
          <w:tcPr>
            <w:tcW w:w="887" w:type="dxa"/>
            <w:gridSpan w:val="2"/>
            <w:noWrap/>
          </w:tcPr>
          <w:p w14:paraId="0183FE7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370,3</w:t>
            </w:r>
          </w:p>
        </w:tc>
        <w:tc>
          <w:tcPr>
            <w:tcW w:w="860" w:type="dxa"/>
            <w:noWrap/>
          </w:tcPr>
          <w:p w14:paraId="3FC6BEC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458,5</w:t>
            </w:r>
          </w:p>
        </w:tc>
        <w:tc>
          <w:tcPr>
            <w:tcW w:w="860" w:type="dxa"/>
            <w:noWrap/>
          </w:tcPr>
          <w:p w14:paraId="4691A91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597,3</w:t>
            </w:r>
          </w:p>
        </w:tc>
        <w:tc>
          <w:tcPr>
            <w:tcW w:w="879" w:type="dxa"/>
            <w:noWrap/>
          </w:tcPr>
          <w:p w14:paraId="5D0FCF2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667,2</w:t>
            </w:r>
          </w:p>
        </w:tc>
        <w:tc>
          <w:tcPr>
            <w:tcW w:w="879" w:type="dxa"/>
          </w:tcPr>
          <w:p w14:paraId="428A430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759,2</w:t>
            </w:r>
          </w:p>
        </w:tc>
      </w:tr>
      <w:tr w:rsidR="00EB7A3E" w:rsidRPr="00CA2430" w14:paraId="7E6BB2B4" w14:textId="77777777" w:rsidTr="00887E8A">
        <w:trPr>
          <w:trHeight w:val="65"/>
          <w:tblHeader/>
          <w:jc w:val="center"/>
        </w:trPr>
        <w:tc>
          <w:tcPr>
            <w:tcW w:w="3167" w:type="dxa"/>
            <w:noWrap/>
            <w:hideMark/>
          </w:tcPr>
          <w:p w14:paraId="37C88DD5"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Subsīdijas un dotācijas</w:t>
            </w:r>
          </w:p>
        </w:tc>
        <w:tc>
          <w:tcPr>
            <w:tcW w:w="860" w:type="dxa"/>
            <w:noWrap/>
          </w:tcPr>
          <w:p w14:paraId="23F5EE4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3 627,6</w:t>
            </w:r>
          </w:p>
        </w:tc>
        <w:tc>
          <w:tcPr>
            <w:tcW w:w="860" w:type="dxa"/>
            <w:noWrap/>
          </w:tcPr>
          <w:p w14:paraId="2CC2379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3 840,8</w:t>
            </w:r>
          </w:p>
        </w:tc>
        <w:tc>
          <w:tcPr>
            <w:tcW w:w="860" w:type="dxa"/>
            <w:noWrap/>
          </w:tcPr>
          <w:p w14:paraId="31DA642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4 036,1</w:t>
            </w:r>
          </w:p>
        </w:tc>
        <w:tc>
          <w:tcPr>
            <w:tcW w:w="887" w:type="dxa"/>
            <w:gridSpan w:val="2"/>
            <w:noWrap/>
          </w:tcPr>
          <w:p w14:paraId="2240378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4 277,5</w:t>
            </w:r>
          </w:p>
        </w:tc>
        <w:tc>
          <w:tcPr>
            <w:tcW w:w="860" w:type="dxa"/>
            <w:noWrap/>
          </w:tcPr>
          <w:p w14:paraId="149E30D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5 032,1</w:t>
            </w:r>
          </w:p>
        </w:tc>
        <w:tc>
          <w:tcPr>
            <w:tcW w:w="860" w:type="dxa"/>
            <w:noWrap/>
          </w:tcPr>
          <w:p w14:paraId="13C3C3C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4 865,7</w:t>
            </w:r>
          </w:p>
        </w:tc>
        <w:tc>
          <w:tcPr>
            <w:tcW w:w="879" w:type="dxa"/>
            <w:noWrap/>
          </w:tcPr>
          <w:p w14:paraId="583A7AD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4 224,5</w:t>
            </w:r>
          </w:p>
        </w:tc>
        <w:tc>
          <w:tcPr>
            <w:tcW w:w="879" w:type="dxa"/>
          </w:tcPr>
          <w:p w14:paraId="56866F6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3 805,8</w:t>
            </w:r>
          </w:p>
        </w:tc>
      </w:tr>
      <w:tr w:rsidR="00EB7A3E" w:rsidRPr="00CA2430" w14:paraId="10DC3590" w14:textId="77777777" w:rsidTr="00887E8A">
        <w:trPr>
          <w:trHeight w:val="65"/>
          <w:tblHeader/>
          <w:jc w:val="center"/>
        </w:trPr>
        <w:tc>
          <w:tcPr>
            <w:tcW w:w="3167" w:type="dxa"/>
            <w:noWrap/>
            <w:hideMark/>
          </w:tcPr>
          <w:p w14:paraId="04B394C3"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Sociālie pabalsti</w:t>
            </w:r>
          </w:p>
        </w:tc>
        <w:tc>
          <w:tcPr>
            <w:tcW w:w="860" w:type="dxa"/>
            <w:noWrap/>
          </w:tcPr>
          <w:p w14:paraId="785EA99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4 291,3</w:t>
            </w:r>
          </w:p>
        </w:tc>
        <w:tc>
          <w:tcPr>
            <w:tcW w:w="860" w:type="dxa"/>
            <w:noWrap/>
          </w:tcPr>
          <w:p w14:paraId="629C30B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4 521,8</w:t>
            </w:r>
          </w:p>
        </w:tc>
        <w:tc>
          <w:tcPr>
            <w:tcW w:w="860" w:type="dxa"/>
            <w:noWrap/>
          </w:tcPr>
          <w:p w14:paraId="1D068F5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4 829,5</w:t>
            </w:r>
          </w:p>
        </w:tc>
        <w:tc>
          <w:tcPr>
            <w:tcW w:w="887" w:type="dxa"/>
            <w:gridSpan w:val="2"/>
            <w:noWrap/>
          </w:tcPr>
          <w:p w14:paraId="1FB4C2E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5 242,5</w:t>
            </w:r>
          </w:p>
        </w:tc>
        <w:tc>
          <w:tcPr>
            <w:tcW w:w="860" w:type="dxa"/>
            <w:noWrap/>
          </w:tcPr>
          <w:p w14:paraId="74A7209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5 625,4</w:t>
            </w:r>
          </w:p>
        </w:tc>
        <w:tc>
          <w:tcPr>
            <w:tcW w:w="860" w:type="dxa"/>
            <w:noWrap/>
          </w:tcPr>
          <w:p w14:paraId="4A9B266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6 058,9</w:t>
            </w:r>
          </w:p>
        </w:tc>
        <w:tc>
          <w:tcPr>
            <w:tcW w:w="879" w:type="dxa"/>
            <w:noWrap/>
          </w:tcPr>
          <w:p w14:paraId="3D1D824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6 423,2</w:t>
            </w:r>
          </w:p>
        </w:tc>
        <w:tc>
          <w:tcPr>
            <w:tcW w:w="879" w:type="dxa"/>
          </w:tcPr>
          <w:p w14:paraId="301AD7F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6 788,7</w:t>
            </w:r>
          </w:p>
        </w:tc>
      </w:tr>
      <w:tr w:rsidR="00EB7A3E" w:rsidRPr="00CA2430" w14:paraId="73EB24AA" w14:textId="77777777" w:rsidTr="00887E8A">
        <w:trPr>
          <w:trHeight w:val="65"/>
          <w:tblHeader/>
          <w:jc w:val="center"/>
        </w:trPr>
        <w:tc>
          <w:tcPr>
            <w:tcW w:w="3167" w:type="dxa"/>
            <w:noWrap/>
            <w:hideMark/>
          </w:tcPr>
          <w:p w14:paraId="6AFFA170"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Iemaksas ES budžetā</w:t>
            </w:r>
          </w:p>
        </w:tc>
        <w:tc>
          <w:tcPr>
            <w:tcW w:w="860" w:type="dxa"/>
            <w:noWrap/>
          </w:tcPr>
          <w:p w14:paraId="6BE1348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398,4</w:t>
            </w:r>
          </w:p>
        </w:tc>
        <w:tc>
          <w:tcPr>
            <w:tcW w:w="860" w:type="dxa"/>
            <w:noWrap/>
          </w:tcPr>
          <w:p w14:paraId="39A82B9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391,9</w:t>
            </w:r>
          </w:p>
        </w:tc>
        <w:tc>
          <w:tcPr>
            <w:tcW w:w="860" w:type="dxa"/>
            <w:noWrap/>
          </w:tcPr>
          <w:p w14:paraId="039CAA3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385,0</w:t>
            </w:r>
          </w:p>
        </w:tc>
        <w:tc>
          <w:tcPr>
            <w:tcW w:w="887" w:type="dxa"/>
            <w:gridSpan w:val="2"/>
            <w:noWrap/>
          </w:tcPr>
          <w:p w14:paraId="2C3A53C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376,0</w:t>
            </w:r>
          </w:p>
        </w:tc>
        <w:tc>
          <w:tcPr>
            <w:tcW w:w="860" w:type="dxa"/>
            <w:noWrap/>
          </w:tcPr>
          <w:p w14:paraId="54ACA65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384,7</w:t>
            </w:r>
          </w:p>
        </w:tc>
        <w:tc>
          <w:tcPr>
            <w:tcW w:w="860" w:type="dxa"/>
            <w:noWrap/>
          </w:tcPr>
          <w:p w14:paraId="7E759E5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461,0</w:t>
            </w:r>
          </w:p>
        </w:tc>
        <w:tc>
          <w:tcPr>
            <w:tcW w:w="879" w:type="dxa"/>
            <w:noWrap/>
          </w:tcPr>
          <w:p w14:paraId="014911F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494,4</w:t>
            </w:r>
          </w:p>
        </w:tc>
        <w:tc>
          <w:tcPr>
            <w:tcW w:w="879" w:type="dxa"/>
          </w:tcPr>
          <w:p w14:paraId="6B42921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500,4</w:t>
            </w:r>
          </w:p>
        </w:tc>
      </w:tr>
      <w:tr w:rsidR="00EB7A3E" w:rsidRPr="00CA2430" w14:paraId="29AC314C" w14:textId="77777777" w:rsidTr="00887E8A">
        <w:trPr>
          <w:trHeight w:val="65"/>
          <w:tblHeader/>
          <w:jc w:val="center"/>
        </w:trPr>
        <w:tc>
          <w:tcPr>
            <w:tcW w:w="3167" w:type="dxa"/>
            <w:noWrap/>
            <w:hideMark/>
          </w:tcPr>
          <w:p w14:paraId="1EEA8EDD"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Kapitālie izdevumi</w:t>
            </w:r>
          </w:p>
        </w:tc>
        <w:tc>
          <w:tcPr>
            <w:tcW w:w="860" w:type="dxa"/>
            <w:noWrap/>
          </w:tcPr>
          <w:p w14:paraId="2777669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1 268,2</w:t>
            </w:r>
          </w:p>
        </w:tc>
        <w:tc>
          <w:tcPr>
            <w:tcW w:w="860" w:type="dxa"/>
            <w:noWrap/>
          </w:tcPr>
          <w:p w14:paraId="2AA6779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1 280,3</w:t>
            </w:r>
          </w:p>
        </w:tc>
        <w:tc>
          <w:tcPr>
            <w:tcW w:w="860" w:type="dxa"/>
            <w:noWrap/>
          </w:tcPr>
          <w:p w14:paraId="4F465DB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1 457,5</w:t>
            </w:r>
          </w:p>
        </w:tc>
        <w:tc>
          <w:tcPr>
            <w:tcW w:w="887" w:type="dxa"/>
            <w:gridSpan w:val="2"/>
            <w:noWrap/>
          </w:tcPr>
          <w:p w14:paraId="5986972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1 798,8</w:t>
            </w:r>
          </w:p>
        </w:tc>
        <w:tc>
          <w:tcPr>
            <w:tcW w:w="860" w:type="dxa"/>
            <w:noWrap/>
          </w:tcPr>
          <w:p w14:paraId="1B6203F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1 512,0</w:t>
            </w:r>
          </w:p>
        </w:tc>
        <w:tc>
          <w:tcPr>
            <w:tcW w:w="860" w:type="dxa"/>
            <w:noWrap/>
          </w:tcPr>
          <w:p w14:paraId="1A400A0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1 380,9</w:t>
            </w:r>
          </w:p>
        </w:tc>
        <w:tc>
          <w:tcPr>
            <w:tcW w:w="879" w:type="dxa"/>
            <w:noWrap/>
          </w:tcPr>
          <w:p w14:paraId="25CD97D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1 282,6</w:t>
            </w:r>
          </w:p>
        </w:tc>
        <w:tc>
          <w:tcPr>
            <w:tcW w:w="879" w:type="dxa"/>
          </w:tcPr>
          <w:p w14:paraId="5B460EA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1 350,0</w:t>
            </w:r>
          </w:p>
        </w:tc>
      </w:tr>
      <w:tr w:rsidR="00EB7A3E" w:rsidRPr="00CA2430" w14:paraId="69492C49" w14:textId="77777777" w:rsidTr="00887E8A">
        <w:trPr>
          <w:trHeight w:val="65"/>
          <w:tblHeader/>
          <w:jc w:val="center"/>
        </w:trPr>
        <w:tc>
          <w:tcPr>
            <w:tcW w:w="3167" w:type="dxa"/>
            <w:noWrap/>
            <w:hideMark/>
          </w:tcPr>
          <w:p w14:paraId="4DEBFF49" w14:textId="77777777" w:rsidR="00EB7A3E" w:rsidRPr="00CA2430" w:rsidRDefault="00EB7A3E" w:rsidP="00887E8A">
            <w:pPr>
              <w:spacing w:before="0" w:after="0"/>
              <w:ind w:firstLineChars="100" w:firstLine="180"/>
              <w:contextualSpacing/>
              <w:jc w:val="left"/>
              <w:rPr>
                <w:rFonts w:eastAsia="Times New Roman"/>
                <w:noProof/>
                <w:sz w:val="18"/>
                <w:szCs w:val="18"/>
              </w:rPr>
            </w:pPr>
            <w:r w:rsidRPr="00CA2430">
              <w:rPr>
                <w:rFonts w:eastAsia="Times New Roman"/>
                <w:noProof/>
                <w:sz w:val="18"/>
                <w:szCs w:val="18"/>
              </w:rPr>
              <w:t>Pārējie izdevumi</w:t>
            </w:r>
          </w:p>
        </w:tc>
        <w:tc>
          <w:tcPr>
            <w:tcW w:w="860" w:type="dxa"/>
            <w:noWrap/>
          </w:tcPr>
          <w:p w14:paraId="71AD62B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57,8</w:t>
            </w:r>
          </w:p>
        </w:tc>
        <w:tc>
          <w:tcPr>
            <w:tcW w:w="860" w:type="dxa"/>
            <w:noWrap/>
          </w:tcPr>
          <w:p w14:paraId="23B1067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57,8</w:t>
            </w:r>
          </w:p>
        </w:tc>
        <w:tc>
          <w:tcPr>
            <w:tcW w:w="860" w:type="dxa"/>
            <w:noWrap/>
          </w:tcPr>
          <w:p w14:paraId="595199A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106,6</w:t>
            </w:r>
          </w:p>
        </w:tc>
        <w:tc>
          <w:tcPr>
            <w:tcW w:w="887" w:type="dxa"/>
            <w:gridSpan w:val="2"/>
            <w:noWrap/>
          </w:tcPr>
          <w:p w14:paraId="2A7FC19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69,7</w:t>
            </w:r>
          </w:p>
        </w:tc>
        <w:tc>
          <w:tcPr>
            <w:tcW w:w="860" w:type="dxa"/>
            <w:noWrap/>
          </w:tcPr>
          <w:p w14:paraId="0233246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65,8</w:t>
            </w:r>
          </w:p>
        </w:tc>
        <w:tc>
          <w:tcPr>
            <w:tcW w:w="860" w:type="dxa"/>
            <w:noWrap/>
          </w:tcPr>
          <w:p w14:paraId="7F08A67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71,3</w:t>
            </w:r>
          </w:p>
        </w:tc>
        <w:tc>
          <w:tcPr>
            <w:tcW w:w="879" w:type="dxa"/>
            <w:noWrap/>
          </w:tcPr>
          <w:p w14:paraId="09E6E04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64,1</w:t>
            </w:r>
          </w:p>
        </w:tc>
        <w:tc>
          <w:tcPr>
            <w:tcW w:w="879" w:type="dxa"/>
          </w:tcPr>
          <w:p w14:paraId="7937B5D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62,9</w:t>
            </w:r>
          </w:p>
        </w:tc>
      </w:tr>
      <w:tr w:rsidR="00EB7A3E" w:rsidRPr="00CA2430" w14:paraId="3979FB68" w14:textId="77777777" w:rsidTr="00887E8A">
        <w:trPr>
          <w:trHeight w:val="321"/>
          <w:tblHeader/>
          <w:jc w:val="center"/>
        </w:trPr>
        <w:tc>
          <w:tcPr>
            <w:tcW w:w="3167" w:type="dxa"/>
            <w:shd w:val="clear" w:color="auto" w:fill="BDD6EE" w:themeFill="accent1" w:themeFillTint="66"/>
            <w:noWrap/>
            <w:hideMark/>
          </w:tcPr>
          <w:p w14:paraId="3734EB86"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VALSTS BUDŽETA BILANCE (ieskaitot atvasinātās publ  pers.)</w:t>
            </w:r>
          </w:p>
        </w:tc>
        <w:tc>
          <w:tcPr>
            <w:tcW w:w="860" w:type="dxa"/>
            <w:shd w:val="clear" w:color="auto" w:fill="BDD6EE" w:themeFill="accent1" w:themeFillTint="66"/>
            <w:noWrap/>
            <w:vAlign w:val="center"/>
          </w:tcPr>
          <w:p w14:paraId="043C48F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-1 753,9</w:t>
            </w:r>
          </w:p>
        </w:tc>
        <w:tc>
          <w:tcPr>
            <w:tcW w:w="860" w:type="dxa"/>
            <w:shd w:val="clear" w:color="auto" w:fill="BDD6EE" w:themeFill="accent1" w:themeFillTint="66"/>
            <w:noWrap/>
            <w:vAlign w:val="center"/>
          </w:tcPr>
          <w:p w14:paraId="17C760E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-1 486,8</w:t>
            </w:r>
          </w:p>
        </w:tc>
        <w:tc>
          <w:tcPr>
            <w:tcW w:w="860" w:type="dxa"/>
            <w:shd w:val="clear" w:color="auto" w:fill="BDD6EE" w:themeFill="accent1" w:themeFillTint="66"/>
            <w:noWrap/>
            <w:vAlign w:val="center"/>
          </w:tcPr>
          <w:p w14:paraId="56DC5FF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-1 174,0</w:t>
            </w:r>
          </w:p>
        </w:tc>
        <w:tc>
          <w:tcPr>
            <w:tcW w:w="887" w:type="dxa"/>
            <w:gridSpan w:val="2"/>
            <w:shd w:val="clear" w:color="auto" w:fill="BDD6EE" w:themeFill="accent1" w:themeFillTint="66"/>
            <w:noWrap/>
            <w:vAlign w:val="center"/>
          </w:tcPr>
          <w:p w14:paraId="5F5A8AD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-1 065,9</w:t>
            </w:r>
          </w:p>
        </w:tc>
        <w:tc>
          <w:tcPr>
            <w:tcW w:w="860" w:type="dxa"/>
            <w:shd w:val="clear" w:color="auto" w:fill="BDD6EE" w:themeFill="accent1" w:themeFillTint="66"/>
            <w:noWrap/>
            <w:vAlign w:val="center"/>
          </w:tcPr>
          <w:p w14:paraId="2F8CC9C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-1 825,8</w:t>
            </w:r>
          </w:p>
        </w:tc>
        <w:tc>
          <w:tcPr>
            <w:tcW w:w="860" w:type="dxa"/>
            <w:shd w:val="clear" w:color="auto" w:fill="BDD6EE" w:themeFill="accent1" w:themeFillTint="66"/>
            <w:noWrap/>
            <w:vAlign w:val="center"/>
          </w:tcPr>
          <w:p w14:paraId="472573D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-1 121,1</w:t>
            </w:r>
          </w:p>
        </w:tc>
        <w:tc>
          <w:tcPr>
            <w:tcW w:w="879" w:type="dxa"/>
            <w:shd w:val="clear" w:color="auto" w:fill="BDD6EE" w:themeFill="accent1" w:themeFillTint="66"/>
            <w:noWrap/>
            <w:vAlign w:val="center"/>
          </w:tcPr>
          <w:p w14:paraId="02D9E0D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-1 178,5</w:t>
            </w:r>
          </w:p>
        </w:tc>
        <w:tc>
          <w:tcPr>
            <w:tcW w:w="879" w:type="dxa"/>
            <w:shd w:val="clear" w:color="auto" w:fill="BDD6EE" w:themeFill="accent1" w:themeFillTint="66"/>
            <w:vAlign w:val="center"/>
          </w:tcPr>
          <w:p w14:paraId="7B92600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-985,9</w:t>
            </w:r>
          </w:p>
        </w:tc>
      </w:tr>
      <w:tr w:rsidR="00EB7A3E" w:rsidRPr="00CA2430" w14:paraId="2B33AB57" w14:textId="77777777" w:rsidTr="00887E8A">
        <w:trPr>
          <w:trHeight w:val="65"/>
          <w:tblHeader/>
          <w:jc w:val="center"/>
        </w:trPr>
        <w:tc>
          <w:tcPr>
            <w:tcW w:w="3167" w:type="dxa"/>
            <w:noWrap/>
            <w:hideMark/>
          </w:tcPr>
          <w:p w14:paraId="17AE84B3"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vAlign w:val="center"/>
          </w:tcPr>
          <w:p w14:paraId="1D25782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10 676,9</w:t>
            </w:r>
          </w:p>
        </w:tc>
        <w:tc>
          <w:tcPr>
            <w:tcW w:w="860" w:type="dxa"/>
            <w:noWrap/>
            <w:vAlign w:val="center"/>
          </w:tcPr>
          <w:p w14:paraId="41805C8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12 134,8</w:t>
            </w:r>
          </w:p>
        </w:tc>
        <w:tc>
          <w:tcPr>
            <w:tcW w:w="860" w:type="dxa"/>
            <w:noWrap/>
            <w:vAlign w:val="center"/>
          </w:tcPr>
          <w:p w14:paraId="746B268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13 306,8</w:t>
            </w:r>
          </w:p>
        </w:tc>
        <w:tc>
          <w:tcPr>
            <w:tcW w:w="887" w:type="dxa"/>
            <w:gridSpan w:val="2"/>
            <w:noWrap/>
            <w:vAlign w:val="center"/>
          </w:tcPr>
          <w:p w14:paraId="4DB2B1D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14 721,5</w:t>
            </w:r>
          </w:p>
        </w:tc>
        <w:tc>
          <w:tcPr>
            <w:tcW w:w="860" w:type="dxa"/>
            <w:noWrap/>
            <w:vAlign w:val="center"/>
          </w:tcPr>
          <w:p w14:paraId="5B5D24A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14 923,8</w:t>
            </w:r>
          </w:p>
        </w:tc>
        <w:tc>
          <w:tcPr>
            <w:tcW w:w="860" w:type="dxa"/>
            <w:noWrap/>
            <w:vAlign w:val="center"/>
          </w:tcPr>
          <w:p w14:paraId="1F53E03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15 989,6</w:t>
            </w:r>
          </w:p>
        </w:tc>
        <w:tc>
          <w:tcPr>
            <w:tcW w:w="879" w:type="dxa"/>
            <w:noWrap/>
            <w:vAlign w:val="center"/>
          </w:tcPr>
          <w:p w14:paraId="6FCCF3F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15 682,5</w:t>
            </w:r>
          </w:p>
        </w:tc>
        <w:tc>
          <w:tcPr>
            <w:tcW w:w="879" w:type="dxa"/>
            <w:vAlign w:val="center"/>
          </w:tcPr>
          <w:p w14:paraId="24B7689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15 941,0</w:t>
            </w:r>
          </w:p>
        </w:tc>
      </w:tr>
      <w:tr w:rsidR="00EB7A3E" w:rsidRPr="00CA2430" w14:paraId="005808BA" w14:textId="77777777" w:rsidTr="00887E8A">
        <w:trPr>
          <w:trHeight w:val="65"/>
          <w:tblHeader/>
          <w:jc w:val="center"/>
        </w:trPr>
        <w:tc>
          <w:tcPr>
            <w:tcW w:w="3167" w:type="dxa"/>
            <w:noWrap/>
            <w:hideMark/>
          </w:tcPr>
          <w:p w14:paraId="7840FD92"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vAlign w:val="center"/>
          </w:tcPr>
          <w:p w14:paraId="704CC97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12 430,8</w:t>
            </w:r>
          </w:p>
        </w:tc>
        <w:tc>
          <w:tcPr>
            <w:tcW w:w="860" w:type="dxa"/>
            <w:noWrap/>
            <w:vAlign w:val="center"/>
          </w:tcPr>
          <w:p w14:paraId="4CDABF9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13 621,5</w:t>
            </w:r>
          </w:p>
        </w:tc>
        <w:tc>
          <w:tcPr>
            <w:tcW w:w="860" w:type="dxa"/>
            <w:noWrap/>
            <w:vAlign w:val="center"/>
          </w:tcPr>
          <w:p w14:paraId="7EF3DA9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14 480,8</w:t>
            </w:r>
          </w:p>
        </w:tc>
        <w:tc>
          <w:tcPr>
            <w:tcW w:w="887" w:type="dxa"/>
            <w:gridSpan w:val="2"/>
            <w:noWrap/>
            <w:vAlign w:val="center"/>
          </w:tcPr>
          <w:p w14:paraId="6C15C68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15 787,4</w:t>
            </w:r>
          </w:p>
        </w:tc>
        <w:tc>
          <w:tcPr>
            <w:tcW w:w="860" w:type="dxa"/>
            <w:noWrap/>
            <w:vAlign w:val="center"/>
          </w:tcPr>
          <w:p w14:paraId="1A6EADB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16 749,6</w:t>
            </w:r>
          </w:p>
        </w:tc>
        <w:tc>
          <w:tcPr>
            <w:tcW w:w="860" w:type="dxa"/>
            <w:noWrap/>
            <w:vAlign w:val="center"/>
          </w:tcPr>
          <w:p w14:paraId="230B42F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17 110,6</w:t>
            </w:r>
          </w:p>
        </w:tc>
        <w:tc>
          <w:tcPr>
            <w:tcW w:w="879" w:type="dxa"/>
            <w:noWrap/>
            <w:vAlign w:val="center"/>
          </w:tcPr>
          <w:p w14:paraId="0215A0E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16 861,0</w:t>
            </w:r>
          </w:p>
        </w:tc>
        <w:tc>
          <w:tcPr>
            <w:tcW w:w="879" w:type="dxa"/>
            <w:vAlign w:val="center"/>
          </w:tcPr>
          <w:p w14:paraId="12CA923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16 926,8</w:t>
            </w:r>
          </w:p>
        </w:tc>
      </w:tr>
      <w:tr w:rsidR="00EB7A3E" w:rsidRPr="00CA2430" w14:paraId="458B5090" w14:textId="77777777" w:rsidTr="00887E8A">
        <w:trPr>
          <w:trHeight w:val="332"/>
          <w:tblHeader/>
          <w:jc w:val="center"/>
        </w:trPr>
        <w:tc>
          <w:tcPr>
            <w:tcW w:w="3167" w:type="dxa"/>
            <w:shd w:val="clear" w:color="auto" w:fill="BDD6EE" w:themeFill="accent1" w:themeFillTint="66"/>
            <w:noWrap/>
            <w:hideMark/>
          </w:tcPr>
          <w:p w14:paraId="4C53694A"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VALSTS BUDŽETA BILANCE (pamatbudžets un speciālais b.)</w:t>
            </w:r>
          </w:p>
        </w:tc>
        <w:tc>
          <w:tcPr>
            <w:tcW w:w="860" w:type="dxa"/>
            <w:shd w:val="clear" w:color="auto" w:fill="BDD6EE" w:themeFill="accent1" w:themeFillTint="66"/>
            <w:noWrap/>
            <w:vAlign w:val="center"/>
          </w:tcPr>
          <w:p w14:paraId="36FB0BA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-1 780,0</w:t>
            </w:r>
          </w:p>
        </w:tc>
        <w:tc>
          <w:tcPr>
            <w:tcW w:w="860" w:type="dxa"/>
            <w:shd w:val="clear" w:color="auto" w:fill="BDD6EE" w:themeFill="accent1" w:themeFillTint="66"/>
            <w:noWrap/>
            <w:vAlign w:val="center"/>
          </w:tcPr>
          <w:p w14:paraId="57FC0B9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-1 518,9</w:t>
            </w:r>
          </w:p>
        </w:tc>
        <w:tc>
          <w:tcPr>
            <w:tcW w:w="860" w:type="dxa"/>
            <w:shd w:val="clear" w:color="auto" w:fill="BDD6EE" w:themeFill="accent1" w:themeFillTint="66"/>
            <w:noWrap/>
            <w:vAlign w:val="center"/>
          </w:tcPr>
          <w:p w14:paraId="7B55A9F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-1 186,7</w:t>
            </w:r>
          </w:p>
        </w:tc>
        <w:tc>
          <w:tcPr>
            <w:tcW w:w="887" w:type="dxa"/>
            <w:gridSpan w:val="2"/>
            <w:shd w:val="clear" w:color="auto" w:fill="BDD6EE" w:themeFill="accent1" w:themeFillTint="66"/>
            <w:noWrap/>
            <w:vAlign w:val="center"/>
          </w:tcPr>
          <w:p w14:paraId="2065A00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-1 103,8</w:t>
            </w:r>
          </w:p>
        </w:tc>
        <w:tc>
          <w:tcPr>
            <w:tcW w:w="860" w:type="dxa"/>
            <w:shd w:val="clear" w:color="auto" w:fill="BDD6EE" w:themeFill="accent1" w:themeFillTint="66"/>
            <w:noWrap/>
            <w:vAlign w:val="center"/>
          </w:tcPr>
          <w:p w14:paraId="75B9E55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-1 844,3</w:t>
            </w:r>
          </w:p>
        </w:tc>
        <w:tc>
          <w:tcPr>
            <w:tcW w:w="860" w:type="dxa"/>
            <w:shd w:val="clear" w:color="auto" w:fill="BDD6EE" w:themeFill="accent1" w:themeFillTint="66"/>
            <w:noWrap/>
            <w:vAlign w:val="center"/>
          </w:tcPr>
          <w:p w14:paraId="77A12E6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-1 136,0</w:t>
            </w:r>
          </w:p>
        </w:tc>
        <w:tc>
          <w:tcPr>
            <w:tcW w:w="879" w:type="dxa"/>
            <w:shd w:val="clear" w:color="auto" w:fill="BDD6EE" w:themeFill="accent1" w:themeFillTint="66"/>
            <w:noWrap/>
            <w:vAlign w:val="center"/>
          </w:tcPr>
          <w:p w14:paraId="7D7DE49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-1 172,6</w:t>
            </w:r>
          </w:p>
        </w:tc>
        <w:tc>
          <w:tcPr>
            <w:tcW w:w="879" w:type="dxa"/>
            <w:shd w:val="clear" w:color="auto" w:fill="BDD6EE" w:themeFill="accent1" w:themeFillTint="66"/>
            <w:vAlign w:val="center"/>
          </w:tcPr>
          <w:p w14:paraId="61B706C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-968,5</w:t>
            </w:r>
          </w:p>
        </w:tc>
      </w:tr>
      <w:tr w:rsidR="00EB7A3E" w:rsidRPr="00CA2430" w14:paraId="50FBB181" w14:textId="77777777" w:rsidTr="00887E8A">
        <w:trPr>
          <w:trHeight w:val="65"/>
          <w:tblHeader/>
          <w:jc w:val="center"/>
        </w:trPr>
        <w:tc>
          <w:tcPr>
            <w:tcW w:w="3167" w:type="dxa"/>
            <w:noWrap/>
            <w:hideMark/>
          </w:tcPr>
          <w:p w14:paraId="0C9E8978"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vAlign w:val="center"/>
          </w:tcPr>
          <w:p w14:paraId="390C7C5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10 511,0</w:t>
            </w:r>
          </w:p>
        </w:tc>
        <w:tc>
          <w:tcPr>
            <w:tcW w:w="860" w:type="dxa"/>
            <w:noWrap/>
            <w:vAlign w:val="center"/>
          </w:tcPr>
          <w:p w14:paraId="2F09D9F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11 953,0</w:t>
            </w:r>
          </w:p>
        </w:tc>
        <w:tc>
          <w:tcPr>
            <w:tcW w:w="860" w:type="dxa"/>
            <w:noWrap/>
            <w:vAlign w:val="center"/>
          </w:tcPr>
          <w:p w14:paraId="27FC78F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13 096,8</w:t>
            </w:r>
          </w:p>
        </w:tc>
        <w:tc>
          <w:tcPr>
            <w:tcW w:w="887" w:type="dxa"/>
            <w:gridSpan w:val="2"/>
            <w:noWrap/>
            <w:vAlign w:val="center"/>
          </w:tcPr>
          <w:p w14:paraId="1BBA064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14 504,9</w:t>
            </w:r>
          </w:p>
        </w:tc>
        <w:tc>
          <w:tcPr>
            <w:tcW w:w="860" w:type="dxa"/>
            <w:noWrap/>
            <w:vAlign w:val="center"/>
          </w:tcPr>
          <w:p w14:paraId="4A8ED9F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14 774,2</w:t>
            </w:r>
          </w:p>
        </w:tc>
        <w:tc>
          <w:tcPr>
            <w:tcW w:w="860" w:type="dxa"/>
            <w:noWrap/>
            <w:vAlign w:val="center"/>
          </w:tcPr>
          <w:p w14:paraId="654D616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15 789,5</w:t>
            </w:r>
          </w:p>
        </w:tc>
        <w:tc>
          <w:tcPr>
            <w:tcW w:w="879" w:type="dxa"/>
            <w:noWrap/>
            <w:vAlign w:val="center"/>
          </w:tcPr>
          <w:p w14:paraId="649D8EF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15 464,3</w:t>
            </w:r>
          </w:p>
        </w:tc>
        <w:tc>
          <w:tcPr>
            <w:tcW w:w="879" w:type="dxa"/>
            <w:vAlign w:val="center"/>
          </w:tcPr>
          <w:p w14:paraId="0B838E6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15 693,5</w:t>
            </w:r>
          </w:p>
        </w:tc>
      </w:tr>
      <w:tr w:rsidR="00EB7A3E" w:rsidRPr="00CA2430" w14:paraId="1F761A25" w14:textId="77777777" w:rsidTr="00887E8A">
        <w:trPr>
          <w:trHeight w:val="65"/>
          <w:tblHeader/>
          <w:jc w:val="center"/>
        </w:trPr>
        <w:tc>
          <w:tcPr>
            <w:tcW w:w="3167" w:type="dxa"/>
            <w:noWrap/>
            <w:hideMark/>
          </w:tcPr>
          <w:p w14:paraId="62D58DC2"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vAlign w:val="center"/>
          </w:tcPr>
          <w:p w14:paraId="35AC3AE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12 291,0</w:t>
            </w:r>
          </w:p>
        </w:tc>
        <w:tc>
          <w:tcPr>
            <w:tcW w:w="860" w:type="dxa"/>
            <w:noWrap/>
            <w:vAlign w:val="center"/>
          </w:tcPr>
          <w:p w14:paraId="2B5C40D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13 471,9</w:t>
            </w:r>
          </w:p>
        </w:tc>
        <w:tc>
          <w:tcPr>
            <w:tcW w:w="860" w:type="dxa"/>
            <w:noWrap/>
            <w:vAlign w:val="center"/>
          </w:tcPr>
          <w:p w14:paraId="0D30C6F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14 283,5</w:t>
            </w:r>
          </w:p>
        </w:tc>
        <w:tc>
          <w:tcPr>
            <w:tcW w:w="887" w:type="dxa"/>
            <w:gridSpan w:val="2"/>
            <w:noWrap/>
            <w:vAlign w:val="center"/>
          </w:tcPr>
          <w:p w14:paraId="234E789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15 608,7</w:t>
            </w:r>
          </w:p>
        </w:tc>
        <w:tc>
          <w:tcPr>
            <w:tcW w:w="860" w:type="dxa"/>
            <w:noWrap/>
            <w:vAlign w:val="center"/>
          </w:tcPr>
          <w:p w14:paraId="1474A71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16 618,5</w:t>
            </w:r>
          </w:p>
        </w:tc>
        <w:tc>
          <w:tcPr>
            <w:tcW w:w="860" w:type="dxa"/>
            <w:noWrap/>
            <w:vAlign w:val="center"/>
          </w:tcPr>
          <w:p w14:paraId="5A3B420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16 925,5</w:t>
            </w:r>
          </w:p>
        </w:tc>
        <w:tc>
          <w:tcPr>
            <w:tcW w:w="879" w:type="dxa"/>
            <w:noWrap/>
            <w:vAlign w:val="center"/>
          </w:tcPr>
          <w:p w14:paraId="2E61A9A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16 636,9</w:t>
            </w:r>
          </w:p>
        </w:tc>
        <w:tc>
          <w:tcPr>
            <w:tcW w:w="879" w:type="dxa"/>
            <w:vAlign w:val="center"/>
          </w:tcPr>
          <w:p w14:paraId="73B5C5E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16 662,0</w:t>
            </w:r>
          </w:p>
        </w:tc>
      </w:tr>
      <w:tr w:rsidR="00EB7A3E" w:rsidRPr="00CA2430" w14:paraId="55063E76" w14:textId="77777777" w:rsidTr="00887E8A">
        <w:trPr>
          <w:trHeight w:val="65"/>
          <w:tblHeader/>
          <w:jc w:val="center"/>
        </w:trPr>
        <w:tc>
          <w:tcPr>
            <w:tcW w:w="3167" w:type="dxa"/>
            <w:noWrap/>
            <w:hideMark/>
          </w:tcPr>
          <w:p w14:paraId="10D5AE39"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VALSTS PAMATBUDŽETA BILANCE</w:t>
            </w:r>
          </w:p>
        </w:tc>
        <w:tc>
          <w:tcPr>
            <w:tcW w:w="860" w:type="dxa"/>
            <w:noWrap/>
            <w:vAlign w:val="center"/>
          </w:tcPr>
          <w:p w14:paraId="70897DB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-1 980,5</w:t>
            </w:r>
          </w:p>
        </w:tc>
        <w:tc>
          <w:tcPr>
            <w:tcW w:w="860" w:type="dxa"/>
            <w:noWrap/>
            <w:vAlign w:val="center"/>
          </w:tcPr>
          <w:p w14:paraId="65A8105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-1 862,5</w:t>
            </w:r>
          </w:p>
        </w:tc>
        <w:tc>
          <w:tcPr>
            <w:tcW w:w="860" w:type="dxa"/>
            <w:noWrap/>
            <w:vAlign w:val="center"/>
          </w:tcPr>
          <w:p w14:paraId="7B8700F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-1 438,1</w:t>
            </w:r>
          </w:p>
        </w:tc>
        <w:tc>
          <w:tcPr>
            <w:tcW w:w="887" w:type="dxa"/>
            <w:gridSpan w:val="2"/>
            <w:noWrap/>
            <w:vAlign w:val="center"/>
          </w:tcPr>
          <w:p w14:paraId="053CE22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-1 466,3</w:t>
            </w:r>
          </w:p>
        </w:tc>
        <w:tc>
          <w:tcPr>
            <w:tcW w:w="860" w:type="dxa"/>
            <w:noWrap/>
            <w:vAlign w:val="center"/>
          </w:tcPr>
          <w:p w14:paraId="0BBC53D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-2 182,6</w:t>
            </w:r>
          </w:p>
        </w:tc>
        <w:tc>
          <w:tcPr>
            <w:tcW w:w="860" w:type="dxa"/>
            <w:noWrap/>
            <w:vAlign w:val="center"/>
          </w:tcPr>
          <w:p w14:paraId="52E889D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-1 383,1</w:t>
            </w:r>
          </w:p>
        </w:tc>
        <w:tc>
          <w:tcPr>
            <w:tcW w:w="879" w:type="dxa"/>
            <w:noWrap/>
            <w:vAlign w:val="center"/>
          </w:tcPr>
          <w:p w14:paraId="3DFCBBD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-1 395,5</w:t>
            </w:r>
          </w:p>
        </w:tc>
        <w:tc>
          <w:tcPr>
            <w:tcW w:w="879" w:type="dxa"/>
            <w:vAlign w:val="center"/>
          </w:tcPr>
          <w:p w14:paraId="23BE426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-1 143,9</w:t>
            </w:r>
          </w:p>
        </w:tc>
      </w:tr>
      <w:tr w:rsidR="00EB7A3E" w:rsidRPr="00CA2430" w14:paraId="500E93D7" w14:textId="77777777" w:rsidTr="00887E8A">
        <w:trPr>
          <w:trHeight w:val="65"/>
          <w:tblHeader/>
          <w:jc w:val="center"/>
        </w:trPr>
        <w:tc>
          <w:tcPr>
            <w:tcW w:w="3167" w:type="dxa"/>
            <w:noWrap/>
            <w:hideMark/>
          </w:tcPr>
          <w:p w14:paraId="6B9714EC"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vAlign w:val="center"/>
          </w:tcPr>
          <w:p w14:paraId="1E0A9CB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7 418,6</w:t>
            </w:r>
          </w:p>
        </w:tc>
        <w:tc>
          <w:tcPr>
            <w:tcW w:w="860" w:type="dxa"/>
            <w:noWrap/>
            <w:vAlign w:val="center"/>
          </w:tcPr>
          <w:p w14:paraId="182A0EF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8 312,5</w:t>
            </w:r>
          </w:p>
        </w:tc>
        <w:tc>
          <w:tcPr>
            <w:tcW w:w="860" w:type="dxa"/>
            <w:noWrap/>
            <w:vAlign w:val="center"/>
          </w:tcPr>
          <w:p w14:paraId="208DCDD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9 129,4</w:t>
            </w:r>
          </w:p>
        </w:tc>
        <w:tc>
          <w:tcPr>
            <w:tcW w:w="887" w:type="dxa"/>
            <w:gridSpan w:val="2"/>
            <w:noWrap/>
            <w:vAlign w:val="center"/>
          </w:tcPr>
          <w:p w14:paraId="7B1E60F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10 081,8</w:t>
            </w:r>
          </w:p>
        </w:tc>
        <w:tc>
          <w:tcPr>
            <w:tcW w:w="860" w:type="dxa"/>
            <w:noWrap/>
            <w:vAlign w:val="center"/>
          </w:tcPr>
          <w:p w14:paraId="577B800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10 012,0</w:t>
            </w:r>
          </w:p>
        </w:tc>
        <w:tc>
          <w:tcPr>
            <w:tcW w:w="860" w:type="dxa"/>
            <w:noWrap/>
            <w:vAlign w:val="center"/>
          </w:tcPr>
          <w:p w14:paraId="37EAAC4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10 769,5</w:t>
            </w:r>
          </w:p>
        </w:tc>
        <w:tc>
          <w:tcPr>
            <w:tcW w:w="879" w:type="dxa"/>
            <w:noWrap/>
            <w:vAlign w:val="center"/>
          </w:tcPr>
          <w:p w14:paraId="40DF508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10 192,1</w:t>
            </w:r>
          </w:p>
        </w:tc>
        <w:tc>
          <w:tcPr>
            <w:tcW w:w="879" w:type="dxa"/>
            <w:vAlign w:val="center"/>
          </w:tcPr>
          <w:p w14:paraId="5220D16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10 186,9</w:t>
            </w:r>
          </w:p>
        </w:tc>
      </w:tr>
      <w:tr w:rsidR="00EB7A3E" w:rsidRPr="00CA2430" w14:paraId="51C232BB" w14:textId="77777777" w:rsidTr="00887E8A">
        <w:trPr>
          <w:trHeight w:val="65"/>
          <w:tblHeader/>
          <w:jc w:val="center"/>
        </w:trPr>
        <w:tc>
          <w:tcPr>
            <w:tcW w:w="3167" w:type="dxa"/>
            <w:noWrap/>
            <w:hideMark/>
          </w:tcPr>
          <w:p w14:paraId="5A4A921E"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vAlign w:val="center"/>
          </w:tcPr>
          <w:p w14:paraId="79D4822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9 399,2</w:t>
            </w:r>
          </w:p>
        </w:tc>
        <w:tc>
          <w:tcPr>
            <w:tcW w:w="860" w:type="dxa"/>
            <w:noWrap/>
            <w:vAlign w:val="center"/>
          </w:tcPr>
          <w:p w14:paraId="6891282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10 175,0</w:t>
            </w:r>
          </w:p>
        </w:tc>
        <w:tc>
          <w:tcPr>
            <w:tcW w:w="860" w:type="dxa"/>
            <w:noWrap/>
            <w:vAlign w:val="center"/>
          </w:tcPr>
          <w:p w14:paraId="23BDEC8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10 567,5</w:t>
            </w:r>
          </w:p>
        </w:tc>
        <w:tc>
          <w:tcPr>
            <w:tcW w:w="887" w:type="dxa"/>
            <w:gridSpan w:val="2"/>
            <w:noWrap/>
            <w:vAlign w:val="center"/>
          </w:tcPr>
          <w:p w14:paraId="4827F61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11 548,1</w:t>
            </w:r>
          </w:p>
        </w:tc>
        <w:tc>
          <w:tcPr>
            <w:tcW w:w="860" w:type="dxa"/>
            <w:noWrap/>
            <w:vAlign w:val="center"/>
          </w:tcPr>
          <w:p w14:paraId="4019DF8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12 194,5</w:t>
            </w:r>
          </w:p>
        </w:tc>
        <w:tc>
          <w:tcPr>
            <w:tcW w:w="860" w:type="dxa"/>
            <w:noWrap/>
            <w:vAlign w:val="center"/>
          </w:tcPr>
          <w:p w14:paraId="3B9FFBF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12 152,5</w:t>
            </w:r>
          </w:p>
        </w:tc>
        <w:tc>
          <w:tcPr>
            <w:tcW w:w="879" w:type="dxa"/>
            <w:noWrap/>
            <w:vAlign w:val="center"/>
          </w:tcPr>
          <w:p w14:paraId="039294C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11 587,6</w:t>
            </w:r>
          </w:p>
        </w:tc>
        <w:tc>
          <w:tcPr>
            <w:tcW w:w="879" w:type="dxa"/>
            <w:vAlign w:val="center"/>
          </w:tcPr>
          <w:p w14:paraId="2962E39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11 330,8</w:t>
            </w:r>
          </w:p>
        </w:tc>
      </w:tr>
      <w:tr w:rsidR="00EB7A3E" w:rsidRPr="00CA2430" w14:paraId="18F7E645" w14:textId="77777777" w:rsidTr="00887E8A">
        <w:trPr>
          <w:trHeight w:val="65"/>
          <w:tblHeader/>
          <w:jc w:val="center"/>
        </w:trPr>
        <w:tc>
          <w:tcPr>
            <w:tcW w:w="3167" w:type="dxa"/>
            <w:noWrap/>
            <w:hideMark/>
          </w:tcPr>
          <w:p w14:paraId="22211B15" w14:textId="77777777" w:rsidR="00EB7A3E" w:rsidRPr="00CA2430" w:rsidRDefault="00EB7A3E" w:rsidP="00887E8A">
            <w:pPr>
              <w:spacing w:before="0" w:after="0"/>
              <w:ind w:firstLineChars="300" w:firstLine="540"/>
              <w:contextualSpacing/>
              <w:jc w:val="left"/>
              <w:rPr>
                <w:rFonts w:eastAsia="Times New Roman"/>
                <w:i/>
                <w:iCs/>
                <w:noProof/>
                <w:sz w:val="18"/>
                <w:szCs w:val="18"/>
              </w:rPr>
            </w:pPr>
            <w:r w:rsidRPr="00CA2430">
              <w:rPr>
                <w:rFonts w:eastAsia="Times New Roman"/>
                <w:i/>
                <w:iCs/>
                <w:noProof/>
                <w:sz w:val="18"/>
                <w:szCs w:val="18"/>
              </w:rPr>
              <w:t>Pamatfunkciju daļa</w:t>
            </w:r>
          </w:p>
        </w:tc>
        <w:tc>
          <w:tcPr>
            <w:tcW w:w="860" w:type="dxa"/>
            <w:noWrap/>
            <w:vAlign w:val="center"/>
          </w:tcPr>
          <w:p w14:paraId="6B18C4B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8 125,9</w:t>
            </w:r>
          </w:p>
        </w:tc>
        <w:tc>
          <w:tcPr>
            <w:tcW w:w="860" w:type="dxa"/>
            <w:noWrap/>
            <w:vAlign w:val="center"/>
          </w:tcPr>
          <w:p w14:paraId="303FF41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8 791,0</w:t>
            </w:r>
          </w:p>
        </w:tc>
        <w:tc>
          <w:tcPr>
            <w:tcW w:w="860" w:type="dxa"/>
            <w:noWrap/>
            <w:vAlign w:val="center"/>
          </w:tcPr>
          <w:p w14:paraId="20837B4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8 624,4</w:t>
            </w:r>
          </w:p>
        </w:tc>
        <w:tc>
          <w:tcPr>
            <w:tcW w:w="887" w:type="dxa"/>
            <w:gridSpan w:val="2"/>
            <w:noWrap/>
            <w:vAlign w:val="center"/>
          </w:tcPr>
          <w:p w14:paraId="6F1E499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9 441,2</w:t>
            </w:r>
          </w:p>
        </w:tc>
        <w:tc>
          <w:tcPr>
            <w:tcW w:w="860" w:type="dxa"/>
            <w:noWrap/>
            <w:vAlign w:val="center"/>
          </w:tcPr>
          <w:p w14:paraId="77F9C8B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9 482,8</w:t>
            </w:r>
          </w:p>
        </w:tc>
        <w:tc>
          <w:tcPr>
            <w:tcW w:w="860" w:type="dxa"/>
            <w:noWrap/>
            <w:vAlign w:val="center"/>
          </w:tcPr>
          <w:p w14:paraId="4495405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9 676,5</w:t>
            </w:r>
          </w:p>
        </w:tc>
        <w:tc>
          <w:tcPr>
            <w:tcW w:w="879" w:type="dxa"/>
            <w:noWrap/>
            <w:vAlign w:val="center"/>
          </w:tcPr>
          <w:p w14:paraId="2CD1FDD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9 843,5</w:t>
            </w:r>
          </w:p>
        </w:tc>
        <w:tc>
          <w:tcPr>
            <w:tcW w:w="879" w:type="dxa"/>
            <w:vAlign w:val="center"/>
          </w:tcPr>
          <w:p w14:paraId="0F039F0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9 926,7</w:t>
            </w:r>
          </w:p>
        </w:tc>
      </w:tr>
      <w:tr w:rsidR="00EB7A3E" w:rsidRPr="00CA2430" w14:paraId="505B1AF6" w14:textId="77777777" w:rsidTr="00887E8A">
        <w:trPr>
          <w:trHeight w:val="65"/>
          <w:tblHeader/>
          <w:jc w:val="center"/>
        </w:trPr>
        <w:tc>
          <w:tcPr>
            <w:tcW w:w="3167" w:type="dxa"/>
            <w:noWrap/>
            <w:hideMark/>
          </w:tcPr>
          <w:p w14:paraId="7949B709" w14:textId="77777777" w:rsidR="00EB7A3E" w:rsidRPr="00CA2430" w:rsidRDefault="00EB7A3E" w:rsidP="00887E8A">
            <w:pPr>
              <w:spacing w:before="0" w:after="0"/>
              <w:ind w:firstLineChars="300" w:firstLine="540"/>
              <w:contextualSpacing/>
              <w:jc w:val="left"/>
              <w:rPr>
                <w:rFonts w:eastAsia="Times New Roman"/>
                <w:i/>
                <w:iCs/>
                <w:noProof/>
                <w:sz w:val="18"/>
                <w:szCs w:val="18"/>
              </w:rPr>
            </w:pPr>
            <w:r w:rsidRPr="00CA2430">
              <w:rPr>
                <w:rFonts w:eastAsia="Times New Roman"/>
                <w:i/>
                <w:iCs/>
                <w:noProof/>
                <w:sz w:val="18"/>
                <w:szCs w:val="18"/>
              </w:rPr>
              <w:t>ĀFP daļa</w:t>
            </w:r>
          </w:p>
        </w:tc>
        <w:tc>
          <w:tcPr>
            <w:tcW w:w="860" w:type="dxa"/>
            <w:noWrap/>
            <w:vAlign w:val="center"/>
          </w:tcPr>
          <w:p w14:paraId="1BFFC98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1 273,3</w:t>
            </w:r>
          </w:p>
        </w:tc>
        <w:tc>
          <w:tcPr>
            <w:tcW w:w="860" w:type="dxa"/>
            <w:noWrap/>
            <w:vAlign w:val="center"/>
          </w:tcPr>
          <w:p w14:paraId="3EE34A9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1 384,0</w:t>
            </w:r>
          </w:p>
        </w:tc>
        <w:tc>
          <w:tcPr>
            <w:tcW w:w="860" w:type="dxa"/>
            <w:noWrap/>
            <w:vAlign w:val="center"/>
          </w:tcPr>
          <w:p w14:paraId="30B130B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1 943,1</w:t>
            </w:r>
          </w:p>
        </w:tc>
        <w:tc>
          <w:tcPr>
            <w:tcW w:w="887" w:type="dxa"/>
            <w:gridSpan w:val="2"/>
            <w:noWrap/>
            <w:vAlign w:val="center"/>
          </w:tcPr>
          <w:p w14:paraId="18A6964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2 107,0</w:t>
            </w:r>
          </w:p>
        </w:tc>
        <w:tc>
          <w:tcPr>
            <w:tcW w:w="860" w:type="dxa"/>
            <w:noWrap/>
            <w:vAlign w:val="center"/>
          </w:tcPr>
          <w:p w14:paraId="49DEF0D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2 711,7</w:t>
            </w:r>
          </w:p>
        </w:tc>
        <w:tc>
          <w:tcPr>
            <w:tcW w:w="860" w:type="dxa"/>
            <w:noWrap/>
            <w:vAlign w:val="center"/>
          </w:tcPr>
          <w:p w14:paraId="08C9340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2 476,1</w:t>
            </w:r>
          </w:p>
        </w:tc>
        <w:tc>
          <w:tcPr>
            <w:tcW w:w="879" w:type="dxa"/>
            <w:noWrap/>
            <w:vAlign w:val="center"/>
          </w:tcPr>
          <w:p w14:paraId="29DEC46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1 744,2</w:t>
            </w:r>
          </w:p>
        </w:tc>
        <w:tc>
          <w:tcPr>
            <w:tcW w:w="879" w:type="dxa"/>
            <w:vAlign w:val="center"/>
          </w:tcPr>
          <w:p w14:paraId="622213B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1 404,1</w:t>
            </w:r>
          </w:p>
        </w:tc>
      </w:tr>
      <w:tr w:rsidR="00EB7A3E" w:rsidRPr="00CA2430" w14:paraId="609988F7" w14:textId="77777777" w:rsidTr="00887E8A">
        <w:trPr>
          <w:trHeight w:val="65"/>
          <w:tblHeader/>
          <w:jc w:val="center"/>
        </w:trPr>
        <w:tc>
          <w:tcPr>
            <w:tcW w:w="3167" w:type="dxa"/>
            <w:noWrap/>
            <w:hideMark/>
          </w:tcPr>
          <w:p w14:paraId="52263425"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VALSTS SPECIĀLĀ BUDŽETA BILANCE</w:t>
            </w:r>
          </w:p>
        </w:tc>
        <w:tc>
          <w:tcPr>
            <w:tcW w:w="860" w:type="dxa"/>
            <w:noWrap/>
            <w:vAlign w:val="center"/>
          </w:tcPr>
          <w:p w14:paraId="1EAB550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200,5</w:t>
            </w:r>
          </w:p>
        </w:tc>
        <w:tc>
          <w:tcPr>
            <w:tcW w:w="860" w:type="dxa"/>
            <w:noWrap/>
            <w:vAlign w:val="center"/>
          </w:tcPr>
          <w:p w14:paraId="2DEA6C8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343,5</w:t>
            </w:r>
          </w:p>
        </w:tc>
        <w:tc>
          <w:tcPr>
            <w:tcW w:w="860" w:type="dxa"/>
            <w:noWrap/>
            <w:vAlign w:val="center"/>
          </w:tcPr>
          <w:p w14:paraId="15522F3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251,4</w:t>
            </w:r>
          </w:p>
        </w:tc>
        <w:tc>
          <w:tcPr>
            <w:tcW w:w="887" w:type="dxa"/>
            <w:gridSpan w:val="2"/>
            <w:noWrap/>
            <w:vAlign w:val="center"/>
          </w:tcPr>
          <w:p w14:paraId="0CEB19D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362,5</w:t>
            </w:r>
          </w:p>
        </w:tc>
        <w:tc>
          <w:tcPr>
            <w:tcW w:w="860" w:type="dxa"/>
            <w:noWrap/>
            <w:vAlign w:val="center"/>
          </w:tcPr>
          <w:p w14:paraId="324B2F6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338,3</w:t>
            </w:r>
          </w:p>
        </w:tc>
        <w:tc>
          <w:tcPr>
            <w:tcW w:w="860" w:type="dxa"/>
            <w:noWrap/>
            <w:vAlign w:val="center"/>
          </w:tcPr>
          <w:p w14:paraId="0966B4F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247,1</w:t>
            </w:r>
          </w:p>
        </w:tc>
        <w:tc>
          <w:tcPr>
            <w:tcW w:w="879" w:type="dxa"/>
            <w:noWrap/>
            <w:vAlign w:val="center"/>
          </w:tcPr>
          <w:p w14:paraId="4439888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222,9</w:t>
            </w:r>
          </w:p>
        </w:tc>
        <w:tc>
          <w:tcPr>
            <w:tcW w:w="879" w:type="dxa"/>
            <w:vAlign w:val="center"/>
          </w:tcPr>
          <w:p w14:paraId="6E37753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175,5</w:t>
            </w:r>
          </w:p>
        </w:tc>
      </w:tr>
      <w:tr w:rsidR="00EB7A3E" w:rsidRPr="00CA2430" w14:paraId="0AF1F981" w14:textId="77777777" w:rsidTr="00887E8A">
        <w:trPr>
          <w:trHeight w:val="65"/>
          <w:tblHeader/>
          <w:jc w:val="center"/>
        </w:trPr>
        <w:tc>
          <w:tcPr>
            <w:tcW w:w="3167" w:type="dxa"/>
            <w:noWrap/>
            <w:hideMark/>
          </w:tcPr>
          <w:p w14:paraId="7D284378"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vAlign w:val="center"/>
          </w:tcPr>
          <w:p w14:paraId="0CB1475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3 410,1</w:t>
            </w:r>
          </w:p>
        </w:tc>
        <w:tc>
          <w:tcPr>
            <w:tcW w:w="860" w:type="dxa"/>
            <w:noWrap/>
            <w:vAlign w:val="center"/>
          </w:tcPr>
          <w:p w14:paraId="080A61B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3 933,2</w:t>
            </w:r>
          </w:p>
        </w:tc>
        <w:tc>
          <w:tcPr>
            <w:tcW w:w="860" w:type="dxa"/>
            <w:noWrap/>
            <w:vAlign w:val="center"/>
          </w:tcPr>
          <w:p w14:paraId="1153A18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4 239,7</w:t>
            </w:r>
          </w:p>
        </w:tc>
        <w:tc>
          <w:tcPr>
            <w:tcW w:w="887" w:type="dxa"/>
            <w:gridSpan w:val="2"/>
            <w:noWrap/>
            <w:vAlign w:val="center"/>
          </w:tcPr>
          <w:p w14:paraId="50681E5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4 713,5</w:t>
            </w:r>
          </w:p>
        </w:tc>
        <w:tc>
          <w:tcPr>
            <w:tcW w:w="860" w:type="dxa"/>
            <w:noWrap/>
            <w:vAlign w:val="center"/>
          </w:tcPr>
          <w:p w14:paraId="4560E43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5 092,2</w:t>
            </w:r>
          </w:p>
        </w:tc>
        <w:tc>
          <w:tcPr>
            <w:tcW w:w="860" w:type="dxa"/>
            <w:noWrap/>
            <w:vAlign w:val="center"/>
          </w:tcPr>
          <w:p w14:paraId="311F1DE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5 405,1</w:t>
            </w:r>
          </w:p>
        </w:tc>
        <w:tc>
          <w:tcPr>
            <w:tcW w:w="879" w:type="dxa"/>
            <w:noWrap/>
            <w:vAlign w:val="center"/>
          </w:tcPr>
          <w:p w14:paraId="11CB8C5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5 714,8</w:t>
            </w:r>
          </w:p>
        </w:tc>
        <w:tc>
          <w:tcPr>
            <w:tcW w:w="879" w:type="dxa"/>
            <w:vAlign w:val="center"/>
          </w:tcPr>
          <w:p w14:paraId="48D4133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6 003,1</w:t>
            </w:r>
          </w:p>
        </w:tc>
      </w:tr>
      <w:tr w:rsidR="00EB7A3E" w:rsidRPr="00CA2430" w14:paraId="1E9E3946" w14:textId="77777777" w:rsidTr="00887E8A">
        <w:trPr>
          <w:trHeight w:val="65"/>
          <w:tblHeader/>
          <w:jc w:val="center"/>
        </w:trPr>
        <w:tc>
          <w:tcPr>
            <w:tcW w:w="3167" w:type="dxa"/>
            <w:noWrap/>
            <w:hideMark/>
          </w:tcPr>
          <w:p w14:paraId="7FFD7924"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vAlign w:val="center"/>
          </w:tcPr>
          <w:p w14:paraId="3A1D4B8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3 209,6</w:t>
            </w:r>
          </w:p>
        </w:tc>
        <w:tc>
          <w:tcPr>
            <w:tcW w:w="860" w:type="dxa"/>
            <w:noWrap/>
            <w:vAlign w:val="center"/>
          </w:tcPr>
          <w:p w14:paraId="10E7077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3 589,6</w:t>
            </w:r>
          </w:p>
        </w:tc>
        <w:tc>
          <w:tcPr>
            <w:tcW w:w="860" w:type="dxa"/>
            <w:noWrap/>
            <w:vAlign w:val="center"/>
          </w:tcPr>
          <w:p w14:paraId="0A15DAB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3 988,3</w:t>
            </w:r>
          </w:p>
        </w:tc>
        <w:tc>
          <w:tcPr>
            <w:tcW w:w="887" w:type="dxa"/>
            <w:gridSpan w:val="2"/>
            <w:noWrap/>
            <w:vAlign w:val="center"/>
          </w:tcPr>
          <w:p w14:paraId="03735AD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4 350,9</w:t>
            </w:r>
          </w:p>
        </w:tc>
        <w:tc>
          <w:tcPr>
            <w:tcW w:w="860" w:type="dxa"/>
            <w:noWrap/>
            <w:vAlign w:val="center"/>
          </w:tcPr>
          <w:p w14:paraId="7B70E03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4 753,8</w:t>
            </w:r>
          </w:p>
        </w:tc>
        <w:tc>
          <w:tcPr>
            <w:tcW w:w="860" w:type="dxa"/>
            <w:noWrap/>
            <w:vAlign w:val="center"/>
          </w:tcPr>
          <w:p w14:paraId="34559BD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5 158,0</w:t>
            </w:r>
          </w:p>
        </w:tc>
        <w:tc>
          <w:tcPr>
            <w:tcW w:w="879" w:type="dxa"/>
            <w:noWrap/>
            <w:vAlign w:val="center"/>
          </w:tcPr>
          <w:p w14:paraId="534800B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5 491,9</w:t>
            </w:r>
          </w:p>
        </w:tc>
        <w:tc>
          <w:tcPr>
            <w:tcW w:w="879" w:type="dxa"/>
            <w:vAlign w:val="center"/>
          </w:tcPr>
          <w:p w14:paraId="0C511BA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5 827,6</w:t>
            </w:r>
          </w:p>
        </w:tc>
      </w:tr>
      <w:tr w:rsidR="00EB7A3E" w:rsidRPr="00CA2430" w14:paraId="0CFF0978" w14:textId="77777777" w:rsidTr="00887E8A">
        <w:trPr>
          <w:trHeight w:val="65"/>
          <w:tblHeader/>
          <w:jc w:val="center"/>
        </w:trPr>
        <w:tc>
          <w:tcPr>
            <w:tcW w:w="3167" w:type="dxa"/>
            <w:hideMark/>
          </w:tcPr>
          <w:p w14:paraId="3707EBFA"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ATVAS. PUBL. PERS. BUDŽETA BILANCE</w:t>
            </w:r>
          </w:p>
        </w:tc>
        <w:tc>
          <w:tcPr>
            <w:tcW w:w="860" w:type="dxa"/>
            <w:noWrap/>
            <w:vAlign w:val="center"/>
          </w:tcPr>
          <w:p w14:paraId="45F49C7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26,1</w:t>
            </w:r>
          </w:p>
        </w:tc>
        <w:tc>
          <w:tcPr>
            <w:tcW w:w="860" w:type="dxa"/>
            <w:noWrap/>
            <w:vAlign w:val="center"/>
          </w:tcPr>
          <w:p w14:paraId="5423D92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32,2</w:t>
            </w:r>
          </w:p>
        </w:tc>
        <w:tc>
          <w:tcPr>
            <w:tcW w:w="860" w:type="dxa"/>
            <w:noWrap/>
            <w:vAlign w:val="center"/>
          </w:tcPr>
          <w:p w14:paraId="7E4F598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12,6</w:t>
            </w:r>
          </w:p>
        </w:tc>
        <w:tc>
          <w:tcPr>
            <w:tcW w:w="887" w:type="dxa"/>
            <w:gridSpan w:val="2"/>
            <w:noWrap/>
            <w:vAlign w:val="center"/>
          </w:tcPr>
          <w:p w14:paraId="452B7DF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37,9</w:t>
            </w:r>
          </w:p>
        </w:tc>
        <w:tc>
          <w:tcPr>
            <w:tcW w:w="860" w:type="dxa"/>
            <w:noWrap/>
            <w:vAlign w:val="center"/>
          </w:tcPr>
          <w:p w14:paraId="308D583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18,5</w:t>
            </w:r>
          </w:p>
        </w:tc>
        <w:tc>
          <w:tcPr>
            <w:tcW w:w="860" w:type="dxa"/>
            <w:noWrap/>
            <w:vAlign w:val="center"/>
          </w:tcPr>
          <w:p w14:paraId="397DC86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14,9</w:t>
            </w:r>
          </w:p>
        </w:tc>
        <w:tc>
          <w:tcPr>
            <w:tcW w:w="879" w:type="dxa"/>
            <w:noWrap/>
            <w:vAlign w:val="center"/>
          </w:tcPr>
          <w:p w14:paraId="297E583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-5,9</w:t>
            </w:r>
          </w:p>
        </w:tc>
        <w:tc>
          <w:tcPr>
            <w:tcW w:w="879" w:type="dxa"/>
            <w:vAlign w:val="center"/>
          </w:tcPr>
          <w:p w14:paraId="6F0AD0F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-17,4</w:t>
            </w:r>
          </w:p>
        </w:tc>
      </w:tr>
      <w:tr w:rsidR="00EB7A3E" w:rsidRPr="00CA2430" w14:paraId="22FC1DFE" w14:textId="77777777" w:rsidTr="00887E8A">
        <w:trPr>
          <w:trHeight w:val="65"/>
          <w:tblHeader/>
          <w:jc w:val="center"/>
        </w:trPr>
        <w:tc>
          <w:tcPr>
            <w:tcW w:w="3167" w:type="dxa"/>
            <w:noWrap/>
            <w:hideMark/>
          </w:tcPr>
          <w:p w14:paraId="2F1AF891"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vAlign w:val="center"/>
          </w:tcPr>
          <w:p w14:paraId="38BEA07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508,0</w:t>
            </w:r>
          </w:p>
        </w:tc>
        <w:tc>
          <w:tcPr>
            <w:tcW w:w="860" w:type="dxa"/>
            <w:noWrap/>
            <w:vAlign w:val="center"/>
          </w:tcPr>
          <w:p w14:paraId="041E4A7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563,8</w:t>
            </w:r>
          </w:p>
        </w:tc>
        <w:tc>
          <w:tcPr>
            <w:tcW w:w="860" w:type="dxa"/>
            <w:noWrap/>
            <w:vAlign w:val="center"/>
          </w:tcPr>
          <w:p w14:paraId="191ADC1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603,6</w:t>
            </w:r>
          </w:p>
        </w:tc>
        <w:tc>
          <w:tcPr>
            <w:tcW w:w="887" w:type="dxa"/>
            <w:gridSpan w:val="2"/>
            <w:noWrap/>
            <w:vAlign w:val="center"/>
          </w:tcPr>
          <w:p w14:paraId="367B498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657,4</w:t>
            </w:r>
          </w:p>
        </w:tc>
        <w:tc>
          <w:tcPr>
            <w:tcW w:w="860" w:type="dxa"/>
            <w:noWrap/>
            <w:vAlign w:val="center"/>
          </w:tcPr>
          <w:p w14:paraId="32C0D00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677,7</w:t>
            </w:r>
          </w:p>
        </w:tc>
        <w:tc>
          <w:tcPr>
            <w:tcW w:w="860" w:type="dxa"/>
            <w:noWrap/>
            <w:vAlign w:val="center"/>
          </w:tcPr>
          <w:p w14:paraId="29FA874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675,6</w:t>
            </w:r>
          </w:p>
        </w:tc>
        <w:tc>
          <w:tcPr>
            <w:tcW w:w="879" w:type="dxa"/>
            <w:noWrap/>
            <w:vAlign w:val="center"/>
          </w:tcPr>
          <w:p w14:paraId="0B24484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666,6</w:t>
            </w:r>
          </w:p>
        </w:tc>
        <w:tc>
          <w:tcPr>
            <w:tcW w:w="879" w:type="dxa"/>
            <w:vAlign w:val="center"/>
          </w:tcPr>
          <w:p w14:paraId="09F54F9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666,5</w:t>
            </w:r>
          </w:p>
        </w:tc>
      </w:tr>
      <w:tr w:rsidR="00EB7A3E" w:rsidRPr="00CA2430" w14:paraId="15F9018B" w14:textId="77777777" w:rsidTr="00887E8A">
        <w:trPr>
          <w:trHeight w:val="65"/>
          <w:tblHeader/>
          <w:jc w:val="center"/>
        </w:trPr>
        <w:tc>
          <w:tcPr>
            <w:tcW w:w="3167" w:type="dxa"/>
            <w:noWrap/>
            <w:hideMark/>
          </w:tcPr>
          <w:p w14:paraId="3D175897" w14:textId="77777777" w:rsidR="00EB7A3E" w:rsidRPr="00CA2430" w:rsidRDefault="00EB7A3E" w:rsidP="00887E8A">
            <w:pPr>
              <w:spacing w:before="0" w:after="0"/>
              <w:ind w:firstLine="0"/>
              <w:contextualSpacing/>
              <w:jc w:val="left"/>
              <w:rPr>
                <w:rFonts w:eastAsia="Times New Roman"/>
                <w:i/>
                <w:iCs/>
                <w:noProof/>
                <w:sz w:val="18"/>
                <w:szCs w:val="18"/>
              </w:rPr>
            </w:pPr>
            <w:r w:rsidRPr="00CA2430">
              <w:rPr>
                <w:rFonts w:eastAsia="Times New Roman"/>
                <w:i/>
                <w:iCs/>
                <w:noProof/>
                <w:sz w:val="18"/>
                <w:szCs w:val="18"/>
              </w:rPr>
              <w:t>Izdevumi</w:t>
            </w:r>
          </w:p>
        </w:tc>
        <w:tc>
          <w:tcPr>
            <w:tcW w:w="860" w:type="dxa"/>
            <w:noWrap/>
            <w:vAlign w:val="center"/>
          </w:tcPr>
          <w:p w14:paraId="43AE5EF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481,9</w:t>
            </w:r>
          </w:p>
        </w:tc>
        <w:tc>
          <w:tcPr>
            <w:tcW w:w="860" w:type="dxa"/>
            <w:noWrap/>
            <w:vAlign w:val="center"/>
          </w:tcPr>
          <w:p w14:paraId="137EEA5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531,7</w:t>
            </w:r>
          </w:p>
        </w:tc>
        <w:tc>
          <w:tcPr>
            <w:tcW w:w="860" w:type="dxa"/>
            <w:noWrap/>
            <w:vAlign w:val="center"/>
          </w:tcPr>
          <w:p w14:paraId="06F13B6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590,9</w:t>
            </w:r>
          </w:p>
        </w:tc>
        <w:tc>
          <w:tcPr>
            <w:tcW w:w="887" w:type="dxa"/>
            <w:gridSpan w:val="2"/>
            <w:noWrap/>
            <w:vAlign w:val="center"/>
          </w:tcPr>
          <w:p w14:paraId="6F8023B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619,5</w:t>
            </w:r>
          </w:p>
        </w:tc>
        <w:tc>
          <w:tcPr>
            <w:tcW w:w="860" w:type="dxa"/>
            <w:noWrap/>
            <w:vAlign w:val="center"/>
          </w:tcPr>
          <w:p w14:paraId="21E84DF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659,2</w:t>
            </w:r>
          </w:p>
        </w:tc>
        <w:tc>
          <w:tcPr>
            <w:tcW w:w="860" w:type="dxa"/>
            <w:noWrap/>
            <w:vAlign w:val="center"/>
          </w:tcPr>
          <w:p w14:paraId="68041F6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660,7</w:t>
            </w:r>
          </w:p>
        </w:tc>
        <w:tc>
          <w:tcPr>
            <w:tcW w:w="879" w:type="dxa"/>
            <w:noWrap/>
            <w:vAlign w:val="center"/>
          </w:tcPr>
          <w:p w14:paraId="0135730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672,5</w:t>
            </w:r>
          </w:p>
        </w:tc>
        <w:tc>
          <w:tcPr>
            <w:tcW w:w="879" w:type="dxa"/>
            <w:vAlign w:val="center"/>
          </w:tcPr>
          <w:p w14:paraId="7A89DD3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683,9</w:t>
            </w:r>
          </w:p>
        </w:tc>
      </w:tr>
      <w:tr w:rsidR="00EB7A3E" w:rsidRPr="00CA2430" w14:paraId="565CA42B" w14:textId="77777777" w:rsidTr="00887E8A">
        <w:trPr>
          <w:trHeight w:val="332"/>
          <w:tblHeader/>
          <w:jc w:val="center"/>
        </w:trPr>
        <w:tc>
          <w:tcPr>
            <w:tcW w:w="3167" w:type="dxa"/>
            <w:shd w:val="clear" w:color="auto" w:fill="BDD6EE" w:themeFill="accent1" w:themeFillTint="66"/>
            <w:noWrap/>
            <w:hideMark/>
          </w:tcPr>
          <w:p w14:paraId="0CBD0019" w14:textId="77777777" w:rsidR="00EB7A3E" w:rsidRPr="00CA2430" w:rsidRDefault="00EB7A3E" w:rsidP="00887E8A">
            <w:pPr>
              <w:spacing w:before="0" w:after="0"/>
              <w:ind w:firstLine="0"/>
              <w:contextualSpacing/>
              <w:jc w:val="left"/>
              <w:rPr>
                <w:rFonts w:eastAsia="Times New Roman"/>
                <w:b/>
                <w:bCs/>
                <w:noProof/>
                <w:sz w:val="18"/>
                <w:szCs w:val="18"/>
              </w:rPr>
            </w:pPr>
            <w:r w:rsidRPr="00CA2430">
              <w:rPr>
                <w:rFonts w:eastAsia="Times New Roman"/>
                <w:b/>
                <w:bCs/>
                <w:noProof/>
                <w:sz w:val="18"/>
                <w:szCs w:val="18"/>
              </w:rPr>
              <w:t>PAŠVALDĪBU BUDŽETA BILANCE</w:t>
            </w:r>
          </w:p>
        </w:tc>
        <w:tc>
          <w:tcPr>
            <w:tcW w:w="860" w:type="dxa"/>
            <w:shd w:val="clear" w:color="auto" w:fill="BDD6EE" w:themeFill="accent1" w:themeFillTint="66"/>
            <w:noWrap/>
            <w:vAlign w:val="center"/>
          </w:tcPr>
          <w:p w14:paraId="49B9875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-90,9</w:t>
            </w:r>
          </w:p>
        </w:tc>
        <w:tc>
          <w:tcPr>
            <w:tcW w:w="860" w:type="dxa"/>
            <w:shd w:val="clear" w:color="auto" w:fill="BDD6EE" w:themeFill="accent1" w:themeFillTint="66"/>
            <w:noWrap/>
            <w:vAlign w:val="center"/>
          </w:tcPr>
          <w:p w14:paraId="6D88E5CC"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62,9</w:t>
            </w:r>
          </w:p>
        </w:tc>
        <w:tc>
          <w:tcPr>
            <w:tcW w:w="860" w:type="dxa"/>
            <w:shd w:val="clear" w:color="auto" w:fill="BDD6EE" w:themeFill="accent1" w:themeFillTint="66"/>
            <w:noWrap/>
            <w:vAlign w:val="center"/>
          </w:tcPr>
          <w:p w14:paraId="37E4A5D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-155,9</w:t>
            </w:r>
          </w:p>
        </w:tc>
        <w:tc>
          <w:tcPr>
            <w:tcW w:w="887" w:type="dxa"/>
            <w:gridSpan w:val="2"/>
            <w:shd w:val="clear" w:color="auto" w:fill="BDD6EE" w:themeFill="accent1" w:themeFillTint="66"/>
            <w:noWrap/>
            <w:vAlign w:val="center"/>
          </w:tcPr>
          <w:p w14:paraId="59BBF8B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-86,3</w:t>
            </w:r>
          </w:p>
        </w:tc>
        <w:tc>
          <w:tcPr>
            <w:tcW w:w="860" w:type="dxa"/>
            <w:shd w:val="clear" w:color="auto" w:fill="BDD6EE" w:themeFill="accent1" w:themeFillTint="66"/>
            <w:noWrap/>
            <w:vAlign w:val="center"/>
          </w:tcPr>
          <w:p w14:paraId="1B41276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-44,4</w:t>
            </w:r>
          </w:p>
        </w:tc>
        <w:tc>
          <w:tcPr>
            <w:tcW w:w="860" w:type="dxa"/>
            <w:shd w:val="clear" w:color="auto" w:fill="BDD6EE" w:themeFill="accent1" w:themeFillTint="66"/>
            <w:noWrap/>
            <w:vAlign w:val="center"/>
          </w:tcPr>
          <w:p w14:paraId="2D91404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-1,4</w:t>
            </w:r>
          </w:p>
        </w:tc>
        <w:tc>
          <w:tcPr>
            <w:tcW w:w="879" w:type="dxa"/>
            <w:shd w:val="clear" w:color="auto" w:fill="BDD6EE" w:themeFill="accent1" w:themeFillTint="66"/>
            <w:noWrap/>
            <w:vAlign w:val="center"/>
          </w:tcPr>
          <w:p w14:paraId="385AF36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2,9</w:t>
            </w:r>
          </w:p>
        </w:tc>
        <w:tc>
          <w:tcPr>
            <w:tcW w:w="879" w:type="dxa"/>
            <w:shd w:val="clear" w:color="auto" w:fill="BDD6EE" w:themeFill="accent1" w:themeFillTint="66"/>
            <w:vAlign w:val="center"/>
          </w:tcPr>
          <w:p w14:paraId="14387E9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1,9</w:t>
            </w:r>
          </w:p>
        </w:tc>
      </w:tr>
      <w:tr w:rsidR="00EB7A3E" w:rsidRPr="00CA2430" w14:paraId="0140E5E9" w14:textId="77777777" w:rsidTr="00887E8A">
        <w:trPr>
          <w:trHeight w:val="65"/>
          <w:tblHeader/>
          <w:jc w:val="center"/>
        </w:trPr>
        <w:tc>
          <w:tcPr>
            <w:tcW w:w="3167" w:type="dxa"/>
            <w:noWrap/>
            <w:hideMark/>
          </w:tcPr>
          <w:p w14:paraId="3B12EC80"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Ieņēmumi</w:t>
            </w:r>
          </w:p>
        </w:tc>
        <w:tc>
          <w:tcPr>
            <w:tcW w:w="860" w:type="dxa"/>
            <w:noWrap/>
          </w:tcPr>
          <w:p w14:paraId="6007AD09"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2 875,7</w:t>
            </w:r>
          </w:p>
        </w:tc>
        <w:tc>
          <w:tcPr>
            <w:tcW w:w="860" w:type="dxa"/>
            <w:noWrap/>
          </w:tcPr>
          <w:p w14:paraId="2186178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3 251,2</w:t>
            </w:r>
          </w:p>
        </w:tc>
        <w:tc>
          <w:tcPr>
            <w:tcW w:w="860" w:type="dxa"/>
            <w:noWrap/>
          </w:tcPr>
          <w:p w14:paraId="30404C3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3 479,1</w:t>
            </w:r>
          </w:p>
        </w:tc>
        <w:tc>
          <w:tcPr>
            <w:tcW w:w="887" w:type="dxa"/>
            <w:gridSpan w:val="2"/>
            <w:noWrap/>
          </w:tcPr>
          <w:p w14:paraId="2DB79A3E"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3 719,5</w:t>
            </w:r>
          </w:p>
        </w:tc>
        <w:tc>
          <w:tcPr>
            <w:tcW w:w="860" w:type="dxa"/>
            <w:noWrap/>
          </w:tcPr>
          <w:p w14:paraId="77A4F6F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3 941,6</w:t>
            </w:r>
          </w:p>
        </w:tc>
        <w:tc>
          <w:tcPr>
            <w:tcW w:w="860" w:type="dxa"/>
            <w:noWrap/>
          </w:tcPr>
          <w:p w14:paraId="0EA355A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4 125,4</w:t>
            </w:r>
          </w:p>
        </w:tc>
        <w:tc>
          <w:tcPr>
            <w:tcW w:w="879" w:type="dxa"/>
            <w:noWrap/>
          </w:tcPr>
          <w:p w14:paraId="2B1974C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4 242,5</w:t>
            </w:r>
          </w:p>
        </w:tc>
        <w:tc>
          <w:tcPr>
            <w:tcW w:w="879" w:type="dxa"/>
          </w:tcPr>
          <w:p w14:paraId="0AA1EE55"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4 358,1</w:t>
            </w:r>
          </w:p>
        </w:tc>
      </w:tr>
      <w:tr w:rsidR="00EB7A3E" w:rsidRPr="00CA2430" w14:paraId="6719E0BE" w14:textId="77777777" w:rsidTr="00887E8A">
        <w:trPr>
          <w:trHeight w:val="65"/>
          <w:tblHeader/>
          <w:jc w:val="center"/>
        </w:trPr>
        <w:tc>
          <w:tcPr>
            <w:tcW w:w="3167" w:type="dxa"/>
            <w:noWrap/>
            <w:hideMark/>
          </w:tcPr>
          <w:p w14:paraId="31C0C382" w14:textId="77777777" w:rsidR="00EB7A3E" w:rsidRPr="00CA2430" w:rsidRDefault="00EB7A3E" w:rsidP="00887E8A">
            <w:pPr>
              <w:spacing w:before="0" w:after="0"/>
              <w:ind w:firstLine="0"/>
              <w:contextualSpacing/>
              <w:jc w:val="left"/>
              <w:rPr>
                <w:rFonts w:eastAsia="Times New Roman"/>
                <w:noProof/>
                <w:sz w:val="18"/>
                <w:szCs w:val="18"/>
              </w:rPr>
            </w:pPr>
            <w:r w:rsidRPr="00CA2430">
              <w:rPr>
                <w:rFonts w:eastAsia="Times New Roman"/>
                <w:noProof/>
                <w:sz w:val="18"/>
                <w:szCs w:val="18"/>
              </w:rPr>
              <w:t>Izdevumi</w:t>
            </w:r>
          </w:p>
        </w:tc>
        <w:tc>
          <w:tcPr>
            <w:tcW w:w="860" w:type="dxa"/>
            <w:noWrap/>
          </w:tcPr>
          <w:p w14:paraId="4B191DF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2 966,6</w:t>
            </w:r>
          </w:p>
        </w:tc>
        <w:tc>
          <w:tcPr>
            <w:tcW w:w="860" w:type="dxa"/>
            <w:noWrap/>
          </w:tcPr>
          <w:p w14:paraId="1D9FFDA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3 188,3</w:t>
            </w:r>
          </w:p>
        </w:tc>
        <w:tc>
          <w:tcPr>
            <w:tcW w:w="860" w:type="dxa"/>
            <w:noWrap/>
          </w:tcPr>
          <w:p w14:paraId="1DD32BE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3 635,0</w:t>
            </w:r>
          </w:p>
        </w:tc>
        <w:tc>
          <w:tcPr>
            <w:tcW w:w="887" w:type="dxa"/>
            <w:gridSpan w:val="2"/>
            <w:noWrap/>
          </w:tcPr>
          <w:p w14:paraId="4947881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3 805,8</w:t>
            </w:r>
          </w:p>
        </w:tc>
        <w:tc>
          <w:tcPr>
            <w:tcW w:w="860" w:type="dxa"/>
            <w:noWrap/>
          </w:tcPr>
          <w:p w14:paraId="583CD86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3 986,1</w:t>
            </w:r>
          </w:p>
        </w:tc>
        <w:tc>
          <w:tcPr>
            <w:tcW w:w="860" w:type="dxa"/>
            <w:noWrap/>
          </w:tcPr>
          <w:p w14:paraId="3146155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4 126,8</w:t>
            </w:r>
          </w:p>
        </w:tc>
        <w:tc>
          <w:tcPr>
            <w:tcW w:w="879" w:type="dxa"/>
            <w:noWrap/>
          </w:tcPr>
          <w:p w14:paraId="68AEBB5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4 239,6</w:t>
            </w:r>
          </w:p>
        </w:tc>
        <w:tc>
          <w:tcPr>
            <w:tcW w:w="879" w:type="dxa"/>
          </w:tcPr>
          <w:p w14:paraId="12552284"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4 356,2</w:t>
            </w:r>
          </w:p>
        </w:tc>
      </w:tr>
      <w:tr w:rsidR="00EB7A3E" w:rsidRPr="00CA2430" w14:paraId="266CBEF5" w14:textId="77777777" w:rsidTr="00887E8A">
        <w:trPr>
          <w:trHeight w:val="65"/>
          <w:tblHeader/>
          <w:jc w:val="center"/>
        </w:trPr>
        <w:tc>
          <w:tcPr>
            <w:tcW w:w="3167" w:type="dxa"/>
            <w:noWrap/>
            <w:hideMark/>
          </w:tcPr>
          <w:p w14:paraId="66CFBB1A" w14:textId="77777777" w:rsidR="00EB7A3E" w:rsidRPr="00CA2430" w:rsidRDefault="00EB7A3E" w:rsidP="00887E8A">
            <w:pPr>
              <w:spacing w:before="0" w:after="0"/>
              <w:ind w:firstLineChars="300" w:firstLine="540"/>
              <w:contextualSpacing/>
              <w:jc w:val="left"/>
              <w:rPr>
                <w:rFonts w:eastAsia="Times New Roman"/>
                <w:i/>
                <w:iCs/>
                <w:noProof/>
                <w:sz w:val="18"/>
                <w:szCs w:val="18"/>
              </w:rPr>
            </w:pPr>
            <w:r w:rsidRPr="00CA2430">
              <w:rPr>
                <w:rFonts w:eastAsia="Times New Roman"/>
                <w:i/>
                <w:iCs/>
                <w:noProof/>
                <w:sz w:val="18"/>
                <w:szCs w:val="18"/>
              </w:rPr>
              <w:t>Pamatfunkciju daļa</w:t>
            </w:r>
          </w:p>
        </w:tc>
        <w:tc>
          <w:tcPr>
            <w:tcW w:w="860" w:type="dxa"/>
            <w:tcBorders>
              <w:bottom w:val="single" w:sz="4" w:space="0" w:color="auto"/>
            </w:tcBorders>
            <w:noWrap/>
          </w:tcPr>
          <w:p w14:paraId="4A49CBB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2 644,5</w:t>
            </w:r>
          </w:p>
        </w:tc>
        <w:tc>
          <w:tcPr>
            <w:tcW w:w="860" w:type="dxa"/>
            <w:tcBorders>
              <w:bottom w:val="single" w:sz="4" w:space="0" w:color="auto"/>
            </w:tcBorders>
            <w:noWrap/>
          </w:tcPr>
          <w:p w14:paraId="0C19A55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2 937,3</w:t>
            </w:r>
          </w:p>
        </w:tc>
        <w:tc>
          <w:tcPr>
            <w:tcW w:w="860" w:type="dxa"/>
            <w:noWrap/>
          </w:tcPr>
          <w:p w14:paraId="4EE9D838"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3 329,7</w:t>
            </w:r>
          </w:p>
        </w:tc>
        <w:tc>
          <w:tcPr>
            <w:tcW w:w="887" w:type="dxa"/>
            <w:gridSpan w:val="2"/>
            <w:noWrap/>
          </w:tcPr>
          <w:p w14:paraId="7C18CAB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3 630,5</w:t>
            </w:r>
          </w:p>
        </w:tc>
        <w:tc>
          <w:tcPr>
            <w:tcW w:w="860" w:type="dxa"/>
            <w:noWrap/>
          </w:tcPr>
          <w:p w14:paraId="5E25974F"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3 750,6</w:t>
            </w:r>
          </w:p>
        </w:tc>
        <w:tc>
          <w:tcPr>
            <w:tcW w:w="860" w:type="dxa"/>
            <w:noWrap/>
          </w:tcPr>
          <w:p w14:paraId="632AA0D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3 870,9</w:t>
            </w:r>
          </w:p>
        </w:tc>
        <w:tc>
          <w:tcPr>
            <w:tcW w:w="879" w:type="dxa"/>
            <w:noWrap/>
          </w:tcPr>
          <w:p w14:paraId="75685A13"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3 984,7</w:t>
            </w:r>
          </w:p>
        </w:tc>
        <w:tc>
          <w:tcPr>
            <w:tcW w:w="879" w:type="dxa"/>
          </w:tcPr>
          <w:p w14:paraId="3F54772D"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4 083,9</w:t>
            </w:r>
          </w:p>
        </w:tc>
      </w:tr>
      <w:tr w:rsidR="00EB7A3E" w:rsidRPr="00CA2430" w14:paraId="12A2C405" w14:textId="77777777" w:rsidTr="00887E8A">
        <w:trPr>
          <w:trHeight w:val="65"/>
          <w:tblHeader/>
          <w:jc w:val="center"/>
        </w:trPr>
        <w:tc>
          <w:tcPr>
            <w:tcW w:w="3167" w:type="dxa"/>
            <w:noWrap/>
            <w:hideMark/>
          </w:tcPr>
          <w:p w14:paraId="34E68D07" w14:textId="77777777" w:rsidR="00EB7A3E" w:rsidRPr="00CA2430" w:rsidRDefault="00EB7A3E" w:rsidP="00887E8A">
            <w:pPr>
              <w:spacing w:before="0" w:after="0"/>
              <w:ind w:firstLineChars="300" w:firstLine="540"/>
              <w:contextualSpacing/>
              <w:jc w:val="left"/>
              <w:rPr>
                <w:rFonts w:eastAsia="Times New Roman"/>
                <w:i/>
                <w:iCs/>
                <w:noProof/>
                <w:sz w:val="18"/>
                <w:szCs w:val="18"/>
              </w:rPr>
            </w:pPr>
            <w:r w:rsidRPr="00CA2430">
              <w:rPr>
                <w:rFonts w:eastAsia="Times New Roman"/>
                <w:i/>
                <w:iCs/>
                <w:noProof/>
                <w:sz w:val="18"/>
                <w:szCs w:val="18"/>
              </w:rPr>
              <w:t>ĀFP daļa</w:t>
            </w:r>
          </w:p>
        </w:tc>
        <w:tc>
          <w:tcPr>
            <w:tcW w:w="860" w:type="dxa"/>
            <w:tcBorders>
              <w:bottom w:val="single" w:sz="4" w:space="0" w:color="auto"/>
            </w:tcBorders>
            <w:noWrap/>
          </w:tcPr>
          <w:p w14:paraId="0BBD1F1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322,1</w:t>
            </w:r>
          </w:p>
        </w:tc>
        <w:tc>
          <w:tcPr>
            <w:tcW w:w="860" w:type="dxa"/>
            <w:tcBorders>
              <w:bottom w:val="single" w:sz="4" w:space="0" w:color="auto"/>
            </w:tcBorders>
            <w:noWrap/>
          </w:tcPr>
          <w:p w14:paraId="715E44CA"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251,0</w:t>
            </w:r>
          </w:p>
        </w:tc>
        <w:tc>
          <w:tcPr>
            <w:tcW w:w="860" w:type="dxa"/>
            <w:noWrap/>
          </w:tcPr>
          <w:p w14:paraId="4881E342"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305,3</w:t>
            </w:r>
          </w:p>
        </w:tc>
        <w:tc>
          <w:tcPr>
            <w:tcW w:w="887" w:type="dxa"/>
            <w:gridSpan w:val="2"/>
            <w:noWrap/>
          </w:tcPr>
          <w:p w14:paraId="39F827C7"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175,4</w:t>
            </w:r>
          </w:p>
        </w:tc>
        <w:tc>
          <w:tcPr>
            <w:tcW w:w="860" w:type="dxa"/>
            <w:noWrap/>
          </w:tcPr>
          <w:p w14:paraId="001ADE1B"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235,4</w:t>
            </w:r>
          </w:p>
        </w:tc>
        <w:tc>
          <w:tcPr>
            <w:tcW w:w="860" w:type="dxa"/>
            <w:noWrap/>
          </w:tcPr>
          <w:p w14:paraId="21C75900"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255,9</w:t>
            </w:r>
          </w:p>
        </w:tc>
        <w:tc>
          <w:tcPr>
            <w:tcW w:w="879" w:type="dxa"/>
            <w:noWrap/>
          </w:tcPr>
          <w:p w14:paraId="77AE0866"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254,9</w:t>
            </w:r>
          </w:p>
        </w:tc>
        <w:tc>
          <w:tcPr>
            <w:tcW w:w="879" w:type="dxa"/>
          </w:tcPr>
          <w:p w14:paraId="6A853081" w14:textId="77777777" w:rsidR="00EB7A3E" w:rsidRPr="00CA2430" w:rsidRDefault="00EB7A3E" w:rsidP="00887E8A">
            <w:pPr>
              <w:spacing w:before="0" w:after="0"/>
              <w:ind w:firstLine="0"/>
              <w:contextualSpacing/>
              <w:jc w:val="center"/>
              <w:rPr>
                <w:noProof/>
                <w:sz w:val="18"/>
                <w:szCs w:val="18"/>
              </w:rPr>
            </w:pPr>
            <w:r w:rsidRPr="00CA2430">
              <w:rPr>
                <w:noProof/>
                <w:sz w:val="18"/>
                <w:szCs w:val="18"/>
              </w:rPr>
              <w:t>272,3</w:t>
            </w:r>
          </w:p>
        </w:tc>
      </w:tr>
    </w:tbl>
    <w:bookmarkEnd w:id="8"/>
    <w:p w14:paraId="0946B0A9" w14:textId="77777777" w:rsidR="00EB7A3E" w:rsidRPr="00CA2430" w:rsidRDefault="00EB7A3E" w:rsidP="00EB7A3E">
      <w:pPr>
        <w:spacing w:before="0"/>
        <w:ind w:firstLine="0"/>
        <w:rPr>
          <w:noProof/>
          <w:color w:val="000000" w:themeColor="text1"/>
          <w:sz w:val="16"/>
          <w:szCs w:val="16"/>
          <w:highlight w:val="yellow"/>
        </w:rPr>
      </w:pPr>
      <w:r w:rsidRPr="00CA2430">
        <w:rPr>
          <w:noProof/>
          <w:color w:val="000000" w:themeColor="text1"/>
          <w:sz w:val="16"/>
          <w:szCs w:val="16"/>
        </w:rPr>
        <w:t>*2023.gada kopbudžeta dati atbilstoši Valsts kases neauditētam gada pārskatam</w:t>
      </w:r>
    </w:p>
    <w:p w14:paraId="216F7DA9" w14:textId="0444B92D" w:rsidR="00493E27" w:rsidRPr="00CA2430" w:rsidRDefault="00B724CB" w:rsidP="00CC4153">
      <w:pPr>
        <w:rPr>
          <w:noProof/>
          <w:color w:val="000000" w:themeColor="text1"/>
        </w:rPr>
      </w:pPr>
      <w:r w:rsidRPr="00CA2430">
        <w:rPr>
          <w:noProof/>
          <w:color w:val="000000" w:themeColor="text1"/>
        </w:rPr>
        <w:t>V</w:t>
      </w:r>
      <w:r w:rsidR="00385B86" w:rsidRPr="00CA2430">
        <w:rPr>
          <w:noProof/>
          <w:color w:val="000000" w:themeColor="text1"/>
        </w:rPr>
        <w:t>ājā ekonomikas izaugsme Latvijā un arī Eiropā ietekmē zemākus kā budžetā plānots nodokļu ieņēmumus š</w:t>
      </w:r>
      <w:r w:rsidR="00CC4153" w:rsidRPr="00CA2430">
        <w:rPr>
          <w:noProof/>
          <w:color w:val="000000" w:themeColor="text1"/>
        </w:rPr>
        <w:t xml:space="preserve">ā gada </w:t>
      </w:r>
      <w:r w:rsidR="005F4CA2" w:rsidRPr="00CA2430">
        <w:rPr>
          <w:noProof/>
          <w:color w:val="000000" w:themeColor="text1"/>
        </w:rPr>
        <w:t>pirmajā pusē</w:t>
      </w:r>
      <w:r w:rsidR="00313290" w:rsidRPr="00CA2430">
        <w:rPr>
          <w:noProof/>
          <w:color w:val="000000" w:themeColor="text1"/>
        </w:rPr>
        <w:t xml:space="preserve">. </w:t>
      </w:r>
      <w:r w:rsidR="00385B86" w:rsidRPr="00CA2430">
        <w:rPr>
          <w:noProof/>
          <w:color w:val="000000" w:themeColor="text1"/>
        </w:rPr>
        <w:t>Lai gan inflācijas līmenis ir būtiski mazinājies, joprojām Eiropas Centrālās bankas noteiktās procentu likmes ir saglabājušās augstā līmenī, turpinot bremzēt ekonomisko aktivitāti.</w:t>
      </w:r>
      <w:r w:rsidR="00CC4153" w:rsidRPr="00CA2430">
        <w:rPr>
          <w:noProof/>
          <w:color w:val="000000" w:themeColor="text1"/>
        </w:rPr>
        <w:t xml:space="preserve"> Darba tirgū </w:t>
      </w:r>
      <w:r w:rsidR="00385B86" w:rsidRPr="00CA2430">
        <w:rPr>
          <w:noProof/>
          <w:color w:val="000000" w:themeColor="text1"/>
        </w:rPr>
        <w:t xml:space="preserve">gada sākumā bija vēl </w:t>
      </w:r>
      <w:r w:rsidR="00CC4153" w:rsidRPr="00CA2430">
        <w:rPr>
          <w:noProof/>
          <w:color w:val="000000" w:themeColor="text1"/>
        </w:rPr>
        <w:t xml:space="preserve">vērojams nozīmīgs vidējās darba samaksas pieaugums, </w:t>
      </w:r>
      <w:r w:rsidR="00385B86" w:rsidRPr="00CA2430">
        <w:rPr>
          <w:noProof/>
          <w:color w:val="000000" w:themeColor="text1"/>
        </w:rPr>
        <w:t xml:space="preserve">tomēr pēdējos mēnešos pieauguma temps rūk un </w:t>
      </w:r>
      <w:r w:rsidR="00385B86" w:rsidRPr="00C7792D">
        <w:rPr>
          <w:noProof/>
          <w:color w:val="000000" w:themeColor="text1"/>
        </w:rPr>
        <w:t xml:space="preserve">arī </w:t>
      </w:r>
      <w:r w:rsidR="005F4CA2" w:rsidRPr="00C7792D">
        <w:rPr>
          <w:noProof/>
          <w:color w:val="000000" w:themeColor="text1"/>
        </w:rPr>
        <w:t xml:space="preserve">Valsts ieņēmumu dienesta </w:t>
      </w:r>
      <w:r w:rsidR="00C7792D" w:rsidRPr="00C7792D">
        <w:rPr>
          <w:noProof/>
          <w:color w:val="000000" w:themeColor="text1"/>
        </w:rPr>
        <w:t xml:space="preserve">deklarāciju </w:t>
      </w:r>
      <w:r w:rsidR="005F4CA2" w:rsidRPr="00C7792D">
        <w:rPr>
          <w:noProof/>
          <w:color w:val="000000" w:themeColor="text1"/>
        </w:rPr>
        <w:t>dati par nodarbināt</w:t>
      </w:r>
      <w:r w:rsidR="00FC6C3B">
        <w:rPr>
          <w:noProof/>
          <w:color w:val="000000" w:themeColor="text1"/>
        </w:rPr>
        <w:t>o skaitu</w:t>
      </w:r>
      <w:r w:rsidR="005F4CA2" w:rsidRPr="00CA2430">
        <w:rPr>
          <w:noProof/>
          <w:color w:val="000000" w:themeColor="text1"/>
        </w:rPr>
        <w:t xml:space="preserve"> </w:t>
      </w:r>
      <w:r w:rsidR="00385B86" w:rsidRPr="00CA2430">
        <w:rPr>
          <w:noProof/>
          <w:color w:val="000000" w:themeColor="text1"/>
        </w:rPr>
        <w:t>uzrāda</w:t>
      </w:r>
      <w:r w:rsidR="002B4B3C" w:rsidRPr="00CA2430">
        <w:rPr>
          <w:noProof/>
          <w:color w:val="000000" w:themeColor="text1"/>
        </w:rPr>
        <w:t xml:space="preserve"> nedaudz zemāku līmeni kā pērn</w:t>
      </w:r>
      <w:r w:rsidR="00CC4153" w:rsidRPr="00CA2430">
        <w:rPr>
          <w:noProof/>
          <w:color w:val="000000" w:themeColor="text1"/>
        </w:rPr>
        <w:t xml:space="preserve">. </w:t>
      </w:r>
    </w:p>
    <w:p w14:paraId="12CE9BD2" w14:textId="1033DBBE" w:rsidR="00493E27" w:rsidRPr="00CA2430" w:rsidRDefault="00493E27" w:rsidP="00CC4153">
      <w:pPr>
        <w:rPr>
          <w:noProof/>
          <w:color w:val="000000" w:themeColor="text1"/>
        </w:rPr>
      </w:pPr>
      <w:r w:rsidRPr="00CA2430">
        <w:rPr>
          <w:noProof/>
          <w:color w:val="000000" w:themeColor="text1"/>
        </w:rPr>
        <w:lastRenderedPageBreak/>
        <w:t>Aktualizētajās vispārējās valdības budžeta bilancēs salīdzinājumā ar Stabilitātes programmu</w:t>
      </w:r>
      <w:r w:rsidR="006723E4">
        <w:rPr>
          <w:noProof/>
          <w:color w:val="000000" w:themeColor="text1"/>
        </w:rPr>
        <w:t xml:space="preserve"> 2024.-2028. gadam</w:t>
      </w:r>
      <w:r w:rsidRPr="00CA2430">
        <w:rPr>
          <w:noProof/>
          <w:color w:val="000000" w:themeColor="text1"/>
        </w:rPr>
        <w:t xml:space="preserve">, </w:t>
      </w:r>
      <w:r w:rsidR="00F82B56" w:rsidRPr="00CA2430">
        <w:rPr>
          <w:noProof/>
          <w:color w:val="000000" w:themeColor="text1"/>
        </w:rPr>
        <w:t xml:space="preserve">galvenokārt </w:t>
      </w:r>
      <w:r w:rsidRPr="00CA2430">
        <w:rPr>
          <w:noProof/>
          <w:color w:val="000000" w:themeColor="text1"/>
        </w:rPr>
        <w:t>tik</w:t>
      </w:r>
      <w:r w:rsidR="00CE1087" w:rsidRPr="00CA2430">
        <w:rPr>
          <w:noProof/>
          <w:color w:val="000000" w:themeColor="text1"/>
        </w:rPr>
        <w:t>a</w:t>
      </w:r>
      <w:r w:rsidRPr="00CA2430">
        <w:rPr>
          <w:noProof/>
          <w:color w:val="000000" w:themeColor="text1"/>
        </w:rPr>
        <w:t xml:space="preserve"> koriģētas šādas pozīcijas (skat. 3. attēlu):</w:t>
      </w:r>
    </w:p>
    <w:p w14:paraId="439115F6" w14:textId="7CFEA44F" w:rsidR="00CC4153" w:rsidRDefault="005C302F" w:rsidP="00493E27">
      <w:pPr>
        <w:pStyle w:val="ListParagraph"/>
        <w:numPr>
          <w:ilvl w:val="0"/>
          <w:numId w:val="38"/>
        </w:numPr>
        <w:rPr>
          <w:noProof/>
          <w:color w:val="000000" w:themeColor="text1"/>
        </w:rPr>
      </w:pPr>
      <w:r w:rsidRPr="005C302F">
        <w:drawing>
          <wp:anchor distT="0" distB="0" distL="114300" distR="114300" simplePos="0" relativeHeight="251665408" behindDoc="0" locked="0" layoutInCell="1" allowOverlap="1" wp14:anchorId="5D3DFE9B" wp14:editId="787CF94A">
            <wp:simplePos x="0" y="0"/>
            <wp:positionH relativeFrom="margin">
              <wp:posOffset>356235</wp:posOffset>
            </wp:positionH>
            <wp:positionV relativeFrom="page">
              <wp:posOffset>2616200</wp:posOffset>
            </wp:positionV>
            <wp:extent cx="5137785" cy="3599815"/>
            <wp:effectExtent l="0" t="0" r="5715" b="635"/>
            <wp:wrapSquare wrapText="bothSides"/>
            <wp:docPr id="1318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512" r="5744" b="5764"/>
                    <a:stretch/>
                  </pic:blipFill>
                  <pic:spPr bwMode="auto">
                    <a:xfrm>
                      <a:off x="0" y="0"/>
                      <a:ext cx="5137785" cy="3599815"/>
                    </a:xfrm>
                    <a:prstGeom prst="rect">
                      <a:avLst/>
                    </a:prstGeom>
                    <a:noFill/>
                    <a:ln>
                      <a:noFill/>
                    </a:ln>
                    <a:extLst>
                      <a:ext uri="{53640926-AAD7-44D8-BBD7-CCE9431645EC}">
                        <a14:shadowObscured xmlns:a14="http://schemas.microsoft.com/office/drawing/2010/main"/>
                      </a:ext>
                    </a:extLst>
                  </pic:spPr>
                </pic:pic>
              </a:graphicData>
            </a:graphic>
          </wp:anchor>
        </w:drawing>
      </w:r>
      <w:r w:rsidR="002B4B3C" w:rsidRPr="00CA2430">
        <w:rPr>
          <w:noProof/>
          <w:color w:val="000000" w:themeColor="text1"/>
        </w:rPr>
        <w:t>2024.</w:t>
      </w:r>
      <w:r w:rsidR="001D48B7" w:rsidRPr="00CA2430">
        <w:rPr>
          <w:noProof/>
          <w:color w:val="000000" w:themeColor="text1"/>
        </w:rPr>
        <w:t> </w:t>
      </w:r>
      <w:r w:rsidR="002B4B3C" w:rsidRPr="00CA2430">
        <w:rPr>
          <w:noProof/>
          <w:color w:val="000000" w:themeColor="text1"/>
        </w:rPr>
        <w:t>gada nodokļu ieņēmumus</w:t>
      </w:r>
      <w:r w:rsidR="00CC4153" w:rsidRPr="00CA2430">
        <w:rPr>
          <w:noProof/>
          <w:color w:val="000000" w:themeColor="text1"/>
        </w:rPr>
        <w:t>, s</w:t>
      </w:r>
      <w:r w:rsidR="00313290" w:rsidRPr="00CA2430">
        <w:rPr>
          <w:noProof/>
          <w:color w:val="000000" w:themeColor="text1"/>
        </w:rPr>
        <w:t xml:space="preserve">alīdzinot ar </w:t>
      </w:r>
      <w:r w:rsidR="00AB127D" w:rsidRPr="00CA2430">
        <w:rPr>
          <w:noProof/>
          <w:color w:val="000000" w:themeColor="text1"/>
        </w:rPr>
        <w:t>pavasar</w:t>
      </w:r>
      <w:r w:rsidR="001D48B7" w:rsidRPr="00CA2430">
        <w:rPr>
          <w:noProof/>
          <w:color w:val="000000" w:themeColor="text1"/>
        </w:rPr>
        <w:t>a</w:t>
      </w:r>
      <w:r w:rsidR="00313290" w:rsidRPr="00CA2430">
        <w:rPr>
          <w:noProof/>
          <w:color w:val="000000" w:themeColor="text1"/>
        </w:rPr>
        <w:t xml:space="preserve"> prognozēm</w:t>
      </w:r>
      <w:r w:rsidR="001A6678" w:rsidRPr="00CA2430">
        <w:rPr>
          <w:noProof/>
          <w:color w:val="000000" w:themeColor="text1"/>
        </w:rPr>
        <w:t>,</w:t>
      </w:r>
      <w:r w:rsidR="00313290" w:rsidRPr="00CA2430">
        <w:rPr>
          <w:noProof/>
          <w:color w:val="000000" w:themeColor="text1"/>
        </w:rPr>
        <w:t xml:space="preserve"> </w:t>
      </w:r>
      <w:r w:rsidR="002B4B3C" w:rsidRPr="00CA2430">
        <w:rPr>
          <w:noProof/>
          <w:color w:val="000000" w:themeColor="text1"/>
        </w:rPr>
        <w:t xml:space="preserve">Finanšu ministrija </w:t>
      </w:r>
      <w:r w:rsidR="001D48B7" w:rsidRPr="00CA2430">
        <w:rPr>
          <w:noProof/>
          <w:color w:val="000000" w:themeColor="text1"/>
        </w:rPr>
        <w:t xml:space="preserve">sagaida </w:t>
      </w:r>
      <w:r w:rsidR="002B4B3C" w:rsidRPr="00CA2430">
        <w:rPr>
          <w:noProof/>
          <w:color w:val="000000" w:themeColor="text1"/>
        </w:rPr>
        <w:t>augstākā līmenī,</w:t>
      </w:r>
      <w:r w:rsidR="001D48B7" w:rsidRPr="00CA2430">
        <w:rPr>
          <w:noProof/>
          <w:color w:val="000000" w:themeColor="text1"/>
        </w:rPr>
        <w:t xml:space="preserve"> ņemot vērā straujāku pieaugumu atsevišķos mēnešos, </w:t>
      </w:r>
      <w:r w:rsidR="002B4B3C" w:rsidRPr="00CA2430">
        <w:rPr>
          <w:noProof/>
          <w:color w:val="000000" w:themeColor="text1"/>
        </w:rPr>
        <w:t>tomēr kopumā vidējā termiņā ir samazināts</w:t>
      </w:r>
      <w:r w:rsidR="00313290" w:rsidRPr="00CA2430">
        <w:rPr>
          <w:noProof/>
          <w:color w:val="000000" w:themeColor="text1"/>
        </w:rPr>
        <w:t xml:space="preserve"> novērtējums par sagaidāmo nodokļu ieņēmumu apmēru, kas </w:t>
      </w:r>
      <w:r w:rsidR="004550BC" w:rsidRPr="00CA2430">
        <w:rPr>
          <w:noProof/>
          <w:color w:val="000000" w:themeColor="text1"/>
        </w:rPr>
        <w:t xml:space="preserve">attiecīgi </w:t>
      </w:r>
      <w:r w:rsidR="002B4B3C" w:rsidRPr="00CA2430">
        <w:rPr>
          <w:noProof/>
          <w:color w:val="000000" w:themeColor="text1"/>
        </w:rPr>
        <w:t>pasliktina</w:t>
      </w:r>
      <w:r w:rsidR="00313290" w:rsidRPr="00CA2430">
        <w:rPr>
          <w:noProof/>
          <w:color w:val="000000" w:themeColor="text1"/>
        </w:rPr>
        <w:t xml:space="preserve"> </w:t>
      </w:r>
      <w:r w:rsidR="004550BC" w:rsidRPr="00CA2430">
        <w:rPr>
          <w:noProof/>
          <w:color w:val="000000" w:themeColor="text1"/>
        </w:rPr>
        <w:t xml:space="preserve">vispārējās valdības budžeta </w:t>
      </w:r>
      <w:r w:rsidR="00313290" w:rsidRPr="00CA2430">
        <w:rPr>
          <w:noProof/>
          <w:color w:val="000000" w:themeColor="text1"/>
        </w:rPr>
        <w:t>bilanc</w:t>
      </w:r>
      <w:r w:rsidR="004550BC" w:rsidRPr="00CA2430">
        <w:rPr>
          <w:noProof/>
          <w:color w:val="000000" w:themeColor="text1"/>
        </w:rPr>
        <w:t>i salīdzinājumā ar Stabilitātes programmu.</w:t>
      </w:r>
      <w:r w:rsidR="002B4B3C" w:rsidRPr="00CA2430">
        <w:rPr>
          <w:noProof/>
          <w:color w:val="000000" w:themeColor="text1"/>
        </w:rPr>
        <w:t xml:space="preserve"> Pozitīvs efekts </w:t>
      </w:r>
      <w:r w:rsidR="00CE1087" w:rsidRPr="00CA2430">
        <w:rPr>
          <w:noProof/>
          <w:color w:val="000000" w:themeColor="text1"/>
        </w:rPr>
        <w:t xml:space="preserve">uz budžeta bilanci </w:t>
      </w:r>
      <w:r w:rsidR="002B4B3C" w:rsidRPr="00CA2430">
        <w:rPr>
          <w:noProof/>
          <w:color w:val="000000" w:themeColor="text1"/>
        </w:rPr>
        <w:t>ieņēmumu pusē sagaidāms no augstākiem nenodokļu ieņēmumiem, galvenokārt, procentu ieņēmumu veidā, tāpat arī palielinoties prognozētajiem ieņēmumiem no maksas pakalpojumiem un citiem pašu ieņēmumiem valsts pamatbudžetā</w:t>
      </w:r>
      <w:r w:rsidR="00F82B56" w:rsidRPr="00CA2430">
        <w:rPr>
          <w:noProof/>
          <w:color w:val="000000" w:themeColor="text1"/>
        </w:rPr>
        <w:t>.</w:t>
      </w:r>
    </w:p>
    <w:p w14:paraId="2F89912D" w14:textId="761596A6" w:rsidR="00F82B56" w:rsidRPr="00CA2430" w:rsidRDefault="004550BC" w:rsidP="00F82B56">
      <w:pPr>
        <w:spacing w:before="0"/>
        <w:ind w:firstLine="0"/>
        <w:jc w:val="center"/>
        <w:rPr>
          <w:rFonts w:eastAsia="Calibri"/>
          <w:b/>
          <w:i/>
          <w:noProof/>
        </w:rPr>
      </w:pPr>
      <w:r w:rsidRPr="00CA2430">
        <w:rPr>
          <w:rFonts w:eastAsia="Calibri"/>
          <w:b/>
          <w:iCs/>
          <w:noProof/>
        </w:rPr>
        <w:t>3. attēls. Vispārējās valdības budžeta bilances (pie nemainīgas politikas)</w:t>
      </w:r>
      <w:r w:rsidR="00F82B56" w:rsidRPr="00CA2430">
        <w:rPr>
          <w:rFonts w:eastAsia="Calibri"/>
          <w:b/>
          <w:iCs/>
          <w:noProof/>
        </w:rPr>
        <w:br/>
      </w:r>
      <w:r w:rsidRPr="00CA2430">
        <w:rPr>
          <w:rFonts w:eastAsia="Calibri"/>
          <w:b/>
          <w:iCs/>
          <w:noProof/>
        </w:rPr>
        <w:t xml:space="preserve">izmaiņas  salīdzinājumā ar Stabilitātes programmu 2024.-2028.gadam, milj. </w:t>
      </w:r>
      <w:r w:rsidRPr="00CA2430">
        <w:rPr>
          <w:rFonts w:eastAsia="Calibri"/>
          <w:b/>
          <w:i/>
          <w:noProof/>
        </w:rPr>
        <w:t>euro</w:t>
      </w:r>
    </w:p>
    <w:p w14:paraId="326C62E8" w14:textId="21545654" w:rsidR="006723E4" w:rsidRDefault="002055FD" w:rsidP="002055FD">
      <w:pPr>
        <w:pStyle w:val="ListParagraph"/>
        <w:numPr>
          <w:ilvl w:val="0"/>
          <w:numId w:val="38"/>
        </w:numPr>
        <w:ind w:left="1077" w:hanging="357"/>
        <w:contextualSpacing w:val="0"/>
        <w:rPr>
          <w:noProof/>
          <w:color w:val="000000" w:themeColor="text1"/>
        </w:rPr>
      </w:pPr>
      <w:r w:rsidRPr="002055FD">
        <w:rPr>
          <w:noProof/>
          <w:color w:val="000000" w:themeColor="text1"/>
        </w:rPr>
        <w:t>Salīdzinot ar Stabilitātes programmas prognozēm,</w:t>
      </w:r>
      <w:r w:rsidR="007D681B">
        <w:rPr>
          <w:noProof/>
          <w:color w:val="000000" w:themeColor="text1"/>
        </w:rPr>
        <w:t xml:space="preserve"> </w:t>
      </w:r>
      <w:r w:rsidRPr="002055FD">
        <w:rPr>
          <w:noProof/>
          <w:color w:val="000000" w:themeColor="text1"/>
        </w:rPr>
        <w:t xml:space="preserve">ir </w:t>
      </w:r>
      <w:r w:rsidR="00C90586">
        <w:rPr>
          <w:noProof/>
          <w:color w:val="000000" w:themeColor="text1"/>
        </w:rPr>
        <w:t xml:space="preserve">palielinātas </w:t>
      </w:r>
      <w:r w:rsidRPr="002055FD">
        <w:rPr>
          <w:noProof/>
          <w:color w:val="000000" w:themeColor="text1"/>
        </w:rPr>
        <w:t>valsts speciālā budžeta izdevum</w:t>
      </w:r>
      <w:r w:rsidR="00C90586">
        <w:rPr>
          <w:noProof/>
          <w:color w:val="000000" w:themeColor="text1"/>
        </w:rPr>
        <w:t>u prognozes</w:t>
      </w:r>
      <w:r w:rsidRPr="002055FD">
        <w:rPr>
          <w:noProof/>
          <w:color w:val="000000" w:themeColor="text1"/>
        </w:rPr>
        <w:t xml:space="preserve"> vidējā termiņā gan vecuma pensijām, gan slimības un bezdarbnieka pabalstiem, kas attiecīgi pasliktina vispārējās valdības budžeta bilanci.</w:t>
      </w:r>
    </w:p>
    <w:p w14:paraId="28CCEA34" w14:textId="2D25F67D" w:rsidR="006723E4" w:rsidRDefault="002055FD" w:rsidP="006723E4">
      <w:pPr>
        <w:pStyle w:val="ListParagraph"/>
        <w:ind w:left="1077" w:firstLine="0"/>
        <w:contextualSpacing w:val="0"/>
        <w:rPr>
          <w:noProof/>
          <w:color w:val="000000" w:themeColor="text1"/>
        </w:rPr>
      </w:pPr>
      <w:r w:rsidRPr="006723E4">
        <w:rPr>
          <w:noProof/>
          <w:color w:val="000000" w:themeColor="text1"/>
        </w:rPr>
        <w:t>Atbilstoši Labklājības ministrijas prognozēm, kam pamatā ir šā gada sešu mēnešu faktiskā izpilde, vecuma pensiju saņēmēju skaits vidēji mēnesī 2024.</w:t>
      </w:r>
      <w:r w:rsidR="00C90586" w:rsidRPr="006723E4">
        <w:rPr>
          <w:noProof/>
          <w:color w:val="000000" w:themeColor="text1"/>
        </w:rPr>
        <w:t> </w:t>
      </w:r>
      <w:r w:rsidRPr="006723E4">
        <w:rPr>
          <w:noProof/>
          <w:color w:val="000000" w:themeColor="text1"/>
        </w:rPr>
        <w:t>gadā tika palielināts par 1,2 tūkst</w:t>
      </w:r>
      <w:r w:rsidR="006B167C" w:rsidRPr="006723E4">
        <w:rPr>
          <w:noProof/>
          <w:color w:val="000000" w:themeColor="text1"/>
        </w:rPr>
        <w:t>.</w:t>
      </w:r>
      <w:r w:rsidRPr="006723E4">
        <w:rPr>
          <w:noProof/>
          <w:color w:val="000000" w:themeColor="text1"/>
        </w:rPr>
        <w:t>, 2025.</w:t>
      </w:r>
      <w:r w:rsidR="00C90586" w:rsidRPr="006723E4">
        <w:rPr>
          <w:noProof/>
          <w:color w:val="000000" w:themeColor="text1"/>
        </w:rPr>
        <w:t> </w:t>
      </w:r>
      <w:r w:rsidRPr="006723E4">
        <w:rPr>
          <w:noProof/>
          <w:color w:val="000000" w:themeColor="text1"/>
        </w:rPr>
        <w:t>gadā par 2,7</w:t>
      </w:r>
      <w:r w:rsidR="00C90586" w:rsidRPr="006723E4">
        <w:rPr>
          <w:noProof/>
          <w:color w:val="000000" w:themeColor="text1"/>
        </w:rPr>
        <w:t> </w:t>
      </w:r>
      <w:r w:rsidRPr="006723E4">
        <w:rPr>
          <w:noProof/>
          <w:color w:val="000000" w:themeColor="text1"/>
        </w:rPr>
        <w:t>t</w:t>
      </w:r>
      <w:r w:rsidR="006B167C" w:rsidRPr="006723E4">
        <w:rPr>
          <w:noProof/>
          <w:color w:val="000000" w:themeColor="text1"/>
        </w:rPr>
        <w:t>ūkst.</w:t>
      </w:r>
      <w:r w:rsidRPr="006723E4">
        <w:rPr>
          <w:noProof/>
          <w:color w:val="000000" w:themeColor="text1"/>
        </w:rPr>
        <w:t>, 2026.</w:t>
      </w:r>
      <w:r w:rsidR="00C90586" w:rsidRPr="006723E4">
        <w:rPr>
          <w:noProof/>
          <w:color w:val="000000" w:themeColor="text1"/>
        </w:rPr>
        <w:t> </w:t>
      </w:r>
      <w:r w:rsidRPr="006723E4">
        <w:rPr>
          <w:noProof/>
          <w:color w:val="000000" w:themeColor="text1"/>
        </w:rPr>
        <w:t>gadā par 3,8</w:t>
      </w:r>
      <w:r w:rsidR="00C90586" w:rsidRPr="006723E4">
        <w:rPr>
          <w:noProof/>
          <w:color w:val="000000" w:themeColor="text1"/>
        </w:rPr>
        <w:t> t</w:t>
      </w:r>
      <w:r w:rsidR="006B167C" w:rsidRPr="006723E4">
        <w:rPr>
          <w:noProof/>
          <w:color w:val="000000" w:themeColor="text1"/>
        </w:rPr>
        <w:t>ūkst.</w:t>
      </w:r>
      <w:r w:rsidRPr="006723E4">
        <w:rPr>
          <w:noProof/>
          <w:color w:val="000000" w:themeColor="text1"/>
        </w:rPr>
        <w:t>, 2027.</w:t>
      </w:r>
      <w:r w:rsidR="00C90586" w:rsidRPr="006723E4">
        <w:rPr>
          <w:noProof/>
          <w:color w:val="000000" w:themeColor="text1"/>
        </w:rPr>
        <w:t> </w:t>
      </w:r>
      <w:r w:rsidRPr="006723E4">
        <w:rPr>
          <w:noProof/>
          <w:color w:val="000000" w:themeColor="text1"/>
        </w:rPr>
        <w:t>gadā par 3,9</w:t>
      </w:r>
      <w:r w:rsidR="00C90586" w:rsidRPr="006723E4">
        <w:rPr>
          <w:noProof/>
          <w:color w:val="000000" w:themeColor="text1"/>
        </w:rPr>
        <w:t> </w:t>
      </w:r>
      <w:r w:rsidRPr="006723E4">
        <w:rPr>
          <w:noProof/>
          <w:color w:val="000000" w:themeColor="text1"/>
        </w:rPr>
        <w:t>t</w:t>
      </w:r>
      <w:r w:rsidR="006B167C" w:rsidRPr="006723E4">
        <w:rPr>
          <w:noProof/>
          <w:color w:val="000000" w:themeColor="text1"/>
        </w:rPr>
        <w:t>ūkst</w:t>
      </w:r>
      <w:r w:rsidR="00C90586" w:rsidRPr="006723E4">
        <w:rPr>
          <w:noProof/>
          <w:color w:val="000000" w:themeColor="text1"/>
        </w:rPr>
        <w:t>.</w:t>
      </w:r>
      <w:r w:rsidRPr="006723E4">
        <w:rPr>
          <w:noProof/>
          <w:color w:val="000000" w:themeColor="text1"/>
        </w:rPr>
        <w:t xml:space="preserve"> un 2028.</w:t>
      </w:r>
      <w:r w:rsidR="00C90586" w:rsidRPr="006723E4">
        <w:rPr>
          <w:noProof/>
          <w:color w:val="000000" w:themeColor="text1"/>
        </w:rPr>
        <w:t> </w:t>
      </w:r>
      <w:r w:rsidRPr="006723E4">
        <w:rPr>
          <w:noProof/>
          <w:color w:val="000000" w:themeColor="text1"/>
        </w:rPr>
        <w:t>gadā par 3,5</w:t>
      </w:r>
      <w:r w:rsidR="00C90586" w:rsidRPr="006723E4">
        <w:rPr>
          <w:noProof/>
          <w:color w:val="000000" w:themeColor="text1"/>
        </w:rPr>
        <w:t> t</w:t>
      </w:r>
      <w:r w:rsidR="006B167C" w:rsidRPr="006723E4">
        <w:rPr>
          <w:noProof/>
          <w:color w:val="000000" w:themeColor="text1"/>
        </w:rPr>
        <w:t>ūkst</w:t>
      </w:r>
      <w:r w:rsidR="00C90586" w:rsidRPr="006723E4">
        <w:rPr>
          <w:noProof/>
          <w:color w:val="000000" w:themeColor="text1"/>
        </w:rPr>
        <w:t xml:space="preserve">. </w:t>
      </w:r>
      <w:r w:rsidRPr="006723E4">
        <w:rPr>
          <w:noProof/>
          <w:color w:val="000000" w:themeColor="text1"/>
        </w:rPr>
        <w:t xml:space="preserve">personu. </w:t>
      </w:r>
      <w:r w:rsidR="00C90586" w:rsidRPr="006723E4">
        <w:rPr>
          <w:noProof/>
          <w:color w:val="000000" w:themeColor="text1"/>
        </w:rPr>
        <w:t>Kopumā v</w:t>
      </w:r>
      <w:r w:rsidRPr="006723E4">
        <w:rPr>
          <w:noProof/>
          <w:color w:val="000000" w:themeColor="text1"/>
        </w:rPr>
        <w:t>ecuma pensiju saņēmēju skaits</w:t>
      </w:r>
      <w:r w:rsidR="00C90586" w:rsidRPr="006723E4">
        <w:rPr>
          <w:noProof/>
          <w:color w:val="000000" w:themeColor="text1"/>
        </w:rPr>
        <w:t xml:space="preserve"> līdz pensionēšanās vecuma reformas beigām 2025. gadā samazinās</w:t>
      </w:r>
      <w:r w:rsidR="006B167C" w:rsidRPr="006723E4">
        <w:rPr>
          <w:noProof/>
          <w:color w:val="000000" w:themeColor="text1"/>
        </w:rPr>
        <w:t xml:space="preserve"> līdz 425,4 tūkst. personu</w:t>
      </w:r>
      <w:r w:rsidR="00C90586" w:rsidRPr="006723E4">
        <w:rPr>
          <w:noProof/>
          <w:color w:val="000000" w:themeColor="text1"/>
        </w:rPr>
        <w:t>, taču</w:t>
      </w:r>
      <w:r w:rsidRPr="006723E4">
        <w:rPr>
          <w:noProof/>
          <w:color w:val="000000" w:themeColor="text1"/>
        </w:rPr>
        <w:t xml:space="preserve"> </w:t>
      </w:r>
      <w:r w:rsidR="00C90586" w:rsidRPr="006723E4">
        <w:rPr>
          <w:noProof/>
          <w:color w:val="000000" w:themeColor="text1"/>
        </w:rPr>
        <w:t xml:space="preserve">jau </w:t>
      </w:r>
      <w:r w:rsidR="007D681B" w:rsidRPr="006723E4">
        <w:rPr>
          <w:noProof/>
          <w:color w:val="000000" w:themeColor="text1"/>
        </w:rPr>
        <w:t xml:space="preserve">no </w:t>
      </w:r>
      <w:r w:rsidRPr="006723E4">
        <w:rPr>
          <w:noProof/>
          <w:color w:val="000000" w:themeColor="text1"/>
        </w:rPr>
        <w:t>2026.</w:t>
      </w:r>
      <w:r w:rsidR="00C90586" w:rsidRPr="006723E4">
        <w:rPr>
          <w:noProof/>
          <w:color w:val="000000" w:themeColor="text1"/>
        </w:rPr>
        <w:t> </w:t>
      </w:r>
      <w:r w:rsidRPr="006723E4">
        <w:rPr>
          <w:noProof/>
          <w:color w:val="000000" w:themeColor="text1"/>
        </w:rPr>
        <w:t>gad</w:t>
      </w:r>
      <w:r w:rsidR="007D681B" w:rsidRPr="006723E4">
        <w:rPr>
          <w:noProof/>
          <w:color w:val="000000" w:themeColor="text1"/>
        </w:rPr>
        <w:t>a</w:t>
      </w:r>
      <w:r w:rsidRPr="006723E4">
        <w:rPr>
          <w:noProof/>
          <w:color w:val="000000" w:themeColor="text1"/>
        </w:rPr>
        <w:t xml:space="preserve"> </w:t>
      </w:r>
      <w:r w:rsidR="00C90586" w:rsidRPr="006723E4">
        <w:rPr>
          <w:noProof/>
          <w:color w:val="000000" w:themeColor="text1"/>
        </w:rPr>
        <w:t xml:space="preserve">atbilstoši </w:t>
      </w:r>
      <w:r w:rsidR="00C90586" w:rsidRPr="006723E4">
        <w:rPr>
          <w:i/>
          <w:iCs/>
          <w:noProof/>
          <w:color w:val="000000" w:themeColor="text1"/>
        </w:rPr>
        <w:t xml:space="preserve">Eurostat </w:t>
      </w:r>
      <w:r w:rsidR="00C90586" w:rsidRPr="006723E4">
        <w:rPr>
          <w:noProof/>
          <w:color w:val="000000" w:themeColor="text1"/>
        </w:rPr>
        <w:t xml:space="preserve">prognozēm par 65+ iedzīvotāju skaita pieaugumu arī </w:t>
      </w:r>
      <w:r w:rsidR="007D681B" w:rsidRPr="006723E4">
        <w:rPr>
          <w:noProof/>
          <w:color w:val="000000" w:themeColor="text1"/>
        </w:rPr>
        <w:t xml:space="preserve">vecuma </w:t>
      </w:r>
      <w:r w:rsidR="00C90586" w:rsidRPr="006723E4">
        <w:rPr>
          <w:noProof/>
          <w:color w:val="000000" w:themeColor="text1"/>
        </w:rPr>
        <w:t>pensiju saņēmēju skaits</w:t>
      </w:r>
      <w:r w:rsidR="007D681B" w:rsidRPr="006723E4">
        <w:rPr>
          <w:noProof/>
          <w:color w:val="000000" w:themeColor="text1"/>
        </w:rPr>
        <w:t xml:space="preserve"> palielināsies līdz sasniedz 432,9 tūkst. 2028. gadā. </w:t>
      </w:r>
    </w:p>
    <w:p w14:paraId="087D3EE3" w14:textId="77777777" w:rsidR="006723E4" w:rsidRDefault="00BD5C20" w:rsidP="006723E4">
      <w:pPr>
        <w:pStyle w:val="ListParagraph"/>
        <w:ind w:left="1077" w:firstLine="0"/>
        <w:contextualSpacing w:val="0"/>
        <w:rPr>
          <w:noProof/>
          <w:color w:val="000000" w:themeColor="text1"/>
        </w:rPr>
      </w:pPr>
      <w:r w:rsidRPr="006723E4">
        <w:rPr>
          <w:noProof/>
          <w:color w:val="000000" w:themeColor="text1"/>
        </w:rPr>
        <w:t>Slimības pabalstu saņēmēju skaits vidēji mēnesī 2024. gadā ti</w:t>
      </w:r>
      <w:r w:rsidR="006B167C" w:rsidRPr="006723E4">
        <w:rPr>
          <w:noProof/>
          <w:color w:val="000000" w:themeColor="text1"/>
        </w:rPr>
        <w:t>ek</w:t>
      </w:r>
      <w:r w:rsidRPr="006723E4">
        <w:rPr>
          <w:noProof/>
          <w:color w:val="000000" w:themeColor="text1"/>
        </w:rPr>
        <w:t xml:space="preserve"> prognozēts par 0,8</w:t>
      </w:r>
      <w:r w:rsidR="007D681B" w:rsidRPr="006723E4">
        <w:rPr>
          <w:noProof/>
          <w:color w:val="000000" w:themeColor="text1"/>
        </w:rPr>
        <w:t> </w:t>
      </w:r>
      <w:r w:rsidRPr="006723E4">
        <w:rPr>
          <w:noProof/>
          <w:color w:val="000000" w:themeColor="text1"/>
        </w:rPr>
        <w:t>t</w:t>
      </w:r>
      <w:r w:rsidR="006B167C" w:rsidRPr="006723E4">
        <w:rPr>
          <w:noProof/>
          <w:color w:val="000000" w:themeColor="text1"/>
        </w:rPr>
        <w:t>ūkst.</w:t>
      </w:r>
      <w:r w:rsidRPr="006723E4">
        <w:rPr>
          <w:noProof/>
          <w:color w:val="000000" w:themeColor="text1"/>
        </w:rPr>
        <w:t xml:space="preserve"> vairāk</w:t>
      </w:r>
      <w:r w:rsidR="00C90586" w:rsidRPr="006723E4">
        <w:rPr>
          <w:noProof/>
          <w:color w:val="000000" w:themeColor="text1"/>
        </w:rPr>
        <w:t>, 2025. gadā par 1,4 t</w:t>
      </w:r>
      <w:r w:rsidR="006B167C" w:rsidRPr="006723E4">
        <w:rPr>
          <w:noProof/>
          <w:color w:val="000000" w:themeColor="text1"/>
        </w:rPr>
        <w:t xml:space="preserve">ūkst. </w:t>
      </w:r>
      <w:r w:rsidR="00C90586" w:rsidRPr="006723E4">
        <w:rPr>
          <w:noProof/>
          <w:color w:val="000000" w:themeColor="text1"/>
        </w:rPr>
        <w:t xml:space="preserve">vairāk un </w:t>
      </w:r>
      <w:r w:rsidR="006B167C" w:rsidRPr="006723E4">
        <w:rPr>
          <w:noProof/>
          <w:color w:val="000000" w:themeColor="text1"/>
        </w:rPr>
        <w:t xml:space="preserve">tiek </w:t>
      </w:r>
      <w:r w:rsidR="00C90586" w:rsidRPr="006723E4">
        <w:rPr>
          <w:noProof/>
          <w:color w:val="000000" w:themeColor="text1"/>
        </w:rPr>
        <w:t>paaugstināts arī turpmākajos gados</w:t>
      </w:r>
      <w:r w:rsidRPr="006723E4">
        <w:rPr>
          <w:noProof/>
          <w:color w:val="000000" w:themeColor="text1"/>
        </w:rPr>
        <w:t xml:space="preserve"> </w:t>
      </w:r>
      <w:r w:rsidR="006B167C" w:rsidRPr="006723E4">
        <w:rPr>
          <w:noProof/>
          <w:color w:val="000000" w:themeColor="text1"/>
        </w:rPr>
        <w:t>salīdzinājumā ar</w:t>
      </w:r>
      <w:r w:rsidRPr="006723E4">
        <w:rPr>
          <w:noProof/>
          <w:color w:val="000000" w:themeColor="text1"/>
        </w:rPr>
        <w:t xml:space="preserve"> Stabilitātes programm</w:t>
      </w:r>
      <w:r w:rsidR="006B167C" w:rsidRPr="006723E4">
        <w:rPr>
          <w:noProof/>
          <w:color w:val="000000" w:themeColor="text1"/>
        </w:rPr>
        <w:t>u</w:t>
      </w:r>
      <w:r w:rsidRPr="006723E4">
        <w:rPr>
          <w:noProof/>
          <w:color w:val="000000" w:themeColor="text1"/>
        </w:rPr>
        <w:t>, taču vidējā termiņā tas saglabājas 2023.</w:t>
      </w:r>
      <w:r w:rsidR="006B167C" w:rsidRPr="006723E4">
        <w:rPr>
          <w:noProof/>
          <w:color w:val="000000" w:themeColor="text1"/>
        </w:rPr>
        <w:t> </w:t>
      </w:r>
      <w:r w:rsidRPr="006723E4">
        <w:rPr>
          <w:noProof/>
          <w:color w:val="000000" w:themeColor="text1"/>
        </w:rPr>
        <w:t>gada līmenī, kas ir 20,1</w:t>
      </w:r>
      <w:r w:rsidR="007D681B" w:rsidRPr="006723E4">
        <w:rPr>
          <w:noProof/>
          <w:color w:val="000000" w:themeColor="text1"/>
        </w:rPr>
        <w:t> </w:t>
      </w:r>
      <w:r w:rsidRPr="006723E4">
        <w:rPr>
          <w:noProof/>
          <w:color w:val="000000" w:themeColor="text1"/>
        </w:rPr>
        <w:t>tūkst</w:t>
      </w:r>
      <w:r w:rsidR="006B167C" w:rsidRPr="006723E4">
        <w:rPr>
          <w:noProof/>
          <w:color w:val="000000" w:themeColor="text1"/>
        </w:rPr>
        <w:t>.</w:t>
      </w:r>
      <w:r w:rsidRPr="006723E4">
        <w:rPr>
          <w:noProof/>
          <w:color w:val="000000" w:themeColor="text1"/>
        </w:rPr>
        <w:t xml:space="preserve"> personu vidēji mēnesī</w:t>
      </w:r>
      <w:r w:rsidR="002055FD" w:rsidRPr="006723E4">
        <w:rPr>
          <w:noProof/>
          <w:color w:val="000000" w:themeColor="text1"/>
        </w:rPr>
        <w:t>.</w:t>
      </w:r>
    </w:p>
    <w:p w14:paraId="6EB169FF" w14:textId="77777777" w:rsidR="006723E4" w:rsidRDefault="006B167C" w:rsidP="006723E4">
      <w:pPr>
        <w:pStyle w:val="ListParagraph"/>
        <w:ind w:left="1077" w:firstLine="0"/>
        <w:contextualSpacing w:val="0"/>
        <w:rPr>
          <w:noProof/>
          <w:color w:val="000000" w:themeColor="text1"/>
        </w:rPr>
      </w:pPr>
      <w:r w:rsidRPr="006723E4">
        <w:rPr>
          <w:noProof/>
          <w:color w:val="000000" w:themeColor="text1"/>
        </w:rPr>
        <w:t xml:space="preserve">Tāpat arī bezdarbnieka pabalsta </w:t>
      </w:r>
      <w:r w:rsidR="002055FD" w:rsidRPr="006723E4">
        <w:rPr>
          <w:noProof/>
          <w:color w:val="000000" w:themeColor="text1"/>
        </w:rPr>
        <w:t xml:space="preserve">saņēmēju skaita prognoze </w:t>
      </w:r>
      <w:r w:rsidRPr="006723E4">
        <w:rPr>
          <w:noProof/>
          <w:color w:val="000000" w:themeColor="text1"/>
        </w:rPr>
        <w:t xml:space="preserve">ir </w:t>
      </w:r>
      <w:r w:rsidR="002055FD" w:rsidRPr="006723E4">
        <w:rPr>
          <w:noProof/>
          <w:color w:val="000000" w:themeColor="text1"/>
        </w:rPr>
        <w:t>palielināta vidējā termiņā</w:t>
      </w:r>
      <w:r w:rsidRPr="006723E4">
        <w:rPr>
          <w:noProof/>
          <w:color w:val="000000" w:themeColor="text1"/>
        </w:rPr>
        <w:t xml:space="preserve">, paaugstinot līmeni līdz 32,7 tūkst. </w:t>
      </w:r>
      <w:r w:rsidR="0043034D" w:rsidRPr="006723E4">
        <w:rPr>
          <w:noProof/>
          <w:color w:val="000000" w:themeColor="text1"/>
        </w:rPr>
        <w:t xml:space="preserve">vidēji mēnesī </w:t>
      </w:r>
      <w:r w:rsidRPr="006723E4">
        <w:rPr>
          <w:noProof/>
          <w:color w:val="000000" w:themeColor="text1"/>
        </w:rPr>
        <w:t>šogad, kas, ņemot vērā prognozēto bezdarba līmeņa kritumu, samazināsies līdz 28,6 tūkst. 2028. gadā.</w:t>
      </w:r>
    </w:p>
    <w:p w14:paraId="705556E6" w14:textId="5051D6FC" w:rsidR="002055FD" w:rsidRPr="006723E4" w:rsidRDefault="002055FD" w:rsidP="006723E4">
      <w:pPr>
        <w:pStyle w:val="ListParagraph"/>
        <w:ind w:left="1077" w:firstLine="0"/>
        <w:contextualSpacing w:val="0"/>
        <w:rPr>
          <w:noProof/>
          <w:color w:val="000000" w:themeColor="text1"/>
        </w:rPr>
      </w:pPr>
      <w:r w:rsidRPr="006723E4">
        <w:rPr>
          <w:noProof/>
          <w:color w:val="000000" w:themeColor="text1"/>
        </w:rPr>
        <w:lastRenderedPageBreak/>
        <w:t>Atbilstoši prognozēm pie nemainīgas politikas valsts speciālā budžeta izdevumi 2025.</w:t>
      </w:r>
      <w:r w:rsidR="007D681B" w:rsidRPr="006723E4">
        <w:rPr>
          <w:noProof/>
          <w:color w:val="000000" w:themeColor="text1"/>
        </w:rPr>
        <w:t> </w:t>
      </w:r>
      <w:r w:rsidRPr="006723E4">
        <w:rPr>
          <w:noProof/>
          <w:color w:val="000000" w:themeColor="text1"/>
        </w:rPr>
        <w:t>gadā būs par 9,3% augstāki kā 2024. gadā, 2026. gadā tie palielināsies par 8,5%, 2027.</w:t>
      </w:r>
      <w:r w:rsidR="00D43845" w:rsidRPr="006723E4">
        <w:rPr>
          <w:noProof/>
          <w:color w:val="000000" w:themeColor="text1"/>
        </w:rPr>
        <w:t> </w:t>
      </w:r>
      <w:r w:rsidRPr="006723E4">
        <w:rPr>
          <w:noProof/>
          <w:color w:val="000000" w:themeColor="text1"/>
        </w:rPr>
        <w:t>gadā par 6,5% un 2028. gadā par 6,1%.</w:t>
      </w:r>
    </w:p>
    <w:p w14:paraId="5338E33D" w14:textId="77777777" w:rsidR="006723E4" w:rsidRDefault="00CE1087" w:rsidP="00CE1087">
      <w:pPr>
        <w:pStyle w:val="ListParagraph"/>
        <w:numPr>
          <w:ilvl w:val="0"/>
          <w:numId w:val="38"/>
        </w:numPr>
        <w:ind w:left="1077" w:hanging="357"/>
        <w:contextualSpacing w:val="0"/>
        <w:rPr>
          <w:noProof/>
          <w:color w:val="000000" w:themeColor="text1"/>
        </w:rPr>
      </w:pPr>
      <w:r w:rsidRPr="00CA2430">
        <w:rPr>
          <w:noProof/>
          <w:color w:val="000000" w:themeColor="text1"/>
        </w:rPr>
        <w:t>2025. un 2026. gadā valsts pamatbudžetā tiek prognozēti ievērojami lielāki izdevumi ārvalstu finanšu palīdzības līdzfinansēto projektu īstenošanai salīdzinājumā ar iepriekšējiem gadiem, ņemot vērā arvien pieaugošos 2021.-2027. gada plānošanas perioda ES fondu projektu izdevumus un nepieciešamību sekmīgi ieguldīt visus no Atveseļošanas fonda pieejamos līdzekļus līdz 2026. gadam. Tāpat būtiski augstākā līmenī 2025.-2026. gad</w:t>
      </w:r>
      <w:r w:rsidR="006B167C">
        <w:rPr>
          <w:noProof/>
          <w:color w:val="000000" w:themeColor="text1"/>
        </w:rPr>
        <w:t>ā</w:t>
      </w:r>
      <w:r w:rsidRPr="00CA2430">
        <w:rPr>
          <w:noProof/>
          <w:color w:val="000000" w:themeColor="text1"/>
        </w:rPr>
        <w:t xml:space="preserve"> plānots finansējums </w:t>
      </w:r>
      <w:r w:rsidRPr="00CA2430">
        <w:rPr>
          <w:i/>
          <w:iCs/>
          <w:noProof/>
          <w:color w:val="000000" w:themeColor="text1"/>
        </w:rPr>
        <w:t>Rail Baltica</w:t>
      </w:r>
      <w:r w:rsidRPr="00CA2430">
        <w:rPr>
          <w:noProof/>
          <w:color w:val="000000" w:themeColor="text1"/>
        </w:rPr>
        <w:t xml:space="preserve"> projekta īstenošanai, tomēr tā apmērs tālākajos gados budžetā tiek paredzēts tikai tām projekta aktivitātēm, kam finansējums no Eiropas Komisijas jau ir ticis </w:t>
      </w:r>
      <w:r w:rsidRPr="00C64BC9">
        <w:rPr>
          <w:noProof/>
          <w:color w:val="000000" w:themeColor="text1"/>
        </w:rPr>
        <w:t>apstiprināts.</w:t>
      </w:r>
    </w:p>
    <w:p w14:paraId="01ADAE60" w14:textId="7AC2EA46" w:rsidR="00CE1087" w:rsidRPr="00CA2430" w:rsidRDefault="006B167C" w:rsidP="006723E4">
      <w:pPr>
        <w:pStyle w:val="ListParagraph"/>
        <w:ind w:left="1077" w:firstLine="0"/>
        <w:contextualSpacing w:val="0"/>
        <w:rPr>
          <w:noProof/>
          <w:color w:val="000000" w:themeColor="text1"/>
        </w:rPr>
      </w:pPr>
      <w:r>
        <w:rPr>
          <w:noProof/>
          <w:color w:val="000000" w:themeColor="text1"/>
        </w:rPr>
        <w:t>Valsts p</w:t>
      </w:r>
      <w:r w:rsidR="008C536F" w:rsidRPr="00C64BC9">
        <w:rPr>
          <w:noProof/>
          <w:color w:val="000000" w:themeColor="text1"/>
        </w:rPr>
        <w:t xml:space="preserve">amatbudžeta izdevumu pieauguma temps </w:t>
      </w:r>
      <w:r w:rsidR="00C64BC9" w:rsidRPr="00C64BC9">
        <w:rPr>
          <w:noProof/>
          <w:color w:val="000000" w:themeColor="text1"/>
        </w:rPr>
        <w:t>2025.</w:t>
      </w:r>
      <w:r w:rsidR="0010205B">
        <w:rPr>
          <w:noProof/>
          <w:color w:val="000000" w:themeColor="text1"/>
        </w:rPr>
        <w:t> </w:t>
      </w:r>
      <w:r w:rsidR="00C64BC9" w:rsidRPr="00C64BC9">
        <w:rPr>
          <w:noProof/>
          <w:color w:val="000000" w:themeColor="text1"/>
        </w:rPr>
        <w:t>gadā būs zemāks kā valsts speciālajā budžetā, izdevumiem palielinoties par 5,6%, bet ar 2026.</w:t>
      </w:r>
      <w:r>
        <w:rPr>
          <w:noProof/>
          <w:color w:val="000000" w:themeColor="text1"/>
        </w:rPr>
        <w:t> </w:t>
      </w:r>
      <w:r w:rsidR="00C64BC9" w:rsidRPr="00C64BC9">
        <w:rPr>
          <w:noProof/>
          <w:color w:val="000000" w:themeColor="text1"/>
        </w:rPr>
        <w:t>gadu valsts pamatbudžeta izdevum</w:t>
      </w:r>
      <w:r w:rsidR="00C64BC9">
        <w:rPr>
          <w:noProof/>
          <w:color w:val="000000" w:themeColor="text1"/>
        </w:rPr>
        <w:t>i</w:t>
      </w:r>
      <w:r w:rsidR="0043034D" w:rsidRPr="0043034D">
        <w:rPr>
          <w:noProof/>
          <w:color w:val="000000" w:themeColor="text1"/>
        </w:rPr>
        <w:t xml:space="preserve"> </w:t>
      </w:r>
      <w:r w:rsidR="0043034D" w:rsidRPr="00C64BC9">
        <w:rPr>
          <w:noProof/>
          <w:color w:val="000000" w:themeColor="text1"/>
        </w:rPr>
        <w:t>saruks</w:t>
      </w:r>
      <w:r w:rsidR="00C64BC9" w:rsidRPr="00C64BC9">
        <w:rPr>
          <w:noProof/>
          <w:color w:val="000000" w:themeColor="text1"/>
        </w:rPr>
        <w:t>, ņemot vērā samazinājumu ārvalstu finanšu palīdzības izdevumos</w:t>
      </w:r>
      <w:r w:rsidR="0001762D" w:rsidRPr="0001762D">
        <w:rPr>
          <w:noProof/>
          <w:color w:val="000000" w:themeColor="text1"/>
        </w:rPr>
        <w:t xml:space="preserve"> </w:t>
      </w:r>
      <w:r w:rsidR="0001762D">
        <w:rPr>
          <w:noProof/>
          <w:color w:val="000000" w:themeColor="text1"/>
        </w:rPr>
        <w:t>salīdzinājumā ar 2025. gadu</w:t>
      </w:r>
      <w:r w:rsidR="00C64BC9" w:rsidRPr="00C64BC9">
        <w:rPr>
          <w:noProof/>
          <w:color w:val="000000" w:themeColor="text1"/>
        </w:rPr>
        <w:t xml:space="preserve"> </w:t>
      </w:r>
      <w:r w:rsidR="0010205B">
        <w:rPr>
          <w:noProof/>
          <w:color w:val="000000" w:themeColor="text1"/>
        </w:rPr>
        <w:t>un izdevumus pamatfunkcijām pie nemainīgas politikas pieņēmuma</w:t>
      </w:r>
      <w:r w:rsidR="0043034D">
        <w:rPr>
          <w:noProof/>
          <w:color w:val="000000" w:themeColor="text1"/>
        </w:rPr>
        <w:t>.</w:t>
      </w:r>
      <w:r w:rsidR="00C64BC9">
        <w:rPr>
          <w:noProof/>
          <w:color w:val="000000" w:themeColor="text1"/>
        </w:rPr>
        <w:t xml:space="preserve"> </w:t>
      </w:r>
    </w:p>
    <w:p w14:paraId="7CD96A0A" w14:textId="77777777" w:rsidR="006723E4" w:rsidRPr="006723E4" w:rsidRDefault="0043034D" w:rsidP="006723E4">
      <w:pPr>
        <w:pStyle w:val="ListParagraph"/>
        <w:numPr>
          <w:ilvl w:val="0"/>
          <w:numId w:val="38"/>
        </w:numPr>
        <w:spacing w:before="0"/>
        <w:contextualSpacing w:val="0"/>
        <w:rPr>
          <w:rFonts w:eastAsia="Calibri"/>
          <w:b/>
          <w:i/>
          <w:noProof/>
        </w:rPr>
      </w:pPr>
      <w:r>
        <w:rPr>
          <w:noProof/>
        </w:rPr>
        <w:t>S</w:t>
      </w:r>
      <w:r w:rsidR="00CE1087" w:rsidRPr="0043034D">
        <w:rPr>
          <w:noProof/>
        </w:rPr>
        <w:t>alīdzinot ar Stabilitātes programmu, ir p</w:t>
      </w:r>
      <w:r w:rsidR="002F40B1">
        <w:rPr>
          <w:noProof/>
        </w:rPr>
        <w:t xml:space="preserve">ārskatīta </w:t>
      </w:r>
      <w:r w:rsidR="00CE1087" w:rsidRPr="0043034D">
        <w:rPr>
          <w:noProof/>
        </w:rPr>
        <w:t>pašvaldību budžeta izdevum</w:t>
      </w:r>
      <w:r w:rsidR="002F40B1">
        <w:rPr>
          <w:noProof/>
        </w:rPr>
        <w:t>u prognoze, palielinot izdevumus pamatfunkcijām atbilstoši faktiskajai izpilde</w:t>
      </w:r>
      <w:r w:rsidR="00737313">
        <w:rPr>
          <w:noProof/>
        </w:rPr>
        <w:t>i</w:t>
      </w:r>
      <w:r w:rsidR="002F40B1">
        <w:rPr>
          <w:noProof/>
        </w:rPr>
        <w:t xml:space="preserve"> šā gada sešos mēnešos, savukārt izdevumi ārvalstu finanšu palīdzības projektiem tika samazināti.</w:t>
      </w:r>
    </w:p>
    <w:p w14:paraId="486C6DEC" w14:textId="712EEBB9" w:rsidR="006723E4" w:rsidRPr="006723E4" w:rsidRDefault="007F7674" w:rsidP="006723E4">
      <w:pPr>
        <w:pStyle w:val="ListParagraph"/>
        <w:spacing w:before="0"/>
        <w:ind w:left="1080" w:firstLine="0"/>
        <w:contextualSpacing w:val="0"/>
        <w:rPr>
          <w:rFonts w:eastAsia="Calibri"/>
          <w:b/>
          <w:i/>
          <w:noProof/>
        </w:rPr>
      </w:pPr>
      <w:r w:rsidRPr="0043034D">
        <w:rPr>
          <w:noProof/>
        </w:rPr>
        <w:t>Ņemot vērā</w:t>
      </w:r>
      <w:r w:rsidR="002F40B1">
        <w:rPr>
          <w:noProof/>
        </w:rPr>
        <w:t>, ka</w:t>
      </w:r>
      <w:r w:rsidRPr="0043034D">
        <w:rPr>
          <w:noProof/>
        </w:rPr>
        <w:t xml:space="preserve"> pašvaldību budžeta izdevumi atlīdzībai </w:t>
      </w:r>
      <w:r w:rsidR="002F40B1">
        <w:rPr>
          <w:noProof/>
        </w:rPr>
        <w:t>(ieskaitot darba devēja VSAOI iemaksas) šā gada</w:t>
      </w:r>
      <w:r w:rsidRPr="0043034D">
        <w:rPr>
          <w:noProof/>
        </w:rPr>
        <w:t xml:space="preserve"> sešos mēnešos bijuši par 17% augstāki nekā pirms gada, </w:t>
      </w:r>
      <w:r w:rsidR="002F40B1">
        <w:rPr>
          <w:noProof/>
        </w:rPr>
        <w:t xml:space="preserve">ko noteica darba samaksas kāpums pedagogiem, </w:t>
      </w:r>
      <w:r w:rsidR="006723E4">
        <w:rPr>
          <w:noProof/>
        </w:rPr>
        <w:t xml:space="preserve">kā arī ņemot vērā vidējās darba samaksas kāpumu makroscenārijā, </w:t>
      </w:r>
      <w:r w:rsidR="002F40B1">
        <w:rPr>
          <w:noProof/>
        </w:rPr>
        <w:t>tika palielināti izdevumi atlīdzībai gan šim gadam, gan visā vidējā termiņā</w:t>
      </w:r>
      <w:r w:rsidR="006723E4">
        <w:rPr>
          <w:noProof/>
        </w:rPr>
        <w:t>. V</w:t>
      </w:r>
      <w:r w:rsidR="002F40B1">
        <w:rPr>
          <w:noProof/>
        </w:rPr>
        <w:t xml:space="preserve">ienlaikus </w:t>
      </w:r>
      <w:r w:rsidR="006723E4">
        <w:rPr>
          <w:noProof/>
        </w:rPr>
        <w:t>tika ievērots</w:t>
      </w:r>
      <w:r w:rsidR="002F40B1">
        <w:rPr>
          <w:noProof/>
        </w:rPr>
        <w:t>, ka valsts budžeta bāzes izdevumos pie nemainīgas politikas mērķdotācijas pašvaldībām pedagogu atlīdzībai</w:t>
      </w:r>
      <w:r w:rsidR="0001762D">
        <w:rPr>
          <w:noProof/>
        </w:rPr>
        <w:t xml:space="preserve"> (veido aptuveni 30% no pašvaldību izdevumiem atlīdzībai)</w:t>
      </w:r>
      <w:r w:rsidR="002F40B1">
        <w:rPr>
          <w:noProof/>
        </w:rPr>
        <w:t xml:space="preserve"> </w:t>
      </w:r>
      <w:r w:rsidR="00737313">
        <w:rPr>
          <w:noProof/>
        </w:rPr>
        <w:t>vidējā termiņā</w:t>
      </w:r>
      <w:r w:rsidR="002F40B1">
        <w:rPr>
          <w:noProof/>
        </w:rPr>
        <w:t xml:space="preserve"> saglabājas</w:t>
      </w:r>
      <w:r w:rsidR="00737313">
        <w:rPr>
          <w:noProof/>
        </w:rPr>
        <w:t xml:space="preserve"> </w:t>
      </w:r>
      <w:r w:rsidR="002F40B1">
        <w:rPr>
          <w:noProof/>
        </w:rPr>
        <w:t>2024. gada līmen</w:t>
      </w:r>
      <w:r w:rsidR="006723E4">
        <w:rPr>
          <w:noProof/>
        </w:rPr>
        <w:t>ī</w:t>
      </w:r>
      <w:r w:rsidR="002F40B1">
        <w:rPr>
          <w:noProof/>
        </w:rPr>
        <w:t>.</w:t>
      </w:r>
    </w:p>
    <w:p w14:paraId="08C653F3" w14:textId="1FFD1143" w:rsidR="006723E4" w:rsidRDefault="006723E4" w:rsidP="006723E4">
      <w:pPr>
        <w:pStyle w:val="ListParagraph"/>
        <w:spacing w:before="0"/>
        <w:ind w:left="1080" w:firstLine="0"/>
        <w:contextualSpacing w:val="0"/>
        <w:rPr>
          <w:noProof/>
        </w:rPr>
      </w:pPr>
      <w:r>
        <w:rPr>
          <w:noProof/>
        </w:rPr>
        <w:t>A</w:t>
      </w:r>
      <w:r w:rsidR="008C536F" w:rsidRPr="0043034D">
        <w:rPr>
          <w:noProof/>
        </w:rPr>
        <w:t>rī sociāla rakstura maksājumi 2024. gadā prognozēti augstāki salīdzinājumā ar 2023. gadu, izdevumiem strauji pieaugot samaksai par sociālo aprūpi mājās un ilgstošas sociālas aprūpes un rehabilitācijas iestādēs.</w:t>
      </w:r>
      <w:r>
        <w:rPr>
          <w:noProof/>
        </w:rPr>
        <w:t xml:space="preserve"> Attiecīgi tika paaugstināta</w:t>
      </w:r>
      <w:r w:rsidR="008C536F" w:rsidRPr="0043034D">
        <w:rPr>
          <w:noProof/>
        </w:rPr>
        <w:t xml:space="preserve"> </w:t>
      </w:r>
      <w:r>
        <w:rPr>
          <w:noProof/>
        </w:rPr>
        <w:t>šo izdevumu prognoze vidējā termiņā.</w:t>
      </w:r>
    </w:p>
    <w:p w14:paraId="04B78DF1" w14:textId="0948BF0A" w:rsidR="0001762D" w:rsidRDefault="006723E4" w:rsidP="0001762D">
      <w:pPr>
        <w:pStyle w:val="ListParagraph"/>
        <w:spacing w:before="0"/>
        <w:ind w:left="1080" w:firstLine="0"/>
        <w:contextualSpacing w:val="0"/>
        <w:rPr>
          <w:noProof/>
        </w:rPr>
      </w:pPr>
      <w:r>
        <w:rPr>
          <w:noProof/>
        </w:rPr>
        <w:t>P</w:t>
      </w:r>
      <w:r w:rsidR="007F7674" w:rsidRPr="0043034D">
        <w:rPr>
          <w:noProof/>
        </w:rPr>
        <w:t xml:space="preserve">ašvaldību kapitālie izdevumi vidējā termiņā tiek prognozēti zemāki nekā Stabilitātes programmā. </w:t>
      </w:r>
      <w:r w:rsidR="0001762D">
        <w:rPr>
          <w:noProof/>
        </w:rPr>
        <w:t>Prognozes tika pārskatītas, ņemot vērā, ka š</w:t>
      </w:r>
      <w:r w:rsidR="007F7674" w:rsidRPr="0043034D">
        <w:rPr>
          <w:noProof/>
        </w:rPr>
        <w:t>ā gada sešos mēnešos pašvaldību budžeta kapitālie izdevumi samazinājās par 28</w:t>
      </w:r>
      <w:r w:rsidR="0001762D">
        <w:rPr>
          <w:noProof/>
        </w:rPr>
        <w:t>,0</w:t>
      </w:r>
      <w:r w:rsidR="007F7674" w:rsidRPr="0043034D">
        <w:rPr>
          <w:noProof/>
        </w:rPr>
        <w:t xml:space="preserve">% salīdzinājumā ar attiecīgo periodu 2023. gadā, uzrādot vāju faktisko izpildi </w:t>
      </w:r>
      <w:r w:rsidR="0001762D">
        <w:rPr>
          <w:noProof/>
        </w:rPr>
        <w:t>ārvalstu finanšu palīdzības sa</w:t>
      </w:r>
      <w:r w:rsidR="007F7674" w:rsidRPr="0043034D">
        <w:rPr>
          <w:noProof/>
        </w:rPr>
        <w:t>daļā</w:t>
      </w:r>
      <w:r w:rsidR="0001762D">
        <w:rPr>
          <w:noProof/>
        </w:rPr>
        <w:t xml:space="preserve">. Tādējādi tika samazināti kapitālie izdevumi </w:t>
      </w:r>
      <w:r w:rsidR="0001762D" w:rsidRPr="0043034D">
        <w:rPr>
          <w:noProof/>
        </w:rPr>
        <w:t>ES fondu projektiem</w:t>
      </w:r>
      <w:r w:rsidR="0001762D">
        <w:rPr>
          <w:noProof/>
        </w:rPr>
        <w:t xml:space="preserve">, prognozējot zemāku pašvaldību līdzfinansējumu vidējā termiņā. Savukārt </w:t>
      </w:r>
      <w:r w:rsidR="007F7674" w:rsidRPr="0043034D">
        <w:rPr>
          <w:noProof/>
        </w:rPr>
        <w:t>izdevumi pamatfunkcijām</w:t>
      </w:r>
      <w:r w:rsidR="00E9232F">
        <w:rPr>
          <w:noProof/>
        </w:rPr>
        <w:t xml:space="preserve">, neskatoties uz vājo aizņemšanos, </w:t>
      </w:r>
      <w:r w:rsidR="007F7674" w:rsidRPr="0043034D">
        <w:rPr>
          <w:noProof/>
        </w:rPr>
        <w:t xml:space="preserve">būtiski pieauga, tādēļ kapitālo izdevumu prognoze </w:t>
      </w:r>
      <w:r w:rsidR="0001762D">
        <w:rPr>
          <w:noProof/>
        </w:rPr>
        <w:t>pamatfunkcijām tika palielināta gan šim gadam, gan vidējam termiņam.</w:t>
      </w:r>
    </w:p>
    <w:p w14:paraId="54E5144C" w14:textId="1FE27CC9" w:rsidR="007F7674" w:rsidRPr="0001762D" w:rsidRDefault="007F7674" w:rsidP="0001762D">
      <w:pPr>
        <w:pStyle w:val="ListParagraph"/>
        <w:spacing w:before="0"/>
        <w:ind w:left="1080" w:firstLine="0"/>
        <w:contextualSpacing w:val="0"/>
        <w:rPr>
          <w:noProof/>
        </w:rPr>
      </w:pPr>
      <w:r w:rsidRPr="0043034D">
        <w:rPr>
          <w:noProof/>
        </w:rPr>
        <w:t>Atbilstoši prognozēm pie nemainīgas politikas pašvaldību budžeta izdevumi 2025.</w:t>
      </w:r>
      <w:r w:rsidR="00E9232F">
        <w:rPr>
          <w:noProof/>
        </w:rPr>
        <w:t> </w:t>
      </w:r>
      <w:r w:rsidRPr="0043034D">
        <w:rPr>
          <w:noProof/>
        </w:rPr>
        <w:t>gadā būs par 4,7% augstāki kā 2024. gadā, 2026. gadā tie palielināsies par 3,5% un turpmākajos divos gados par 2,7% ik gadu.</w:t>
      </w:r>
    </w:p>
    <w:p w14:paraId="719CE981" w14:textId="77777777" w:rsidR="00F97E35" w:rsidRPr="00F97E35" w:rsidRDefault="00A03165" w:rsidP="00F97E35">
      <w:pPr>
        <w:pStyle w:val="ListParagraph"/>
        <w:numPr>
          <w:ilvl w:val="0"/>
          <w:numId w:val="38"/>
        </w:numPr>
        <w:spacing w:before="0"/>
        <w:ind w:left="1077" w:hanging="357"/>
        <w:contextualSpacing w:val="0"/>
        <w:rPr>
          <w:rFonts w:eastAsia="Calibri"/>
          <w:b/>
          <w:i/>
          <w:noProof/>
        </w:rPr>
      </w:pPr>
      <w:r w:rsidRPr="00527C70">
        <w:rPr>
          <w:noProof/>
          <w:szCs w:val="24"/>
        </w:rPr>
        <w:t>V</w:t>
      </w:r>
      <w:r w:rsidR="00CC4153" w:rsidRPr="00527C70">
        <w:rPr>
          <w:noProof/>
          <w:szCs w:val="24"/>
        </w:rPr>
        <w:t>ispārējās valdības bilanc</w:t>
      </w:r>
      <w:r w:rsidRPr="00527C70">
        <w:rPr>
          <w:noProof/>
          <w:szCs w:val="24"/>
        </w:rPr>
        <w:t xml:space="preserve">es pasliktināšanos pret </w:t>
      </w:r>
      <w:r w:rsidRPr="00527C70">
        <w:rPr>
          <w:noProof/>
          <w:color w:val="000000" w:themeColor="text1"/>
        </w:rPr>
        <w:t>Stabilitātes programmas prognozēm</w:t>
      </w:r>
      <w:r w:rsidR="00CC4153" w:rsidRPr="00527C70">
        <w:rPr>
          <w:noProof/>
          <w:szCs w:val="24"/>
        </w:rPr>
        <w:t xml:space="preserve"> ietekmē</w:t>
      </w:r>
      <w:r w:rsidRPr="00527C70">
        <w:rPr>
          <w:noProof/>
          <w:szCs w:val="24"/>
        </w:rPr>
        <w:t>ja arī</w:t>
      </w:r>
      <w:r w:rsidR="00CC4153" w:rsidRPr="00527C70">
        <w:rPr>
          <w:noProof/>
          <w:szCs w:val="24"/>
        </w:rPr>
        <w:t xml:space="preserve"> </w:t>
      </w:r>
      <w:r w:rsidR="007D2774" w:rsidRPr="00527C70">
        <w:rPr>
          <w:noProof/>
          <w:szCs w:val="24"/>
        </w:rPr>
        <w:t>pieklasificēto komersantu bilances izmaiņas</w:t>
      </w:r>
      <w:r w:rsidRPr="00527C70">
        <w:rPr>
          <w:noProof/>
          <w:szCs w:val="24"/>
        </w:rPr>
        <w:t xml:space="preserve">, galvenokārt, palielinoties VAS </w:t>
      </w:r>
      <w:r w:rsidR="00F97E35">
        <w:rPr>
          <w:noProof/>
          <w:szCs w:val="24"/>
        </w:rPr>
        <w:t>“</w:t>
      </w:r>
      <w:r w:rsidRPr="00527C70">
        <w:rPr>
          <w:noProof/>
          <w:szCs w:val="24"/>
        </w:rPr>
        <w:t xml:space="preserve">Latvijas </w:t>
      </w:r>
      <w:r w:rsidR="00527C70" w:rsidRPr="00527C70">
        <w:rPr>
          <w:noProof/>
          <w:szCs w:val="24"/>
        </w:rPr>
        <w:t>d</w:t>
      </w:r>
      <w:r w:rsidRPr="00527C70">
        <w:rPr>
          <w:noProof/>
          <w:szCs w:val="24"/>
        </w:rPr>
        <w:t>zelzceļš” negatīvajai ietekmei</w:t>
      </w:r>
      <w:r w:rsidR="007D2774" w:rsidRPr="00527C70">
        <w:rPr>
          <w:noProof/>
          <w:szCs w:val="24"/>
        </w:rPr>
        <w:t>.</w:t>
      </w:r>
      <w:r w:rsidR="00881C30" w:rsidRPr="00527C70">
        <w:rPr>
          <w:noProof/>
          <w:szCs w:val="24"/>
        </w:rPr>
        <w:t xml:space="preserve"> </w:t>
      </w:r>
      <w:r w:rsidR="00527C70" w:rsidRPr="00B0361E">
        <w:rPr>
          <w:noProof/>
          <w:szCs w:val="24"/>
        </w:rPr>
        <w:t xml:space="preserve">Atbilstoši pieklasificēto komersantu iesniegtajai informācijai kopumā komersantu bilances ir </w:t>
      </w:r>
      <w:r w:rsidR="00527C70" w:rsidRPr="00B0361E">
        <w:rPr>
          <w:noProof/>
          <w:szCs w:val="24"/>
        </w:rPr>
        <w:lastRenderedPageBreak/>
        <w:t>pasliktinājušās 2024.</w:t>
      </w:r>
      <w:r w:rsidR="007D681B">
        <w:rPr>
          <w:noProof/>
          <w:szCs w:val="24"/>
        </w:rPr>
        <w:t> </w:t>
      </w:r>
      <w:r w:rsidR="00527C70" w:rsidRPr="00B0361E">
        <w:rPr>
          <w:noProof/>
          <w:szCs w:val="24"/>
        </w:rPr>
        <w:t xml:space="preserve">gadā par 17,0 milj. </w:t>
      </w:r>
      <w:r w:rsidR="00527C70" w:rsidRPr="00B0361E">
        <w:rPr>
          <w:i/>
          <w:iCs/>
          <w:noProof/>
          <w:szCs w:val="24"/>
        </w:rPr>
        <w:t xml:space="preserve">euro </w:t>
      </w:r>
      <w:r w:rsidR="00527C70" w:rsidRPr="00B0361E">
        <w:rPr>
          <w:noProof/>
          <w:szCs w:val="24"/>
        </w:rPr>
        <w:t>(pamatā no AS “Pasažieru vilciens” ārvalstu finanšu palīdzības apmēra precizēšan</w:t>
      </w:r>
      <w:r w:rsidR="00442597">
        <w:rPr>
          <w:noProof/>
          <w:szCs w:val="24"/>
        </w:rPr>
        <w:t xml:space="preserve">as </w:t>
      </w:r>
      <w:r w:rsidR="00527C70" w:rsidRPr="00B0361E">
        <w:rPr>
          <w:noProof/>
          <w:szCs w:val="24"/>
        </w:rPr>
        <w:t>elektrovilcienu iepirkumam), 2025.</w:t>
      </w:r>
      <w:r w:rsidR="007D681B">
        <w:rPr>
          <w:noProof/>
          <w:szCs w:val="24"/>
        </w:rPr>
        <w:t> </w:t>
      </w:r>
      <w:r w:rsidR="00527C70" w:rsidRPr="00B0361E">
        <w:rPr>
          <w:noProof/>
          <w:szCs w:val="24"/>
        </w:rPr>
        <w:t xml:space="preserve">gadā par 31,7 milj. </w:t>
      </w:r>
      <w:r w:rsidR="00527C70" w:rsidRPr="00B0361E">
        <w:rPr>
          <w:i/>
          <w:iCs/>
          <w:noProof/>
          <w:szCs w:val="24"/>
        </w:rPr>
        <w:t xml:space="preserve">euro, </w:t>
      </w:r>
      <w:r w:rsidR="00527C70" w:rsidRPr="00B0361E">
        <w:rPr>
          <w:noProof/>
          <w:szCs w:val="24"/>
        </w:rPr>
        <w:t>2026.</w:t>
      </w:r>
      <w:r w:rsidR="007D681B">
        <w:rPr>
          <w:noProof/>
          <w:szCs w:val="24"/>
        </w:rPr>
        <w:t> </w:t>
      </w:r>
      <w:r w:rsidR="00527C70" w:rsidRPr="00B0361E">
        <w:rPr>
          <w:noProof/>
          <w:szCs w:val="24"/>
        </w:rPr>
        <w:t>gadā par 26,3</w:t>
      </w:r>
      <w:r w:rsidR="007D681B">
        <w:rPr>
          <w:noProof/>
          <w:szCs w:val="24"/>
        </w:rPr>
        <w:t> </w:t>
      </w:r>
      <w:r w:rsidR="00527C70" w:rsidRPr="00B0361E">
        <w:rPr>
          <w:noProof/>
          <w:szCs w:val="24"/>
        </w:rPr>
        <w:t xml:space="preserve">milj. </w:t>
      </w:r>
      <w:r w:rsidR="00527C70" w:rsidRPr="00B0361E">
        <w:rPr>
          <w:i/>
          <w:iCs/>
          <w:noProof/>
          <w:szCs w:val="24"/>
        </w:rPr>
        <w:t xml:space="preserve">euro, </w:t>
      </w:r>
      <w:r w:rsidR="00527C70" w:rsidRPr="00B0361E">
        <w:rPr>
          <w:noProof/>
          <w:szCs w:val="24"/>
        </w:rPr>
        <w:t>2027. gadā par 27,8</w:t>
      </w:r>
      <w:r w:rsidR="007D681B">
        <w:rPr>
          <w:noProof/>
          <w:szCs w:val="24"/>
        </w:rPr>
        <w:t> </w:t>
      </w:r>
      <w:r w:rsidR="00527C70" w:rsidRPr="00B0361E">
        <w:rPr>
          <w:noProof/>
          <w:szCs w:val="24"/>
        </w:rPr>
        <w:t xml:space="preserve">milj. </w:t>
      </w:r>
      <w:r w:rsidR="00527C70" w:rsidRPr="00B0361E">
        <w:rPr>
          <w:i/>
          <w:iCs/>
          <w:noProof/>
          <w:szCs w:val="24"/>
        </w:rPr>
        <w:t xml:space="preserve">euro </w:t>
      </w:r>
      <w:r w:rsidR="00527C70" w:rsidRPr="00B0361E">
        <w:rPr>
          <w:noProof/>
          <w:szCs w:val="24"/>
        </w:rPr>
        <w:t>un</w:t>
      </w:r>
      <w:r w:rsidR="00527C70" w:rsidRPr="00B0361E">
        <w:rPr>
          <w:i/>
          <w:iCs/>
          <w:noProof/>
          <w:szCs w:val="24"/>
        </w:rPr>
        <w:t xml:space="preserve"> </w:t>
      </w:r>
      <w:r w:rsidR="00527C70" w:rsidRPr="00B0361E">
        <w:rPr>
          <w:noProof/>
          <w:szCs w:val="24"/>
        </w:rPr>
        <w:t>2028.</w:t>
      </w:r>
      <w:r w:rsidR="007D681B">
        <w:rPr>
          <w:noProof/>
          <w:szCs w:val="24"/>
        </w:rPr>
        <w:t> </w:t>
      </w:r>
      <w:r w:rsidR="00527C70" w:rsidRPr="00B0361E">
        <w:rPr>
          <w:noProof/>
          <w:szCs w:val="24"/>
        </w:rPr>
        <w:t>gadā par 31,6</w:t>
      </w:r>
      <w:r w:rsidR="007D681B">
        <w:rPr>
          <w:noProof/>
          <w:szCs w:val="24"/>
        </w:rPr>
        <w:t> </w:t>
      </w:r>
      <w:r w:rsidR="00527C70" w:rsidRPr="00B0361E">
        <w:rPr>
          <w:noProof/>
          <w:szCs w:val="24"/>
        </w:rPr>
        <w:t xml:space="preserve">milj. </w:t>
      </w:r>
      <w:r w:rsidR="00527C70" w:rsidRPr="00B0361E">
        <w:rPr>
          <w:i/>
          <w:iCs/>
          <w:noProof/>
          <w:szCs w:val="24"/>
        </w:rPr>
        <w:t xml:space="preserve">euro. </w:t>
      </w:r>
      <w:r w:rsidR="00527C70" w:rsidRPr="00B0361E">
        <w:rPr>
          <w:noProof/>
          <w:szCs w:val="24"/>
        </w:rPr>
        <w:t xml:space="preserve">Jāatzīmē, ka apakšsektoru dalījumā </w:t>
      </w:r>
      <w:r w:rsidR="002F40B1">
        <w:rPr>
          <w:noProof/>
          <w:szCs w:val="24"/>
        </w:rPr>
        <w:t xml:space="preserve">tieši </w:t>
      </w:r>
      <w:r w:rsidR="00527C70" w:rsidRPr="00B0361E">
        <w:rPr>
          <w:noProof/>
          <w:szCs w:val="24"/>
        </w:rPr>
        <w:t>centrālās valdības kontrolētie un finansētie pieklasificētie komersanti veido gan kopējo negatīvo ietekmi uz bilanci, gan arī pasliktinājumu pret Stabilitātes programmas prognozēm.</w:t>
      </w:r>
    </w:p>
    <w:p w14:paraId="6011C839" w14:textId="3233359F" w:rsidR="00CC4153" w:rsidRPr="00F97E35" w:rsidRDefault="00527C70" w:rsidP="00F97E35">
      <w:pPr>
        <w:pStyle w:val="ListParagraph"/>
        <w:spacing w:before="0" w:after="0"/>
        <w:ind w:left="1080" w:firstLine="0"/>
        <w:contextualSpacing w:val="0"/>
        <w:rPr>
          <w:rFonts w:eastAsia="Calibri"/>
          <w:b/>
          <w:i/>
          <w:noProof/>
        </w:rPr>
      </w:pPr>
      <w:r w:rsidRPr="00F97E35">
        <w:rPr>
          <w:noProof/>
          <w:color w:val="000000" w:themeColor="text1"/>
        </w:rPr>
        <w:t xml:space="preserve">Prognozēs pie nemainīgas politikas ir iestrādās pieklasificēto komersantu aplēses, kādas tās ir iesniegtas šā gada jūnijā/jūlijā Finanšu ministrijā, tajā skaitā VAS “Latvijas dzelzceļš” un AS “Pasažieru vilciens” anketas par plānoto saimniecisko un finanšu darbību vidējā termiņā. Šo </w:t>
      </w:r>
      <w:r w:rsidR="00442597" w:rsidRPr="00F97E35">
        <w:rPr>
          <w:noProof/>
          <w:color w:val="000000" w:themeColor="text1"/>
        </w:rPr>
        <w:t xml:space="preserve">divu </w:t>
      </w:r>
      <w:r w:rsidRPr="00F97E35">
        <w:rPr>
          <w:noProof/>
          <w:color w:val="000000" w:themeColor="text1"/>
        </w:rPr>
        <w:t xml:space="preserve">komersanu prognozētā ietekme uz vispārējās valdības budžeta bilanci kādā no gadiem vai abos gados pārsniedz likumā </w:t>
      </w:r>
      <w:r w:rsidRPr="000208FE">
        <w:rPr>
          <w:noProof/>
        </w:rPr>
        <w:t xml:space="preserve"> “Par valsts budžetu 2024. gadam un budžeta ietvaru 2024., 2025. un 2026. gadam” 19. pantā</w:t>
      </w:r>
      <w:r>
        <w:rPr>
          <w:noProof/>
        </w:rPr>
        <w:t xml:space="preserve"> </w:t>
      </w:r>
      <w:r w:rsidRPr="000208FE">
        <w:rPr>
          <w:noProof/>
        </w:rPr>
        <w:t>noteikto robežvērtību, kā rezultātā minēto komersantu kapitāla daļu turētājiem ir pienākums saņemt Ministru kabineta piekrišanu negatīvās ietekmes pārsniegšanai 2025. un 2026. gadam.</w:t>
      </w:r>
    </w:p>
    <w:p w14:paraId="5184AF03" w14:textId="77777777" w:rsidR="00C71FAC" w:rsidRPr="00CA2430" w:rsidRDefault="00C71FAC" w:rsidP="00CC4153">
      <w:pPr>
        <w:rPr>
          <w:noProof/>
          <w:color w:val="000000" w:themeColor="text1"/>
        </w:rPr>
      </w:pPr>
    </w:p>
    <w:p w14:paraId="29FED04E" w14:textId="09927F69" w:rsidR="00D8549C" w:rsidRPr="00CA2430" w:rsidRDefault="00D8549C" w:rsidP="0065343A">
      <w:pPr>
        <w:spacing w:after="0"/>
        <w:ind w:firstLine="0"/>
        <w:rPr>
          <w:b/>
          <w:noProof/>
          <w:color w:val="000000" w:themeColor="text1"/>
          <w:highlight w:val="yellow"/>
        </w:rPr>
      </w:pPr>
    </w:p>
    <w:p w14:paraId="7F4ED4E7" w14:textId="77777777" w:rsidR="0065343A" w:rsidRPr="00CA2430" w:rsidRDefault="0065343A" w:rsidP="00D76DDA">
      <w:pPr>
        <w:ind w:left="720" w:hanging="720"/>
        <w:jc w:val="center"/>
        <w:rPr>
          <w:rFonts w:eastAsia="Calibri" w:cs="Times New Roman"/>
          <w:b/>
          <w:noProof/>
          <w:szCs w:val="24"/>
          <w:highlight w:val="yellow"/>
        </w:rPr>
      </w:pPr>
    </w:p>
    <w:p w14:paraId="0A817AFA" w14:textId="77777777" w:rsidR="00A03165" w:rsidRPr="00CA2430" w:rsidRDefault="00A03165" w:rsidP="00D76DDA">
      <w:pPr>
        <w:ind w:left="720" w:hanging="720"/>
        <w:jc w:val="center"/>
        <w:rPr>
          <w:rFonts w:eastAsia="Calibri" w:cs="Times New Roman"/>
          <w:b/>
          <w:noProof/>
          <w:szCs w:val="24"/>
          <w:highlight w:val="yellow"/>
        </w:rPr>
      </w:pPr>
    </w:p>
    <w:p w14:paraId="3050B4FD" w14:textId="3062F1C9" w:rsidR="003B1933" w:rsidRPr="00CA2430" w:rsidRDefault="006A7261" w:rsidP="00931115">
      <w:pPr>
        <w:pStyle w:val="Heading1"/>
        <w:ind w:left="360"/>
        <w:rPr>
          <w:noProof/>
          <w:sz w:val="28"/>
          <w:szCs w:val="28"/>
        </w:rPr>
      </w:pPr>
      <w:bookmarkStart w:id="9" w:name="_Toc48048101"/>
      <w:r w:rsidRPr="00CA2430">
        <w:rPr>
          <w:noProof/>
          <w:sz w:val="28"/>
          <w:szCs w:val="28"/>
          <w:highlight w:val="yellow"/>
        </w:rPr>
        <w:br w:type="page"/>
      </w:r>
      <w:bookmarkStart w:id="10" w:name="_Toc174017001"/>
      <w:r w:rsidR="003B1933" w:rsidRPr="00CA2430">
        <w:rPr>
          <w:noProof/>
          <w:sz w:val="28"/>
          <w:szCs w:val="28"/>
        </w:rPr>
        <w:lastRenderedPageBreak/>
        <w:t>Vispārējās valdības parāda prognoze 2024.-202</w:t>
      </w:r>
      <w:r w:rsidR="008E0FFD" w:rsidRPr="00CA2430">
        <w:rPr>
          <w:noProof/>
          <w:sz w:val="28"/>
          <w:szCs w:val="28"/>
        </w:rPr>
        <w:t>8.</w:t>
      </w:r>
      <w:r w:rsidR="003B1933" w:rsidRPr="00CA2430">
        <w:rPr>
          <w:noProof/>
          <w:sz w:val="28"/>
          <w:szCs w:val="28"/>
        </w:rPr>
        <w:t> gadam</w:t>
      </w:r>
      <w:bookmarkEnd w:id="10"/>
    </w:p>
    <w:p w14:paraId="3604F53B" w14:textId="0717E152" w:rsidR="008E0FFD" w:rsidRPr="00CA2430" w:rsidRDefault="008E0FFD" w:rsidP="008E0FFD">
      <w:pPr>
        <w:rPr>
          <w:rFonts w:eastAsia="Calibri" w:cs="Times New Roman"/>
          <w:noProof/>
          <w:color w:val="000000"/>
          <w:szCs w:val="24"/>
        </w:rPr>
      </w:pPr>
      <w:r w:rsidRPr="00CA2430">
        <w:rPr>
          <w:rFonts w:eastAsia="Calibri" w:cs="Times New Roman"/>
          <w:noProof/>
          <w:color w:val="000000"/>
          <w:szCs w:val="24"/>
        </w:rPr>
        <w:t>Vispārējās valdības parāda prognoze sagatavota, ņemot vērā aktualizētās valsts budžeta finansiālās bilances prognozes pie nemainīgas valdības politikas, kā arī aktualizētas IKP prognozes</w:t>
      </w:r>
      <w:r w:rsidR="00674C1C" w:rsidRPr="00CA2430">
        <w:rPr>
          <w:rFonts w:eastAsia="Calibri" w:cs="Times New Roman"/>
          <w:noProof/>
          <w:color w:val="000000"/>
          <w:szCs w:val="24"/>
        </w:rPr>
        <w:t xml:space="preserve"> faktiskajās cenās</w:t>
      </w:r>
      <w:r w:rsidRPr="00CA2430">
        <w:rPr>
          <w:rFonts w:eastAsia="Calibri" w:cs="Times New Roman"/>
          <w:noProof/>
          <w:color w:val="000000"/>
          <w:szCs w:val="24"/>
        </w:rPr>
        <w:t xml:space="preserve">. </w:t>
      </w:r>
    </w:p>
    <w:p w14:paraId="7740B2A5" w14:textId="6BA305C6" w:rsidR="008E0FFD" w:rsidRPr="00CA2430" w:rsidRDefault="008E0FFD" w:rsidP="008E0FFD">
      <w:pPr>
        <w:rPr>
          <w:rFonts w:eastAsia="Calibri" w:cs="Times New Roman"/>
          <w:noProof/>
          <w:color w:val="000000"/>
          <w:szCs w:val="24"/>
        </w:rPr>
      </w:pPr>
      <w:r w:rsidRPr="00CA2430">
        <w:rPr>
          <w:rFonts w:eastAsia="Calibri" w:cs="Times New Roman"/>
          <w:noProof/>
          <w:color w:val="000000"/>
          <w:szCs w:val="24"/>
        </w:rPr>
        <w:t xml:space="preserve">Vispārējās valdības parāda prognoze 2024.-2028. gadam ir </w:t>
      </w:r>
      <w:r w:rsidR="00674C1C" w:rsidRPr="00CA2430">
        <w:rPr>
          <w:rFonts w:eastAsia="Calibri" w:cs="Times New Roman"/>
          <w:noProof/>
          <w:color w:val="000000"/>
          <w:szCs w:val="24"/>
        </w:rPr>
        <w:t>paaugstināta</w:t>
      </w:r>
      <w:r w:rsidRPr="00CA2430">
        <w:rPr>
          <w:rFonts w:eastAsia="Calibri" w:cs="Times New Roman"/>
          <w:noProof/>
          <w:color w:val="000000"/>
          <w:szCs w:val="24"/>
        </w:rPr>
        <w:t xml:space="preserve">, salīdzinot ar 2024.-2028.gada Stabilitātes programmas prognozi (skat. </w:t>
      </w:r>
      <w:r w:rsidR="00550DCC" w:rsidRPr="00CA2430">
        <w:rPr>
          <w:rFonts w:eastAsia="Calibri" w:cs="Times New Roman"/>
          <w:noProof/>
          <w:color w:val="000000"/>
          <w:szCs w:val="24"/>
        </w:rPr>
        <w:t>4</w:t>
      </w:r>
      <w:r w:rsidRPr="00CA2430">
        <w:rPr>
          <w:rFonts w:eastAsia="Calibri" w:cs="Times New Roman"/>
          <w:noProof/>
          <w:color w:val="000000"/>
          <w:szCs w:val="24"/>
        </w:rPr>
        <w:t xml:space="preserve">. tabulu). </w:t>
      </w:r>
    </w:p>
    <w:p w14:paraId="08125875" w14:textId="4B34710C" w:rsidR="008E0FFD" w:rsidRPr="00CA2430" w:rsidRDefault="00550DCC" w:rsidP="008E0FFD">
      <w:pPr>
        <w:ind w:left="720" w:hanging="720"/>
        <w:jc w:val="center"/>
        <w:rPr>
          <w:rFonts w:eastAsia="Calibri" w:cs="Times New Roman"/>
          <w:b/>
          <w:bCs/>
          <w:noProof/>
          <w:szCs w:val="24"/>
        </w:rPr>
      </w:pPr>
      <w:r w:rsidRPr="00CA2430">
        <w:rPr>
          <w:rFonts w:eastAsia="Calibri" w:cs="Times New Roman"/>
          <w:b/>
          <w:bCs/>
          <w:noProof/>
          <w:szCs w:val="24"/>
        </w:rPr>
        <w:t>4</w:t>
      </w:r>
      <w:r w:rsidR="008E0FFD" w:rsidRPr="00CA2430">
        <w:rPr>
          <w:rFonts w:eastAsia="Calibri" w:cs="Times New Roman"/>
          <w:b/>
          <w:bCs/>
          <w:noProof/>
          <w:szCs w:val="24"/>
        </w:rPr>
        <w:t xml:space="preserve">. tabula. Vispārējās valdības parāda prognožu salīdzinājums, % no IKP </w:t>
      </w:r>
    </w:p>
    <w:tbl>
      <w:tblPr>
        <w:tblW w:w="9105" w:type="dxa"/>
        <w:tblLook w:val="04A0" w:firstRow="1" w:lastRow="0" w:firstColumn="1" w:lastColumn="0" w:noHBand="0" w:noVBand="1"/>
      </w:tblPr>
      <w:tblGrid>
        <w:gridCol w:w="3256"/>
        <w:gridCol w:w="992"/>
        <w:gridCol w:w="992"/>
        <w:gridCol w:w="992"/>
        <w:gridCol w:w="993"/>
        <w:gridCol w:w="992"/>
        <w:gridCol w:w="888"/>
      </w:tblGrid>
      <w:tr w:rsidR="008E0FFD" w:rsidRPr="00CA2430" w14:paraId="4B0C7386" w14:textId="77777777" w:rsidTr="00E1329A">
        <w:trPr>
          <w:trHeight w:val="300"/>
        </w:trPr>
        <w:tc>
          <w:tcPr>
            <w:tcW w:w="3256" w:type="dxa"/>
            <w:vMerge w:val="restart"/>
            <w:tcBorders>
              <w:top w:val="single" w:sz="4" w:space="0" w:color="auto"/>
              <w:left w:val="single" w:sz="4" w:space="0" w:color="auto"/>
              <w:bottom w:val="single" w:sz="4" w:space="0" w:color="000000"/>
              <w:right w:val="single" w:sz="4" w:space="0" w:color="auto"/>
            </w:tcBorders>
            <w:noWrap/>
            <w:vAlign w:val="center"/>
            <w:hideMark/>
          </w:tcPr>
          <w:p w14:paraId="42D8455D" w14:textId="77777777" w:rsidR="008E0FFD" w:rsidRPr="00CA2430" w:rsidRDefault="008E0FFD" w:rsidP="00E1329A">
            <w:pPr>
              <w:spacing w:before="0" w:after="0"/>
              <w:ind w:firstLine="0"/>
              <w:jc w:val="center"/>
              <w:rPr>
                <w:rFonts w:eastAsia="Times New Roman" w:cs="Times New Roman"/>
                <w:noProof/>
                <w:sz w:val="22"/>
                <w:lang w:eastAsia="lv-LV"/>
              </w:rPr>
            </w:pPr>
          </w:p>
        </w:tc>
        <w:tc>
          <w:tcPr>
            <w:tcW w:w="992" w:type="dxa"/>
            <w:tcBorders>
              <w:top w:val="single" w:sz="4" w:space="0" w:color="auto"/>
              <w:left w:val="nil"/>
              <w:bottom w:val="single" w:sz="4" w:space="0" w:color="auto"/>
              <w:right w:val="single" w:sz="4" w:space="0" w:color="auto"/>
            </w:tcBorders>
            <w:noWrap/>
            <w:vAlign w:val="center"/>
            <w:hideMark/>
          </w:tcPr>
          <w:p w14:paraId="7DE9D7D9"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b/>
                <w:bCs/>
                <w:noProof/>
                <w:sz w:val="20"/>
                <w:szCs w:val="20"/>
                <w:lang w:eastAsia="lv-LV"/>
              </w:rPr>
              <w:t>2023</w:t>
            </w:r>
          </w:p>
        </w:tc>
        <w:tc>
          <w:tcPr>
            <w:tcW w:w="99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F0AA296"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b/>
                <w:bCs/>
                <w:noProof/>
                <w:sz w:val="20"/>
                <w:szCs w:val="20"/>
                <w:lang w:eastAsia="lv-LV"/>
              </w:rPr>
              <w:t>2024</w:t>
            </w:r>
          </w:p>
        </w:tc>
        <w:tc>
          <w:tcPr>
            <w:tcW w:w="992"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60C069F"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b/>
                <w:bCs/>
                <w:noProof/>
                <w:sz w:val="20"/>
                <w:szCs w:val="20"/>
                <w:lang w:eastAsia="lv-LV"/>
              </w:rPr>
              <w:t>2025</w:t>
            </w:r>
          </w:p>
        </w:tc>
        <w:tc>
          <w:tcPr>
            <w:tcW w:w="993"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3666C918"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b/>
                <w:bCs/>
                <w:noProof/>
                <w:sz w:val="20"/>
                <w:szCs w:val="20"/>
                <w:lang w:eastAsia="lv-LV"/>
              </w:rPr>
              <w:t>2026</w:t>
            </w:r>
          </w:p>
        </w:tc>
        <w:tc>
          <w:tcPr>
            <w:tcW w:w="992"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03D7490"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b/>
                <w:bCs/>
                <w:noProof/>
                <w:sz w:val="20"/>
                <w:szCs w:val="20"/>
                <w:lang w:eastAsia="lv-LV"/>
              </w:rPr>
              <w:t>2027</w:t>
            </w:r>
          </w:p>
        </w:tc>
        <w:tc>
          <w:tcPr>
            <w:tcW w:w="888"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0AD7FCB" w14:textId="77777777" w:rsidR="008E0FFD" w:rsidRPr="00CA2430" w:rsidRDefault="008E0FFD" w:rsidP="00E1329A">
            <w:pPr>
              <w:spacing w:before="0" w:after="0"/>
              <w:ind w:firstLine="0"/>
              <w:jc w:val="center"/>
              <w:rPr>
                <w:rFonts w:eastAsia="Times New Roman" w:cs="Times New Roman"/>
                <w:b/>
                <w:bCs/>
                <w:noProof/>
                <w:sz w:val="20"/>
                <w:szCs w:val="20"/>
                <w:lang w:eastAsia="lv-LV"/>
              </w:rPr>
            </w:pPr>
            <w:r w:rsidRPr="00CA2430">
              <w:rPr>
                <w:rFonts w:eastAsia="Times New Roman" w:cs="Times New Roman"/>
                <w:b/>
                <w:bCs/>
                <w:noProof/>
                <w:sz w:val="20"/>
                <w:szCs w:val="20"/>
                <w:lang w:eastAsia="lv-LV"/>
              </w:rPr>
              <w:t>2028</w:t>
            </w:r>
          </w:p>
        </w:tc>
      </w:tr>
      <w:tr w:rsidR="008E0FFD" w:rsidRPr="00CA2430" w14:paraId="1C512F3D" w14:textId="77777777" w:rsidTr="00E1329A">
        <w:trPr>
          <w:trHeight w:val="300"/>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37B8C15C" w14:textId="77777777" w:rsidR="008E0FFD" w:rsidRPr="00CA2430" w:rsidRDefault="008E0FFD" w:rsidP="00E1329A">
            <w:pPr>
              <w:spacing w:before="0" w:after="0"/>
              <w:ind w:firstLine="0"/>
              <w:jc w:val="left"/>
              <w:rPr>
                <w:rFonts w:eastAsia="Times New Roman" w:cs="Times New Roman"/>
                <w:noProof/>
                <w:sz w:val="22"/>
                <w:lang w:eastAsia="lv-LV"/>
              </w:rPr>
            </w:pPr>
          </w:p>
        </w:tc>
        <w:tc>
          <w:tcPr>
            <w:tcW w:w="992" w:type="dxa"/>
            <w:tcBorders>
              <w:top w:val="nil"/>
              <w:left w:val="nil"/>
              <w:bottom w:val="single" w:sz="4" w:space="0" w:color="auto"/>
              <w:right w:val="single" w:sz="4" w:space="0" w:color="auto"/>
            </w:tcBorders>
            <w:noWrap/>
            <w:vAlign w:val="center"/>
            <w:hideMark/>
          </w:tcPr>
          <w:p w14:paraId="45DEAC8E" w14:textId="64E4B476" w:rsidR="008E0FFD" w:rsidRPr="00CA2430" w:rsidRDefault="00674C1C"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F</w:t>
            </w:r>
            <w:r w:rsidR="008E0FFD" w:rsidRPr="00CA2430">
              <w:rPr>
                <w:rFonts w:eastAsia="Times New Roman" w:cs="Times New Roman"/>
                <w:noProof/>
                <w:sz w:val="20"/>
                <w:szCs w:val="20"/>
                <w:lang w:eastAsia="lv-LV"/>
              </w:rPr>
              <w:t>akts</w:t>
            </w:r>
          </w:p>
        </w:tc>
        <w:tc>
          <w:tcPr>
            <w:tcW w:w="4857" w:type="dxa"/>
            <w:gridSpan w:val="5"/>
            <w:tcBorders>
              <w:top w:val="nil"/>
              <w:left w:val="nil"/>
              <w:bottom w:val="single" w:sz="4" w:space="0" w:color="auto"/>
              <w:right w:val="single" w:sz="4" w:space="0" w:color="auto"/>
            </w:tcBorders>
            <w:shd w:val="clear" w:color="auto" w:fill="BDD6EE" w:themeFill="accent1" w:themeFillTint="66"/>
            <w:noWrap/>
            <w:vAlign w:val="center"/>
            <w:hideMark/>
          </w:tcPr>
          <w:p w14:paraId="0A8E9E07" w14:textId="5EFAD2D7" w:rsidR="008E0FFD" w:rsidRPr="00CA2430" w:rsidRDefault="00674C1C" w:rsidP="00E1329A">
            <w:pPr>
              <w:pStyle w:val="ListParagraph"/>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P</w:t>
            </w:r>
            <w:r w:rsidR="008E0FFD" w:rsidRPr="00CA2430">
              <w:rPr>
                <w:rFonts w:eastAsia="Times New Roman" w:cs="Times New Roman"/>
                <w:noProof/>
                <w:sz w:val="20"/>
                <w:szCs w:val="20"/>
                <w:lang w:eastAsia="lv-LV"/>
              </w:rPr>
              <w:t>rognoze</w:t>
            </w:r>
          </w:p>
        </w:tc>
      </w:tr>
      <w:tr w:rsidR="008E0FFD" w:rsidRPr="00CA2430" w14:paraId="7CEA35DD" w14:textId="77777777" w:rsidTr="00674C1C">
        <w:trPr>
          <w:trHeight w:val="359"/>
        </w:trPr>
        <w:tc>
          <w:tcPr>
            <w:tcW w:w="3256" w:type="dxa"/>
            <w:tcBorders>
              <w:top w:val="nil"/>
              <w:left w:val="single" w:sz="4" w:space="0" w:color="auto"/>
              <w:bottom w:val="single" w:sz="4" w:space="0" w:color="auto"/>
              <w:right w:val="single" w:sz="4" w:space="0" w:color="auto"/>
            </w:tcBorders>
            <w:hideMark/>
          </w:tcPr>
          <w:p w14:paraId="6D2CF859" w14:textId="16FFF2EF" w:rsidR="008E0FFD" w:rsidRPr="00CA2430" w:rsidRDefault="008E0FFD" w:rsidP="00674C1C">
            <w:pPr>
              <w:spacing w:before="0" w:after="0"/>
              <w:ind w:firstLine="0"/>
              <w:jc w:val="left"/>
              <w:rPr>
                <w:rFonts w:eastAsia="Times New Roman" w:cs="Times New Roman"/>
                <w:noProof/>
                <w:sz w:val="20"/>
                <w:szCs w:val="20"/>
                <w:lang w:eastAsia="lv-LV"/>
              </w:rPr>
            </w:pPr>
            <w:r w:rsidRPr="00CA2430">
              <w:rPr>
                <w:rFonts w:eastAsia="Times New Roman" w:cs="Times New Roman"/>
                <w:noProof/>
                <w:sz w:val="20"/>
                <w:szCs w:val="20"/>
                <w:lang w:eastAsia="lv-LV"/>
              </w:rPr>
              <w:t>Stabilitātes programma 2024-2028</w:t>
            </w:r>
          </w:p>
        </w:tc>
        <w:tc>
          <w:tcPr>
            <w:tcW w:w="992" w:type="dxa"/>
            <w:tcBorders>
              <w:top w:val="nil"/>
              <w:left w:val="nil"/>
              <w:bottom w:val="single" w:sz="4" w:space="0" w:color="auto"/>
              <w:right w:val="single" w:sz="4" w:space="0" w:color="auto"/>
            </w:tcBorders>
            <w:noWrap/>
            <w:hideMark/>
          </w:tcPr>
          <w:p w14:paraId="71406AA3"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43,6%</w:t>
            </w: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4F47D63E"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45,2%</w:t>
            </w: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11F2D913"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46,3%</w:t>
            </w:r>
          </w:p>
        </w:tc>
        <w:tc>
          <w:tcPr>
            <w:tcW w:w="993" w:type="dxa"/>
            <w:tcBorders>
              <w:top w:val="nil"/>
              <w:left w:val="nil"/>
              <w:bottom w:val="single" w:sz="4" w:space="0" w:color="auto"/>
              <w:right w:val="single" w:sz="4" w:space="0" w:color="auto"/>
            </w:tcBorders>
            <w:shd w:val="clear" w:color="auto" w:fill="BDD6EE" w:themeFill="accent1" w:themeFillTint="66"/>
            <w:noWrap/>
            <w:hideMark/>
          </w:tcPr>
          <w:p w14:paraId="2C7E6B7F"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46,2%</w:t>
            </w: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08EEA674"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48,8%</w:t>
            </w:r>
          </w:p>
        </w:tc>
        <w:tc>
          <w:tcPr>
            <w:tcW w:w="888" w:type="dxa"/>
            <w:tcBorders>
              <w:top w:val="nil"/>
              <w:left w:val="nil"/>
              <w:bottom w:val="single" w:sz="4" w:space="0" w:color="auto"/>
              <w:right w:val="single" w:sz="4" w:space="0" w:color="auto"/>
            </w:tcBorders>
            <w:shd w:val="clear" w:color="auto" w:fill="BDD6EE" w:themeFill="accent1" w:themeFillTint="66"/>
          </w:tcPr>
          <w:p w14:paraId="46747646"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48,2%</w:t>
            </w:r>
          </w:p>
        </w:tc>
      </w:tr>
      <w:tr w:rsidR="008E0FFD" w:rsidRPr="00CA2430" w14:paraId="36A27BB7" w14:textId="77777777" w:rsidTr="00E1329A">
        <w:trPr>
          <w:trHeight w:val="300"/>
        </w:trPr>
        <w:tc>
          <w:tcPr>
            <w:tcW w:w="3256" w:type="dxa"/>
            <w:tcBorders>
              <w:top w:val="nil"/>
              <w:left w:val="single" w:sz="4" w:space="0" w:color="auto"/>
              <w:bottom w:val="nil"/>
              <w:right w:val="single" w:sz="4" w:space="0" w:color="auto"/>
            </w:tcBorders>
            <w:noWrap/>
            <w:hideMark/>
          </w:tcPr>
          <w:p w14:paraId="402168B4" w14:textId="77777777" w:rsidR="008E0FFD" w:rsidRPr="00CA2430" w:rsidRDefault="008E0FFD" w:rsidP="00E1329A">
            <w:pPr>
              <w:spacing w:before="0" w:after="0"/>
              <w:ind w:firstLine="0"/>
              <w:jc w:val="left"/>
              <w:rPr>
                <w:rFonts w:eastAsia="Times New Roman" w:cs="Times New Roman"/>
                <w:noProof/>
                <w:sz w:val="20"/>
                <w:szCs w:val="20"/>
                <w:lang w:eastAsia="lv-LV"/>
              </w:rPr>
            </w:pPr>
            <w:r w:rsidRPr="00CA2430">
              <w:rPr>
                <w:rFonts w:eastAsia="Times New Roman" w:cs="Times New Roman"/>
                <w:noProof/>
                <w:sz w:val="20"/>
                <w:szCs w:val="20"/>
                <w:lang w:eastAsia="lv-LV"/>
              </w:rPr>
              <w:t>Aktuālais bāzes scenārijs</w:t>
            </w:r>
          </w:p>
        </w:tc>
        <w:tc>
          <w:tcPr>
            <w:tcW w:w="992" w:type="dxa"/>
            <w:tcBorders>
              <w:top w:val="nil"/>
              <w:left w:val="nil"/>
              <w:bottom w:val="nil"/>
              <w:right w:val="single" w:sz="4" w:space="0" w:color="auto"/>
            </w:tcBorders>
            <w:noWrap/>
            <w:hideMark/>
          </w:tcPr>
          <w:p w14:paraId="5CBAA053"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43,6%</w:t>
            </w:r>
          </w:p>
        </w:tc>
        <w:tc>
          <w:tcPr>
            <w:tcW w:w="992" w:type="dxa"/>
            <w:tcBorders>
              <w:top w:val="nil"/>
              <w:left w:val="nil"/>
              <w:bottom w:val="nil"/>
              <w:right w:val="single" w:sz="4" w:space="0" w:color="auto"/>
            </w:tcBorders>
            <w:shd w:val="clear" w:color="auto" w:fill="BDD6EE" w:themeFill="accent1" w:themeFillTint="66"/>
            <w:noWrap/>
            <w:hideMark/>
          </w:tcPr>
          <w:p w14:paraId="7EA56F4F"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45,8%</w:t>
            </w:r>
          </w:p>
        </w:tc>
        <w:tc>
          <w:tcPr>
            <w:tcW w:w="992" w:type="dxa"/>
            <w:tcBorders>
              <w:top w:val="nil"/>
              <w:left w:val="nil"/>
              <w:bottom w:val="nil"/>
              <w:right w:val="single" w:sz="4" w:space="0" w:color="auto"/>
            </w:tcBorders>
            <w:shd w:val="clear" w:color="auto" w:fill="BDD6EE" w:themeFill="accent1" w:themeFillTint="66"/>
            <w:noWrap/>
            <w:hideMark/>
          </w:tcPr>
          <w:p w14:paraId="2BAC1DC4"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46,8%</w:t>
            </w:r>
          </w:p>
        </w:tc>
        <w:tc>
          <w:tcPr>
            <w:tcW w:w="993" w:type="dxa"/>
            <w:tcBorders>
              <w:top w:val="nil"/>
              <w:left w:val="nil"/>
              <w:bottom w:val="nil"/>
              <w:right w:val="single" w:sz="4" w:space="0" w:color="auto"/>
            </w:tcBorders>
            <w:shd w:val="clear" w:color="auto" w:fill="BDD6EE" w:themeFill="accent1" w:themeFillTint="66"/>
            <w:noWrap/>
            <w:hideMark/>
          </w:tcPr>
          <w:p w14:paraId="04FEA99F"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47,0%</w:t>
            </w:r>
          </w:p>
        </w:tc>
        <w:tc>
          <w:tcPr>
            <w:tcW w:w="992" w:type="dxa"/>
            <w:tcBorders>
              <w:top w:val="nil"/>
              <w:left w:val="nil"/>
              <w:bottom w:val="nil"/>
              <w:right w:val="single" w:sz="4" w:space="0" w:color="auto"/>
            </w:tcBorders>
            <w:shd w:val="clear" w:color="auto" w:fill="BDD6EE" w:themeFill="accent1" w:themeFillTint="66"/>
            <w:noWrap/>
            <w:hideMark/>
          </w:tcPr>
          <w:p w14:paraId="38BDDBD4"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49,6%</w:t>
            </w:r>
          </w:p>
        </w:tc>
        <w:tc>
          <w:tcPr>
            <w:tcW w:w="888" w:type="dxa"/>
            <w:tcBorders>
              <w:top w:val="nil"/>
              <w:left w:val="nil"/>
              <w:bottom w:val="nil"/>
              <w:right w:val="single" w:sz="4" w:space="0" w:color="auto"/>
            </w:tcBorders>
            <w:shd w:val="clear" w:color="auto" w:fill="BDD6EE" w:themeFill="accent1" w:themeFillTint="66"/>
          </w:tcPr>
          <w:p w14:paraId="66A72E27" w14:textId="77777777" w:rsidR="008E0FFD" w:rsidRPr="00CA2430" w:rsidRDefault="008E0FFD" w:rsidP="00E1329A">
            <w:pPr>
              <w:spacing w:before="0" w:after="0"/>
              <w:ind w:firstLine="0"/>
              <w:jc w:val="center"/>
              <w:rPr>
                <w:rFonts w:eastAsia="Times New Roman" w:cs="Times New Roman"/>
                <w:noProof/>
                <w:sz w:val="20"/>
                <w:szCs w:val="20"/>
                <w:lang w:eastAsia="lv-LV"/>
              </w:rPr>
            </w:pPr>
            <w:r w:rsidRPr="00CA2430">
              <w:rPr>
                <w:rFonts w:eastAsia="Times New Roman" w:cs="Times New Roman"/>
                <w:noProof/>
                <w:sz w:val="20"/>
                <w:szCs w:val="20"/>
                <w:lang w:eastAsia="lv-LV"/>
              </w:rPr>
              <w:t>48,9%</w:t>
            </w:r>
          </w:p>
        </w:tc>
      </w:tr>
      <w:tr w:rsidR="008E0FFD" w:rsidRPr="00CA2430" w14:paraId="46AA92EB" w14:textId="77777777" w:rsidTr="00E1329A">
        <w:trPr>
          <w:trHeight w:val="297"/>
        </w:trPr>
        <w:tc>
          <w:tcPr>
            <w:tcW w:w="3256" w:type="dxa"/>
            <w:tcBorders>
              <w:top w:val="nil"/>
              <w:left w:val="single" w:sz="4" w:space="0" w:color="auto"/>
              <w:bottom w:val="single" w:sz="4" w:space="0" w:color="auto"/>
              <w:right w:val="single" w:sz="4" w:space="0" w:color="auto"/>
            </w:tcBorders>
            <w:noWrap/>
            <w:hideMark/>
          </w:tcPr>
          <w:p w14:paraId="1270E464" w14:textId="77777777" w:rsidR="008E0FFD" w:rsidRPr="00CA2430" w:rsidRDefault="008E0FFD" w:rsidP="00E1329A">
            <w:pPr>
              <w:spacing w:before="0" w:after="0"/>
              <w:ind w:firstLine="0"/>
              <w:jc w:val="right"/>
              <w:rPr>
                <w:rFonts w:eastAsia="Times New Roman" w:cs="Times New Roman"/>
                <w:i/>
                <w:iCs/>
                <w:noProof/>
                <w:sz w:val="20"/>
                <w:szCs w:val="20"/>
                <w:lang w:eastAsia="lv-LV"/>
              </w:rPr>
            </w:pPr>
            <w:r w:rsidRPr="00CA2430">
              <w:rPr>
                <w:rFonts w:eastAsia="Times New Roman" w:cs="Times New Roman"/>
                <w:i/>
                <w:iCs/>
                <w:noProof/>
                <w:sz w:val="20"/>
                <w:szCs w:val="20"/>
                <w:lang w:eastAsia="lv-LV"/>
              </w:rPr>
              <w:t>samazinājums (-)/pieaugums (+)*</w:t>
            </w:r>
          </w:p>
        </w:tc>
        <w:tc>
          <w:tcPr>
            <w:tcW w:w="992" w:type="dxa"/>
            <w:tcBorders>
              <w:top w:val="nil"/>
              <w:left w:val="nil"/>
              <w:bottom w:val="single" w:sz="4" w:space="0" w:color="auto"/>
              <w:right w:val="single" w:sz="4" w:space="0" w:color="auto"/>
            </w:tcBorders>
            <w:noWrap/>
            <w:hideMark/>
          </w:tcPr>
          <w:p w14:paraId="0FF679B1" w14:textId="77777777" w:rsidR="008E0FFD" w:rsidRPr="00CA2430" w:rsidRDefault="008E0FFD" w:rsidP="00E1329A">
            <w:pPr>
              <w:spacing w:before="0" w:after="0"/>
              <w:ind w:firstLine="0"/>
              <w:jc w:val="center"/>
              <w:rPr>
                <w:rFonts w:eastAsia="Times New Roman" w:cs="Times New Roman"/>
                <w:i/>
                <w:iCs/>
                <w:noProof/>
                <w:sz w:val="20"/>
                <w:szCs w:val="20"/>
                <w:lang w:eastAsia="lv-LV"/>
              </w:rPr>
            </w:pP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7DA738F7" w14:textId="363C4E64" w:rsidR="008E0FFD" w:rsidRPr="00CA2430" w:rsidRDefault="008E0FFD" w:rsidP="00E1329A">
            <w:pPr>
              <w:spacing w:before="0" w:after="0"/>
              <w:ind w:firstLine="0"/>
              <w:jc w:val="center"/>
              <w:rPr>
                <w:rFonts w:eastAsia="Times New Roman" w:cs="Times New Roman"/>
                <w:i/>
                <w:iCs/>
                <w:noProof/>
                <w:sz w:val="20"/>
                <w:szCs w:val="20"/>
                <w:lang w:eastAsia="lv-LV"/>
              </w:rPr>
            </w:pPr>
            <w:r w:rsidRPr="00CA2430">
              <w:rPr>
                <w:rFonts w:eastAsia="Times New Roman" w:cs="Times New Roman"/>
                <w:i/>
                <w:iCs/>
                <w:noProof/>
                <w:sz w:val="20"/>
                <w:szCs w:val="20"/>
                <w:lang w:eastAsia="lv-LV"/>
              </w:rPr>
              <w:t>0,7</w:t>
            </w:r>
            <w:r w:rsidR="00674C1C" w:rsidRPr="00CA2430">
              <w:rPr>
                <w:rFonts w:eastAsia="Times New Roman" w:cs="Times New Roman"/>
                <w:i/>
                <w:iCs/>
                <w:noProof/>
                <w:sz w:val="20"/>
                <w:szCs w:val="20"/>
                <w:lang w:eastAsia="lv-LV"/>
              </w:rPr>
              <w:t>pp</w:t>
            </w: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13414861" w14:textId="3DC7C1DF" w:rsidR="008E0FFD" w:rsidRPr="00CA2430" w:rsidRDefault="008E0FFD" w:rsidP="00E1329A">
            <w:pPr>
              <w:spacing w:before="0" w:after="0"/>
              <w:ind w:firstLine="0"/>
              <w:jc w:val="center"/>
              <w:rPr>
                <w:rFonts w:eastAsia="Times New Roman" w:cs="Times New Roman"/>
                <w:i/>
                <w:iCs/>
                <w:noProof/>
                <w:sz w:val="20"/>
                <w:szCs w:val="20"/>
                <w:lang w:eastAsia="lv-LV"/>
              </w:rPr>
            </w:pPr>
            <w:r w:rsidRPr="00CA2430">
              <w:rPr>
                <w:rFonts w:eastAsia="Times New Roman" w:cs="Times New Roman"/>
                <w:i/>
                <w:iCs/>
                <w:noProof/>
                <w:sz w:val="20"/>
                <w:szCs w:val="20"/>
                <w:lang w:eastAsia="lv-LV"/>
              </w:rPr>
              <w:t>0,4</w:t>
            </w:r>
            <w:r w:rsidR="00674C1C" w:rsidRPr="00CA2430">
              <w:rPr>
                <w:rFonts w:eastAsia="Times New Roman" w:cs="Times New Roman"/>
                <w:i/>
                <w:iCs/>
                <w:noProof/>
                <w:sz w:val="20"/>
                <w:szCs w:val="20"/>
                <w:lang w:eastAsia="lv-LV"/>
              </w:rPr>
              <w:t>pp</w:t>
            </w:r>
          </w:p>
        </w:tc>
        <w:tc>
          <w:tcPr>
            <w:tcW w:w="993" w:type="dxa"/>
            <w:tcBorders>
              <w:top w:val="nil"/>
              <w:left w:val="nil"/>
              <w:bottom w:val="single" w:sz="4" w:space="0" w:color="auto"/>
              <w:right w:val="single" w:sz="4" w:space="0" w:color="auto"/>
            </w:tcBorders>
            <w:shd w:val="clear" w:color="auto" w:fill="BDD6EE" w:themeFill="accent1" w:themeFillTint="66"/>
            <w:noWrap/>
            <w:hideMark/>
          </w:tcPr>
          <w:p w14:paraId="4A827366" w14:textId="21E63F3F" w:rsidR="008E0FFD" w:rsidRPr="00CA2430" w:rsidRDefault="008E0FFD" w:rsidP="00E1329A">
            <w:pPr>
              <w:spacing w:before="0" w:after="0"/>
              <w:ind w:firstLine="0"/>
              <w:jc w:val="center"/>
              <w:rPr>
                <w:rFonts w:eastAsia="Times New Roman" w:cs="Times New Roman"/>
                <w:i/>
                <w:iCs/>
                <w:noProof/>
                <w:sz w:val="20"/>
                <w:szCs w:val="20"/>
                <w:lang w:eastAsia="lv-LV"/>
              </w:rPr>
            </w:pPr>
            <w:r w:rsidRPr="00CA2430">
              <w:rPr>
                <w:rFonts w:eastAsia="Times New Roman" w:cs="Times New Roman"/>
                <w:i/>
                <w:iCs/>
                <w:noProof/>
                <w:sz w:val="20"/>
                <w:szCs w:val="20"/>
                <w:lang w:eastAsia="lv-LV"/>
              </w:rPr>
              <w:t>0,7</w:t>
            </w:r>
            <w:r w:rsidR="00674C1C" w:rsidRPr="00CA2430">
              <w:rPr>
                <w:rFonts w:eastAsia="Times New Roman" w:cs="Times New Roman"/>
                <w:i/>
                <w:iCs/>
                <w:noProof/>
                <w:sz w:val="20"/>
                <w:szCs w:val="20"/>
                <w:lang w:eastAsia="lv-LV"/>
              </w:rPr>
              <w:t>pp</w:t>
            </w:r>
          </w:p>
        </w:tc>
        <w:tc>
          <w:tcPr>
            <w:tcW w:w="992" w:type="dxa"/>
            <w:tcBorders>
              <w:top w:val="nil"/>
              <w:left w:val="nil"/>
              <w:bottom w:val="single" w:sz="4" w:space="0" w:color="auto"/>
              <w:right w:val="single" w:sz="4" w:space="0" w:color="auto"/>
            </w:tcBorders>
            <w:shd w:val="clear" w:color="auto" w:fill="BDD6EE" w:themeFill="accent1" w:themeFillTint="66"/>
            <w:noWrap/>
            <w:hideMark/>
          </w:tcPr>
          <w:p w14:paraId="0991F8CF" w14:textId="3F6B7DDE" w:rsidR="008E0FFD" w:rsidRPr="00CA2430" w:rsidRDefault="008E0FFD" w:rsidP="00E1329A">
            <w:pPr>
              <w:spacing w:before="0" w:after="0"/>
              <w:ind w:firstLine="0"/>
              <w:jc w:val="center"/>
              <w:rPr>
                <w:rFonts w:eastAsia="Times New Roman" w:cs="Times New Roman"/>
                <w:i/>
                <w:iCs/>
                <w:noProof/>
                <w:sz w:val="20"/>
                <w:szCs w:val="20"/>
                <w:lang w:eastAsia="lv-LV"/>
              </w:rPr>
            </w:pPr>
            <w:r w:rsidRPr="00CA2430">
              <w:rPr>
                <w:rFonts w:eastAsia="Times New Roman" w:cs="Times New Roman"/>
                <w:i/>
                <w:iCs/>
                <w:noProof/>
                <w:sz w:val="20"/>
                <w:szCs w:val="20"/>
                <w:lang w:eastAsia="lv-LV"/>
              </w:rPr>
              <w:t>0,9</w:t>
            </w:r>
            <w:r w:rsidR="00674C1C" w:rsidRPr="00CA2430">
              <w:rPr>
                <w:rFonts w:eastAsia="Times New Roman" w:cs="Times New Roman"/>
                <w:i/>
                <w:iCs/>
                <w:noProof/>
                <w:sz w:val="20"/>
                <w:szCs w:val="20"/>
                <w:lang w:eastAsia="lv-LV"/>
              </w:rPr>
              <w:t>pp</w:t>
            </w:r>
          </w:p>
        </w:tc>
        <w:tc>
          <w:tcPr>
            <w:tcW w:w="888" w:type="dxa"/>
            <w:tcBorders>
              <w:top w:val="nil"/>
              <w:left w:val="nil"/>
              <w:bottom w:val="single" w:sz="4" w:space="0" w:color="auto"/>
              <w:right w:val="single" w:sz="4" w:space="0" w:color="auto"/>
            </w:tcBorders>
            <w:shd w:val="clear" w:color="auto" w:fill="BDD6EE" w:themeFill="accent1" w:themeFillTint="66"/>
          </w:tcPr>
          <w:p w14:paraId="4002CE21" w14:textId="4162D1D0" w:rsidR="008E0FFD" w:rsidRPr="00CA2430" w:rsidRDefault="008E0FFD" w:rsidP="00E1329A">
            <w:pPr>
              <w:spacing w:before="0" w:after="0"/>
              <w:ind w:firstLine="0"/>
              <w:jc w:val="center"/>
              <w:rPr>
                <w:rFonts w:eastAsia="Times New Roman" w:cs="Times New Roman"/>
                <w:i/>
                <w:iCs/>
                <w:noProof/>
                <w:sz w:val="20"/>
                <w:szCs w:val="20"/>
                <w:lang w:eastAsia="lv-LV"/>
              </w:rPr>
            </w:pPr>
            <w:r w:rsidRPr="00CA2430">
              <w:rPr>
                <w:rFonts w:eastAsia="Times New Roman" w:cs="Times New Roman"/>
                <w:i/>
                <w:iCs/>
                <w:noProof/>
                <w:sz w:val="20"/>
                <w:szCs w:val="20"/>
                <w:lang w:eastAsia="lv-LV"/>
              </w:rPr>
              <w:t>0,7</w:t>
            </w:r>
            <w:r w:rsidR="00674C1C" w:rsidRPr="00CA2430">
              <w:rPr>
                <w:rFonts w:eastAsia="Times New Roman" w:cs="Times New Roman"/>
                <w:i/>
                <w:iCs/>
                <w:noProof/>
                <w:sz w:val="20"/>
                <w:szCs w:val="20"/>
                <w:lang w:eastAsia="lv-LV"/>
              </w:rPr>
              <w:t>pp</w:t>
            </w:r>
          </w:p>
        </w:tc>
      </w:tr>
    </w:tbl>
    <w:p w14:paraId="18D30D6D" w14:textId="77777777" w:rsidR="008E0FFD" w:rsidRPr="007C2718" w:rsidRDefault="008E0FFD" w:rsidP="008E0FFD">
      <w:pPr>
        <w:spacing w:before="0"/>
        <w:ind w:firstLine="0"/>
        <w:rPr>
          <w:rFonts w:eastAsia="Calibri" w:cs="Times New Roman"/>
          <w:iCs/>
          <w:noProof/>
          <w:sz w:val="18"/>
          <w:szCs w:val="18"/>
        </w:rPr>
      </w:pPr>
      <w:r w:rsidRPr="007C2718">
        <w:rPr>
          <w:rFonts w:eastAsia="Calibri" w:cs="Times New Roman"/>
          <w:iCs/>
          <w:noProof/>
          <w:sz w:val="18"/>
          <w:szCs w:val="18"/>
        </w:rPr>
        <w:t xml:space="preserve">* salīdzinot ar Stabilitātes programmas 2024.-2028.gadam prognozi </w:t>
      </w:r>
    </w:p>
    <w:p w14:paraId="73B6D015" w14:textId="77777777" w:rsidR="008E0FFD" w:rsidRPr="00CA2430" w:rsidRDefault="008E0FFD" w:rsidP="008E0FFD">
      <w:pPr>
        <w:rPr>
          <w:rFonts w:eastAsia="Calibri" w:cs="Times New Roman"/>
          <w:noProof/>
          <w:color w:val="000000"/>
          <w:szCs w:val="24"/>
        </w:rPr>
      </w:pPr>
      <w:r w:rsidRPr="00CA2430">
        <w:rPr>
          <w:rFonts w:eastAsia="Calibri" w:cs="Times New Roman"/>
          <w:noProof/>
          <w:color w:val="000000"/>
          <w:szCs w:val="24"/>
        </w:rPr>
        <w:t>Izmaiņas noteica galvenokārt šādi faktori:</w:t>
      </w:r>
    </w:p>
    <w:p w14:paraId="4759AC64" w14:textId="612E2318" w:rsidR="008E0FFD" w:rsidRPr="00CA2430" w:rsidRDefault="008E0FFD" w:rsidP="00674C1C">
      <w:pPr>
        <w:pStyle w:val="ListParagraph"/>
        <w:numPr>
          <w:ilvl w:val="0"/>
          <w:numId w:val="36"/>
        </w:numPr>
        <w:rPr>
          <w:rFonts w:eastAsia="Calibri" w:cs="Times New Roman"/>
          <w:noProof/>
          <w:color w:val="000000"/>
          <w:szCs w:val="24"/>
        </w:rPr>
      </w:pPr>
      <w:r w:rsidRPr="00CA2430">
        <w:rPr>
          <w:rFonts w:eastAsia="Calibri" w:cs="Times New Roman"/>
          <w:noProof/>
          <w:color w:val="000000"/>
          <w:szCs w:val="24"/>
        </w:rPr>
        <w:t>lielāks prognozētais valsts budžeta deficīts vidējā termiņā, kā rezultātā tika pārskatīti aizņemšanās apjomi</w:t>
      </w:r>
      <w:r w:rsidR="00674C1C" w:rsidRPr="00CA2430">
        <w:rPr>
          <w:rFonts w:eastAsia="Calibri" w:cs="Times New Roman"/>
          <w:noProof/>
          <w:color w:val="000000"/>
          <w:szCs w:val="24"/>
        </w:rPr>
        <w:t>;</w:t>
      </w:r>
      <w:r w:rsidRPr="00CA2430">
        <w:rPr>
          <w:rFonts w:eastAsia="Calibri" w:cs="Times New Roman"/>
          <w:noProof/>
          <w:color w:val="000000"/>
          <w:szCs w:val="24"/>
        </w:rPr>
        <w:t xml:space="preserve"> </w:t>
      </w:r>
    </w:p>
    <w:p w14:paraId="56374E6B" w14:textId="5D93680A" w:rsidR="008E0FFD" w:rsidRPr="00CA2430" w:rsidRDefault="008E0FFD" w:rsidP="008E0FFD">
      <w:pPr>
        <w:pStyle w:val="ListParagraph"/>
        <w:numPr>
          <w:ilvl w:val="0"/>
          <w:numId w:val="36"/>
        </w:numPr>
        <w:rPr>
          <w:rFonts w:eastAsia="Calibri" w:cs="Times New Roman"/>
          <w:noProof/>
          <w:color w:val="000000"/>
          <w:szCs w:val="24"/>
        </w:rPr>
      </w:pPr>
      <w:r w:rsidRPr="00CA2430">
        <w:rPr>
          <w:rFonts w:eastAsia="Calibri" w:cs="Times New Roman"/>
          <w:noProof/>
          <w:color w:val="000000"/>
          <w:szCs w:val="24"/>
        </w:rPr>
        <w:t>aktualizētās IKP prognozes, atbilstoši kurām nominālais IKP apjoms 2024.-2026. gadā ir mazāks, salīdzinot ar Stabilitātes programmas prognozi, kas tādējādi ietekmēja vispārējās valdības parāda līmeņu nelielu palielināšanos attiecībā pret IKP vidējā termiņā</w:t>
      </w:r>
      <w:r w:rsidR="00674C1C" w:rsidRPr="00CA2430">
        <w:rPr>
          <w:rFonts w:eastAsia="Calibri" w:cs="Times New Roman"/>
          <w:noProof/>
          <w:color w:val="000000"/>
          <w:szCs w:val="24"/>
        </w:rPr>
        <w:t>;</w:t>
      </w:r>
    </w:p>
    <w:p w14:paraId="22C853C3" w14:textId="77777777" w:rsidR="008E0FFD" w:rsidRPr="00CA2430" w:rsidRDefault="008E0FFD" w:rsidP="008E0FFD">
      <w:pPr>
        <w:pStyle w:val="ListParagraph"/>
        <w:numPr>
          <w:ilvl w:val="0"/>
          <w:numId w:val="36"/>
        </w:numPr>
        <w:rPr>
          <w:rFonts w:eastAsia="Calibri" w:cs="Times New Roman"/>
          <w:noProof/>
          <w:color w:val="000000"/>
          <w:szCs w:val="24"/>
        </w:rPr>
      </w:pPr>
      <w:r w:rsidRPr="00CA2430">
        <w:rPr>
          <w:rFonts w:eastAsia="Calibri" w:cs="Times New Roman"/>
          <w:noProof/>
          <w:color w:val="000000"/>
          <w:szCs w:val="24"/>
        </w:rPr>
        <w:t>vispārējās valdības sektora pieklasificēto komersantu prognozētās parādsaistības, kuras ir lielākas nekā Stabilitātes programmas sagatavošanai iesniegtās prognozes.</w:t>
      </w:r>
    </w:p>
    <w:p w14:paraId="7A422119" w14:textId="0B38C0F9" w:rsidR="008E0FFD" w:rsidRPr="00CA2430" w:rsidRDefault="008E0FFD" w:rsidP="008E0FFD">
      <w:pPr>
        <w:rPr>
          <w:rFonts w:eastAsia="Calibri" w:cs="Times New Roman"/>
          <w:noProof/>
          <w:color w:val="000000"/>
          <w:szCs w:val="24"/>
        </w:rPr>
      </w:pPr>
      <w:r w:rsidRPr="00CA2430">
        <w:rPr>
          <w:rFonts w:eastAsia="Calibri" w:cs="Times New Roman"/>
          <w:noProof/>
          <w:color w:val="000000"/>
          <w:szCs w:val="24"/>
        </w:rPr>
        <w:t>Atbilstoši aktuālajām prognozēm sagaidāms, ka vispārējās valdības parāda līmenis procentos no IKP vidējā termiņā pakāpeniski pieaugs no 46% 2024. gadā līdz 49% 2028.</w:t>
      </w:r>
      <w:r w:rsidR="00CA2430" w:rsidRPr="00CA2430">
        <w:rPr>
          <w:rFonts w:eastAsia="Calibri" w:cs="Times New Roman"/>
          <w:noProof/>
          <w:color w:val="000000"/>
          <w:szCs w:val="24"/>
        </w:rPr>
        <w:t> </w:t>
      </w:r>
      <w:r w:rsidRPr="00CA2430">
        <w:rPr>
          <w:rFonts w:eastAsia="Calibri" w:cs="Times New Roman"/>
          <w:noProof/>
          <w:color w:val="000000"/>
          <w:szCs w:val="24"/>
        </w:rPr>
        <w:t>gadā</w:t>
      </w:r>
      <w:r w:rsidR="00CA2430" w:rsidRPr="00CA2430">
        <w:rPr>
          <w:rFonts w:eastAsia="Calibri" w:cs="Times New Roman"/>
          <w:noProof/>
          <w:color w:val="000000"/>
          <w:szCs w:val="24"/>
        </w:rPr>
        <w:t>, vienlaikus vidējā termiņā ievērojot</w:t>
      </w:r>
      <w:r w:rsidRPr="00CA2430">
        <w:rPr>
          <w:rFonts w:eastAsia="Calibri" w:cs="Times New Roman"/>
          <w:noProof/>
          <w:color w:val="000000"/>
          <w:szCs w:val="24"/>
        </w:rPr>
        <w:t xml:space="preserve"> Fiskālās disciplīnas likumā noteikt</w:t>
      </w:r>
      <w:r w:rsidR="00CA2430" w:rsidRPr="00CA2430">
        <w:rPr>
          <w:rFonts w:eastAsia="Calibri" w:cs="Times New Roman"/>
          <w:noProof/>
          <w:color w:val="000000"/>
          <w:szCs w:val="24"/>
        </w:rPr>
        <w:t>o</w:t>
      </w:r>
      <w:r w:rsidRPr="00CA2430">
        <w:rPr>
          <w:rFonts w:eastAsia="Calibri" w:cs="Times New Roman"/>
          <w:noProof/>
          <w:color w:val="000000"/>
          <w:szCs w:val="24"/>
        </w:rPr>
        <w:t xml:space="preserve"> parāda nosacījum</w:t>
      </w:r>
      <w:r w:rsidR="00CA2430" w:rsidRPr="00CA2430">
        <w:rPr>
          <w:rFonts w:eastAsia="Calibri" w:cs="Times New Roman"/>
          <w:noProof/>
          <w:color w:val="000000"/>
          <w:szCs w:val="24"/>
        </w:rPr>
        <w:t>u (60% no IKP).</w:t>
      </w:r>
    </w:p>
    <w:p w14:paraId="36F88C99" w14:textId="77777777" w:rsidR="003B1933" w:rsidRPr="00CA2430" w:rsidRDefault="003B1933">
      <w:pPr>
        <w:spacing w:before="0" w:after="0"/>
        <w:ind w:firstLine="0"/>
        <w:jc w:val="left"/>
        <w:rPr>
          <w:rFonts w:eastAsiaTheme="majorEastAsia" w:cstheme="majorBidi"/>
          <w:b/>
          <w:noProof/>
          <w:sz w:val="28"/>
          <w:szCs w:val="28"/>
          <w:highlight w:val="yellow"/>
        </w:rPr>
      </w:pPr>
      <w:r w:rsidRPr="00CA2430">
        <w:rPr>
          <w:noProof/>
          <w:sz w:val="28"/>
          <w:szCs w:val="28"/>
          <w:highlight w:val="yellow"/>
        </w:rPr>
        <w:br w:type="page"/>
      </w:r>
    </w:p>
    <w:p w14:paraId="05566D70" w14:textId="1724658D" w:rsidR="00AA4CC2" w:rsidRPr="00CA2430" w:rsidRDefault="00B008E5" w:rsidP="00101BED">
      <w:pPr>
        <w:pStyle w:val="Heading1"/>
        <w:spacing w:before="0" w:after="120"/>
        <w:ind w:left="360"/>
        <w:rPr>
          <w:noProof/>
          <w:sz w:val="28"/>
          <w:szCs w:val="28"/>
        </w:rPr>
      </w:pPr>
      <w:bookmarkStart w:id="11" w:name="_Toc174017002"/>
      <w:bookmarkStart w:id="12" w:name="_Toc16665007"/>
      <w:bookmarkStart w:id="13" w:name="_Toc403038748"/>
      <w:bookmarkEnd w:id="9"/>
      <w:r w:rsidRPr="00CA2430">
        <w:rPr>
          <w:noProof/>
          <w:sz w:val="28"/>
          <w:szCs w:val="28"/>
        </w:rPr>
        <w:lastRenderedPageBreak/>
        <w:t>Fiskālās politikas nosacījumi</w:t>
      </w:r>
      <w:r w:rsidR="004B6B5C" w:rsidRPr="00CA2430">
        <w:rPr>
          <w:noProof/>
          <w:sz w:val="28"/>
          <w:szCs w:val="28"/>
        </w:rPr>
        <w:t xml:space="preserve"> un</w:t>
      </w:r>
      <w:r w:rsidR="00E73727" w:rsidRPr="00CA2430">
        <w:rPr>
          <w:noProof/>
          <w:sz w:val="28"/>
          <w:szCs w:val="28"/>
        </w:rPr>
        <w:t xml:space="preserve"> </w:t>
      </w:r>
      <w:r w:rsidR="004B6B5C" w:rsidRPr="00CA2430">
        <w:rPr>
          <w:noProof/>
          <w:sz w:val="28"/>
          <w:szCs w:val="28"/>
        </w:rPr>
        <w:t>fiskālā telpa</w:t>
      </w:r>
      <w:r w:rsidR="005E2E80" w:rsidRPr="00CA2430">
        <w:rPr>
          <w:noProof/>
          <w:sz w:val="28"/>
          <w:szCs w:val="28"/>
        </w:rPr>
        <w:t xml:space="preserve"> </w:t>
      </w:r>
      <w:r w:rsidR="004B6B5C" w:rsidRPr="00CA2430">
        <w:rPr>
          <w:noProof/>
          <w:sz w:val="28"/>
          <w:szCs w:val="28"/>
        </w:rPr>
        <w:t>202</w:t>
      </w:r>
      <w:r w:rsidR="0078750D" w:rsidRPr="00CA2430">
        <w:rPr>
          <w:noProof/>
          <w:sz w:val="28"/>
          <w:szCs w:val="28"/>
        </w:rPr>
        <w:t>5</w:t>
      </w:r>
      <w:r w:rsidR="004B6B5C" w:rsidRPr="00CA2430">
        <w:rPr>
          <w:noProof/>
          <w:sz w:val="28"/>
          <w:szCs w:val="28"/>
        </w:rPr>
        <w:t>.-202</w:t>
      </w:r>
      <w:r w:rsidR="00906173">
        <w:rPr>
          <w:noProof/>
          <w:sz w:val="28"/>
          <w:szCs w:val="28"/>
        </w:rPr>
        <w:t>8</w:t>
      </w:r>
      <w:r w:rsidR="004B6B5C" w:rsidRPr="00CA2430">
        <w:rPr>
          <w:noProof/>
          <w:sz w:val="28"/>
          <w:szCs w:val="28"/>
        </w:rPr>
        <w:t>.</w:t>
      </w:r>
      <w:r w:rsidR="006A7261" w:rsidRPr="00CA2430">
        <w:rPr>
          <w:noProof/>
          <w:sz w:val="28"/>
          <w:szCs w:val="28"/>
        </w:rPr>
        <w:t> </w:t>
      </w:r>
      <w:r w:rsidR="004B6B5C" w:rsidRPr="00CA2430">
        <w:rPr>
          <w:noProof/>
          <w:sz w:val="28"/>
          <w:szCs w:val="28"/>
        </w:rPr>
        <w:t>gadam</w:t>
      </w:r>
      <w:bookmarkEnd w:id="11"/>
      <w:r w:rsidRPr="00CA2430">
        <w:rPr>
          <w:noProof/>
          <w:sz w:val="28"/>
          <w:szCs w:val="28"/>
        </w:rPr>
        <w:t xml:space="preserve"> </w:t>
      </w:r>
      <w:bookmarkEnd w:id="12"/>
    </w:p>
    <w:p w14:paraId="64227C37" w14:textId="6D49FD42" w:rsidR="0078750D" w:rsidRPr="00CA2430" w:rsidRDefault="0078750D" w:rsidP="0078750D">
      <w:pPr>
        <w:rPr>
          <w:noProof/>
          <w:color w:val="000000" w:themeColor="text1"/>
          <w:szCs w:val="24"/>
        </w:rPr>
      </w:pPr>
      <w:r w:rsidRPr="00CA2430">
        <w:rPr>
          <w:noProof/>
          <w:color w:val="000000" w:themeColor="text1"/>
          <w:szCs w:val="24"/>
        </w:rPr>
        <w:t>2024. gada 30. aprīlī stājās spēkā jaunais ES ekonomikas pārvaldības ietvars, ko veido divas regulas un viena direktīva</w:t>
      </w:r>
      <w:r w:rsidRPr="00CA2430">
        <w:rPr>
          <w:rStyle w:val="FootnoteReference"/>
          <w:noProof/>
          <w:color w:val="000000" w:themeColor="text1"/>
          <w:szCs w:val="24"/>
        </w:rPr>
        <w:footnoteReference w:id="1"/>
      </w:r>
      <w:r w:rsidRPr="00CA2430">
        <w:rPr>
          <w:noProof/>
          <w:color w:val="000000" w:themeColor="text1"/>
          <w:szCs w:val="24"/>
        </w:rPr>
        <w:t>. Atbilstoši šim regulējumam ES dalībvalstīm vienu reizi četros vai piecos gados aprīlī jāsagatavo vidēja termiņa Fiskāli strukturālais plāns, kas aizstās ikgadējo Stabilitātes programmu un Nacionālo reformu programmu, un kurā jānosaka fiskālā trajektorija. Fiskālā trajektorijā ir noteikts pieļaujamais valsts finansēto neto primāro izdevumu</w:t>
      </w:r>
      <w:r w:rsidRPr="00CA2430">
        <w:rPr>
          <w:rStyle w:val="FootnoteReference"/>
          <w:noProof/>
          <w:color w:val="000000" w:themeColor="text1"/>
          <w:szCs w:val="24"/>
        </w:rPr>
        <w:footnoteReference w:id="2"/>
      </w:r>
      <w:r w:rsidRPr="00CA2430">
        <w:rPr>
          <w:noProof/>
          <w:color w:val="000000" w:themeColor="text1"/>
          <w:szCs w:val="24"/>
        </w:rPr>
        <w:t xml:space="preserve"> pieauguma līmenis. Fiskālā trajektorija tiks noteikta tādā veidā, lai gan Fiskāli strukturālā plāna darbības laikā, gan 10 gadus pēc tā, prognozētais vispārējās valdības budžeta deficīts</w:t>
      </w:r>
      <w:r w:rsidR="00906173">
        <w:rPr>
          <w:noProof/>
          <w:color w:val="000000" w:themeColor="text1"/>
          <w:szCs w:val="24"/>
        </w:rPr>
        <w:t xml:space="preserve"> un parāds</w:t>
      </w:r>
      <w:r w:rsidRPr="00CA2430">
        <w:rPr>
          <w:noProof/>
          <w:color w:val="000000" w:themeColor="text1"/>
          <w:szCs w:val="24"/>
        </w:rPr>
        <w:t xml:space="preserve"> nepārsniedz 3% un 60% no IKP attiecīgi.</w:t>
      </w:r>
    </w:p>
    <w:p w14:paraId="1A04320F" w14:textId="10FD365D" w:rsidR="0078750D" w:rsidRPr="00CA2430" w:rsidRDefault="0078750D" w:rsidP="0078750D">
      <w:pPr>
        <w:rPr>
          <w:noProof/>
          <w:color w:val="000000" w:themeColor="text1"/>
          <w:szCs w:val="24"/>
        </w:rPr>
      </w:pPr>
      <w:r w:rsidRPr="00CA2430">
        <w:rPr>
          <w:noProof/>
          <w:color w:val="000000" w:themeColor="text1"/>
          <w:szCs w:val="24"/>
        </w:rPr>
        <w:t xml:space="preserve">Saskaņā ar Eiropas Parlamenta un Padomes 2024. gada 29. aprīļa Regulas (ES) 2024/1263 par ekonomikas politikas efektīvu koordināciju un budžeta daudzpusēju uzraudzību un ar ko atceļ Padomes Regulu (EK) Nr. 1466/97 </w:t>
      </w:r>
      <w:r w:rsidRPr="00CA2430">
        <w:rPr>
          <w:rFonts w:eastAsia="Times New Roman" w:cs="Times New Roman"/>
          <w:noProof/>
          <w:szCs w:val="24"/>
        </w:rPr>
        <w:t>(turpmāk – Regula)</w:t>
      </w:r>
      <w:r w:rsidRPr="00CA2430">
        <w:rPr>
          <w:noProof/>
          <w:color w:val="000000" w:themeColor="text1"/>
          <w:szCs w:val="24"/>
        </w:rPr>
        <w:t xml:space="preserve"> 36. pantu dalībvalstis iesniegs savus pirmos vidēja termiņa fiskāli strukturālos plānus līdz 2024. gada 20. septembrim, ja vien dalībvalsts un EK nevienojas pagarināt termiņu par saprātīgu laikposmu. Latvija Fiskāli strukturālo plānu 2025. –</w:t>
      </w:r>
      <w:r w:rsidR="00EB1A54" w:rsidRPr="00CA2430">
        <w:rPr>
          <w:noProof/>
          <w:color w:val="000000" w:themeColor="text1"/>
          <w:szCs w:val="24"/>
        </w:rPr>
        <w:t xml:space="preserve"> </w:t>
      </w:r>
      <w:r w:rsidRPr="00CA2430">
        <w:rPr>
          <w:noProof/>
          <w:color w:val="000000" w:themeColor="text1"/>
          <w:szCs w:val="24"/>
        </w:rPr>
        <w:t>2028. gadam plāno sagatavot un iesniegt EK 2024. gada 15. oktobrī kopā ar Vispārējās valdības budžeta plāna projektu 2025. gadam</w:t>
      </w:r>
      <w:r w:rsidRPr="00CA2430">
        <w:rPr>
          <w:rStyle w:val="FootnoteReference"/>
          <w:noProof/>
          <w:color w:val="000000" w:themeColor="text1"/>
          <w:szCs w:val="24"/>
        </w:rPr>
        <w:footnoteReference w:id="3"/>
      </w:r>
      <w:r w:rsidRPr="00CA2430">
        <w:rPr>
          <w:noProof/>
          <w:color w:val="000000" w:themeColor="text1"/>
          <w:szCs w:val="24"/>
        </w:rPr>
        <w:t>.</w:t>
      </w:r>
    </w:p>
    <w:p w14:paraId="2E012864" w14:textId="0519C16B" w:rsidR="0078750D" w:rsidRPr="00CA2430" w:rsidRDefault="0078750D" w:rsidP="0078750D">
      <w:pPr>
        <w:rPr>
          <w:noProof/>
          <w:color w:val="000000" w:themeColor="text1"/>
          <w:szCs w:val="24"/>
        </w:rPr>
      </w:pPr>
      <w:r w:rsidRPr="00CA2430">
        <w:rPr>
          <w:noProof/>
          <w:color w:val="000000" w:themeColor="text1"/>
          <w:szCs w:val="24"/>
        </w:rPr>
        <w:t>Fiskālā trajektorija būs jāievēro likumprojekta</w:t>
      </w:r>
      <w:r w:rsidR="00EB1A54" w:rsidRPr="00CA2430">
        <w:rPr>
          <w:noProof/>
          <w:color w:val="000000" w:themeColor="text1"/>
          <w:szCs w:val="24"/>
        </w:rPr>
        <w:t xml:space="preserve"> </w:t>
      </w:r>
      <w:r w:rsidRPr="00CA2430">
        <w:rPr>
          <w:noProof/>
          <w:color w:val="000000" w:themeColor="text1"/>
          <w:szCs w:val="24"/>
        </w:rPr>
        <w:t>"Par valsts budžetu</w:t>
      </w:r>
      <w:r w:rsidR="00EB1A54" w:rsidRPr="00CA2430">
        <w:rPr>
          <w:noProof/>
          <w:color w:val="000000" w:themeColor="text1"/>
          <w:szCs w:val="24"/>
        </w:rPr>
        <w:t xml:space="preserve"> </w:t>
      </w:r>
      <w:r w:rsidRPr="00CA2430">
        <w:rPr>
          <w:noProof/>
          <w:color w:val="000000" w:themeColor="text1"/>
          <w:szCs w:val="24"/>
        </w:rPr>
        <w:t>2025. gadam un budžeta ietvaru 2025., 2026. un 2027. gadam" sagatavošanā, savukārt, novērtējot Latvijas iesniegto Vispārējās valdības budžeta plāna projektu 2025. gadam</w:t>
      </w:r>
      <w:r w:rsidR="00CA2430" w:rsidRPr="00CA2430">
        <w:rPr>
          <w:noProof/>
          <w:color w:val="000000" w:themeColor="text1"/>
          <w:szCs w:val="24"/>
        </w:rPr>
        <w:t>,</w:t>
      </w:r>
      <w:r w:rsidRPr="00CA2430">
        <w:rPr>
          <w:noProof/>
          <w:color w:val="000000" w:themeColor="text1"/>
          <w:szCs w:val="24"/>
        </w:rPr>
        <w:t xml:space="preserve"> EK pārbaudīs fiskālo rādītāju atbilstību Fiskāli strukturālā plāna ierobežojumiem. </w:t>
      </w:r>
    </w:p>
    <w:p w14:paraId="7D774DFB" w14:textId="77777777" w:rsidR="0078750D" w:rsidRPr="00CA2430" w:rsidRDefault="0078750D" w:rsidP="0078750D">
      <w:pPr>
        <w:rPr>
          <w:noProof/>
          <w:color w:val="000000" w:themeColor="text1"/>
          <w:szCs w:val="24"/>
        </w:rPr>
      </w:pPr>
      <w:r w:rsidRPr="00CA2430">
        <w:rPr>
          <w:noProof/>
          <w:color w:val="000000" w:themeColor="text1"/>
          <w:szCs w:val="24"/>
        </w:rPr>
        <w:t>EK 2024. gada 21. jūnijā Latvijai ir sniegusi tehnisko informāciju Fiskāli strukturālā plāna sagatavošanai</w:t>
      </w:r>
      <w:r w:rsidRPr="00CA2430">
        <w:rPr>
          <w:rStyle w:val="FootnoteReference"/>
          <w:noProof/>
          <w:color w:val="000000" w:themeColor="text1"/>
          <w:szCs w:val="24"/>
        </w:rPr>
        <w:footnoteReference w:id="4"/>
      </w:r>
      <w:r w:rsidRPr="00CA2430">
        <w:rPr>
          <w:noProof/>
          <w:color w:val="000000" w:themeColor="text1"/>
          <w:szCs w:val="24"/>
        </w:rPr>
        <w:t xml:space="preserve">. </w:t>
      </w:r>
    </w:p>
    <w:p w14:paraId="64F7853A" w14:textId="77777777" w:rsidR="0078750D" w:rsidRPr="00CA2430" w:rsidRDefault="0078750D" w:rsidP="0078750D">
      <w:pPr>
        <w:rPr>
          <w:noProof/>
          <w:color w:val="000000" w:themeColor="text1"/>
          <w:szCs w:val="24"/>
        </w:rPr>
      </w:pPr>
      <w:r w:rsidRPr="00CA2430">
        <w:rPr>
          <w:noProof/>
          <w:color w:val="000000" w:themeColor="text1"/>
          <w:szCs w:val="24"/>
        </w:rPr>
        <w:t>Regula ļauj dalībvalstīm noteikt savus valstu budžeta mērķus dažādu rādītāju izteiksmē, piemēram, kā strukturālā bilance, ja tas paredzēts to valstu tiesību aktos.</w:t>
      </w:r>
    </w:p>
    <w:p w14:paraId="06BEE368" w14:textId="5A9C50B3" w:rsidR="0078750D" w:rsidRPr="00CA2430" w:rsidRDefault="0078750D" w:rsidP="0078750D">
      <w:pPr>
        <w:rPr>
          <w:bCs/>
          <w:noProof/>
          <w:color w:val="000000" w:themeColor="text1"/>
          <w:szCs w:val="24"/>
        </w:rPr>
      </w:pPr>
      <w:r w:rsidRPr="00CA2430">
        <w:rPr>
          <w:noProof/>
          <w:color w:val="000000" w:themeColor="text1"/>
          <w:szCs w:val="24"/>
        </w:rPr>
        <w:t xml:space="preserve">Fiskālas telpas aprēķins vispārīgā gadījumā veicams </w:t>
      </w:r>
      <w:r w:rsidRPr="00CA2430">
        <w:rPr>
          <w:bCs/>
          <w:noProof/>
          <w:color w:val="000000" w:themeColor="text1"/>
          <w:szCs w:val="24"/>
        </w:rPr>
        <w:t>ņemot vērā gan Fiskālās disciplīnas likuma (FDL) normas, gan ES fiskālos noteikumus</w:t>
      </w:r>
      <w:r w:rsidRPr="00CA2430">
        <w:rPr>
          <w:noProof/>
          <w:color w:val="000000" w:themeColor="text1"/>
          <w:szCs w:val="24"/>
        </w:rPr>
        <w:t>.</w:t>
      </w:r>
      <w:r w:rsidRPr="00CA2430">
        <w:rPr>
          <w:bCs/>
          <w:noProof/>
          <w:color w:val="000000" w:themeColor="text1"/>
          <w:szCs w:val="24"/>
        </w:rPr>
        <w:t xml:space="preserve"> </w:t>
      </w:r>
      <w:r w:rsidRPr="00CA2430">
        <w:rPr>
          <w:noProof/>
          <w:color w:val="000000" w:themeColor="text1"/>
          <w:szCs w:val="24"/>
        </w:rPr>
        <w:t xml:space="preserve">Likumprojekta </w:t>
      </w:r>
      <w:r w:rsidR="00CA2430" w:rsidRPr="00CA2430">
        <w:rPr>
          <w:noProof/>
          <w:color w:val="000000" w:themeColor="text1"/>
          <w:szCs w:val="24"/>
        </w:rPr>
        <w:t>“</w:t>
      </w:r>
      <w:r w:rsidRPr="00CA2430">
        <w:rPr>
          <w:noProof/>
          <w:color w:val="000000" w:themeColor="text1"/>
          <w:szCs w:val="24"/>
        </w:rPr>
        <w:t>Par valsts budžetu 2025. gadam un budžeta ietvaru 2025., 2026. un 2027. gadam</w:t>
      </w:r>
      <w:r w:rsidR="00CA2430" w:rsidRPr="00CA2430">
        <w:rPr>
          <w:noProof/>
          <w:color w:val="000000" w:themeColor="text1"/>
          <w:szCs w:val="24"/>
        </w:rPr>
        <w:t>”</w:t>
      </w:r>
      <w:r w:rsidRPr="00CA2430">
        <w:rPr>
          <w:noProof/>
          <w:color w:val="000000" w:themeColor="text1"/>
          <w:szCs w:val="24"/>
        </w:rPr>
        <w:t xml:space="preserve"> sagatavošanā</w:t>
      </w:r>
      <w:r w:rsidRPr="00CA2430">
        <w:rPr>
          <w:bCs/>
          <w:noProof/>
          <w:color w:val="000000" w:themeColor="text1"/>
          <w:szCs w:val="24"/>
        </w:rPr>
        <w:t xml:space="preserve"> ir jāņem vērā Ministru kabineta lēmums (MK 30.04.2024. sēdes protokols </w:t>
      </w:r>
      <w:r w:rsidRPr="00CA2430">
        <w:rPr>
          <w:bCs/>
          <w:noProof/>
          <w:color w:val="000000" w:themeColor="text1"/>
          <w:szCs w:val="24"/>
        </w:rPr>
        <w:br/>
        <w:t>Nr.18; 53.§) par FDL pieļaujamā strukturālā deficīta paaugstināšanu no 0,5% no IKP uz 1% no IKP. Jāatzīmē, ka</w:t>
      </w:r>
      <w:r w:rsidR="00EB1A54" w:rsidRPr="00CA2430">
        <w:rPr>
          <w:bCs/>
          <w:noProof/>
          <w:color w:val="000000" w:themeColor="text1"/>
          <w:szCs w:val="24"/>
        </w:rPr>
        <w:t>,</w:t>
      </w:r>
      <w:r w:rsidRPr="00CA2430">
        <w:rPr>
          <w:bCs/>
          <w:noProof/>
          <w:color w:val="000000" w:themeColor="text1"/>
          <w:szCs w:val="24"/>
        </w:rPr>
        <w:t xml:space="preserve"> ņemot vērā paredzētos grozījumus pieļaujamā strukturālā deficīta apmērā, nav paredzēta jaunu izdevumu pasākumu atzīšana par vienreizējiem (papildus jau apstiprinātajiem</w:t>
      </w:r>
      <w:r w:rsidRPr="00CA2430">
        <w:rPr>
          <w:bCs/>
          <w:noProof/>
          <w:color w:val="000000" w:themeColor="text1"/>
          <w:szCs w:val="24"/>
          <w:vertAlign w:val="superscript"/>
        </w:rPr>
        <w:footnoteReference w:id="5"/>
      </w:r>
      <w:r w:rsidRPr="00CA2430">
        <w:rPr>
          <w:bCs/>
          <w:noProof/>
          <w:color w:val="000000" w:themeColor="text1"/>
          <w:szCs w:val="24"/>
        </w:rPr>
        <w:t>).</w:t>
      </w:r>
    </w:p>
    <w:p w14:paraId="1C3750CA" w14:textId="77777777" w:rsidR="00CA2430" w:rsidRPr="00CA2430" w:rsidRDefault="00CA2430" w:rsidP="0078750D">
      <w:pPr>
        <w:rPr>
          <w:bCs/>
          <w:noProof/>
          <w:color w:val="000000" w:themeColor="text1"/>
          <w:szCs w:val="24"/>
        </w:rPr>
      </w:pPr>
    </w:p>
    <w:p w14:paraId="6426BE62" w14:textId="39D0D991" w:rsidR="0078750D" w:rsidRPr="00CA2430" w:rsidRDefault="0078750D" w:rsidP="0078750D">
      <w:pPr>
        <w:rPr>
          <w:bCs/>
          <w:noProof/>
          <w:color w:val="000000" w:themeColor="text1"/>
          <w:szCs w:val="24"/>
        </w:rPr>
      </w:pPr>
      <w:r w:rsidRPr="00CA2430">
        <w:rPr>
          <w:bCs/>
          <w:noProof/>
          <w:color w:val="000000" w:themeColor="text1"/>
          <w:szCs w:val="24"/>
        </w:rPr>
        <w:lastRenderedPageBreak/>
        <w:t>Ņemot vērā minēto, nosakot fiskālās telpas apmēru faktiski tiek pielietoti trīs fiskālie nosacījumi:</w:t>
      </w:r>
    </w:p>
    <w:p w14:paraId="3D6298E2" w14:textId="77777777" w:rsidR="0078750D" w:rsidRPr="00CA2430" w:rsidRDefault="0078750D" w:rsidP="006C7E4A">
      <w:pPr>
        <w:numPr>
          <w:ilvl w:val="0"/>
          <w:numId w:val="32"/>
        </w:numPr>
        <w:ind w:left="0" w:firstLine="720"/>
        <w:rPr>
          <w:bCs/>
          <w:noProof/>
          <w:color w:val="000000" w:themeColor="text1"/>
          <w:szCs w:val="24"/>
        </w:rPr>
      </w:pPr>
      <w:r w:rsidRPr="00CA2430">
        <w:rPr>
          <w:bCs/>
          <w:noProof/>
          <w:color w:val="000000" w:themeColor="text1"/>
          <w:szCs w:val="24"/>
        </w:rPr>
        <w:t>FDL strukturālās bilances nosacījums;</w:t>
      </w:r>
    </w:p>
    <w:p w14:paraId="0A8FE36E" w14:textId="77777777" w:rsidR="0078750D" w:rsidRPr="00CA2430" w:rsidRDefault="0078750D" w:rsidP="006C7E4A">
      <w:pPr>
        <w:numPr>
          <w:ilvl w:val="0"/>
          <w:numId w:val="32"/>
        </w:numPr>
        <w:ind w:left="0" w:firstLine="720"/>
        <w:rPr>
          <w:bCs/>
          <w:noProof/>
          <w:color w:val="000000" w:themeColor="text1"/>
          <w:szCs w:val="24"/>
        </w:rPr>
      </w:pPr>
      <w:r w:rsidRPr="00CA2430">
        <w:rPr>
          <w:bCs/>
          <w:noProof/>
          <w:color w:val="000000" w:themeColor="text1"/>
          <w:szCs w:val="24"/>
        </w:rPr>
        <w:t>ES strukturālās primārās bilances nosacījums;</w:t>
      </w:r>
    </w:p>
    <w:p w14:paraId="4D14B7D2" w14:textId="77777777" w:rsidR="0078750D" w:rsidRPr="00CA2430" w:rsidRDefault="0078750D" w:rsidP="006C7E4A">
      <w:pPr>
        <w:numPr>
          <w:ilvl w:val="0"/>
          <w:numId w:val="32"/>
        </w:numPr>
        <w:ind w:left="0" w:firstLine="720"/>
        <w:rPr>
          <w:bCs/>
          <w:noProof/>
          <w:color w:val="000000" w:themeColor="text1"/>
          <w:szCs w:val="24"/>
        </w:rPr>
      </w:pPr>
      <w:r w:rsidRPr="00CA2430">
        <w:rPr>
          <w:bCs/>
          <w:noProof/>
          <w:color w:val="000000" w:themeColor="text1"/>
          <w:szCs w:val="24"/>
        </w:rPr>
        <w:t xml:space="preserve">ES valsts finansēto neto primāro izdevumu nosacījums. </w:t>
      </w:r>
    </w:p>
    <w:p w14:paraId="674BE171" w14:textId="0CF45999" w:rsidR="0078750D" w:rsidRPr="00CA2430" w:rsidRDefault="0078750D" w:rsidP="006C7E4A">
      <w:pPr>
        <w:rPr>
          <w:bCs/>
          <w:noProof/>
          <w:color w:val="000000" w:themeColor="text1"/>
          <w:szCs w:val="24"/>
        </w:rPr>
      </w:pPr>
      <w:r w:rsidRPr="00CA2430">
        <w:rPr>
          <w:bCs/>
          <w:noProof/>
          <w:color w:val="000000" w:themeColor="text1"/>
          <w:szCs w:val="24"/>
        </w:rPr>
        <w:t>Katrs no fiskālajiem nosacījumiem attiecas uz citu fiskālo rādītāju, bet, lai nodrošinātu salīdzināmību un noteiktu, kurš no fiskālajiem nosacījumiem ir dominējošais, fiskālie rādītāji tiek pārrēķināti vienā fiskālajā rādītājā. Šim nolūkam jau Stabilitātes programmas 2024. – 2028.</w:t>
      </w:r>
      <w:r w:rsidR="00CA2430" w:rsidRPr="00CA2430">
        <w:rPr>
          <w:bCs/>
          <w:noProof/>
          <w:color w:val="000000" w:themeColor="text1"/>
          <w:szCs w:val="24"/>
        </w:rPr>
        <w:t> </w:t>
      </w:r>
      <w:r w:rsidRPr="00CA2430">
        <w:rPr>
          <w:bCs/>
          <w:noProof/>
          <w:color w:val="000000" w:themeColor="text1"/>
          <w:szCs w:val="24"/>
        </w:rPr>
        <w:t>gadam</w:t>
      </w:r>
      <w:r w:rsidRPr="00CA2430">
        <w:rPr>
          <w:rStyle w:val="FootnoteReference"/>
          <w:bCs/>
          <w:noProof/>
          <w:color w:val="000000" w:themeColor="text1"/>
          <w:szCs w:val="24"/>
        </w:rPr>
        <w:footnoteReference w:id="6"/>
      </w:r>
      <w:r w:rsidRPr="00CA2430">
        <w:rPr>
          <w:bCs/>
          <w:noProof/>
          <w:color w:val="000000" w:themeColor="text1"/>
          <w:szCs w:val="24"/>
        </w:rPr>
        <w:t xml:space="preserve"> sagatavošanā tika izvēlēts </w:t>
      </w:r>
      <w:r w:rsidRPr="00CA2430">
        <w:rPr>
          <w:b/>
          <w:noProof/>
          <w:color w:val="000000" w:themeColor="text1"/>
          <w:szCs w:val="24"/>
        </w:rPr>
        <w:t>FDL strukturālās bilances rādītājs</w:t>
      </w:r>
      <w:r w:rsidRPr="00CA2430">
        <w:rPr>
          <w:bCs/>
          <w:noProof/>
          <w:color w:val="000000" w:themeColor="text1"/>
          <w:szCs w:val="24"/>
        </w:rPr>
        <w:t xml:space="preserve">. </w:t>
      </w:r>
    </w:p>
    <w:p w14:paraId="6514AAD4" w14:textId="4B202DF4" w:rsidR="0078750D" w:rsidRPr="00CA2430" w:rsidRDefault="0078750D" w:rsidP="00FE0109">
      <w:pPr>
        <w:widowControl w:val="0"/>
        <w:spacing w:before="240"/>
        <w:rPr>
          <w:rFonts w:eastAsia="Times New Roman" w:cs="Times New Roman"/>
          <w:b/>
          <w:noProof/>
        </w:rPr>
      </w:pPr>
      <w:r w:rsidRPr="00CA2430">
        <w:rPr>
          <w:rFonts w:eastAsia="Times New Roman" w:cs="Times New Roman"/>
          <w:b/>
          <w:noProof/>
        </w:rPr>
        <w:t>FDL strukturālās bilances nosacījums</w:t>
      </w:r>
      <w:r w:rsidR="00CA2430" w:rsidRPr="00CA2430">
        <w:rPr>
          <w:rFonts w:eastAsia="Times New Roman" w:cs="Times New Roman"/>
          <w:b/>
          <w:noProof/>
        </w:rPr>
        <w:t xml:space="preserve"> (1)</w:t>
      </w:r>
    </w:p>
    <w:p w14:paraId="64EA6DBE" w14:textId="1A306902" w:rsidR="0078750D" w:rsidRPr="00CA2430" w:rsidRDefault="0078750D" w:rsidP="0078750D">
      <w:pPr>
        <w:widowControl w:val="0"/>
        <w:rPr>
          <w:rFonts w:eastAsia="Times New Roman" w:cs="Times New Roman"/>
          <w:bCs/>
          <w:noProof/>
        </w:rPr>
      </w:pPr>
      <w:r w:rsidRPr="00CA2430">
        <w:rPr>
          <w:rFonts w:eastAsia="Times New Roman" w:cs="Times New Roman"/>
          <w:bCs/>
          <w:noProof/>
        </w:rPr>
        <w:t>Saskaņā ar Fiskālās politikas stratēģiju, strukturālās bilances mērķis 2025.</w:t>
      </w:r>
      <w:r w:rsidR="00CA2430" w:rsidRPr="00CA2430">
        <w:rPr>
          <w:rFonts w:eastAsia="Times New Roman" w:cs="Times New Roman"/>
          <w:bCs/>
          <w:noProof/>
        </w:rPr>
        <w:t>-</w:t>
      </w:r>
      <w:r w:rsidRPr="00CA2430">
        <w:rPr>
          <w:rFonts w:eastAsia="Times New Roman" w:cs="Times New Roman"/>
          <w:bCs/>
          <w:noProof/>
        </w:rPr>
        <w:t>2028. gadam tiek noteikts</w:t>
      </w:r>
      <w:r w:rsidR="00EB1A54" w:rsidRPr="00CA2430">
        <w:rPr>
          <w:rFonts w:eastAsia="Times New Roman" w:cs="Times New Roman"/>
          <w:bCs/>
          <w:noProof/>
        </w:rPr>
        <w:t>,</w:t>
      </w:r>
      <w:r w:rsidRPr="00CA2430">
        <w:rPr>
          <w:rFonts w:eastAsia="Times New Roman" w:cs="Times New Roman"/>
          <w:bCs/>
          <w:noProof/>
        </w:rPr>
        <w:t xml:space="preserve"> par pamatu ņemot 2024. gada strukturālās bilances prognozi. </w:t>
      </w:r>
    </w:p>
    <w:p w14:paraId="1080ECFD" w14:textId="006C380B" w:rsidR="0078750D" w:rsidRPr="00CA2430" w:rsidRDefault="0078750D" w:rsidP="0078750D">
      <w:pPr>
        <w:widowControl w:val="0"/>
        <w:rPr>
          <w:rFonts w:eastAsia="Times New Roman" w:cs="Times New Roman"/>
          <w:bCs/>
          <w:noProof/>
        </w:rPr>
      </w:pPr>
      <w:r w:rsidRPr="00CA2430">
        <w:rPr>
          <w:rFonts w:eastAsia="Times New Roman" w:cs="Times New Roman"/>
          <w:bCs/>
          <w:noProof/>
        </w:rPr>
        <w:t>Atbilstoši aktualizētajām vispārējās valdības budžeta bilances prognozēm pie nemainīgas politikas, 2024.</w:t>
      </w:r>
      <w:r w:rsidR="00CA2430" w:rsidRPr="00CA2430">
        <w:rPr>
          <w:rFonts w:eastAsia="Times New Roman" w:cs="Times New Roman"/>
          <w:bCs/>
          <w:noProof/>
        </w:rPr>
        <w:t> </w:t>
      </w:r>
      <w:r w:rsidRPr="00CA2430">
        <w:rPr>
          <w:rFonts w:eastAsia="Times New Roman" w:cs="Times New Roman"/>
          <w:bCs/>
          <w:noProof/>
        </w:rPr>
        <w:t>gadā vispārējās valdības budžeta deficīts tiek novērtēts 2,6% no IKP apmērā.</w:t>
      </w:r>
    </w:p>
    <w:p w14:paraId="3D106D05" w14:textId="0DC195EE" w:rsidR="0078750D" w:rsidRPr="00CA2430" w:rsidRDefault="0078750D" w:rsidP="0078750D">
      <w:pPr>
        <w:widowControl w:val="0"/>
        <w:rPr>
          <w:rFonts w:eastAsia="Times New Roman" w:cs="Times New Roman"/>
          <w:bCs/>
          <w:noProof/>
        </w:rPr>
      </w:pPr>
      <w:r w:rsidRPr="00CA2430">
        <w:rPr>
          <w:rFonts w:eastAsia="Times New Roman" w:cs="Times New Roman"/>
          <w:bCs/>
          <w:noProof/>
        </w:rPr>
        <w:t>Ņemot vērā izlaižu starpību un vienreizējo pasākumu apmēru 2024.</w:t>
      </w:r>
      <w:r w:rsidR="00CA2430" w:rsidRPr="00CA2430">
        <w:rPr>
          <w:rFonts w:eastAsia="Times New Roman" w:cs="Times New Roman"/>
          <w:bCs/>
          <w:noProof/>
        </w:rPr>
        <w:t> </w:t>
      </w:r>
      <w:r w:rsidRPr="00CA2430">
        <w:rPr>
          <w:rFonts w:eastAsia="Times New Roman" w:cs="Times New Roman"/>
          <w:bCs/>
          <w:noProof/>
        </w:rPr>
        <w:t xml:space="preserve">gada vispārējās valdības strukturālais deficīts tiek prognozēts 0,2% no IKP (skat. </w:t>
      </w:r>
      <w:r w:rsidR="00CA2430" w:rsidRPr="00CA2430">
        <w:rPr>
          <w:rFonts w:eastAsia="Times New Roman" w:cs="Times New Roman"/>
          <w:bCs/>
          <w:noProof/>
        </w:rPr>
        <w:t>5</w:t>
      </w:r>
      <w:r w:rsidRPr="00CA2430">
        <w:rPr>
          <w:rFonts w:eastAsia="Times New Roman" w:cs="Times New Roman"/>
          <w:bCs/>
          <w:noProof/>
        </w:rPr>
        <w:t>.</w:t>
      </w:r>
      <w:r w:rsidR="00CA2430" w:rsidRPr="00CA2430">
        <w:rPr>
          <w:rFonts w:eastAsia="Times New Roman" w:cs="Times New Roman"/>
          <w:bCs/>
          <w:noProof/>
        </w:rPr>
        <w:t> </w:t>
      </w:r>
      <w:r w:rsidRPr="00CA2430">
        <w:rPr>
          <w:rFonts w:eastAsia="Times New Roman" w:cs="Times New Roman"/>
          <w:bCs/>
          <w:noProof/>
        </w:rPr>
        <w:t xml:space="preserve">tabulu). Līdz ar to tas ir zemāks par jauno FDL 10. pantā noteikto vidēja termiņa mērķi, kas ir 1,0% no IKP. </w:t>
      </w:r>
    </w:p>
    <w:p w14:paraId="3A331AC1" w14:textId="77777777" w:rsidR="0078750D" w:rsidRPr="00CA2430" w:rsidRDefault="0078750D" w:rsidP="0078750D">
      <w:pPr>
        <w:widowControl w:val="0"/>
        <w:rPr>
          <w:rFonts w:eastAsia="Times New Roman" w:cs="Times New Roman"/>
          <w:bCs/>
          <w:noProof/>
        </w:rPr>
      </w:pPr>
      <w:r w:rsidRPr="00CA2430">
        <w:rPr>
          <w:rFonts w:eastAsia="Times New Roman" w:cs="Times New Roman"/>
          <w:bCs/>
          <w:noProof/>
        </w:rPr>
        <w:t xml:space="preserve">Vispārīgā gadījumā saskaņā ar Fiskālās politikas stratēģiju, strukturālais deficīts būtu jāsamazina par 0,5% no IKP ik gadu līdz tas sasniedz 1,0% no IKP vērtību, tad pie aktuālākajām prognozēm tā samazināšana nav nepieciešama. </w:t>
      </w:r>
    </w:p>
    <w:p w14:paraId="6415E338" w14:textId="7031C394" w:rsidR="0078750D" w:rsidRPr="00CA2430" w:rsidRDefault="00CA2430" w:rsidP="0078750D">
      <w:pPr>
        <w:widowControl w:val="0"/>
        <w:jc w:val="center"/>
        <w:rPr>
          <w:rFonts w:eastAsia="Times New Roman" w:cs="Times New Roman"/>
          <w:b/>
          <w:noProof/>
        </w:rPr>
      </w:pPr>
      <w:r w:rsidRPr="00CA2430">
        <w:rPr>
          <w:rFonts w:eastAsia="Times New Roman" w:cs="Times New Roman"/>
          <w:b/>
          <w:noProof/>
          <w:szCs w:val="24"/>
        </w:rPr>
        <w:t>5</w:t>
      </w:r>
      <w:r w:rsidR="0078750D" w:rsidRPr="00CA2430">
        <w:rPr>
          <w:rFonts w:eastAsia="Times New Roman" w:cs="Times New Roman"/>
          <w:b/>
          <w:noProof/>
          <w:szCs w:val="24"/>
        </w:rPr>
        <w:t>. tabula.</w:t>
      </w:r>
      <w:r w:rsidR="0078750D" w:rsidRPr="00CA2430">
        <w:rPr>
          <w:rFonts w:eastAsia="Times New Roman" w:cs="Times New Roman"/>
          <w:b/>
          <w:noProof/>
        </w:rPr>
        <w:t xml:space="preserve"> V</w:t>
      </w:r>
      <w:r w:rsidR="0078750D" w:rsidRPr="00CA2430">
        <w:rPr>
          <w:rFonts w:eastAsia="Times New Roman" w:cs="Times New Roman"/>
          <w:b/>
          <w:noProof/>
          <w:szCs w:val="24"/>
        </w:rPr>
        <w:t>ispārējās valdības strukturālās bilances mērķi,</w:t>
      </w:r>
      <w:r w:rsidR="0078750D" w:rsidRPr="00CA2430">
        <w:rPr>
          <w:rFonts w:eastAsia="Times New Roman" w:cs="Times New Roman"/>
          <w:b/>
          <w:noProof/>
        </w:rPr>
        <w:t xml:space="preserve"> </w:t>
      </w:r>
      <w:r w:rsidR="0078750D" w:rsidRPr="00CA2430">
        <w:rPr>
          <w:rFonts w:eastAsia="Times New Roman" w:cs="Times New Roman"/>
          <w:b/>
          <w:noProof/>
          <w:szCs w:val="24"/>
        </w:rPr>
        <w:t>balstoties uz FDL</w:t>
      </w:r>
      <w:r w:rsidR="00FE0109">
        <w:rPr>
          <w:rFonts w:eastAsia="Times New Roman" w:cs="Times New Roman"/>
          <w:b/>
          <w:noProof/>
          <w:szCs w:val="24"/>
        </w:rPr>
        <w:t xml:space="preserve"> </w:t>
      </w:r>
      <w:r w:rsidR="0078750D" w:rsidRPr="00CA2430">
        <w:rPr>
          <w:rFonts w:eastAsia="Times New Roman" w:cs="Times New Roman"/>
          <w:b/>
          <w:noProof/>
        </w:rPr>
        <w:t>strukturālās bilances nosacījumu</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098"/>
        <w:gridCol w:w="737"/>
        <w:gridCol w:w="737"/>
        <w:gridCol w:w="737"/>
        <w:gridCol w:w="737"/>
      </w:tblGrid>
      <w:tr w:rsidR="0078750D" w:rsidRPr="00CA2430" w14:paraId="1EAFEF08" w14:textId="77777777" w:rsidTr="00CA2430">
        <w:trPr>
          <w:trHeight w:val="20"/>
          <w:tblHeader/>
          <w:jc w:val="center"/>
        </w:trPr>
        <w:tc>
          <w:tcPr>
            <w:tcW w:w="3397" w:type="dxa"/>
            <w:shd w:val="clear" w:color="auto" w:fill="BDD6EE" w:themeFill="accent1" w:themeFillTint="66"/>
            <w:noWrap/>
            <w:vAlign w:val="bottom"/>
            <w:hideMark/>
          </w:tcPr>
          <w:p w14:paraId="36BABB54"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1276" w:type="dxa"/>
            <w:shd w:val="clear" w:color="auto" w:fill="BDD6EE" w:themeFill="accent1" w:themeFillTint="66"/>
            <w:noWrap/>
            <w:vAlign w:val="bottom"/>
            <w:hideMark/>
          </w:tcPr>
          <w:p w14:paraId="34B15324"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1098" w:type="dxa"/>
            <w:shd w:val="clear" w:color="auto" w:fill="BDD6EE" w:themeFill="accent1" w:themeFillTint="66"/>
            <w:noWrap/>
            <w:vAlign w:val="center"/>
            <w:hideMark/>
          </w:tcPr>
          <w:p w14:paraId="11CF6CD0"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2024</w:t>
            </w:r>
          </w:p>
        </w:tc>
        <w:tc>
          <w:tcPr>
            <w:tcW w:w="737" w:type="dxa"/>
            <w:shd w:val="clear" w:color="auto" w:fill="BDD6EE" w:themeFill="accent1" w:themeFillTint="66"/>
            <w:noWrap/>
            <w:vAlign w:val="center"/>
            <w:hideMark/>
          </w:tcPr>
          <w:p w14:paraId="5D8E2E25"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2025</w:t>
            </w:r>
          </w:p>
        </w:tc>
        <w:tc>
          <w:tcPr>
            <w:tcW w:w="737" w:type="dxa"/>
            <w:shd w:val="clear" w:color="auto" w:fill="BDD6EE" w:themeFill="accent1" w:themeFillTint="66"/>
            <w:noWrap/>
            <w:vAlign w:val="center"/>
            <w:hideMark/>
          </w:tcPr>
          <w:p w14:paraId="328D1F54"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2026</w:t>
            </w:r>
          </w:p>
        </w:tc>
        <w:tc>
          <w:tcPr>
            <w:tcW w:w="737" w:type="dxa"/>
            <w:shd w:val="clear" w:color="auto" w:fill="BDD6EE" w:themeFill="accent1" w:themeFillTint="66"/>
            <w:vAlign w:val="center"/>
          </w:tcPr>
          <w:p w14:paraId="6AF7A3D8"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2027</w:t>
            </w:r>
          </w:p>
        </w:tc>
        <w:tc>
          <w:tcPr>
            <w:tcW w:w="737" w:type="dxa"/>
            <w:shd w:val="clear" w:color="auto" w:fill="BDD6EE" w:themeFill="accent1" w:themeFillTint="66"/>
            <w:noWrap/>
            <w:vAlign w:val="center"/>
            <w:hideMark/>
          </w:tcPr>
          <w:p w14:paraId="39557680"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2028</w:t>
            </w:r>
          </w:p>
        </w:tc>
      </w:tr>
      <w:tr w:rsidR="0078750D" w:rsidRPr="00CA2430" w14:paraId="4C5B29B0" w14:textId="77777777" w:rsidTr="00CA2430">
        <w:trPr>
          <w:trHeight w:val="20"/>
          <w:jc w:val="center"/>
        </w:trPr>
        <w:tc>
          <w:tcPr>
            <w:tcW w:w="3397" w:type="dxa"/>
            <w:shd w:val="clear" w:color="auto" w:fill="auto"/>
            <w:noWrap/>
            <w:vAlign w:val="center"/>
          </w:tcPr>
          <w:p w14:paraId="5E71DA46"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IKP prognoze, milj. </w:t>
            </w:r>
            <w:r w:rsidRPr="00CA2430">
              <w:rPr>
                <w:rFonts w:eastAsia="Times New Roman" w:cs="Times New Roman"/>
                <w:i/>
                <w:iCs/>
                <w:noProof/>
                <w:color w:val="000000"/>
                <w:sz w:val="18"/>
                <w:szCs w:val="18"/>
                <w:lang w:eastAsia="lv-LV"/>
              </w:rPr>
              <w:t>euro</w:t>
            </w:r>
          </w:p>
        </w:tc>
        <w:tc>
          <w:tcPr>
            <w:tcW w:w="1276" w:type="dxa"/>
            <w:shd w:val="clear" w:color="auto" w:fill="auto"/>
            <w:noWrap/>
            <w:vAlign w:val="center"/>
            <w:hideMark/>
          </w:tcPr>
          <w:p w14:paraId="50CF9D8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w:t>
            </w:r>
          </w:p>
        </w:tc>
        <w:tc>
          <w:tcPr>
            <w:tcW w:w="1098" w:type="dxa"/>
            <w:shd w:val="clear" w:color="auto" w:fill="auto"/>
            <w:noWrap/>
            <w:vAlign w:val="center"/>
          </w:tcPr>
          <w:p w14:paraId="47DA0AD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41 894</w:t>
            </w:r>
          </w:p>
        </w:tc>
        <w:tc>
          <w:tcPr>
            <w:tcW w:w="737" w:type="dxa"/>
            <w:shd w:val="clear" w:color="auto" w:fill="E7E6E6" w:themeFill="background2"/>
            <w:noWrap/>
            <w:vAlign w:val="center"/>
            <w:hideMark/>
          </w:tcPr>
          <w:p w14:paraId="12DDF38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67D468B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5AC148A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440D469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7566B223" w14:textId="77777777" w:rsidTr="00CA2430">
        <w:trPr>
          <w:trHeight w:val="20"/>
          <w:jc w:val="center"/>
        </w:trPr>
        <w:tc>
          <w:tcPr>
            <w:tcW w:w="3397" w:type="dxa"/>
            <w:shd w:val="clear" w:color="auto" w:fill="auto"/>
            <w:noWrap/>
            <w:vAlign w:val="center"/>
          </w:tcPr>
          <w:p w14:paraId="605B1C4D"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2024. gada vispārējās valdības budžeta bilance, milj. </w:t>
            </w:r>
            <w:r w:rsidRPr="00CA2430">
              <w:rPr>
                <w:rFonts w:eastAsia="Times New Roman" w:cs="Times New Roman"/>
                <w:i/>
                <w:iCs/>
                <w:noProof/>
                <w:color w:val="000000"/>
                <w:sz w:val="18"/>
                <w:szCs w:val="18"/>
                <w:lang w:eastAsia="lv-LV"/>
              </w:rPr>
              <w:t>euro</w:t>
            </w:r>
          </w:p>
        </w:tc>
        <w:tc>
          <w:tcPr>
            <w:tcW w:w="1276" w:type="dxa"/>
            <w:shd w:val="clear" w:color="auto" w:fill="auto"/>
            <w:noWrap/>
            <w:vAlign w:val="center"/>
            <w:hideMark/>
          </w:tcPr>
          <w:p w14:paraId="2259AE3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w:t>
            </w:r>
          </w:p>
        </w:tc>
        <w:tc>
          <w:tcPr>
            <w:tcW w:w="1098" w:type="dxa"/>
            <w:shd w:val="clear" w:color="auto" w:fill="auto"/>
            <w:noWrap/>
            <w:vAlign w:val="center"/>
          </w:tcPr>
          <w:p w14:paraId="657DFBB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-1 075</w:t>
            </w:r>
          </w:p>
        </w:tc>
        <w:tc>
          <w:tcPr>
            <w:tcW w:w="737" w:type="dxa"/>
            <w:shd w:val="clear" w:color="auto" w:fill="E7E6E6" w:themeFill="background2"/>
            <w:noWrap/>
            <w:vAlign w:val="center"/>
            <w:hideMark/>
          </w:tcPr>
          <w:p w14:paraId="2D2EF6C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7DBEBCF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1964F75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5170F4A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2E2B2346" w14:textId="77777777" w:rsidTr="00CA2430">
        <w:trPr>
          <w:trHeight w:val="20"/>
          <w:jc w:val="center"/>
        </w:trPr>
        <w:tc>
          <w:tcPr>
            <w:tcW w:w="3397" w:type="dxa"/>
            <w:shd w:val="clear" w:color="auto" w:fill="auto"/>
            <w:noWrap/>
            <w:vAlign w:val="center"/>
          </w:tcPr>
          <w:p w14:paraId="7FCCD223"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2024. gada vispārējās valdības budžeta bilance, % IKP</w:t>
            </w:r>
          </w:p>
        </w:tc>
        <w:tc>
          <w:tcPr>
            <w:tcW w:w="1276" w:type="dxa"/>
            <w:shd w:val="clear" w:color="auto" w:fill="auto"/>
            <w:noWrap/>
            <w:vAlign w:val="center"/>
            <w:hideMark/>
          </w:tcPr>
          <w:p w14:paraId="6FA6786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(3)=(2)/(1)*100</w:t>
            </w:r>
          </w:p>
        </w:tc>
        <w:tc>
          <w:tcPr>
            <w:tcW w:w="1098" w:type="dxa"/>
            <w:shd w:val="clear" w:color="auto" w:fill="auto"/>
            <w:noWrap/>
            <w:vAlign w:val="center"/>
          </w:tcPr>
          <w:p w14:paraId="60670D9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-2,6</w:t>
            </w:r>
          </w:p>
        </w:tc>
        <w:tc>
          <w:tcPr>
            <w:tcW w:w="737" w:type="dxa"/>
            <w:shd w:val="clear" w:color="auto" w:fill="E7E6E6" w:themeFill="background2"/>
            <w:noWrap/>
            <w:vAlign w:val="center"/>
            <w:hideMark/>
          </w:tcPr>
          <w:p w14:paraId="6C806C6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15CADD5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229A489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13E0B27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5B2D55C6" w14:textId="77777777" w:rsidTr="00CA2430">
        <w:trPr>
          <w:trHeight w:val="20"/>
          <w:jc w:val="center"/>
        </w:trPr>
        <w:tc>
          <w:tcPr>
            <w:tcW w:w="3397" w:type="dxa"/>
            <w:shd w:val="clear" w:color="auto" w:fill="auto"/>
            <w:noWrap/>
            <w:vAlign w:val="center"/>
          </w:tcPr>
          <w:p w14:paraId="47F4F611"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izlaižu starpība, % no potenciālā IKP</w:t>
            </w:r>
          </w:p>
        </w:tc>
        <w:tc>
          <w:tcPr>
            <w:tcW w:w="1276" w:type="dxa"/>
            <w:shd w:val="clear" w:color="auto" w:fill="auto"/>
            <w:noWrap/>
            <w:vAlign w:val="center"/>
            <w:hideMark/>
          </w:tcPr>
          <w:p w14:paraId="1B90C88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w:t>
            </w:r>
          </w:p>
        </w:tc>
        <w:tc>
          <w:tcPr>
            <w:tcW w:w="1098" w:type="dxa"/>
            <w:shd w:val="clear" w:color="auto" w:fill="auto"/>
            <w:noWrap/>
            <w:vAlign w:val="center"/>
          </w:tcPr>
          <w:p w14:paraId="1C69175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w:t>
            </w:r>
          </w:p>
        </w:tc>
        <w:tc>
          <w:tcPr>
            <w:tcW w:w="737" w:type="dxa"/>
            <w:shd w:val="clear" w:color="auto" w:fill="E7E6E6" w:themeFill="background2"/>
            <w:noWrap/>
            <w:vAlign w:val="center"/>
            <w:hideMark/>
          </w:tcPr>
          <w:p w14:paraId="06B2397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7E52FBD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50946C1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69040B2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082BB41C" w14:textId="77777777" w:rsidTr="00CA2430">
        <w:trPr>
          <w:trHeight w:val="20"/>
          <w:jc w:val="center"/>
        </w:trPr>
        <w:tc>
          <w:tcPr>
            <w:tcW w:w="3397" w:type="dxa"/>
            <w:shd w:val="clear" w:color="auto" w:fill="auto"/>
            <w:noWrap/>
            <w:vAlign w:val="center"/>
          </w:tcPr>
          <w:p w14:paraId="75406F02"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bilances cikliskā komponente, % no IKP</w:t>
            </w:r>
          </w:p>
        </w:tc>
        <w:tc>
          <w:tcPr>
            <w:tcW w:w="1276" w:type="dxa"/>
            <w:shd w:val="clear" w:color="auto" w:fill="auto"/>
            <w:noWrap/>
            <w:vAlign w:val="center"/>
            <w:hideMark/>
          </w:tcPr>
          <w:p w14:paraId="43EF970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(5)=0,378*(4)</w:t>
            </w:r>
          </w:p>
        </w:tc>
        <w:tc>
          <w:tcPr>
            <w:tcW w:w="1098" w:type="dxa"/>
            <w:shd w:val="clear" w:color="auto" w:fill="auto"/>
            <w:noWrap/>
            <w:vAlign w:val="center"/>
          </w:tcPr>
          <w:p w14:paraId="59812E8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-0,7</w:t>
            </w:r>
          </w:p>
        </w:tc>
        <w:tc>
          <w:tcPr>
            <w:tcW w:w="737" w:type="dxa"/>
            <w:shd w:val="clear" w:color="auto" w:fill="E7E6E6" w:themeFill="background2"/>
            <w:noWrap/>
            <w:vAlign w:val="center"/>
            <w:hideMark/>
          </w:tcPr>
          <w:p w14:paraId="4BE29BC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4F7E031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304A851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35E0B27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724DA4E2" w14:textId="77777777" w:rsidTr="00CA2430">
        <w:trPr>
          <w:trHeight w:val="20"/>
          <w:jc w:val="center"/>
        </w:trPr>
        <w:tc>
          <w:tcPr>
            <w:tcW w:w="3397" w:type="dxa"/>
            <w:shd w:val="clear" w:color="auto" w:fill="auto"/>
            <w:noWrap/>
            <w:vAlign w:val="center"/>
          </w:tcPr>
          <w:p w14:paraId="0FA95C15"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bookmarkStart w:id="14" w:name="_Hlk173746415"/>
            <w:r w:rsidRPr="00CA2430">
              <w:rPr>
                <w:rFonts w:eastAsia="Times New Roman" w:cs="Times New Roman"/>
                <w:noProof/>
                <w:color w:val="000000"/>
                <w:sz w:val="18"/>
                <w:szCs w:val="18"/>
                <w:lang w:eastAsia="lv-LV"/>
              </w:rPr>
              <w:t>one-off un citi īslaicīgie pasākumi</w:t>
            </w:r>
            <w:bookmarkEnd w:id="14"/>
            <w:r w:rsidRPr="00CA2430">
              <w:rPr>
                <w:rFonts w:eastAsia="Times New Roman" w:cs="Times New Roman"/>
                <w:noProof/>
                <w:color w:val="000000"/>
                <w:sz w:val="18"/>
                <w:szCs w:val="18"/>
                <w:lang w:eastAsia="lv-LV"/>
              </w:rPr>
              <w:t>, % no IKP, tai skaitā</w:t>
            </w:r>
          </w:p>
        </w:tc>
        <w:tc>
          <w:tcPr>
            <w:tcW w:w="1276" w:type="dxa"/>
            <w:shd w:val="clear" w:color="auto" w:fill="auto"/>
            <w:noWrap/>
            <w:vAlign w:val="center"/>
            <w:hideMark/>
          </w:tcPr>
          <w:p w14:paraId="6F3E572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(6)=(7)+(8)+(9)</w:t>
            </w:r>
          </w:p>
          <w:p w14:paraId="45A2AF5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+(10)+(11)</w:t>
            </w:r>
          </w:p>
        </w:tc>
        <w:tc>
          <w:tcPr>
            <w:tcW w:w="1098" w:type="dxa"/>
            <w:shd w:val="clear" w:color="auto" w:fill="auto"/>
            <w:noWrap/>
            <w:vAlign w:val="center"/>
          </w:tcPr>
          <w:p w14:paraId="0D2C6DC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-1,7</w:t>
            </w:r>
          </w:p>
        </w:tc>
        <w:tc>
          <w:tcPr>
            <w:tcW w:w="737" w:type="dxa"/>
            <w:shd w:val="clear" w:color="auto" w:fill="E7E6E6" w:themeFill="background2"/>
            <w:noWrap/>
            <w:vAlign w:val="center"/>
            <w:hideMark/>
          </w:tcPr>
          <w:p w14:paraId="7C7D0DD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6489C08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13AD0FB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7141545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3457826B" w14:textId="77777777" w:rsidTr="00CA2430">
        <w:trPr>
          <w:trHeight w:val="20"/>
          <w:jc w:val="center"/>
        </w:trPr>
        <w:tc>
          <w:tcPr>
            <w:tcW w:w="3397" w:type="dxa"/>
            <w:shd w:val="clear" w:color="auto" w:fill="auto"/>
            <w:noWrap/>
            <w:vAlign w:val="center"/>
          </w:tcPr>
          <w:p w14:paraId="27BB681E"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COVID -19 pandēmijas mazināšanas pasākumi</w:t>
            </w:r>
          </w:p>
        </w:tc>
        <w:tc>
          <w:tcPr>
            <w:tcW w:w="1276" w:type="dxa"/>
            <w:shd w:val="clear" w:color="auto" w:fill="auto"/>
            <w:noWrap/>
            <w:vAlign w:val="center"/>
            <w:hideMark/>
          </w:tcPr>
          <w:p w14:paraId="5B95FDA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w:t>
            </w:r>
          </w:p>
        </w:tc>
        <w:tc>
          <w:tcPr>
            <w:tcW w:w="1098" w:type="dxa"/>
            <w:shd w:val="clear" w:color="auto" w:fill="auto"/>
            <w:noWrap/>
            <w:vAlign w:val="center"/>
          </w:tcPr>
          <w:p w14:paraId="243180D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737" w:type="dxa"/>
            <w:shd w:val="clear" w:color="auto" w:fill="E7E6E6" w:themeFill="background2"/>
            <w:noWrap/>
            <w:vAlign w:val="center"/>
            <w:hideMark/>
          </w:tcPr>
          <w:p w14:paraId="1A29357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39F3E86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5D275B4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49E6BFC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5AC6DF39" w14:textId="77777777" w:rsidTr="00CA2430">
        <w:trPr>
          <w:trHeight w:val="20"/>
          <w:jc w:val="center"/>
        </w:trPr>
        <w:tc>
          <w:tcPr>
            <w:tcW w:w="3397" w:type="dxa"/>
            <w:shd w:val="clear" w:color="auto" w:fill="auto"/>
            <w:noWrap/>
            <w:vAlign w:val="center"/>
          </w:tcPr>
          <w:p w14:paraId="1C330FE6"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enerģijas cenas pieauguma mazināšanas pasākumi</w:t>
            </w:r>
          </w:p>
        </w:tc>
        <w:tc>
          <w:tcPr>
            <w:tcW w:w="1276" w:type="dxa"/>
            <w:shd w:val="clear" w:color="auto" w:fill="auto"/>
            <w:noWrap/>
            <w:vAlign w:val="center"/>
            <w:hideMark/>
          </w:tcPr>
          <w:p w14:paraId="6DF5B9E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(8)</w:t>
            </w:r>
          </w:p>
        </w:tc>
        <w:tc>
          <w:tcPr>
            <w:tcW w:w="1098" w:type="dxa"/>
            <w:shd w:val="clear" w:color="auto" w:fill="auto"/>
            <w:noWrap/>
            <w:vAlign w:val="center"/>
          </w:tcPr>
          <w:p w14:paraId="06E9BA7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737" w:type="dxa"/>
            <w:shd w:val="clear" w:color="auto" w:fill="E7E6E6" w:themeFill="background2"/>
            <w:noWrap/>
            <w:vAlign w:val="center"/>
            <w:hideMark/>
          </w:tcPr>
          <w:p w14:paraId="4FA368A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4AF1DCE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3BB5544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hideMark/>
          </w:tcPr>
          <w:p w14:paraId="366EFC0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0AA7B954" w14:textId="77777777" w:rsidTr="00CA2430">
        <w:trPr>
          <w:trHeight w:val="20"/>
          <w:jc w:val="center"/>
        </w:trPr>
        <w:tc>
          <w:tcPr>
            <w:tcW w:w="3397" w:type="dxa"/>
            <w:shd w:val="clear" w:color="auto" w:fill="auto"/>
            <w:noWrap/>
            <w:vAlign w:val="center"/>
          </w:tcPr>
          <w:p w14:paraId="1A6E6946"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aizsardzības un iekšējās drošības finansējums</w:t>
            </w:r>
          </w:p>
        </w:tc>
        <w:tc>
          <w:tcPr>
            <w:tcW w:w="1276" w:type="dxa"/>
            <w:shd w:val="clear" w:color="auto" w:fill="auto"/>
            <w:noWrap/>
            <w:vAlign w:val="center"/>
          </w:tcPr>
          <w:p w14:paraId="18C9548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w:t>
            </w:r>
          </w:p>
        </w:tc>
        <w:tc>
          <w:tcPr>
            <w:tcW w:w="1098" w:type="dxa"/>
            <w:shd w:val="clear" w:color="auto" w:fill="auto"/>
            <w:noWrap/>
            <w:vAlign w:val="center"/>
          </w:tcPr>
          <w:p w14:paraId="7EBDB94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-0,8</w:t>
            </w:r>
          </w:p>
        </w:tc>
        <w:tc>
          <w:tcPr>
            <w:tcW w:w="737" w:type="dxa"/>
            <w:shd w:val="clear" w:color="auto" w:fill="E7E6E6" w:themeFill="background2"/>
            <w:noWrap/>
            <w:vAlign w:val="center"/>
          </w:tcPr>
          <w:p w14:paraId="4F79D5F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1013858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57F7845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4D9C925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4E07A061" w14:textId="77777777" w:rsidTr="00CA2430">
        <w:trPr>
          <w:trHeight w:val="20"/>
          <w:jc w:val="center"/>
        </w:trPr>
        <w:tc>
          <w:tcPr>
            <w:tcW w:w="3397" w:type="dxa"/>
            <w:shd w:val="clear" w:color="auto" w:fill="auto"/>
            <w:noWrap/>
            <w:vAlign w:val="center"/>
          </w:tcPr>
          <w:p w14:paraId="5F7D803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atbalsts bēgļiem no Ukrainas</w:t>
            </w:r>
          </w:p>
        </w:tc>
        <w:tc>
          <w:tcPr>
            <w:tcW w:w="1276" w:type="dxa"/>
            <w:shd w:val="clear" w:color="auto" w:fill="auto"/>
            <w:noWrap/>
            <w:vAlign w:val="center"/>
          </w:tcPr>
          <w:p w14:paraId="6CABA5E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w:t>
            </w:r>
          </w:p>
        </w:tc>
        <w:tc>
          <w:tcPr>
            <w:tcW w:w="1098" w:type="dxa"/>
            <w:shd w:val="clear" w:color="auto" w:fill="auto"/>
            <w:noWrap/>
            <w:vAlign w:val="center"/>
          </w:tcPr>
          <w:p w14:paraId="1007668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-0,2</w:t>
            </w:r>
          </w:p>
        </w:tc>
        <w:tc>
          <w:tcPr>
            <w:tcW w:w="737" w:type="dxa"/>
            <w:shd w:val="clear" w:color="auto" w:fill="E7E6E6" w:themeFill="background2"/>
            <w:noWrap/>
            <w:vAlign w:val="center"/>
          </w:tcPr>
          <w:p w14:paraId="06F629E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2CB183D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311BA68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0CD121B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299E2BE6" w14:textId="77777777" w:rsidTr="00CA2430">
        <w:trPr>
          <w:trHeight w:val="20"/>
          <w:jc w:val="center"/>
        </w:trPr>
        <w:tc>
          <w:tcPr>
            <w:tcW w:w="3397" w:type="dxa"/>
            <w:shd w:val="clear" w:color="auto" w:fill="auto"/>
            <w:noWrap/>
            <w:vAlign w:val="center"/>
          </w:tcPr>
          <w:p w14:paraId="15A091D7"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citi/vienreizējie izdevumi valsts aizsardzībai un iekšējai drošībai</w:t>
            </w:r>
          </w:p>
        </w:tc>
        <w:tc>
          <w:tcPr>
            <w:tcW w:w="1276" w:type="dxa"/>
            <w:shd w:val="clear" w:color="auto" w:fill="auto"/>
            <w:noWrap/>
            <w:vAlign w:val="center"/>
          </w:tcPr>
          <w:p w14:paraId="4C07AE7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(11)</w:t>
            </w:r>
          </w:p>
        </w:tc>
        <w:tc>
          <w:tcPr>
            <w:tcW w:w="1098" w:type="dxa"/>
            <w:shd w:val="clear" w:color="auto" w:fill="auto"/>
            <w:noWrap/>
            <w:vAlign w:val="center"/>
          </w:tcPr>
          <w:p w14:paraId="5DBCB80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-0,7</w:t>
            </w:r>
          </w:p>
        </w:tc>
        <w:tc>
          <w:tcPr>
            <w:tcW w:w="737" w:type="dxa"/>
            <w:shd w:val="clear" w:color="auto" w:fill="E7E6E6" w:themeFill="background2"/>
            <w:noWrap/>
            <w:vAlign w:val="center"/>
          </w:tcPr>
          <w:p w14:paraId="2BED22F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436219B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vAlign w:val="center"/>
          </w:tcPr>
          <w:p w14:paraId="25817B1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737" w:type="dxa"/>
            <w:shd w:val="clear" w:color="auto" w:fill="E7E6E6" w:themeFill="background2"/>
            <w:noWrap/>
            <w:vAlign w:val="center"/>
          </w:tcPr>
          <w:p w14:paraId="735BF3A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r>
      <w:tr w:rsidR="0078750D" w:rsidRPr="00CA2430" w14:paraId="172BAD13" w14:textId="77777777" w:rsidTr="00CA2430">
        <w:trPr>
          <w:trHeight w:val="20"/>
          <w:jc w:val="center"/>
        </w:trPr>
        <w:tc>
          <w:tcPr>
            <w:tcW w:w="3397" w:type="dxa"/>
            <w:shd w:val="clear" w:color="auto" w:fill="BDD6EE" w:themeFill="accent1" w:themeFillTint="66"/>
            <w:noWrap/>
            <w:vAlign w:val="center"/>
            <w:hideMark/>
          </w:tcPr>
          <w:p w14:paraId="3406EA40" w14:textId="418C733A" w:rsidR="0078750D" w:rsidRPr="00CA2430" w:rsidRDefault="0078750D" w:rsidP="0078750D">
            <w:pPr>
              <w:spacing w:before="60" w:after="0"/>
              <w:ind w:firstLine="0"/>
              <w:jc w:val="left"/>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Vispārējās valdības strukturālās bilances prognoze un mērķi, % no IKP</w:t>
            </w:r>
          </w:p>
        </w:tc>
        <w:tc>
          <w:tcPr>
            <w:tcW w:w="1276" w:type="dxa"/>
            <w:shd w:val="clear" w:color="auto" w:fill="BDD6EE" w:themeFill="accent1" w:themeFillTint="66"/>
            <w:noWrap/>
            <w:vAlign w:val="center"/>
            <w:hideMark/>
          </w:tcPr>
          <w:p w14:paraId="08556EF9"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(12)=(3)-(5)-(6)</w:t>
            </w:r>
          </w:p>
        </w:tc>
        <w:tc>
          <w:tcPr>
            <w:tcW w:w="1098" w:type="dxa"/>
            <w:shd w:val="clear" w:color="auto" w:fill="BDD6EE" w:themeFill="accent1" w:themeFillTint="66"/>
            <w:noWrap/>
            <w:vAlign w:val="center"/>
          </w:tcPr>
          <w:p w14:paraId="508EF224"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-0,2</w:t>
            </w:r>
          </w:p>
        </w:tc>
        <w:tc>
          <w:tcPr>
            <w:tcW w:w="737" w:type="dxa"/>
            <w:shd w:val="clear" w:color="auto" w:fill="BDD6EE" w:themeFill="accent1" w:themeFillTint="66"/>
            <w:noWrap/>
            <w:vAlign w:val="center"/>
          </w:tcPr>
          <w:p w14:paraId="16EC24F3"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w:t>
            </w:r>
          </w:p>
        </w:tc>
        <w:tc>
          <w:tcPr>
            <w:tcW w:w="737" w:type="dxa"/>
            <w:shd w:val="clear" w:color="auto" w:fill="BDD6EE" w:themeFill="accent1" w:themeFillTint="66"/>
            <w:noWrap/>
            <w:vAlign w:val="center"/>
          </w:tcPr>
          <w:p w14:paraId="7C5237E5"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w:t>
            </w:r>
          </w:p>
        </w:tc>
        <w:tc>
          <w:tcPr>
            <w:tcW w:w="737" w:type="dxa"/>
            <w:shd w:val="clear" w:color="auto" w:fill="BDD6EE" w:themeFill="accent1" w:themeFillTint="66"/>
            <w:vAlign w:val="center"/>
          </w:tcPr>
          <w:p w14:paraId="7937402D"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w:t>
            </w:r>
          </w:p>
        </w:tc>
        <w:tc>
          <w:tcPr>
            <w:tcW w:w="737" w:type="dxa"/>
            <w:shd w:val="clear" w:color="auto" w:fill="BDD6EE" w:themeFill="accent1" w:themeFillTint="66"/>
            <w:noWrap/>
            <w:vAlign w:val="center"/>
          </w:tcPr>
          <w:p w14:paraId="57A60571"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w:t>
            </w:r>
          </w:p>
        </w:tc>
      </w:tr>
    </w:tbl>
    <w:p w14:paraId="274362AF" w14:textId="77777777" w:rsidR="00017774" w:rsidRDefault="00017774" w:rsidP="00FE0109">
      <w:pPr>
        <w:widowControl w:val="0"/>
        <w:spacing w:before="240"/>
        <w:rPr>
          <w:rFonts w:eastAsia="Times New Roman" w:cs="Times New Roman"/>
          <w:b/>
          <w:noProof/>
          <w:szCs w:val="24"/>
        </w:rPr>
      </w:pPr>
    </w:p>
    <w:p w14:paraId="2D7D90F7" w14:textId="5F2D9835" w:rsidR="0078750D" w:rsidRPr="00CA2430" w:rsidRDefault="0078750D" w:rsidP="00FE0109">
      <w:pPr>
        <w:widowControl w:val="0"/>
        <w:spacing w:before="240"/>
        <w:rPr>
          <w:rFonts w:eastAsia="Times New Roman" w:cs="Times New Roman"/>
          <w:b/>
          <w:noProof/>
        </w:rPr>
      </w:pPr>
      <w:r w:rsidRPr="00CA2430">
        <w:rPr>
          <w:rFonts w:eastAsia="Times New Roman" w:cs="Times New Roman"/>
          <w:b/>
          <w:noProof/>
          <w:szCs w:val="24"/>
        </w:rPr>
        <w:lastRenderedPageBreak/>
        <w:t>ES strukturālās primārās bilances nosacījums</w:t>
      </w:r>
      <w:r w:rsidR="00CA2430" w:rsidRPr="00CA2430">
        <w:rPr>
          <w:rFonts w:eastAsia="Times New Roman" w:cs="Times New Roman"/>
          <w:b/>
          <w:noProof/>
          <w:szCs w:val="24"/>
        </w:rPr>
        <w:t xml:space="preserve"> (2)</w:t>
      </w:r>
    </w:p>
    <w:p w14:paraId="452F17C4" w14:textId="34BBDF18" w:rsidR="0078750D" w:rsidRPr="00CA2430" w:rsidRDefault="0078750D" w:rsidP="0078750D">
      <w:pPr>
        <w:widowControl w:val="0"/>
        <w:rPr>
          <w:rFonts w:eastAsia="Times New Roman" w:cs="Times New Roman"/>
          <w:b/>
          <w:noProof/>
        </w:rPr>
      </w:pPr>
      <w:r w:rsidRPr="00CA2430">
        <w:rPr>
          <w:rFonts w:eastAsia="Times New Roman" w:cs="Times New Roman"/>
          <w:noProof/>
          <w:szCs w:val="24"/>
        </w:rPr>
        <w:t>Regula nosaka, ka valstij specifiskai fiskālajai trajektorijai</w:t>
      </w:r>
      <w:r w:rsidR="00EB1A54" w:rsidRPr="00CA2430">
        <w:rPr>
          <w:rFonts w:eastAsia="Times New Roman" w:cs="Times New Roman"/>
          <w:noProof/>
          <w:szCs w:val="24"/>
        </w:rPr>
        <w:t xml:space="preserve"> </w:t>
      </w:r>
      <w:r w:rsidRPr="00CA2430">
        <w:rPr>
          <w:rFonts w:eastAsia="Times New Roman" w:cs="Times New Roman"/>
          <w:noProof/>
          <w:szCs w:val="24"/>
        </w:rPr>
        <w:t>–</w:t>
      </w:r>
      <w:r w:rsidR="00EB1A54" w:rsidRPr="00CA2430">
        <w:rPr>
          <w:rFonts w:eastAsia="Times New Roman" w:cs="Times New Roman"/>
          <w:noProof/>
          <w:szCs w:val="24"/>
        </w:rPr>
        <w:t xml:space="preserve"> </w:t>
      </w:r>
      <w:r w:rsidRPr="00CA2430">
        <w:rPr>
          <w:rFonts w:eastAsia="Times New Roman" w:cs="Times New Roman"/>
          <w:noProof/>
          <w:szCs w:val="24"/>
        </w:rPr>
        <w:t>valsts finansētiem neto primāriem izdevumiem strukturālās primārās bilances izteiksmē – jā</w:t>
      </w:r>
      <w:r w:rsidRPr="00CA2430">
        <w:rPr>
          <w:rFonts w:cs="Times New Roman"/>
          <w:noProof/>
          <w:szCs w:val="24"/>
        </w:rPr>
        <w:t>atbilst prasībām</w:t>
      </w:r>
      <w:r w:rsidRPr="00CA2430">
        <w:rPr>
          <w:rFonts w:eastAsia="Times New Roman" w:cs="Times New Roman"/>
          <w:noProof/>
          <w:szCs w:val="24"/>
        </w:rPr>
        <w:t>, ka korekcijas periodā (</w:t>
      </w:r>
      <w:bookmarkStart w:id="15" w:name="_Hlk174011477"/>
      <w:r w:rsidR="00906173" w:rsidRPr="00906173">
        <w:rPr>
          <w:rFonts w:eastAsia="Times New Roman" w:cs="Times New Roman"/>
          <w:noProof/>
          <w:szCs w:val="24"/>
        </w:rPr>
        <w:t xml:space="preserve">2025.-2028. </w:t>
      </w:r>
      <w:bookmarkEnd w:id="15"/>
      <w:r w:rsidR="00906173" w:rsidRPr="00906173">
        <w:rPr>
          <w:rFonts w:eastAsia="Times New Roman" w:cs="Times New Roman"/>
          <w:noProof/>
          <w:szCs w:val="24"/>
        </w:rPr>
        <w:t>gadā</w:t>
      </w:r>
      <w:r w:rsidRPr="00CA2430">
        <w:rPr>
          <w:rFonts w:eastAsia="Times New Roman" w:cs="Times New Roman"/>
          <w:noProof/>
          <w:szCs w:val="24"/>
        </w:rPr>
        <w:t xml:space="preserve">) un 10 gadus pēc tā vispārējās valdības parāds ticami samazinās vai tiek saglabāts piesardzīgā līmenī, kas ir zemāks par 60% no IKP, un valdības budžeta deficīts tiek samazināts un saglabāts zem 3% no IKP. </w:t>
      </w:r>
    </w:p>
    <w:p w14:paraId="3AAF9158" w14:textId="2144A903" w:rsidR="0078750D" w:rsidRPr="00CA2430" w:rsidRDefault="0078750D" w:rsidP="0078750D">
      <w:pPr>
        <w:widowControl w:val="0"/>
        <w:rPr>
          <w:rFonts w:eastAsia="Times New Roman" w:cs="Times New Roman"/>
          <w:bCs/>
          <w:strike/>
          <w:noProof/>
        </w:rPr>
      </w:pPr>
      <w:r w:rsidRPr="00CA2430">
        <w:rPr>
          <w:rFonts w:eastAsia="Times New Roman" w:cs="Times New Roman"/>
          <w:bCs/>
          <w:noProof/>
        </w:rPr>
        <w:t>Šis nosacījums tiek aprēķināts saskaņā ar vienoto ES metodoloģiju un ES izmantotajiem pieņēmumiem.</w:t>
      </w:r>
      <w:r w:rsidR="00EB1A54" w:rsidRPr="00CA2430">
        <w:rPr>
          <w:rFonts w:eastAsia="Times New Roman" w:cs="Times New Roman"/>
          <w:bCs/>
          <w:noProof/>
        </w:rPr>
        <w:t xml:space="preserve"> </w:t>
      </w:r>
      <w:r w:rsidRPr="00CA2430">
        <w:rPr>
          <w:rFonts w:eastAsia="Times New Roman" w:cs="Times New Roman"/>
          <w:bCs/>
          <w:noProof/>
        </w:rPr>
        <w:t xml:space="preserve">Par pamatu tiek ņemta strukturālā primārā bilance 2024. gadam. Nominālo bilanci iegūst, pie strukturālās primārās bilances pieskaitot procentu izdevumus (% no IKP), </w:t>
      </w:r>
      <w:r w:rsidRPr="00CA2430">
        <w:rPr>
          <w:rFonts w:eastAsia="Times New Roman" w:cs="Times New Roman"/>
          <w:bCs/>
          <w:i/>
          <w:iCs/>
          <w:noProof/>
        </w:rPr>
        <w:t>one-off</w:t>
      </w:r>
      <w:r w:rsidRPr="00CA2430">
        <w:rPr>
          <w:rFonts w:eastAsia="Times New Roman" w:cs="Times New Roman"/>
          <w:bCs/>
          <w:noProof/>
        </w:rPr>
        <w:t xml:space="preserve"> un citu īslaicīgo pasākumu izdevumus (% no IKP) un bilances ciklisko komponenti (% no IKP). </w:t>
      </w:r>
    </w:p>
    <w:p w14:paraId="7C67C052" w14:textId="110C8A0E" w:rsidR="0078750D" w:rsidRPr="00CA2430" w:rsidRDefault="0078750D" w:rsidP="0078750D">
      <w:pPr>
        <w:widowControl w:val="0"/>
        <w:rPr>
          <w:rFonts w:eastAsia="Times New Roman" w:cs="Times New Roman"/>
          <w:bCs/>
          <w:noProof/>
        </w:rPr>
      </w:pPr>
      <w:r w:rsidRPr="00CA2430">
        <w:rPr>
          <w:rFonts w:eastAsia="Times New Roman" w:cs="Times New Roman"/>
          <w:bCs/>
          <w:noProof/>
        </w:rPr>
        <w:t>Lai novērstu nominālā deficīta pārsniegumu visā prognozēšanas periodā (korekcijas periodā un 10 gadus pēc tā), 4 gadu laikā sākot no 2025. gada līdz 2028. gadam strukturālais primārais deficīts Latvijai jāsamazina par 0,02% no IKP ik gadu, lai 2028.</w:t>
      </w:r>
      <w:r w:rsidR="00CA2430" w:rsidRPr="00CA2430">
        <w:rPr>
          <w:rFonts w:eastAsia="Times New Roman" w:cs="Times New Roman"/>
          <w:bCs/>
          <w:noProof/>
        </w:rPr>
        <w:t> </w:t>
      </w:r>
      <w:r w:rsidRPr="00CA2430">
        <w:rPr>
          <w:rFonts w:eastAsia="Times New Roman" w:cs="Times New Roman"/>
          <w:bCs/>
          <w:noProof/>
        </w:rPr>
        <w:t xml:space="preserve">gadā strukturālā primārā bilance sasniegtu 1,282% no IKP. Saskaņā ar šo fiskālo nosacījumu, pieļaujamā strukturālā primārā bilance ir norādīta </w:t>
      </w:r>
      <w:r w:rsidR="00CA2430" w:rsidRPr="00CA2430">
        <w:rPr>
          <w:rFonts w:eastAsia="Times New Roman" w:cs="Times New Roman"/>
          <w:bCs/>
          <w:noProof/>
        </w:rPr>
        <w:t>6</w:t>
      </w:r>
      <w:r w:rsidRPr="00CA2430">
        <w:rPr>
          <w:rFonts w:eastAsia="Times New Roman" w:cs="Times New Roman"/>
          <w:bCs/>
          <w:noProof/>
        </w:rPr>
        <w:t xml:space="preserve">. tabulas 1. rindā. </w:t>
      </w:r>
    </w:p>
    <w:p w14:paraId="4E812F44" w14:textId="6AE35E9A" w:rsidR="0078750D" w:rsidRPr="00CA2430" w:rsidRDefault="00CA2430" w:rsidP="0078750D">
      <w:pPr>
        <w:widowControl w:val="0"/>
        <w:rPr>
          <w:rFonts w:eastAsia="Times New Roman" w:cs="Times New Roman"/>
          <w:bCs/>
          <w:noProof/>
        </w:rPr>
      </w:pPr>
      <w:r w:rsidRPr="00CA2430">
        <w:rPr>
          <w:rFonts w:eastAsia="Times New Roman" w:cs="Times New Roman"/>
          <w:bCs/>
          <w:noProof/>
        </w:rPr>
        <w:t>6. </w:t>
      </w:r>
      <w:r w:rsidR="0078750D" w:rsidRPr="00CA2430">
        <w:rPr>
          <w:rFonts w:eastAsia="Times New Roman" w:cs="Times New Roman"/>
          <w:bCs/>
          <w:noProof/>
        </w:rPr>
        <w:t xml:space="preserve">tabulā ir veikts arī pārrēķins no pieļaujamās strukturālās primārās bilances uz FDL strukturālo bilanci. Saskaņā ar šo pārrēķinu, pieļaujamais FDL strukturālai deficīts 2025. gadā ir tuvu 1% no IKP, nedaudz zemāks 2025. gadā un tad palielinās līdz sasniedz 1,5% no IKP 2028. gadā. </w:t>
      </w:r>
    </w:p>
    <w:p w14:paraId="4CFF1872" w14:textId="5BBEDBA4" w:rsidR="0078750D" w:rsidRPr="00CA2430" w:rsidRDefault="00CA2430" w:rsidP="0078750D">
      <w:pPr>
        <w:widowControl w:val="0"/>
        <w:jc w:val="center"/>
        <w:rPr>
          <w:rFonts w:eastAsia="Times New Roman" w:cs="Times New Roman"/>
          <w:b/>
          <w:noProof/>
          <w:szCs w:val="24"/>
        </w:rPr>
      </w:pPr>
      <w:r w:rsidRPr="00CA2430">
        <w:rPr>
          <w:rFonts w:eastAsia="Times New Roman" w:cs="Times New Roman"/>
          <w:b/>
          <w:noProof/>
          <w:szCs w:val="24"/>
        </w:rPr>
        <w:t>6</w:t>
      </w:r>
      <w:r w:rsidR="0078750D" w:rsidRPr="00CA2430">
        <w:rPr>
          <w:rFonts w:eastAsia="Times New Roman" w:cs="Times New Roman"/>
          <w:b/>
          <w:noProof/>
          <w:szCs w:val="24"/>
        </w:rPr>
        <w:t>. tabula. Vispārējās valdības strukturālās bilances mērķi, balstoties uz ES strukturālās primārās bilances nosacījumu</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09"/>
        <w:gridCol w:w="1048"/>
        <w:gridCol w:w="1049"/>
        <w:gridCol w:w="1049"/>
        <w:gridCol w:w="1049"/>
        <w:gridCol w:w="1049"/>
      </w:tblGrid>
      <w:tr w:rsidR="0078750D" w:rsidRPr="00CA2430" w14:paraId="0575D980" w14:textId="77777777" w:rsidTr="00CA2430">
        <w:trPr>
          <w:trHeight w:val="20"/>
          <w:jc w:val="center"/>
        </w:trPr>
        <w:tc>
          <w:tcPr>
            <w:tcW w:w="2693" w:type="dxa"/>
            <w:shd w:val="clear" w:color="auto" w:fill="BDD6EE" w:themeFill="accent1" w:themeFillTint="66"/>
            <w:noWrap/>
            <w:vAlign w:val="bottom"/>
            <w:hideMark/>
          </w:tcPr>
          <w:p w14:paraId="7159B7F6"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709" w:type="dxa"/>
            <w:shd w:val="clear" w:color="auto" w:fill="BDD6EE" w:themeFill="accent1" w:themeFillTint="66"/>
          </w:tcPr>
          <w:p w14:paraId="19F33D7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1048" w:type="dxa"/>
            <w:shd w:val="clear" w:color="auto" w:fill="BDD6EE" w:themeFill="accent1" w:themeFillTint="66"/>
            <w:noWrap/>
            <w:vAlign w:val="center"/>
            <w:hideMark/>
          </w:tcPr>
          <w:p w14:paraId="2389199B"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2024</w:t>
            </w:r>
          </w:p>
        </w:tc>
        <w:tc>
          <w:tcPr>
            <w:tcW w:w="1049" w:type="dxa"/>
            <w:shd w:val="clear" w:color="auto" w:fill="BDD6EE" w:themeFill="accent1" w:themeFillTint="66"/>
            <w:noWrap/>
            <w:vAlign w:val="center"/>
            <w:hideMark/>
          </w:tcPr>
          <w:p w14:paraId="5DA804F5"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2025</w:t>
            </w:r>
          </w:p>
        </w:tc>
        <w:tc>
          <w:tcPr>
            <w:tcW w:w="1049" w:type="dxa"/>
            <w:shd w:val="clear" w:color="auto" w:fill="BDD6EE" w:themeFill="accent1" w:themeFillTint="66"/>
            <w:noWrap/>
            <w:vAlign w:val="center"/>
            <w:hideMark/>
          </w:tcPr>
          <w:p w14:paraId="11D306F2"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2026</w:t>
            </w:r>
          </w:p>
        </w:tc>
        <w:tc>
          <w:tcPr>
            <w:tcW w:w="1049" w:type="dxa"/>
            <w:shd w:val="clear" w:color="auto" w:fill="BDD6EE" w:themeFill="accent1" w:themeFillTint="66"/>
            <w:noWrap/>
            <w:vAlign w:val="center"/>
            <w:hideMark/>
          </w:tcPr>
          <w:p w14:paraId="67BE2084"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2027</w:t>
            </w:r>
          </w:p>
        </w:tc>
        <w:tc>
          <w:tcPr>
            <w:tcW w:w="1049" w:type="dxa"/>
            <w:shd w:val="clear" w:color="auto" w:fill="BDD6EE" w:themeFill="accent1" w:themeFillTint="66"/>
            <w:noWrap/>
            <w:vAlign w:val="center"/>
            <w:hideMark/>
          </w:tcPr>
          <w:p w14:paraId="03F26769"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2028</w:t>
            </w:r>
          </w:p>
        </w:tc>
      </w:tr>
      <w:tr w:rsidR="0078750D" w:rsidRPr="00CA2430" w14:paraId="2274F375" w14:textId="77777777" w:rsidTr="00CA2430">
        <w:trPr>
          <w:trHeight w:val="20"/>
          <w:jc w:val="center"/>
        </w:trPr>
        <w:tc>
          <w:tcPr>
            <w:tcW w:w="2693" w:type="dxa"/>
            <w:shd w:val="clear" w:color="auto" w:fill="auto"/>
            <w:noWrap/>
            <w:vAlign w:val="center"/>
          </w:tcPr>
          <w:p w14:paraId="1525B96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strukturālās primārās bilances mērķis, % no IKP</w:t>
            </w:r>
          </w:p>
        </w:tc>
        <w:tc>
          <w:tcPr>
            <w:tcW w:w="709" w:type="dxa"/>
            <w:vAlign w:val="center"/>
          </w:tcPr>
          <w:p w14:paraId="6345625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w:t>
            </w:r>
          </w:p>
        </w:tc>
        <w:tc>
          <w:tcPr>
            <w:tcW w:w="1048" w:type="dxa"/>
            <w:shd w:val="clear" w:color="auto" w:fill="auto"/>
            <w:noWrap/>
            <w:vAlign w:val="center"/>
          </w:tcPr>
          <w:p w14:paraId="77DB05A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-1,362</w:t>
            </w:r>
          </w:p>
        </w:tc>
        <w:tc>
          <w:tcPr>
            <w:tcW w:w="1049" w:type="dxa"/>
            <w:shd w:val="clear" w:color="auto" w:fill="auto"/>
            <w:noWrap/>
            <w:vAlign w:val="center"/>
          </w:tcPr>
          <w:p w14:paraId="287524F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-1,342</w:t>
            </w:r>
          </w:p>
        </w:tc>
        <w:tc>
          <w:tcPr>
            <w:tcW w:w="1049" w:type="dxa"/>
            <w:shd w:val="clear" w:color="auto" w:fill="FFFFFF" w:themeFill="background1"/>
            <w:noWrap/>
            <w:vAlign w:val="center"/>
            <w:hideMark/>
          </w:tcPr>
          <w:p w14:paraId="3118329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-1,322</w:t>
            </w:r>
          </w:p>
        </w:tc>
        <w:tc>
          <w:tcPr>
            <w:tcW w:w="1049" w:type="dxa"/>
            <w:shd w:val="clear" w:color="auto" w:fill="FFFFFF" w:themeFill="background1"/>
            <w:noWrap/>
            <w:vAlign w:val="center"/>
            <w:hideMark/>
          </w:tcPr>
          <w:p w14:paraId="085A4F7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-1,302</w:t>
            </w:r>
          </w:p>
        </w:tc>
        <w:tc>
          <w:tcPr>
            <w:tcW w:w="1049" w:type="dxa"/>
            <w:shd w:val="clear" w:color="auto" w:fill="FFFFFF" w:themeFill="background1"/>
            <w:noWrap/>
            <w:vAlign w:val="center"/>
            <w:hideMark/>
          </w:tcPr>
          <w:p w14:paraId="0BA70B9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-1,282</w:t>
            </w:r>
          </w:p>
        </w:tc>
      </w:tr>
      <w:tr w:rsidR="0078750D" w:rsidRPr="00CA2430" w14:paraId="619D1A8B" w14:textId="77777777" w:rsidTr="00CA2430">
        <w:trPr>
          <w:trHeight w:val="20"/>
          <w:jc w:val="center"/>
        </w:trPr>
        <w:tc>
          <w:tcPr>
            <w:tcW w:w="2693" w:type="dxa"/>
            <w:shd w:val="clear" w:color="auto" w:fill="auto"/>
            <w:noWrap/>
            <w:vAlign w:val="center"/>
          </w:tcPr>
          <w:p w14:paraId="7BAC812E"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vispārējās valdības procentu izdevumi, % no IKP</w:t>
            </w:r>
          </w:p>
        </w:tc>
        <w:tc>
          <w:tcPr>
            <w:tcW w:w="709" w:type="dxa"/>
            <w:vAlign w:val="center"/>
          </w:tcPr>
          <w:p w14:paraId="23E4ABF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w:t>
            </w:r>
          </w:p>
        </w:tc>
        <w:tc>
          <w:tcPr>
            <w:tcW w:w="1048" w:type="dxa"/>
            <w:shd w:val="clear" w:color="auto" w:fill="auto"/>
            <w:noWrap/>
            <w:vAlign w:val="center"/>
          </w:tcPr>
          <w:p w14:paraId="16A5C5B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1049" w:type="dxa"/>
            <w:shd w:val="clear" w:color="auto" w:fill="auto"/>
            <w:noWrap/>
            <w:vAlign w:val="center"/>
          </w:tcPr>
          <w:p w14:paraId="709F1D6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1,2</w:t>
            </w:r>
          </w:p>
        </w:tc>
        <w:tc>
          <w:tcPr>
            <w:tcW w:w="1049" w:type="dxa"/>
            <w:shd w:val="clear" w:color="auto" w:fill="FFFFFF" w:themeFill="background1"/>
            <w:noWrap/>
            <w:vAlign w:val="center"/>
            <w:hideMark/>
          </w:tcPr>
          <w:p w14:paraId="2336DD8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1,4</w:t>
            </w:r>
          </w:p>
        </w:tc>
        <w:tc>
          <w:tcPr>
            <w:tcW w:w="1049" w:type="dxa"/>
            <w:shd w:val="clear" w:color="auto" w:fill="FFFFFF" w:themeFill="background1"/>
            <w:noWrap/>
            <w:vAlign w:val="center"/>
            <w:hideMark/>
          </w:tcPr>
          <w:p w14:paraId="0ADDE61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w:t>
            </w:r>
          </w:p>
        </w:tc>
        <w:tc>
          <w:tcPr>
            <w:tcW w:w="1049" w:type="dxa"/>
            <w:shd w:val="clear" w:color="auto" w:fill="FFFFFF" w:themeFill="background1"/>
            <w:noWrap/>
            <w:vAlign w:val="center"/>
            <w:hideMark/>
          </w:tcPr>
          <w:p w14:paraId="7DD14DA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w:t>
            </w:r>
          </w:p>
        </w:tc>
      </w:tr>
      <w:tr w:rsidR="0078750D" w:rsidRPr="00CA2430" w14:paraId="7212EBFD" w14:textId="77777777" w:rsidTr="00CA2430">
        <w:trPr>
          <w:trHeight w:val="20"/>
          <w:jc w:val="center"/>
        </w:trPr>
        <w:tc>
          <w:tcPr>
            <w:tcW w:w="2693" w:type="dxa"/>
            <w:shd w:val="clear" w:color="auto" w:fill="auto"/>
            <w:noWrap/>
            <w:vAlign w:val="center"/>
          </w:tcPr>
          <w:p w14:paraId="631031B7"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one-off un citi īslaicīgie pasākumi, % no IKP</w:t>
            </w:r>
          </w:p>
        </w:tc>
        <w:tc>
          <w:tcPr>
            <w:tcW w:w="709" w:type="dxa"/>
            <w:vAlign w:val="center"/>
          </w:tcPr>
          <w:p w14:paraId="7F5036E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w:t>
            </w:r>
          </w:p>
        </w:tc>
        <w:tc>
          <w:tcPr>
            <w:tcW w:w="1048" w:type="dxa"/>
            <w:shd w:val="clear" w:color="auto" w:fill="auto"/>
            <w:noWrap/>
            <w:vAlign w:val="center"/>
          </w:tcPr>
          <w:p w14:paraId="4357650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1049" w:type="dxa"/>
            <w:shd w:val="clear" w:color="auto" w:fill="auto"/>
            <w:noWrap/>
            <w:vAlign w:val="center"/>
          </w:tcPr>
          <w:p w14:paraId="0ACBBC6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-1,6</w:t>
            </w:r>
          </w:p>
        </w:tc>
        <w:tc>
          <w:tcPr>
            <w:tcW w:w="1049" w:type="dxa"/>
            <w:shd w:val="clear" w:color="auto" w:fill="FFFFFF" w:themeFill="background1"/>
            <w:noWrap/>
            <w:vAlign w:val="center"/>
            <w:hideMark/>
          </w:tcPr>
          <w:p w14:paraId="45075C6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-1,7</w:t>
            </w:r>
          </w:p>
        </w:tc>
        <w:tc>
          <w:tcPr>
            <w:tcW w:w="1049" w:type="dxa"/>
            <w:shd w:val="clear" w:color="auto" w:fill="FFFFFF" w:themeFill="background1"/>
            <w:noWrap/>
            <w:vAlign w:val="center"/>
            <w:hideMark/>
          </w:tcPr>
          <w:p w14:paraId="467018C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w:t>
            </w:r>
          </w:p>
        </w:tc>
        <w:tc>
          <w:tcPr>
            <w:tcW w:w="1049" w:type="dxa"/>
            <w:shd w:val="clear" w:color="auto" w:fill="FFFFFF" w:themeFill="background1"/>
            <w:noWrap/>
            <w:vAlign w:val="center"/>
            <w:hideMark/>
          </w:tcPr>
          <w:p w14:paraId="557484A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w:t>
            </w:r>
          </w:p>
        </w:tc>
      </w:tr>
      <w:tr w:rsidR="0078750D" w:rsidRPr="00CA2430" w14:paraId="52BFCC61" w14:textId="77777777" w:rsidTr="00CA2430">
        <w:trPr>
          <w:trHeight w:val="20"/>
          <w:jc w:val="center"/>
        </w:trPr>
        <w:tc>
          <w:tcPr>
            <w:tcW w:w="2693" w:type="dxa"/>
            <w:shd w:val="clear" w:color="auto" w:fill="BDD6EE" w:themeFill="accent1" w:themeFillTint="66"/>
            <w:noWrap/>
            <w:vAlign w:val="center"/>
          </w:tcPr>
          <w:p w14:paraId="5AF42E83" w14:textId="2CEBD220" w:rsidR="0078750D" w:rsidRPr="00CA2430" w:rsidRDefault="0078750D" w:rsidP="0078750D">
            <w:pPr>
              <w:spacing w:before="60" w:after="0"/>
              <w:ind w:firstLine="0"/>
              <w:jc w:val="left"/>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Vispārējās valdības strukturālās bilances mērķi, % no IKP</w:t>
            </w:r>
          </w:p>
        </w:tc>
        <w:tc>
          <w:tcPr>
            <w:tcW w:w="709" w:type="dxa"/>
            <w:shd w:val="clear" w:color="auto" w:fill="BDD6EE" w:themeFill="accent1" w:themeFillTint="66"/>
            <w:vAlign w:val="center"/>
          </w:tcPr>
          <w:p w14:paraId="64A93D1E"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(4)</w:t>
            </w:r>
          </w:p>
        </w:tc>
        <w:tc>
          <w:tcPr>
            <w:tcW w:w="1048" w:type="dxa"/>
            <w:shd w:val="clear" w:color="auto" w:fill="BDD6EE" w:themeFill="accent1" w:themeFillTint="66"/>
            <w:noWrap/>
            <w:vAlign w:val="center"/>
          </w:tcPr>
          <w:p w14:paraId="4B9A8675"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p>
        </w:tc>
        <w:tc>
          <w:tcPr>
            <w:tcW w:w="1049" w:type="dxa"/>
            <w:shd w:val="clear" w:color="auto" w:fill="BDD6EE" w:themeFill="accent1" w:themeFillTint="66"/>
            <w:noWrap/>
            <w:vAlign w:val="center"/>
          </w:tcPr>
          <w:p w14:paraId="02251930"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-0,970</w:t>
            </w:r>
          </w:p>
        </w:tc>
        <w:tc>
          <w:tcPr>
            <w:tcW w:w="1049" w:type="dxa"/>
            <w:shd w:val="clear" w:color="auto" w:fill="BDD6EE" w:themeFill="accent1" w:themeFillTint="66"/>
            <w:noWrap/>
            <w:vAlign w:val="center"/>
            <w:hideMark/>
          </w:tcPr>
          <w:p w14:paraId="64440261"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-1,044</w:t>
            </w:r>
          </w:p>
        </w:tc>
        <w:tc>
          <w:tcPr>
            <w:tcW w:w="1049" w:type="dxa"/>
            <w:shd w:val="clear" w:color="auto" w:fill="BDD6EE" w:themeFill="accent1" w:themeFillTint="66"/>
            <w:noWrap/>
            <w:vAlign w:val="center"/>
            <w:hideMark/>
          </w:tcPr>
          <w:p w14:paraId="201C2912"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-1,268</w:t>
            </w:r>
          </w:p>
        </w:tc>
        <w:tc>
          <w:tcPr>
            <w:tcW w:w="1049" w:type="dxa"/>
            <w:shd w:val="clear" w:color="auto" w:fill="BDD6EE" w:themeFill="accent1" w:themeFillTint="66"/>
            <w:noWrap/>
            <w:vAlign w:val="center"/>
            <w:hideMark/>
          </w:tcPr>
          <w:p w14:paraId="73605C3F"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-1,445</w:t>
            </w:r>
          </w:p>
        </w:tc>
      </w:tr>
    </w:tbl>
    <w:p w14:paraId="4C85E150" w14:textId="0BF24835" w:rsidR="0078750D" w:rsidRPr="00CA2430" w:rsidRDefault="0078750D" w:rsidP="00FE0109">
      <w:pPr>
        <w:widowControl w:val="0"/>
        <w:spacing w:before="240"/>
        <w:ind w:left="720" w:firstLine="0"/>
        <w:rPr>
          <w:rFonts w:eastAsia="Times New Roman" w:cs="Times New Roman"/>
          <w:b/>
          <w:noProof/>
        </w:rPr>
      </w:pPr>
      <w:r w:rsidRPr="00CA2430">
        <w:rPr>
          <w:rFonts w:eastAsia="Times New Roman" w:cs="Times New Roman"/>
          <w:b/>
          <w:noProof/>
        </w:rPr>
        <w:t>ES valsts finansēto neto primāro izdevumu nosacījums</w:t>
      </w:r>
      <w:r w:rsidR="00CA2430" w:rsidRPr="00CA2430">
        <w:rPr>
          <w:rFonts w:eastAsia="Times New Roman" w:cs="Times New Roman"/>
          <w:b/>
          <w:noProof/>
        </w:rPr>
        <w:t xml:space="preserve"> (3)</w:t>
      </w:r>
    </w:p>
    <w:p w14:paraId="4721A7D5" w14:textId="68C8E29B" w:rsidR="0078750D" w:rsidRPr="00CA2430" w:rsidRDefault="0078750D" w:rsidP="0078750D">
      <w:pPr>
        <w:widowControl w:val="0"/>
        <w:rPr>
          <w:rFonts w:eastAsia="Times New Roman" w:cs="Times New Roman"/>
          <w:bCs/>
          <w:strike/>
          <w:noProof/>
        </w:rPr>
      </w:pPr>
      <w:r w:rsidRPr="00CA2430">
        <w:rPr>
          <w:rFonts w:eastAsia="Times New Roman" w:cs="Times New Roman"/>
          <w:bCs/>
          <w:noProof/>
        </w:rPr>
        <w:t>Vispārējās valdības primāro izdevumu pieaugums tiek aprēķināts ar pieņēmumu, ka nemainīgas primārās bilances gadījumā izdevumi aug saskaņā ar potenciālā IKP un IKP deflatora pieaugumu</w:t>
      </w:r>
      <w:r w:rsidR="00CA2430" w:rsidRPr="00CA2430">
        <w:rPr>
          <w:rFonts w:eastAsia="Times New Roman" w:cs="Times New Roman"/>
          <w:bCs/>
          <w:noProof/>
        </w:rPr>
        <w:t>,</w:t>
      </w:r>
      <w:r w:rsidRPr="00CA2430">
        <w:rPr>
          <w:rFonts w:eastAsia="Times New Roman" w:cs="Times New Roman"/>
          <w:bCs/>
          <w:noProof/>
        </w:rPr>
        <w:t xml:space="preserve"> un pieaugums vienīgi tiek koriģēts ar nepieciešamo uzlabojumu strukturālajā primārajā bilancē.</w:t>
      </w:r>
      <w:r w:rsidRPr="00CA2430">
        <w:rPr>
          <w:rFonts w:eastAsia="Times New Roman" w:cs="Times New Roman"/>
          <w:bCs/>
          <w:strike/>
          <w:noProof/>
        </w:rPr>
        <w:t xml:space="preserve"> </w:t>
      </w:r>
    </w:p>
    <w:p w14:paraId="71307430" w14:textId="01B0E60F" w:rsidR="0078750D" w:rsidRPr="00CA2430" w:rsidRDefault="0078750D" w:rsidP="0078750D">
      <w:pPr>
        <w:widowControl w:val="0"/>
        <w:rPr>
          <w:rFonts w:eastAsia="Times New Roman" w:cs="Times New Roman"/>
          <w:bCs/>
          <w:noProof/>
          <w:u w:val="single"/>
        </w:rPr>
      </w:pPr>
      <w:r w:rsidRPr="00CA2430">
        <w:rPr>
          <w:rFonts w:eastAsia="Times New Roman" w:cs="Times New Roman"/>
          <w:bCs/>
          <w:noProof/>
        </w:rPr>
        <w:t xml:space="preserve">Lai nodrošinātu </w:t>
      </w:r>
      <w:r w:rsidR="00CA2430" w:rsidRPr="00CA2430">
        <w:rPr>
          <w:rFonts w:eastAsia="Times New Roman" w:cs="Times New Roman"/>
          <w:bCs/>
          <w:noProof/>
        </w:rPr>
        <w:t>6. </w:t>
      </w:r>
      <w:r w:rsidRPr="00CA2430">
        <w:rPr>
          <w:rFonts w:eastAsia="Times New Roman" w:cs="Times New Roman"/>
          <w:bCs/>
          <w:noProof/>
        </w:rPr>
        <w:t xml:space="preserve">tabulā norādītās strukturālās primārās bilances uzlabojumu, saskaņā ar ES metodoloģiju aprēķinātais primāro izdevumu pieaugums vidēji </w:t>
      </w:r>
      <w:r w:rsidR="00906173" w:rsidRPr="00906173">
        <w:rPr>
          <w:rFonts w:eastAsia="Times New Roman" w:cs="Times New Roman"/>
          <w:bCs/>
          <w:noProof/>
        </w:rPr>
        <w:t>2025.-2028.</w:t>
      </w:r>
      <w:r w:rsidR="00906173">
        <w:rPr>
          <w:rFonts w:eastAsia="Times New Roman" w:cs="Times New Roman"/>
          <w:bCs/>
          <w:noProof/>
        </w:rPr>
        <w:t xml:space="preserve"> </w:t>
      </w:r>
      <w:r w:rsidRPr="00CA2430">
        <w:rPr>
          <w:rFonts w:eastAsia="Times New Roman" w:cs="Times New Roman"/>
          <w:bCs/>
          <w:noProof/>
        </w:rPr>
        <w:t xml:space="preserve">gados ir vidēji 3,7% (2025. gadā 4,5%, pakāpeniski samazinoties 2028. gadā līdz 3,4%, skat. </w:t>
      </w:r>
      <w:r w:rsidR="00CA2430" w:rsidRPr="00CA2430">
        <w:rPr>
          <w:rFonts w:eastAsia="Times New Roman" w:cs="Times New Roman"/>
          <w:bCs/>
          <w:noProof/>
        </w:rPr>
        <w:t>7. </w:t>
      </w:r>
      <w:r w:rsidRPr="00CA2430">
        <w:rPr>
          <w:rFonts w:eastAsia="Times New Roman" w:cs="Times New Roman"/>
          <w:bCs/>
          <w:noProof/>
        </w:rPr>
        <w:t>tabulas 1. rindu). Koriģējot izdevumu pieaugumu ar diskrecionārajiem ieņēmumu pasākumiem (DRM), kas samazina ieņēmumus 2025.</w:t>
      </w:r>
      <w:r w:rsidR="00CA2430" w:rsidRPr="00CA2430">
        <w:rPr>
          <w:rFonts w:eastAsia="Times New Roman" w:cs="Times New Roman"/>
          <w:bCs/>
          <w:noProof/>
        </w:rPr>
        <w:t> </w:t>
      </w:r>
      <w:r w:rsidRPr="00CA2430">
        <w:rPr>
          <w:rFonts w:eastAsia="Times New Roman" w:cs="Times New Roman"/>
          <w:bCs/>
          <w:noProof/>
        </w:rPr>
        <w:t xml:space="preserve">gadā par 238 milj. </w:t>
      </w:r>
      <w:r w:rsidRPr="00CA2430">
        <w:rPr>
          <w:rFonts w:eastAsia="Times New Roman" w:cs="Times New Roman"/>
          <w:bCs/>
          <w:i/>
          <w:iCs/>
          <w:noProof/>
        </w:rPr>
        <w:t>euro</w:t>
      </w:r>
      <w:r w:rsidRPr="00CA2430">
        <w:rPr>
          <w:rFonts w:eastAsia="Times New Roman" w:cs="Times New Roman"/>
          <w:bCs/>
          <w:noProof/>
        </w:rPr>
        <w:t>, pieļaujamais primāro izdevumu pieaugums 2025. gadā būtu 3,2% apmērā, 2,8% 2026. gadā, 3,9% 2027. gadā un 3,4% 2028.</w:t>
      </w:r>
      <w:r w:rsidR="00CA2430" w:rsidRPr="00CA2430">
        <w:rPr>
          <w:rFonts w:eastAsia="Times New Roman" w:cs="Times New Roman"/>
          <w:bCs/>
          <w:noProof/>
        </w:rPr>
        <w:t> </w:t>
      </w:r>
      <w:r w:rsidRPr="00CA2430">
        <w:rPr>
          <w:rFonts w:eastAsia="Times New Roman" w:cs="Times New Roman"/>
          <w:bCs/>
          <w:noProof/>
        </w:rPr>
        <w:t xml:space="preserve">gadā. Pārrēķinot šo pieļaujamo izdevumu pieaugumu FDL strukturālajā bilancē, iegūst lielāku FDL strukturālā deficīta līmeni kā ar ES strukturālās primārās bilances nosacījumu. Tomēr, sekojot ES valsts finansēto neto primāro izdevumu nosacījumam, nominālais deficīts pārsniegtu 3% no IKP robežu 2025. gadā.    </w:t>
      </w:r>
    </w:p>
    <w:p w14:paraId="228DC571" w14:textId="77777777" w:rsidR="00017774" w:rsidRDefault="00017774">
      <w:pPr>
        <w:spacing w:before="0" w:after="0"/>
        <w:ind w:firstLine="0"/>
        <w:jc w:val="left"/>
        <w:rPr>
          <w:rFonts w:eastAsia="Times New Roman" w:cs="Times New Roman"/>
          <w:b/>
          <w:noProof/>
          <w:szCs w:val="24"/>
        </w:rPr>
      </w:pPr>
      <w:r>
        <w:rPr>
          <w:rFonts w:eastAsia="Times New Roman" w:cs="Times New Roman"/>
          <w:b/>
          <w:noProof/>
          <w:szCs w:val="24"/>
        </w:rPr>
        <w:br w:type="page"/>
      </w:r>
    </w:p>
    <w:p w14:paraId="6AE63F29" w14:textId="55F7E80B" w:rsidR="0078750D" w:rsidRPr="00CA2430" w:rsidRDefault="00CA2430" w:rsidP="00017774">
      <w:pPr>
        <w:widowControl w:val="0"/>
        <w:spacing w:before="240"/>
        <w:ind w:firstLine="0"/>
        <w:jc w:val="center"/>
        <w:rPr>
          <w:rFonts w:eastAsia="Times New Roman" w:cs="Times New Roman"/>
          <w:b/>
          <w:noProof/>
          <w:szCs w:val="24"/>
        </w:rPr>
      </w:pPr>
      <w:r w:rsidRPr="00CA2430">
        <w:rPr>
          <w:rFonts w:eastAsia="Times New Roman" w:cs="Times New Roman"/>
          <w:b/>
          <w:noProof/>
          <w:szCs w:val="24"/>
        </w:rPr>
        <w:lastRenderedPageBreak/>
        <w:t>7</w:t>
      </w:r>
      <w:r w:rsidR="0078750D" w:rsidRPr="00CA2430">
        <w:rPr>
          <w:rFonts w:eastAsia="Times New Roman" w:cs="Times New Roman"/>
          <w:b/>
          <w:noProof/>
          <w:szCs w:val="24"/>
        </w:rPr>
        <w:t>. tabula. Vispārējās valdības strukturālās bilances mērķi, balstoties uz ES izdevumu pieauguma nosacījumu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134"/>
        <w:gridCol w:w="963"/>
        <w:gridCol w:w="964"/>
        <w:gridCol w:w="964"/>
        <w:gridCol w:w="964"/>
        <w:gridCol w:w="964"/>
      </w:tblGrid>
      <w:tr w:rsidR="0078750D" w:rsidRPr="00CA2430" w14:paraId="5C74224B" w14:textId="77777777" w:rsidTr="00CA2430">
        <w:trPr>
          <w:trHeight w:val="20"/>
          <w:jc w:val="center"/>
        </w:trPr>
        <w:tc>
          <w:tcPr>
            <w:tcW w:w="3114" w:type="dxa"/>
            <w:shd w:val="clear" w:color="auto" w:fill="BDD6EE" w:themeFill="accent1" w:themeFillTint="66"/>
            <w:noWrap/>
            <w:vAlign w:val="bottom"/>
            <w:hideMark/>
          </w:tcPr>
          <w:p w14:paraId="1E11ED2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1134" w:type="dxa"/>
            <w:shd w:val="clear" w:color="auto" w:fill="BDD6EE" w:themeFill="accent1" w:themeFillTint="66"/>
          </w:tcPr>
          <w:p w14:paraId="30C2A763"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p>
        </w:tc>
        <w:tc>
          <w:tcPr>
            <w:tcW w:w="963" w:type="dxa"/>
            <w:shd w:val="clear" w:color="auto" w:fill="BDD6EE" w:themeFill="accent1" w:themeFillTint="66"/>
            <w:noWrap/>
            <w:vAlign w:val="center"/>
            <w:hideMark/>
          </w:tcPr>
          <w:p w14:paraId="369C54BC"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2024</w:t>
            </w:r>
          </w:p>
        </w:tc>
        <w:tc>
          <w:tcPr>
            <w:tcW w:w="964" w:type="dxa"/>
            <w:shd w:val="clear" w:color="auto" w:fill="BDD6EE" w:themeFill="accent1" w:themeFillTint="66"/>
            <w:noWrap/>
            <w:vAlign w:val="center"/>
            <w:hideMark/>
          </w:tcPr>
          <w:p w14:paraId="266B8CFC"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2025</w:t>
            </w:r>
          </w:p>
        </w:tc>
        <w:tc>
          <w:tcPr>
            <w:tcW w:w="964" w:type="dxa"/>
            <w:shd w:val="clear" w:color="auto" w:fill="BDD6EE" w:themeFill="accent1" w:themeFillTint="66"/>
            <w:noWrap/>
            <w:vAlign w:val="center"/>
            <w:hideMark/>
          </w:tcPr>
          <w:p w14:paraId="070C6D7A"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2026</w:t>
            </w:r>
          </w:p>
        </w:tc>
        <w:tc>
          <w:tcPr>
            <w:tcW w:w="964" w:type="dxa"/>
            <w:shd w:val="clear" w:color="auto" w:fill="BDD6EE" w:themeFill="accent1" w:themeFillTint="66"/>
            <w:noWrap/>
            <w:vAlign w:val="center"/>
            <w:hideMark/>
          </w:tcPr>
          <w:p w14:paraId="02D09134"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2027</w:t>
            </w:r>
          </w:p>
        </w:tc>
        <w:tc>
          <w:tcPr>
            <w:tcW w:w="964" w:type="dxa"/>
            <w:shd w:val="clear" w:color="auto" w:fill="BDD6EE" w:themeFill="accent1" w:themeFillTint="66"/>
            <w:noWrap/>
            <w:vAlign w:val="center"/>
            <w:hideMark/>
          </w:tcPr>
          <w:p w14:paraId="165F2DFE"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2028</w:t>
            </w:r>
          </w:p>
        </w:tc>
      </w:tr>
      <w:tr w:rsidR="0078750D" w:rsidRPr="00CA2430" w14:paraId="69862B6B" w14:textId="77777777" w:rsidTr="00CA2430">
        <w:trPr>
          <w:trHeight w:val="20"/>
          <w:jc w:val="center"/>
        </w:trPr>
        <w:tc>
          <w:tcPr>
            <w:tcW w:w="3114" w:type="dxa"/>
            <w:shd w:val="clear" w:color="auto" w:fill="auto"/>
            <w:noWrap/>
            <w:vAlign w:val="center"/>
          </w:tcPr>
          <w:p w14:paraId="6E5490DA"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Valsts finansēto neto primāro izdevumu (NNFPI) pieauguma likme, % </w:t>
            </w:r>
          </w:p>
        </w:tc>
        <w:tc>
          <w:tcPr>
            <w:tcW w:w="1134" w:type="dxa"/>
            <w:vAlign w:val="center"/>
          </w:tcPr>
          <w:p w14:paraId="3D45F3D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w:t>
            </w:r>
          </w:p>
        </w:tc>
        <w:tc>
          <w:tcPr>
            <w:tcW w:w="963" w:type="dxa"/>
            <w:shd w:val="clear" w:color="auto" w:fill="auto"/>
            <w:noWrap/>
            <w:vAlign w:val="center"/>
          </w:tcPr>
          <w:p w14:paraId="3FA7F6F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29B936B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4,543</w:t>
            </w:r>
          </w:p>
        </w:tc>
        <w:tc>
          <w:tcPr>
            <w:tcW w:w="964" w:type="dxa"/>
            <w:shd w:val="clear" w:color="auto" w:fill="FFFFFF" w:themeFill="background1"/>
            <w:noWrap/>
            <w:vAlign w:val="center"/>
          </w:tcPr>
          <w:p w14:paraId="417603E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3,645</w:t>
            </w:r>
          </w:p>
        </w:tc>
        <w:tc>
          <w:tcPr>
            <w:tcW w:w="964" w:type="dxa"/>
            <w:shd w:val="clear" w:color="auto" w:fill="FFFFFF" w:themeFill="background1"/>
            <w:noWrap/>
            <w:vAlign w:val="center"/>
          </w:tcPr>
          <w:p w14:paraId="67803F1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3,363</w:t>
            </w:r>
          </w:p>
        </w:tc>
        <w:tc>
          <w:tcPr>
            <w:tcW w:w="964" w:type="dxa"/>
            <w:shd w:val="clear" w:color="auto" w:fill="FFFFFF" w:themeFill="background1"/>
            <w:noWrap/>
            <w:vAlign w:val="center"/>
          </w:tcPr>
          <w:p w14:paraId="3E01E39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3,386</w:t>
            </w:r>
          </w:p>
        </w:tc>
      </w:tr>
      <w:tr w:rsidR="0078750D" w:rsidRPr="00CA2430" w14:paraId="711FD2C4" w14:textId="77777777" w:rsidTr="00CA2430">
        <w:trPr>
          <w:trHeight w:val="20"/>
          <w:jc w:val="center"/>
        </w:trPr>
        <w:tc>
          <w:tcPr>
            <w:tcW w:w="3114" w:type="dxa"/>
            <w:shd w:val="clear" w:color="auto" w:fill="auto"/>
            <w:noWrap/>
            <w:vAlign w:val="center"/>
          </w:tcPr>
          <w:p w14:paraId="5B3C8DD9"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NNFPI līmenis, milj. </w:t>
            </w:r>
            <w:r w:rsidRPr="00CA2430">
              <w:rPr>
                <w:rFonts w:eastAsia="Times New Roman" w:cs="Times New Roman"/>
                <w:i/>
                <w:iCs/>
                <w:noProof/>
                <w:color w:val="000000"/>
                <w:sz w:val="18"/>
                <w:szCs w:val="18"/>
                <w:lang w:eastAsia="lv-LV"/>
              </w:rPr>
              <w:t>euro</w:t>
            </w:r>
          </w:p>
        </w:tc>
        <w:tc>
          <w:tcPr>
            <w:tcW w:w="1134" w:type="dxa"/>
            <w:vAlign w:val="center"/>
          </w:tcPr>
          <w:p w14:paraId="3D1A9FD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w:t>
            </w:r>
          </w:p>
        </w:tc>
        <w:tc>
          <w:tcPr>
            <w:tcW w:w="963" w:type="dxa"/>
            <w:shd w:val="clear" w:color="auto" w:fill="auto"/>
            <w:noWrap/>
            <w:vAlign w:val="bottom"/>
          </w:tcPr>
          <w:p w14:paraId="4172C50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17 263</w:t>
            </w:r>
          </w:p>
        </w:tc>
        <w:tc>
          <w:tcPr>
            <w:tcW w:w="964" w:type="dxa"/>
            <w:shd w:val="clear" w:color="auto" w:fill="auto"/>
            <w:noWrap/>
            <w:vAlign w:val="center"/>
          </w:tcPr>
          <w:p w14:paraId="6AFEB50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18 047</w:t>
            </w:r>
          </w:p>
        </w:tc>
        <w:tc>
          <w:tcPr>
            <w:tcW w:w="964" w:type="dxa"/>
            <w:shd w:val="clear" w:color="auto" w:fill="FFFFFF" w:themeFill="background1"/>
            <w:noWrap/>
            <w:vAlign w:val="center"/>
          </w:tcPr>
          <w:p w14:paraId="4872B81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18 458</w:t>
            </w:r>
          </w:p>
        </w:tc>
        <w:tc>
          <w:tcPr>
            <w:tcW w:w="964" w:type="dxa"/>
            <w:shd w:val="clear" w:color="auto" w:fill="FFFFFF" w:themeFill="background1"/>
            <w:noWrap/>
            <w:vAlign w:val="center"/>
          </w:tcPr>
          <w:p w14:paraId="740C096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19 174</w:t>
            </w:r>
          </w:p>
        </w:tc>
        <w:tc>
          <w:tcPr>
            <w:tcW w:w="964" w:type="dxa"/>
            <w:shd w:val="clear" w:color="auto" w:fill="FFFFFF" w:themeFill="background1"/>
            <w:noWrap/>
            <w:vAlign w:val="center"/>
          </w:tcPr>
          <w:p w14:paraId="0CD20BE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19 823</w:t>
            </w:r>
          </w:p>
        </w:tc>
      </w:tr>
      <w:tr w:rsidR="0078750D" w:rsidRPr="00CA2430" w14:paraId="09469788" w14:textId="77777777" w:rsidTr="00CA2430">
        <w:trPr>
          <w:trHeight w:val="20"/>
          <w:jc w:val="center"/>
        </w:trPr>
        <w:tc>
          <w:tcPr>
            <w:tcW w:w="3114" w:type="dxa"/>
            <w:shd w:val="clear" w:color="auto" w:fill="auto"/>
            <w:noWrap/>
            <w:vAlign w:val="center"/>
          </w:tcPr>
          <w:p w14:paraId="6CE5A355"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Diskrecionārie ieņēmumu pasākumi (DRM)</w:t>
            </w:r>
          </w:p>
        </w:tc>
        <w:tc>
          <w:tcPr>
            <w:tcW w:w="1134" w:type="dxa"/>
            <w:vAlign w:val="center"/>
          </w:tcPr>
          <w:p w14:paraId="40B7F714"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w:t>
            </w:r>
          </w:p>
        </w:tc>
        <w:tc>
          <w:tcPr>
            <w:tcW w:w="963" w:type="dxa"/>
            <w:shd w:val="clear" w:color="auto" w:fill="auto"/>
            <w:noWrap/>
            <w:vAlign w:val="center"/>
          </w:tcPr>
          <w:p w14:paraId="6C8E963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354,30</w:t>
            </w:r>
          </w:p>
        </w:tc>
        <w:tc>
          <w:tcPr>
            <w:tcW w:w="964" w:type="dxa"/>
            <w:shd w:val="clear" w:color="auto" w:fill="auto"/>
            <w:noWrap/>
            <w:vAlign w:val="center"/>
          </w:tcPr>
          <w:p w14:paraId="35251DD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-238,15</w:t>
            </w:r>
          </w:p>
        </w:tc>
        <w:tc>
          <w:tcPr>
            <w:tcW w:w="964" w:type="dxa"/>
            <w:shd w:val="clear" w:color="auto" w:fill="FFFFFF" w:themeFill="background1"/>
            <w:noWrap/>
            <w:vAlign w:val="center"/>
          </w:tcPr>
          <w:p w14:paraId="6BF75A2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91,89</w:t>
            </w:r>
          </w:p>
        </w:tc>
        <w:tc>
          <w:tcPr>
            <w:tcW w:w="964" w:type="dxa"/>
            <w:shd w:val="clear" w:color="auto" w:fill="FFFFFF" w:themeFill="background1"/>
            <w:noWrap/>
            <w:vAlign w:val="center"/>
          </w:tcPr>
          <w:p w14:paraId="0B4ABD8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-0,36</w:t>
            </w:r>
          </w:p>
        </w:tc>
        <w:tc>
          <w:tcPr>
            <w:tcW w:w="964" w:type="dxa"/>
            <w:shd w:val="clear" w:color="auto" w:fill="FFFFFF" w:themeFill="background1"/>
            <w:noWrap/>
            <w:vAlign w:val="center"/>
          </w:tcPr>
          <w:p w14:paraId="4D56780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0,00</w:t>
            </w:r>
          </w:p>
        </w:tc>
      </w:tr>
      <w:tr w:rsidR="0078750D" w:rsidRPr="00CA2430" w14:paraId="38997085" w14:textId="77777777" w:rsidTr="00CA2430">
        <w:trPr>
          <w:trHeight w:val="20"/>
          <w:jc w:val="center"/>
        </w:trPr>
        <w:tc>
          <w:tcPr>
            <w:tcW w:w="3114" w:type="dxa"/>
            <w:shd w:val="clear" w:color="auto" w:fill="auto"/>
            <w:noWrap/>
            <w:vAlign w:val="center"/>
          </w:tcPr>
          <w:p w14:paraId="742FF5B9"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NNFPI līmenis (ar DRM), milj. </w:t>
            </w:r>
            <w:r w:rsidRPr="00CA2430">
              <w:rPr>
                <w:rFonts w:eastAsia="Times New Roman" w:cs="Times New Roman"/>
                <w:i/>
                <w:iCs/>
                <w:noProof/>
                <w:color w:val="000000"/>
                <w:sz w:val="18"/>
                <w:szCs w:val="18"/>
                <w:lang w:eastAsia="lv-LV"/>
              </w:rPr>
              <w:t>euro</w:t>
            </w:r>
          </w:p>
        </w:tc>
        <w:tc>
          <w:tcPr>
            <w:tcW w:w="1134" w:type="dxa"/>
            <w:vAlign w:val="center"/>
          </w:tcPr>
          <w:p w14:paraId="6EF2B8A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(4)=(2)+(3)</w:t>
            </w:r>
          </w:p>
        </w:tc>
        <w:tc>
          <w:tcPr>
            <w:tcW w:w="963" w:type="dxa"/>
            <w:shd w:val="clear" w:color="auto" w:fill="auto"/>
            <w:noWrap/>
            <w:vAlign w:val="center"/>
          </w:tcPr>
          <w:p w14:paraId="70A402CA"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5F0BEAE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17 809</w:t>
            </w:r>
          </w:p>
        </w:tc>
        <w:tc>
          <w:tcPr>
            <w:tcW w:w="964" w:type="dxa"/>
            <w:shd w:val="clear" w:color="auto" w:fill="FFFFFF" w:themeFill="background1"/>
            <w:noWrap/>
            <w:vAlign w:val="center"/>
          </w:tcPr>
          <w:p w14:paraId="673F92E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18 550</w:t>
            </w:r>
          </w:p>
        </w:tc>
        <w:tc>
          <w:tcPr>
            <w:tcW w:w="964" w:type="dxa"/>
            <w:shd w:val="clear" w:color="auto" w:fill="FFFFFF" w:themeFill="background1"/>
            <w:noWrap/>
            <w:vAlign w:val="center"/>
          </w:tcPr>
          <w:p w14:paraId="0CF4ADB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19 174</w:t>
            </w:r>
          </w:p>
        </w:tc>
        <w:tc>
          <w:tcPr>
            <w:tcW w:w="964" w:type="dxa"/>
            <w:shd w:val="clear" w:color="auto" w:fill="FFFFFF" w:themeFill="background1"/>
            <w:noWrap/>
            <w:vAlign w:val="center"/>
          </w:tcPr>
          <w:p w14:paraId="21B85B7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19 823</w:t>
            </w:r>
          </w:p>
        </w:tc>
      </w:tr>
      <w:tr w:rsidR="0078750D" w:rsidRPr="00CA2430" w14:paraId="1293F2CF" w14:textId="77777777" w:rsidTr="00CA2430">
        <w:trPr>
          <w:trHeight w:val="20"/>
          <w:jc w:val="center"/>
        </w:trPr>
        <w:tc>
          <w:tcPr>
            <w:tcW w:w="3114" w:type="dxa"/>
            <w:shd w:val="clear" w:color="auto" w:fill="auto"/>
            <w:noWrap/>
            <w:vAlign w:val="center"/>
          </w:tcPr>
          <w:p w14:paraId="717E700F"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NNFPI pieauguma likme (ar DRM), %</w:t>
            </w:r>
          </w:p>
        </w:tc>
        <w:tc>
          <w:tcPr>
            <w:tcW w:w="1134" w:type="dxa"/>
            <w:vAlign w:val="center"/>
          </w:tcPr>
          <w:p w14:paraId="1A9DF62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(5)</w:t>
            </w:r>
          </w:p>
        </w:tc>
        <w:tc>
          <w:tcPr>
            <w:tcW w:w="963" w:type="dxa"/>
            <w:shd w:val="clear" w:color="auto" w:fill="auto"/>
            <w:noWrap/>
            <w:vAlign w:val="center"/>
          </w:tcPr>
          <w:p w14:paraId="38F9C03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6050BE3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3,2</w:t>
            </w:r>
          </w:p>
        </w:tc>
        <w:tc>
          <w:tcPr>
            <w:tcW w:w="964" w:type="dxa"/>
            <w:shd w:val="clear" w:color="auto" w:fill="FFFFFF" w:themeFill="background1"/>
            <w:noWrap/>
            <w:vAlign w:val="center"/>
          </w:tcPr>
          <w:p w14:paraId="149E774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2,8</w:t>
            </w:r>
          </w:p>
        </w:tc>
        <w:tc>
          <w:tcPr>
            <w:tcW w:w="964" w:type="dxa"/>
            <w:shd w:val="clear" w:color="auto" w:fill="FFFFFF" w:themeFill="background1"/>
            <w:noWrap/>
            <w:vAlign w:val="center"/>
          </w:tcPr>
          <w:p w14:paraId="1E52F88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3,9</w:t>
            </w:r>
          </w:p>
        </w:tc>
        <w:tc>
          <w:tcPr>
            <w:tcW w:w="964" w:type="dxa"/>
            <w:shd w:val="clear" w:color="auto" w:fill="FFFFFF" w:themeFill="background1"/>
            <w:noWrap/>
            <w:vAlign w:val="center"/>
          </w:tcPr>
          <w:p w14:paraId="7015E23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3,4</w:t>
            </w:r>
          </w:p>
        </w:tc>
      </w:tr>
      <w:tr w:rsidR="0078750D" w:rsidRPr="00CA2430" w14:paraId="6888B831" w14:textId="77777777" w:rsidTr="00CA2430">
        <w:trPr>
          <w:trHeight w:val="20"/>
          <w:jc w:val="center"/>
        </w:trPr>
        <w:tc>
          <w:tcPr>
            <w:tcW w:w="3114" w:type="dxa"/>
            <w:shd w:val="clear" w:color="auto" w:fill="auto"/>
            <w:noWrap/>
            <w:vAlign w:val="center"/>
          </w:tcPr>
          <w:p w14:paraId="50D6A3E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vispārējās valdības procentu izdevumi, </w:t>
            </w:r>
          </w:p>
          <w:p w14:paraId="55599673"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milj. </w:t>
            </w:r>
            <w:r w:rsidRPr="00CA2430">
              <w:rPr>
                <w:rFonts w:eastAsia="Times New Roman" w:cs="Times New Roman"/>
                <w:i/>
                <w:iCs/>
                <w:noProof/>
                <w:color w:val="000000"/>
                <w:sz w:val="18"/>
                <w:szCs w:val="18"/>
                <w:lang w:eastAsia="lv-LV"/>
              </w:rPr>
              <w:t xml:space="preserve">euro </w:t>
            </w:r>
          </w:p>
        </w:tc>
        <w:tc>
          <w:tcPr>
            <w:tcW w:w="1134" w:type="dxa"/>
            <w:vAlign w:val="center"/>
          </w:tcPr>
          <w:p w14:paraId="68ED9DF4"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w:t>
            </w:r>
          </w:p>
        </w:tc>
        <w:tc>
          <w:tcPr>
            <w:tcW w:w="963" w:type="dxa"/>
            <w:shd w:val="clear" w:color="auto" w:fill="auto"/>
            <w:noWrap/>
            <w:vAlign w:val="center"/>
          </w:tcPr>
          <w:p w14:paraId="7ED19438"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49302ED7"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541</w:t>
            </w:r>
          </w:p>
        </w:tc>
        <w:tc>
          <w:tcPr>
            <w:tcW w:w="964" w:type="dxa"/>
            <w:shd w:val="clear" w:color="auto" w:fill="FFFFFF" w:themeFill="background1"/>
            <w:noWrap/>
            <w:vAlign w:val="center"/>
          </w:tcPr>
          <w:p w14:paraId="5881C9BE"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645</w:t>
            </w:r>
          </w:p>
        </w:tc>
        <w:tc>
          <w:tcPr>
            <w:tcW w:w="964" w:type="dxa"/>
            <w:shd w:val="clear" w:color="auto" w:fill="FFFFFF" w:themeFill="background1"/>
            <w:noWrap/>
            <w:vAlign w:val="center"/>
          </w:tcPr>
          <w:p w14:paraId="06255D7C"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721</w:t>
            </w:r>
          </w:p>
        </w:tc>
        <w:tc>
          <w:tcPr>
            <w:tcW w:w="964" w:type="dxa"/>
            <w:shd w:val="clear" w:color="auto" w:fill="FFFFFF" w:themeFill="background1"/>
            <w:noWrap/>
            <w:vAlign w:val="center"/>
          </w:tcPr>
          <w:p w14:paraId="62802141" w14:textId="77777777" w:rsidR="0078750D" w:rsidRPr="00CA2430" w:rsidRDefault="0078750D" w:rsidP="0078750D">
            <w:pPr>
              <w:spacing w:before="6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772</w:t>
            </w:r>
          </w:p>
        </w:tc>
      </w:tr>
      <w:tr w:rsidR="0078750D" w:rsidRPr="00CA2430" w14:paraId="64E498D5" w14:textId="77777777" w:rsidTr="00CA2430">
        <w:trPr>
          <w:trHeight w:val="20"/>
          <w:jc w:val="center"/>
        </w:trPr>
        <w:tc>
          <w:tcPr>
            <w:tcW w:w="3114" w:type="dxa"/>
            <w:shd w:val="clear" w:color="auto" w:fill="auto"/>
            <w:noWrap/>
            <w:vAlign w:val="center"/>
          </w:tcPr>
          <w:p w14:paraId="600F1A1F"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bezdarbnieka pabalstu izdevumu cikliskos elementi, milj. </w:t>
            </w:r>
            <w:r w:rsidRPr="00CA2430">
              <w:rPr>
                <w:rFonts w:eastAsia="Times New Roman" w:cs="Times New Roman"/>
                <w:i/>
                <w:iCs/>
                <w:noProof/>
                <w:color w:val="000000"/>
                <w:sz w:val="18"/>
                <w:szCs w:val="18"/>
                <w:lang w:eastAsia="lv-LV"/>
              </w:rPr>
              <w:t>euro</w:t>
            </w:r>
          </w:p>
        </w:tc>
        <w:tc>
          <w:tcPr>
            <w:tcW w:w="1134" w:type="dxa"/>
            <w:vAlign w:val="center"/>
          </w:tcPr>
          <w:p w14:paraId="3E6A0DC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w:t>
            </w:r>
          </w:p>
        </w:tc>
        <w:tc>
          <w:tcPr>
            <w:tcW w:w="963" w:type="dxa"/>
            <w:shd w:val="clear" w:color="auto" w:fill="auto"/>
            <w:noWrap/>
            <w:vAlign w:val="center"/>
          </w:tcPr>
          <w:p w14:paraId="05A0329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6DC1786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w:t>
            </w:r>
          </w:p>
        </w:tc>
        <w:tc>
          <w:tcPr>
            <w:tcW w:w="964" w:type="dxa"/>
            <w:shd w:val="clear" w:color="auto" w:fill="FFFFFF" w:themeFill="background1"/>
            <w:noWrap/>
            <w:vAlign w:val="center"/>
          </w:tcPr>
          <w:p w14:paraId="32353EC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w:t>
            </w:r>
          </w:p>
        </w:tc>
        <w:tc>
          <w:tcPr>
            <w:tcW w:w="964" w:type="dxa"/>
            <w:shd w:val="clear" w:color="auto" w:fill="FFFFFF" w:themeFill="background1"/>
            <w:noWrap/>
            <w:vAlign w:val="center"/>
          </w:tcPr>
          <w:p w14:paraId="3FB5D15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w:t>
            </w:r>
          </w:p>
        </w:tc>
        <w:tc>
          <w:tcPr>
            <w:tcW w:w="964" w:type="dxa"/>
            <w:shd w:val="clear" w:color="auto" w:fill="FFFFFF" w:themeFill="background1"/>
            <w:noWrap/>
            <w:vAlign w:val="center"/>
          </w:tcPr>
          <w:p w14:paraId="3D2C3B1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-25</w:t>
            </w:r>
          </w:p>
        </w:tc>
      </w:tr>
      <w:tr w:rsidR="0078750D" w:rsidRPr="00CA2430" w14:paraId="2E4B3D0D" w14:textId="77777777" w:rsidTr="00CA2430">
        <w:trPr>
          <w:trHeight w:val="20"/>
          <w:jc w:val="center"/>
        </w:trPr>
        <w:tc>
          <w:tcPr>
            <w:tcW w:w="3114" w:type="dxa"/>
            <w:shd w:val="clear" w:color="auto" w:fill="auto"/>
            <w:noWrap/>
            <w:vAlign w:val="center"/>
          </w:tcPr>
          <w:p w14:paraId="30C8004B"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izdevumi par ES programmām, kas pilnībā atbilst ES fondu ieņēmumiem, milj. </w:t>
            </w:r>
            <w:r w:rsidRPr="00CA2430">
              <w:rPr>
                <w:rFonts w:eastAsia="Times New Roman" w:cs="Times New Roman"/>
                <w:i/>
                <w:iCs/>
                <w:noProof/>
                <w:color w:val="000000"/>
                <w:sz w:val="18"/>
                <w:szCs w:val="18"/>
                <w:lang w:eastAsia="lv-LV"/>
              </w:rPr>
              <w:t>euro</w:t>
            </w:r>
          </w:p>
        </w:tc>
        <w:tc>
          <w:tcPr>
            <w:tcW w:w="1134" w:type="dxa"/>
            <w:vAlign w:val="center"/>
          </w:tcPr>
          <w:p w14:paraId="03BFF9B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(8)</w:t>
            </w:r>
          </w:p>
        </w:tc>
        <w:tc>
          <w:tcPr>
            <w:tcW w:w="963" w:type="dxa"/>
            <w:shd w:val="clear" w:color="auto" w:fill="auto"/>
            <w:noWrap/>
            <w:vAlign w:val="center"/>
          </w:tcPr>
          <w:p w14:paraId="76DBAB5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6449C60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967</w:t>
            </w:r>
          </w:p>
        </w:tc>
        <w:tc>
          <w:tcPr>
            <w:tcW w:w="964" w:type="dxa"/>
            <w:shd w:val="clear" w:color="auto" w:fill="FFFFFF" w:themeFill="background1"/>
            <w:noWrap/>
            <w:vAlign w:val="center"/>
          </w:tcPr>
          <w:p w14:paraId="7D3E0F9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884</w:t>
            </w:r>
          </w:p>
        </w:tc>
        <w:tc>
          <w:tcPr>
            <w:tcW w:w="964" w:type="dxa"/>
            <w:shd w:val="clear" w:color="auto" w:fill="FFFFFF" w:themeFill="background1"/>
            <w:noWrap/>
            <w:vAlign w:val="center"/>
          </w:tcPr>
          <w:p w14:paraId="50EA18E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623</w:t>
            </w:r>
          </w:p>
        </w:tc>
        <w:tc>
          <w:tcPr>
            <w:tcW w:w="964" w:type="dxa"/>
            <w:shd w:val="clear" w:color="auto" w:fill="FFFFFF" w:themeFill="background1"/>
            <w:noWrap/>
            <w:vAlign w:val="center"/>
          </w:tcPr>
          <w:p w14:paraId="3FC972F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494</w:t>
            </w:r>
          </w:p>
        </w:tc>
      </w:tr>
      <w:tr w:rsidR="0078750D" w:rsidRPr="00CA2430" w14:paraId="63AA7DC2" w14:textId="77777777" w:rsidTr="00CA2430">
        <w:trPr>
          <w:trHeight w:val="20"/>
          <w:jc w:val="center"/>
        </w:trPr>
        <w:tc>
          <w:tcPr>
            <w:tcW w:w="3114" w:type="dxa"/>
            <w:shd w:val="clear" w:color="auto" w:fill="auto"/>
            <w:noWrap/>
            <w:vAlign w:val="center"/>
          </w:tcPr>
          <w:p w14:paraId="1771E9BA"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valsts izdevumi par ES finansēto programmu līdzfinansēšanu, milj. </w:t>
            </w:r>
            <w:r w:rsidRPr="00CA2430">
              <w:rPr>
                <w:rFonts w:eastAsia="Times New Roman" w:cs="Times New Roman"/>
                <w:i/>
                <w:iCs/>
                <w:noProof/>
                <w:color w:val="000000"/>
                <w:sz w:val="18"/>
                <w:szCs w:val="18"/>
                <w:lang w:eastAsia="lv-LV"/>
              </w:rPr>
              <w:t>euro</w:t>
            </w:r>
          </w:p>
        </w:tc>
        <w:tc>
          <w:tcPr>
            <w:tcW w:w="1134" w:type="dxa"/>
            <w:vAlign w:val="center"/>
          </w:tcPr>
          <w:p w14:paraId="08203B6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w:t>
            </w:r>
          </w:p>
        </w:tc>
        <w:tc>
          <w:tcPr>
            <w:tcW w:w="963" w:type="dxa"/>
            <w:shd w:val="clear" w:color="auto" w:fill="auto"/>
            <w:noWrap/>
            <w:vAlign w:val="center"/>
          </w:tcPr>
          <w:p w14:paraId="5794503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6FD6075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193</w:t>
            </w:r>
          </w:p>
        </w:tc>
        <w:tc>
          <w:tcPr>
            <w:tcW w:w="964" w:type="dxa"/>
            <w:shd w:val="clear" w:color="auto" w:fill="FFFFFF" w:themeFill="background1"/>
            <w:noWrap/>
            <w:vAlign w:val="center"/>
          </w:tcPr>
          <w:p w14:paraId="00E5CCF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156</w:t>
            </w:r>
          </w:p>
        </w:tc>
        <w:tc>
          <w:tcPr>
            <w:tcW w:w="964" w:type="dxa"/>
            <w:shd w:val="clear" w:color="auto" w:fill="FFFFFF" w:themeFill="background1"/>
            <w:noWrap/>
            <w:vAlign w:val="center"/>
          </w:tcPr>
          <w:p w14:paraId="0AF4C02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132</w:t>
            </w:r>
          </w:p>
        </w:tc>
        <w:tc>
          <w:tcPr>
            <w:tcW w:w="964" w:type="dxa"/>
            <w:shd w:val="clear" w:color="auto" w:fill="FFFFFF" w:themeFill="background1"/>
            <w:noWrap/>
            <w:vAlign w:val="center"/>
          </w:tcPr>
          <w:p w14:paraId="6A7D4AC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108</w:t>
            </w:r>
          </w:p>
        </w:tc>
      </w:tr>
      <w:tr w:rsidR="0078750D" w:rsidRPr="00CA2430" w14:paraId="2996DBA6" w14:textId="77777777" w:rsidTr="00CA2430">
        <w:trPr>
          <w:trHeight w:val="20"/>
          <w:jc w:val="center"/>
        </w:trPr>
        <w:tc>
          <w:tcPr>
            <w:tcW w:w="3114" w:type="dxa"/>
            <w:shd w:val="clear" w:color="auto" w:fill="auto"/>
            <w:noWrap/>
            <w:vAlign w:val="center"/>
          </w:tcPr>
          <w:p w14:paraId="1EA76C52"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vispārējās valdības kopējie izdevumi, milj. </w:t>
            </w:r>
            <w:r w:rsidRPr="00CA2430">
              <w:rPr>
                <w:rFonts w:eastAsia="Times New Roman" w:cs="Times New Roman"/>
                <w:i/>
                <w:iCs/>
                <w:noProof/>
                <w:color w:val="000000"/>
                <w:sz w:val="18"/>
                <w:szCs w:val="18"/>
                <w:lang w:eastAsia="lv-LV"/>
              </w:rPr>
              <w:t>euro</w:t>
            </w:r>
          </w:p>
        </w:tc>
        <w:tc>
          <w:tcPr>
            <w:tcW w:w="1134" w:type="dxa"/>
            <w:vAlign w:val="center"/>
          </w:tcPr>
          <w:p w14:paraId="17F34E6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(10)=(4)+(6)+(7)+(8)+(9)</w:t>
            </w:r>
          </w:p>
        </w:tc>
        <w:tc>
          <w:tcPr>
            <w:tcW w:w="963" w:type="dxa"/>
            <w:shd w:val="clear" w:color="auto" w:fill="auto"/>
            <w:noWrap/>
            <w:vAlign w:val="center"/>
          </w:tcPr>
          <w:p w14:paraId="6C1352E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3C605C6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19 519</w:t>
            </w:r>
          </w:p>
        </w:tc>
        <w:tc>
          <w:tcPr>
            <w:tcW w:w="964" w:type="dxa"/>
            <w:shd w:val="clear" w:color="auto" w:fill="FFFFFF" w:themeFill="background1"/>
            <w:noWrap/>
            <w:vAlign w:val="center"/>
          </w:tcPr>
          <w:p w14:paraId="57C6D32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20 241</w:t>
            </w:r>
          </w:p>
        </w:tc>
        <w:tc>
          <w:tcPr>
            <w:tcW w:w="964" w:type="dxa"/>
            <w:shd w:val="clear" w:color="auto" w:fill="FFFFFF" w:themeFill="background1"/>
            <w:noWrap/>
            <w:vAlign w:val="center"/>
          </w:tcPr>
          <w:p w14:paraId="01A08925"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20 644</w:t>
            </w:r>
          </w:p>
        </w:tc>
        <w:tc>
          <w:tcPr>
            <w:tcW w:w="964" w:type="dxa"/>
            <w:shd w:val="clear" w:color="auto" w:fill="FFFFFF" w:themeFill="background1"/>
            <w:noWrap/>
            <w:vAlign w:val="center"/>
          </w:tcPr>
          <w:p w14:paraId="06BA067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21 172</w:t>
            </w:r>
          </w:p>
        </w:tc>
      </w:tr>
      <w:tr w:rsidR="0078750D" w:rsidRPr="00CA2430" w14:paraId="69F3B19C" w14:textId="77777777" w:rsidTr="00CA2430">
        <w:trPr>
          <w:trHeight w:val="20"/>
          <w:jc w:val="center"/>
        </w:trPr>
        <w:tc>
          <w:tcPr>
            <w:tcW w:w="3114" w:type="dxa"/>
            <w:shd w:val="clear" w:color="auto" w:fill="auto"/>
            <w:noWrap/>
            <w:vAlign w:val="center"/>
          </w:tcPr>
          <w:p w14:paraId="1B753B2C"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vispārējās valdības kopējie ieņēmumi, milj. </w:t>
            </w:r>
            <w:r w:rsidRPr="00CA2430">
              <w:rPr>
                <w:rFonts w:eastAsia="Times New Roman" w:cs="Times New Roman"/>
                <w:i/>
                <w:iCs/>
                <w:noProof/>
                <w:color w:val="000000"/>
                <w:sz w:val="18"/>
                <w:szCs w:val="18"/>
                <w:lang w:eastAsia="lv-LV"/>
              </w:rPr>
              <w:t>euro</w:t>
            </w:r>
          </w:p>
        </w:tc>
        <w:tc>
          <w:tcPr>
            <w:tcW w:w="1134" w:type="dxa"/>
            <w:vAlign w:val="center"/>
          </w:tcPr>
          <w:p w14:paraId="7B6BCA3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(11)</w:t>
            </w:r>
          </w:p>
        </w:tc>
        <w:tc>
          <w:tcPr>
            <w:tcW w:w="963" w:type="dxa"/>
            <w:shd w:val="clear" w:color="auto" w:fill="auto"/>
            <w:noWrap/>
            <w:vAlign w:val="center"/>
          </w:tcPr>
          <w:p w14:paraId="713A275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5F03239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18 129</w:t>
            </w:r>
          </w:p>
        </w:tc>
        <w:tc>
          <w:tcPr>
            <w:tcW w:w="964" w:type="dxa"/>
            <w:shd w:val="clear" w:color="auto" w:fill="FFFFFF" w:themeFill="background1"/>
            <w:noWrap/>
            <w:vAlign w:val="center"/>
          </w:tcPr>
          <w:p w14:paraId="167A527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18 855</w:t>
            </w:r>
          </w:p>
        </w:tc>
        <w:tc>
          <w:tcPr>
            <w:tcW w:w="964" w:type="dxa"/>
            <w:shd w:val="clear" w:color="auto" w:fill="FFFFFF" w:themeFill="background1"/>
            <w:noWrap/>
            <w:vAlign w:val="center"/>
          </w:tcPr>
          <w:p w14:paraId="6DBA98E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19 280</w:t>
            </w:r>
          </w:p>
        </w:tc>
        <w:tc>
          <w:tcPr>
            <w:tcW w:w="964" w:type="dxa"/>
            <w:shd w:val="clear" w:color="auto" w:fill="FFFFFF" w:themeFill="background1"/>
            <w:noWrap/>
            <w:vAlign w:val="center"/>
          </w:tcPr>
          <w:p w14:paraId="2A89224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19 883</w:t>
            </w:r>
          </w:p>
        </w:tc>
      </w:tr>
      <w:tr w:rsidR="0078750D" w:rsidRPr="00CA2430" w14:paraId="3DE96CDF" w14:textId="77777777" w:rsidTr="00CA2430">
        <w:trPr>
          <w:trHeight w:val="20"/>
          <w:jc w:val="center"/>
        </w:trPr>
        <w:tc>
          <w:tcPr>
            <w:tcW w:w="3114" w:type="dxa"/>
            <w:shd w:val="clear" w:color="auto" w:fill="auto"/>
            <w:noWrap/>
            <w:vAlign w:val="center"/>
          </w:tcPr>
          <w:p w14:paraId="44F1AF0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vispārējās valdības budžeta bilance, milj. </w:t>
            </w:r>
            <w:r w:rsidRPr="00CA2430">
              <w:rPr>
                <w:rFonts w:eastAsia="Times New Roman" w:cs="Times New Roman"/>
                <w:i/>
                <w:iCs/>
                <w:noProof/>
                <w:color w:val="000000"/>
                <w:sz w:val="18"/>
                <w:szCs w:val="18"/>
                <w:lang w:eastAsia="lv-LV"/>
              </w:rPr>
              <w:t>euro</w:t>
            </w:r>
          </w:p>
        </w:tc>
        <w:tc>
          <w:tcPr>
            <w:tcW w:w="1134" w:type="dxa"/>
            <w:vAlign w:val="center"/>
          </w:tcPr>
          <w:p w14:paraId="06D35A1C"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(12)=(11)-(10)</w:t>
            </w:r>
          </w:p>
        </w:tc>
        <w:tc>
          <w:tcPr>
            <w:tcW w:w="963" w:type="dxa"/>
            <w:shd w:val="clear" w:color="auto" w:fill="auto"/>
            <w:noWrap/>
            <w:vAlign w:val="center"/>
          </w:tcPr>
          <w:p w14:paraId="7534A61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7FD5540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-1 389,8</w:t>
            </w:r>
          </w:p>
        </w:tc>
        <w:tc>
          <w:tcPr>
            <w:tcW w:w="964" w:type="dxa"/>
            <w:shd w:val="clear" w:color="auto" w:fill="FFFFFF" w:themeFill="background1"/>
            <w:noWrap/>
            <w:vAlign w:val="center"/>
          </w:tcPr>
          <w:p w14:paraId="3605012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-1 386,2</w:t>
            </w:r>
          </w:p>
        </w:tc>
        <w:tc>
          <w:tcPr>
            <w:tcW w:w="964" w:type="dxa"/>
            <w:shd w:val="clear" w:color="auto" w:fill="FFFFFF" w:themeFill="background1"/>
            <w:noWrap/>
            <w:vAlign w:val="center"/>
          </w:tcPr>
          <w:p w14:paraId="790B38E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-1 363,0</w:t>
            </w:r>
          </w:p>
        </w:tc>
        <w:tc>
          <w:tcPr>
            <w:tcW w:w="964" w:type="dxa"/>
            <w:shd w:val="clear" w:color="auto" w:fill="FFFFFF" w:themeFill="background1"/>
            <w:noWrap/>
            <w:vAlign w:val="center"/>
          </w:tcPr>
          <w:p w14:paraId="3E938F3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-1 289,2</w:t>
            </w:r>
          </w:p>
        </w:tc>
      </w:tr>
      <w:tr w:rsidR="0078750D" w:rsidRPr="00CA2430" w14:paraId="6EB6D4DF" w14:textId="77777777" w:rsidTr="00CA2430">
        <w:trPr>
          <w:trHeight w:val="20"/>
          <w:jc w:val="center"/>
        </w:trPr>
        <w:tc>
          <w:tcPr>
            <w:tcW w:w="3114" w:type="dxa"/>
            <w:shd w:val="clear" w:color="auto" w:fill="auto"/>
            <w:noWrap/>
            <w:vAlign w:val="center"/>
          </w:tcPr>
          <w:p w14:paraId="3F027C95"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IKP prognoze, milj. </w:t>
            </w:r>
            <w:r w:rsidRPr="00CA2430">
              <w:rPr>
                <w:rFonts w:eastAsia="Times New Roman" w:cs="Times New Roman"/>
                <w:i/>
                <w:iCs/>
                <w:noProof/>
                <w:color w:val="000000"/>
                <w:sz w:val="18"/>
                <w:szCs w:val="18"/>
                <w:lang w:eastAsia="lv-LV"/>
              </w:rPr>
              <w:t>euro</w:t>
            </w:r>
          </w:p>
        </w:tc>
        <w:tc>
          <w:tcPr>
            <w:tcW w:w="1134" w:type="dxa"/>
            <w:vAlign w:val="center"/>
          </w:tcPr>
          <w:p w14:paraId="5D72243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w:t>
            </w:r>
          </w:p>
        </w:tc>
        <w:tc>
          <w:tcPr>
            <w:tcW w:w="963" w:type="dxa"/>
            <w:shd w:val="clear" w:color="auto" w:fill="auto"/>
            <w:noWrap/>
            <w:vAlign w:val="center"/>
          </w:tcPr>
          <w:p w14:paraId="7EE51644"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3594344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44 379</w:t>
            </w:r>
          </w:p>
        </w:tc>
        <w:tc>
          <w:tcPr>
            <w:tcW w:w="964" w:type="dxa"/>
            <w:shd w:val="clear" w:color="auto" w:fill="FFFFFF" w:themeFill="background1"/>
            <w:noWrap/>
            <w:vAlign w:val="center"/>
          </w:tcPr>
          <w:p w14:paraId="11A742B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46 836</w:t>
            </w:r>
          </w:p>
        </w:tc>
        <w:tc>
          <w:tcPr>
            <w:tcW w:w="964" w:type="dxa"/>
            <w:shd w:val="clear" w:color="auto" w:fill="FFFFFF" w:themeFill="background1"/>
            <w:noWrap/>
            <w:vAlign w:val="center"/>
          </w:tcPr>
          <w:p w14:paraId="58B75107"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49 349</w:t>
            </w:r>
          </w:p>
        </w:tc>
        <w:tc>
          <w:tcPr>
            <w:tcW w:w="964" w:type="dxa"/>
            <w:shd w:val="clear" w:color="auto" w:fill="FFFFFF" w:themeFill="background1"/>
            <w:noWrap/>
            <w:vAlign w:val="center"/>
          </w:tcPr>
          <w:p w14:paraId="0BAC5EA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51 851</w:t>
            </w:r>
          </w:p>
        </w:tc>
      </w:tr>
      <w:tr w:rsidR="0078750D" w:rsidRPr="00CA2430" w14:paraId="7060E544" w14:textId="77777777" w:rsidTr="00CA2430">
        <w:trPr>
          <w:trHeight w:val="20"/>
          <w:jc w:val="center"/>
        </w:trPr>
        <w:tc>
          <w:tcPr>
            <w:tcW w:w="3114" w:type="dxa"/>
            <w:shd w:val="clear" w:color="auto" w:fill="auto"/>
            <w:noWrap/>
            <w:vAlign w:val="center"/>
          </w:tcPr>
          <w:p w14:paraId="77116A6A"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vispārējās valdības budžeta bilance, % no IKP</w:t>
            </w:r>
          </w:p>
        </w:tc>
        <w:tc>
          <w:tcPr>
            <w:tcW w:w="1134" w:type="dxa"/>
            <w:vAlign w:val="center"/>
          </w:tcPr>
          <w:p w14:paraId="722C6B0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(14)=(12)/(13)*100</w:t>
            </w:r>
          </w:p>
        </w:tc>
        <w:tc>
          <w:tcPr>
            <w:tcW w:w="963" w:type="dxa"/>
            <w:shd w:val="clear" w:color="auto" w:fill="auto"/>
            <w:noWrap/>
            <w:vAlign w:val="center"/>
          </w:tcPr>
          <w:p w14:paraId="2D11E101"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21F19C8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-3,132</w:t>
            </w:r>
          </w:p>
        </w:tc>
        <w:tc>
          <w:tcPr>
            <w:tcW w:w="964" w:type="dxa"/>
            <w:shd w:val="clear" w:color="auto" w:fill="FFFFFF" w:themeFill="background1"/>
            <w:noWrap/>
            <w:vAlign w:val="center"/>
          </w:tcPr>
          <w:p w14:paraId="4D0EFDF3"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-2,960</w:t>
            </w:r>
          </w:p>
        </w:tc>
        <w:tc>
          <w:tcPr>
            <w:tcW w:w="964" w:type="dxa"/>
            <w:shd w:val="clear" w:color="auto" w:fill="FFFFFF" w:themeFill="background1"/>
            <w:noWrap/>
            <w:vAlign w:val="center"/>
          </w:tcPr>
          <w:p w14:paraId="5331265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-2,762</w:t>
            </w:r>
          </w:p>
        </w:tc>
        <w:tc>
          <w:tcPr>
            <w:tcW w:w="964" w:type="dxa"/>
            <w:shd w:val="clear" w:color="auto" w:fill="FFFFFF" w:themeFill="background1"/>
            <w:noWrap/>
            <w:vAlign w:val="center"/>
          </w:tcPr>
          <w:p w14:paraId="1F99F53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-2,486</w:t>
            </w:r>
          </w:p>
        </w:tc>
      </w:tr>
      <w:tr w:rsidR="0078750D" w:rsidRPr="00CA2430" w14:paraId="0812AA27" w14:textId="77777777" w:rsidTr="00CA2430">
        <w:trPr>
          <w:trHeight w:val="20"/>
          <w:jc w:val="center"/>
        </w:trPr>
        <w:tc>
          <w:tcPr>
            <w:tcW w:w="3114" w:type="dxa"/>
            <w:shd w:val="clear" w:color="auto" w:fill="auto"/>
            <w:noWrap/>
            <w:vAlign w:val="center"/>
          </w:tcPr>
          <w:p w14:paraId="50485AF0"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bilances cikliskā komponente, % no IKP</w:t>
            </w:r>
          </w:p>
        </w:tc>
        <w:tc>
          <w:tcPr>
            <w:tcW w:w="1134" w:type="dxa"/>
            <w:vAlign w:val="center"/>
          </w:tcPr>
          <w:p w14:paraId="02D57F2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w:t>
            </w:r>
          </w:p>
        </w:tc>
        <w:tc>
          <w:tcPr>
            <w:tcW w:w="963" w:type="dxa"/>
            <w:shd w:val="clear" w:color="auto" w:fill="auto"/>
            <w:noWrap/>
            <w:vAlign w:val="center"/>
          </w:tcPr>
          <w:p w14:paraId="537AFBF0"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3020160F"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-0,43</w:t>
            </w:r>
          </w:p>
        </w:tc>
        <w:tc>
          <w:tcPr>
            <w:tcW w:w="964" w:type="dxa"/>
            <w:shd w:val="clear" w:color="auto" w:fill="FFFFFF" w:themeFill="background1"/>
            <w:noWrap/>
            <w:vAlign w:val="center"/>
          </w:tcPr>
          <w:p w14:paraId="59FB0F32"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-0,22</w:t>
            </w:r>
          </w:p>
        </w:tc>
        <w:tc>
          <w:tcPr>
            <w:tcW w:w="964" w:type="dxa"/>
            <w:shd w:val="clear" w:color="auto" w:fill="FFFFFF" w:themeFill="background1"/>
            <w:noWrap/>
            <w:vAlign w:val="center"/>
          </w:tcPr>
          <w:p w14:paraId="0F82D18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-0,08</w:t>
            </w:r>
          </w:p>
        </w:tc>
        <w:tc>
          <w:tcPr>
            <w:tcW w:w="964" w:type="dxa"/>
            <w:shd w:val="clear" w:color="auto" w:fill="FFFFFF" w:themeFill="background1"/>
            <w:noWrap/>
            <w:vAlign w:val="center"/>
          </w:tcPr>
          <w:p w14:paraId="28ACCBC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0,00</w:t>
            </w:r>
          </w:p>
        </w:tc>
      </w:tr>
      <w:tr w:rsidR="0078750D" w:rsidRPr="00CA2430" w14:paraId="7205C0C7" w14:textId="77777777" w:rsidTr="00CA2430">
        <w:trPr>
          <w:trHeight w:val="20"/>
          <w:jc w:val="center"/>
        </w:trPr>
        <w:tc>
          <w:tcPr>
            <w:tcW w:w="3114" w:type="dxa"/>
            <w:shd w:val="clear" w:color="auto" w:fill="auto"/>
            <w:noWrap/>
            <w:vAlign w:val="center"/>
          </w:tcPr>
          <w:p w14:paraId="4F163C42" w14:textId="77777777" w:rsidR="0078750D" w:rsidRPr="00CA2430" w:rsidRDefault="0078750D" w:rsidP="0078750D">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one-off un citi īslaicīgie pasākumi, % no IKP</w:t>
            </w:r>
          </w:p>
        </w:tc>
        <w:tc>
          <w:tcPr>
            <w:tcW w:w="1134" w:type="dxa"/>
            <w:vAlign w:val="center"/>
          </w:tcPr>
          <w:p w14:paraId="2312A29E"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(16)</w:t>
            </w:r>
          </w:p>
        </w:tc>
        <w:tc>
          <w:tcPr>
            <w:tcW w:w="963" w:type="dxa"/>
            <w:shd w:val="clear" w:color="auto" w:fill="auto"/>
            <w:noWrap/>
            <w:vAlign w:val="center"/>
          </w:tcPr>
          <w:p w14:paraId="1CF55DCB"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p>
        </w:tc>
        <w:tc>
          <w:tcPr>
            <w:tcW w:w="964" w:type="dxa"/>
            <w:shd w:val="clear" w:color="auto" w:fill="auto"/>
            <w:noWrap/>
            <w:vAlign w:val="center"/>
          </w:tcPr>
          <w:p w14:paraId="0C1BF8C9"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-1,6</w:t>
            </w:r>
          </w:p>
        </w:tc>
        <w:tc>
          <w:tcPr>
            <w:tcW w:w="964" w:type="dxa"/>
            <w:shd w:val="clear" w:color="auto" w:fill="FFFFFF" w:themeFill="background1"/>
            <w:noWrap/>
            <w:vAlign w:val="center"/>
          </w:tcPr>
          <w:p w14:paraId="2823E7CD"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-1,7</w:t>
            </w:r>
          </w:p>
        </w:tc>
        <w:tc>
          <w:tcPr>
            <w:tcW w:w="964" w:type="dxa"/>
            <w:shd w:val="clear" w:color="auto" w:fill="FFFFFF" w:themeFill="background1"/>
            <w:noWrap/>
            <w:vAlign w:val="center"/>
          </w:tcPr>
          <w:p w14:paraId="04806078"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w:t>
            </w:r>
          </w:p>
        </w:tc>
        <w:tc>
          <w:tcPr>
            <w:tcW w:w="964" w:type="dxa"/>
            <w:shd w:val="clear" w:color="auto" w:fill="FFFFFF" w:themeFill="background1"/>
            <w:noWrap/>
            <w:vAlign w:val="center"/>
          </w:tcPr>
          <w:p w14:paraId="4C018986" w14:textId="77777777" w:rsidR="0078750D" w:rsidRPr="00CA2430" w:rsidRDefault="0078750D" w:rsidP="0078750D">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w:t>
            </w:r>
          </w:p>
        </w:tc>
      </w:tr>
      <w:tr w:rsidR="0078750D" w:rsidRPr="00CA2430" w14:paraId="4DF1D5A4" w14:textId="77777777" w:rsidTr="00CA2430">
        <w:trPr>
          <w:trHeight w:val="20"/>
          <w:jc w:val="center"/>
        </w:trPr>
        <w:tc>
          <w:tcPr>
            <w:tcW w:w="3114" w:type="dxa"/>
            <w:shd w:val="clear" w:color="auto" w:fill="BDD6EE" w:themeFill="accent1" w:themeFillTint="66"/>
            <w:noWrap/>
            <w:vAlign w:val="center"/>
          </w:tcPr>
          <w:p w14:paraId="61C19019" w14:textId="10104495" w:rsidR="0078750D" w:rsidRPr="00CA2430" w:rsidRDefault="0078750D" w:rsidP="0078750D">
            <w:pPr>
              <w:spacing w:before="60" w:after="0"/>
              <w:ind w:firstLine="0"/>
              <w:jc w:val="left"/>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Vispārējās valdības strukturālās bilances mērķi, % no IKP</w:t>
            </w:r>
          </w:p>
        </w:tc>
        <w:tc>
          <w:tcPr>
            <w:tcW w:w="1134" w:type="dxa"/>
            <w:shd w:val="clear" w:color="auto" w:fill="BDD6EE" w:themeFill="accent1" w:themeFillTint="66"/>
            <w:vAlign w:val="center"/>
          </w:tcPr>
          <w:p w14:paraId="59C1E805"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(17)=(14)-(15)-(16)</w:t>
            </w:r>
          </w:p>
        </w:tc>
        <w:tc>
          <w:tcPr>
            <w:tcW w:w="963" w:type="dxa"/>
            <w:shd w:val="clear" w:color="auto" w:fill="BDD6EE" w:themeFill="accent1" w:themeFillTint="66"/>
            <w:noWrap/>
            <w:vAlign w:val="center"/>
          </w:tcPr>
          <w:p w14:paraId="7EEEF8F4"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p>
        </w:tc>
        <w:tc>
          <w:tcPr>
            <w:tcW w:w="964" w:type="dxa"/>
            <w:shd w:val="clear" w:color="auto" w:fill="BDD6EE" w:themeFill="accent1" w:themeFillTint="66"/>
            <w:noWrap/>
            <w:vAlign w:val="center"/>
          </w:tcPr>
          <w:p w14:paraId="30D1B37C"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-1,111</w:t>
            </w:r>
          </w:p>
        </w:tc>
        <w:tc>
          <w:tcPr>
            <w:tcW w:w="964" w:type="dxa"/>
            <w:shd w:val="clear" w:color="auto" w:fill="BDD6EE" w:themeFill="accent1" w:themeFillTint="66"/>
            <w:noWrap/>
            <w:vAlign w:val="center"/>
          </w:tcPr>
          <w:p w14:paraId="77DF65D9"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-1,081</w:t>
            </w:r>
          </w:p>
        </w:tc>
        <w:tc>
          <w:tcPr>
            <w:tcW w:w="964" w:type="dxa"/>
            <w:shd w:val="clear" w:color="auto" w:fill="BDD6EE" w:themeFill="accent1" w:themeFillTint="66"/>
            <w:noWrap/>
            <w:vAlign w:val="center"/>
          </w:tcPr>
          <w:p w14:paraId="505332D0"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-1,189</w:t>
            </w:r>
          </w:p>
        </w:tc>
        <w:tc>
          <w:tcPr>
            <w:tcW w:w="964" w:type="dxa"/>
            <w:shd w:val="clear" w:color="auto" w:fill="BDD6EE" w:themeFill="accent1" w:themeFillTint="66"/>
            <w:noWrap/>
            <w:vAlign w:val="center"/>
          </w:tcPr>
          <w:p w14:paraId="22D12E81" w14:textId="77777777" w:rsidR="0078750D" w:rsidRPr="00CA2430" w:rsidRDefault="0078750D" w:rsidP="0078750D">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-1,155</w:t>
            </w:r>
          </w:p>
        </w:tc>
      </w:tr>
    </w:tbl>
    <w:p w14:paraId="2F9CDE2E" w14:textId="5B990D64" w:rsidR="0078750D" w:rsidRPr="00CA2430" w:rsidRDefault="0078750D" w:rsidP="00FE0109">
      <w:pPr>
        <w:spacing w:before="240"/>
        <w:rPr>
          <w:rFonts w:cs="Times New Roman"/>
          <w:b/>
          <w:bCs/>
          <w:noProof/>
          <w:szCs w:val="24"/>
        </w:rPr>
      </w:pPr>
      <w:r w:rsidRPr="00CA2430">
        <w:rPr>
          <w:rFonts w:cs="Times New Roman"/>
          <w:b/>
          <w:bCs/>
          <w:noProof/>
          <w:szCs w:val="24"/>
        </w:rPr>
        <w:t>Strukturālās bilances mērķi</w:t>
      </w:r>
    </w:p>
    <w:p w14:paraId="26AE75D9" w14:textId="77777777" w:rsidR="00906173" w:rsidRPr="00CA2430" w:rsidRDefault="00906173" w:rsidP="00906173">
      <w:pPr>
        <w:rPr>
          <w:rFonts w:eastAsia="Times New Roman" w:cs="Times New Roman"/>
          <w:bCs/>
          <w:noProof/>
        </w:rPr>
      </w:pPr>
      <w:bookmarkStart w:id="16" w:name="_Hlk174011522"/>
      <w:r w:rsidRPr="00CA2430">
        <w:rPr>
          <w:rFonts w:cs="Times New Roman"/>
          <w:noProof/>
          <w:szCs w:val="24"/>
        </w:rPr>
        <w:t xml:space="preserve">Ņemot vērā 5., 6. un 7. tabulā norādīto, </w:t>
      </w:r>
      <w:r w:rsidRPr="00CA2430">
        <w:rPr>
          <w:rFonts w:eastAsia="Times New Roman" w:cs="Times New Roman"/>
          <w:b/>
          <w:noProof/>
        </w:rPr>
        <w:t xml:space="preserve">vispārējās valdības budžeta </w:t>
      </w:r>
      <w:r w:rsidRPr="00CA2430">
        <w:rPr>
          <w:rFonts w:cs="Times New Roman"/>
          <w:b/>
          <w:bCs/>
          <w:noProof/>
          <w:szCs w:val="24"/>
        </w:rPr>
        <w:t xml:space="preserve">strukturālās bilances mērķis, kas izpilda visus trīs nosacījumus, </w:t>
      </w:r>
      <w:r w:rsidRPr="00CA2430">
        <w:rPr>
          <w:rFonts w:eastAsia="Times New Roman" w:cs="Times New Roman"/>
          <w:bCs/>
          <w:noProof/>
        </w:rPr>
        <w:t>2025.-2027. gadam tiek noteikts:</w:t>
      </w:r>
      <w:r w:rsidRPr="00CA2430">
        <w:rPr>
          <w:rFonts w:eastAsia="Times New Roman" w:cs="Times New Roman"/>
          <w:bCs/>
          <w:noProof/>
        </w:rPr>
        <w:br/>
        <w:t>-</w:t>
      </w:r>
      <w:r w:rsidRPr="00CA2430">
        <w:rPr>
          <w:rFonts w:eastAsia="Times New Roman" w:cs="Times New Roman"/>
          <w:b/>
          <w:noProof/>
        </w:rPr>
        <w:t>0,97% no IKP 2025. gadam</w:t>
      </w:r>
      <w:r w:rsidRPr="00CA2430">
        <w:rPr>
          <w:rFonts w:eastAsia="Times New Roman" w:cs="Times New Roman"/>
          <w:bCs/>
          <w:noProof/>
        </w:rPr>
        <w:t xml:space="preserve">, </w:t>
      </w:r>
      <w:r w:rsidRPr="00CA2430">
        <w:rPr>
          <w:rFonts w:eastAsia="Times New Roman" w:cs="Times New Roman"/>
          <w:b/>
          <w:noProof/>
        </w:rPr>
        <w:t>-1,0% no IKP 2026. gadam</w:t>
      </w:r>
      <w:r>
        <w:rPr>
          <w:rFonts w:eastAsia="Times New Roman" w:cs="Times New Roman"/>
          <w:bCs/>
          <w:noProof/>
        </w:rPr>
        <w:t>,</w:t>
      </w:r>
      <w:r w:rsidRPr="00CA2430">
        <w:rPr>
          <w:rFonts w:eastAsia="Times New Roman" w:cs="Times New Roman"/>
          <w:bCs/>
          <w:noProof/>
        </w:rPr>
        <w:t xml:space="preserve"> </w:t>
      </w:r>
      <w:r w:rsidRPr="00CA2430">
        <w:rPr>
          <w:rFonts w:eastAsia="Times New Roman" w:cs="Times New Roman"/>
          <w:b/>
          <w:noProof/>
        </w:rPr>
        <w:t>-1,0% no IKP 2027. gadam</w:t>
      </w:r>
      <w:r>
        <w:rPr>
          <w:rFonts w:eastAsia="Times New Roman" w:cs="Times New Roman"/>
          <w:b/>
          <w:noProof/>
        </w:rPr>
        <w:t xml:space="preserve"> </w:t>
      </w:r>
      <w:r w:rsidRPr="009514D5">
        <w:rPr>
          <w:rFonts w:eastAsia="Times New Roman" w:cs="Times New Roman"/>
          <w:bCs/>
          <w:noProof/>
        </w:rPr>
        <w:t>un</w:t>
      </w:r>
      <w:r>
        <w:rPr>
          <w:rFonts w:eastAsia="Times New Roman" w:cs="Times New Roman"/>
          <w:b/>
          <w:noProof/>
        </w:rPr>
        <w:t xml:space="preserve"> -1,0% no IKP 2028. gadam</w:t>
      </w:r>
      <w:bookmarkEnd w:id="16"/>
      <w:r w:rsidRPr="00CA2430">
        <w:rPr>
          <w:rFonts w:eastAsia="Times New Roman" w:cs="Times New Roman"/>
          <w:bCs/>
          <w:noProof/>
        </w:rPr>
        <w:t xml:space="preserve">. </w:t>
      </w:r>
    </w:p>
    <w:p w14:paraId="320B587C" w14:textId="373610AD" w:rsidR="0078750D" w:rsidRPr="00CA2430" w:rsidRDefault="0078750D" w:rsidP="00906173">
      <w:pPr>
        <w:rPr>
          <w:rFonts w:eastAsia="Times New Roman" w:cs="Times New Roman"/>
          <w:bCs/>
          <w:noProof/>
        </w:rPr>
      </w:pPr>
      <w:r w:rsidRPr="00CA2430">
        <w:rPr>
          <w:rFonts w:eastAsia="Times New Roman" w:cs="Times New Roman"/>
          <w:bCs/>
          <w:noProof/>
        </w:rPr>
        <w:t>Strukturālās bilances mērķim atbilstošais valsts finansēto neto primāro izdevumu pieaugums 2025. gadā ir 4,2%, 2026. gadā 3,8%</w:t>
      </w:r>
      <w:r w:rsidR="00906173">
        <w:rPr>
          <w:rFonts w:eastAsia="Times New Roman" w:cs="Times New Roman"/>
          <w:bCs/>
          <w:noProof/>
        </w:rPr>
        <w:t xml:space="preserve">, </w:t>
      </w:r>
      <w:r w:rsidRPr="00CA2430">
        <w:rPr>
          <w:rFonts w:eastAsia="Times New Roman" w:cs="Times New Roman"/>
          <w:bCs/>
          <w:noProof/>
        </w:rPr>
        <w:t>2027. gadā 3,1%</w:t>
      </w:r>
      <w:r w:rsidR="00906173">
        <w:rPr>
          <w:rFonts w:eastAsia="Times New Roman" w:cs="Times New Roman"/>
          <w:bCs/>
          <w:noProof/>
        </w:rPr>
        <w:t xml:space="preserve"> </w:t>
      </w:r>
      <w:r w:rsidR="00906173" w:rsidRPr="00906173">
        <w:rPr>
          <w:rFonts w:eastAsia="Times New Roman" w:cs="Times New Roman"/>
          <w:bCs/>
          <w:noProof/>
        </w:rPr>
        <w:t>un 2028. gadā 3,5%.</w:t>
      </w:r>
    </w:p>
    <w:p w14:paraId="218C3566" w14:textId="77777777" w:rsidR="00017774" w:rsidRDefault="00017774">
      <w:pPr>
        <w:spacing w:before="0" w:after="0"/>
        <w:ind w:firstLine="0"/>
        <w:jc w:val="left"/>
        <w:rPr>
          <w:b/>
          <w:bCs/>
          <w:noProof/>
          <w:szCs w:val="20"/>
        </w:rPr>
      </w:pPr>
      <w:r>
        <w:rPr>
          <w:b/>
          <w:bCs/>
          <w:noProof/>
          <w:szCs w:val="20"/>
        </w:rPr>
        <w:br w:type="page"/>
      </w:r>
    </w:p>
    <w:p w14:paraId="707DBEC6" w14:textId="33DC328E" w:rsidR="0078750D" w:rsidRPr="00CA2430" w:rsidRDefault="0078750D" w:rsidP="00FE0109">
      <w:pPr>
        <w:spacing w:before="240"/>
        <w:jc w:val="left"/>
        <w:rPr>
          <w:b/>
          <w:bCs/>
          <w:noProof/>
          <w:szCs w:val="20"/>
        </w:rPr>
      </w:pPr>
      <w:r w:rsidRPr="00CA2430">
        <w:rPr>
          <w:b/>
          <w:bCs/>
          <w:noProof/>
          <w:szCs w:val="20"/>
        </w:rPr>
        <w:lastRenderedPageBreak/>
        <w:t>Fiskālā telpa 2025. gadam un turpmākajiem gadiem</w:t>
      </w:r>
    </w:p>
    <w:p w14:paraId="2B7744B1" w14:textId="77777777" w:rsidR="00906173" w:rsidRPr="00CA2430" w:rsidRDefault="00906173" w:rsidP="00906173">
      <w:pPr>
        <w:rPr>
          <w:noProof/>
          <w:szCs w:val="20"/>
        </w:rPr>
      </w:pPr>
      <w:r w:rsidRPr="00CA2430">
        <w:rPr>
          <w:noProof/>
          <w:szCs w:val="20"/>
        </w:rPr>
        <w:t>Ņemot vērā iepriekš definētos fiskālos nosacījumus un iepriekš norādītos strukturālās bilances mērķus, tiek noteikta fiskālā telpa 2025., 2026.</w:t>
      </w:r>
      <w:r>
        <w:rPr>
          <w:noProof/>
          <w:szCs w:val="20"/>
        </w:rPr>
        <w:t>,</w:t>
      </w:r>
      <w:r w:rsidRPr="00CA2430">
        <w:rPr>
          <w:noProof/>
          <w:szCs w:val="20"/>
        </w:rPr>
        <w:t xml:space="preserve"> 2027. </w:t>
      </w:r>
      <w:r>
        <w:rPr>
          <w:noProof/>
          <w:szCs w:val="20"/>
        </w:rPr>
        <w:t>un 2028. gadam</w:t>
      </w:r>
      <w:r w:rsidRPr="00CA2430">
        <w:rPr>
          <w:noProof/>
          <w:szCs w:val="20"/>
        </w:rPr>
        <w:t>.</w:t>
      </w:r>
    </w:p>
    <w:p w14:paraId="39C70C57" w14:textId="4C3C2273" w:rsidR="0078750D" w:rsidRPr="007C2718" w:rsidRDefault="00CA2430" w:rsidP="007C2718">
      <w:pPr>
        <w:spacing w:before="0"/>
        <w:ind w:firstLine="0"/>
        <w:jc w:val="center"/>
        <w:rPr>
          <w:rFonts w:eastAsia="Calibri"/>
          <w:b/>
          <w:bCs/>
          <w:noProof/>
          <w:szCs w:val="20"/>
        </w:rPr>
      </w:pPr>
      <w:r w:rsidRPr="00CA2430">
        <w:rPr>
          <w:rFonts w:eastAsia="Calibri"/>
          <w:b/>
          <w:bCs/>
          <w:noProof/>
          <w:szCs w:val="20"/>
        </w:rPr>
        <w:t>8</w:t>
      </w:r>
      <w:r w:rsidR="0078750D" w:rsidRPr="00CA2430">
        <w:rPr>
          <w:rFonts w:eastAsia="Calibri"/>
          <w:b/>
          <w:bCs/>
          <w:noProof/>
          <w:szCs w:val="20"/>
        </w:rPr>
        <w:t>. tabula. Fiskālā telpa</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443"/>
        <w:gridCol w:w="1109"/>
        <w:gridCol w:w="1275"/>
        <w:gridCol w:w="961"/>
        <w:gridCol w:w="927"/>
      </w:tblGrid>
      <w:tr w:rsidR="00906173" w:rsidRPr="00CA2430" w14:paraId="3AB76F9B" w14:textId="024702AA" w:rsidTr="00906173">
        <w:trPr>
          <w:trHeight w:val="20"/>
          <w:tblHeader/>
          <w:jc w:val="center"/>
        </w:trPr>
        <w:tc>
          <w:tcPr>
            <w:tcW w:w="3346" w:type="dxa"/>
            <w:shd w:val="clear" w:color="auto" w:fill="BDD6EE" w:themeFill="accent1" w:themeFillTint="66"/>
            <w:vAlign w:val="bottom"/>
            <w:hideMark/>
          </w:tcPr>
          <w:p w14:paraId="243134E2"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1443" w:type="dxa"/>
            <w:shd w:val="clear" w:color="auto" w:fill="BDD6EE" w:themeFill="accent1" w:themeFillTint="66"/>
            <w:noWrap/>
            <w:vAlign w:val="bottom"/>
            <w:hideMark/>
          </w:tcPr>
          <w:p w14:paraId="0EC67C53"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w:t>
            </w:r>
          </w:p>
        </w:tc>
        <w:tc>
          <w:tcPr>
            <w:tcW w:w="1109" w:type="dxa"/>
            <w:shd w:val="clear" w:color="auto" w:fill="BDD6EE" w:themeFill="accent1" w:themeFillTint="66"/>
            <w:noWrap/>
            <w:vAlign w:val="center"/>
            <w:hideMark/>
          </w:tcPr>
          <w:p w14:paraId="6F9C34CC"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2025</w:t>
            </w:r>
          </w:p>
        </w:tc>
        <w:tc>
          <w:tcPr>
            <w:tcW w:w="1275" w:type="dxa"/>
            <w:shd w:val="clear" w:color="auto" w:fill="BDD6EE" w:themeFill="accent1" w:themeFillTint="66"/>
            <w:noWrap/>
            <w:vAlign w:val="center"/>
            <w:hideMark/>
          </w:tcPr>
          <w:p w14:paraId="56A25C3C"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2026</w:t>
            </w:r>
          </w:p>
        </w:tc>
        <w:tc>
          <w:tcPr>
            <w:tcW w:w="961" w:type="dxa"/>
            <w:shd w:val="clear" w:color="auto" w:fill="BDD6EE" w:themeFill="accent1" w:themeFillTint="66"/>
            <w:vAlign w:val="center"/>
          </w:tcPr>
          <w:p w14:paraId="2DB959D1"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2027</w:t>
            </w:r>
          </w:p>
        </w:tc>
        <w:tc>
          <w:tcPr>
            <w:tcW w:w="927" w:type="dxa"/>
            <w:shd w:val="clear" w:color="auto" w:fill="BDD6EE" w:themeFill="accent1" w:themeFillTint="66"/>
            <w:vAlign w:val="center"/>
          </w:tcPr>
          <w:p w14:paraId="6950DA50" w14:textId="2E8F9616"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Pr>
                <w:rFonts w:eastAsia="Times New Roman" w:cs="Times New Roman"/>
                <w:b/>
                <w:bCs/>
                <w:noProof/>
                <w:color w:val="000000"/>
                <w:sz w:val="18"/>
                <w:szCs w:val="18"/>
                <w:lang w:eastAsia="lv-LV"/>
              </w:rPr>
              <w:t>2028</w:t>
            </w:r>
          </w:p>
        </w:tc>
      </w:tr>
      <w:tr w:rsidR="00906173" w:rsidRPr="00CA2430" w14:paraId="7CA1F803" w14:textId="53F15C18" w:rsidTr="00906173">
        <w:trPr>
          <w:trHeight w:val="20"/>
          <w:jc w:val="center"/>
        </w:trPr>
        <w:tc>
          <w:tcPr>
            <w:tcW w:w="3346" w:type="dxa"/>
            <w:shd w:val="clear" w:color="auto" w:fill="auto"/>
            <w:vAlign w:val="center"/>
          </w:tcPr>
          <w:p w14:paraId="2A416E7E"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Vispārējās valdības budžeta nominālās bilances prognoze pie nemainīgas politikas, % no IKP</w:t>
            </w:r>
          </w:p>
        </w:tc>
        <w:tc>
          <w:tcPr>
            <w:tcW w:w="1443" w:type="dxa"/>
            <w:shd w:val="clear" w:color="auto" w:fill="auto"/>
            <w:noWrap/>
            <w:vAlign w:val="center"/>
            <w:hideMark/>
          </w:tcPr>
          <w:p w14:paraId="2B38A1C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w:t>
            </w:r>
          </w:p>
        </w:tc>
        <w:tc>
          <w:tcPr>
            <w:tcW w:w="1109" w:type="dxa"/>
            <w:shd w:val="clear" w:color="auto" w:fill="auto"/>
            <w:noWrap/>
            <w:vAlign w:val="center"/>
          </w:tcPr>
          <w:p w14:paraId="36A420FF"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-2,9</w:t>
            </w:r>
          </w:p>
        </w:tc>
        <w:tc>
          <w:tcPr>
            <w:tcW w:w="1275" w:type="dxa"/>
            <w:shd w:val="clear" w:color="auto" w:fill="auto"/>
            <w:noWrap/>
            <w:vAlign w:val="center"/>
          </w:tcPr>
          <w:p w14:paraId="5192A336"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-2,7</w:t>
            </w:r>
          </w:p>
        </w:tc>
        <w:tc>
          <w:tcPr>
            <w:tcW w:w="961" w:type="dxa"/>
            <w:vAlign w:val="center"/>
          </w:tcPr>
          <w:p w14:paraId="018C40E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-2,4</w:t>
            </w:r>
          </w:p>
        </w:tc>
        <w:tc>
          <w:tcPr>
            <w:tcW w:w="927" w:type="dxa"/>
            <w:vAlign w:val="center"/>
          </w:tcPr>
          <w:p w14:paraId="2BCAC78E" w14:textId="557D97EB"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-2,2</w:t>
            </w:r>
          </w:p>
        </w:tc>
      </w:tr>
      <w:tr w:rsidR="00906173" w:rsidRPr="00CA2430" w14:paraId="4F108555" w14:textId="21718339" w:rsidTr="00906173">
        <w:trPr>
          <w:trHeight w:val="20"/>
          <w:jc w:val="center"/>
        </w:trPr>
        <w:tc>
          <w:tcPr>
            <w:tcW w:w="3346" w:type="dxa"/>
            <w:shd w:val="clear" w:color="auto" w:fill="auto"/>
            <w:vAlign w:val="center"/>
          </w:tcPr>
          <w:p w14:paraId="6CB48A18"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Izlaižu starpība, % no potenciālā IKP</w:t>
            </w:r>
          </w:p>
        </w:tc>
        <w:tc>
          <w:tcPr>
            <w:tcW w:w="1443" w:type="dxa"/>
            <w:shd w:val="clear" w:color="auto" w:fill="auto"/>
            <w:noWrap/>
            <w:vAlign w:val="center"/>
            <w:hideMark/>
          </w:tcPr>
          <w:p w14:paraId="65229B99"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(2)</w:t>
            </w:r>
          </w:p>
        </w:tc>
        <w:tc>
          <w:tcPr>
            <w:tcW w:w="1109" w:type="dxa"/>
            <w:shd w:val="clear" w:color="auto" w:fill="auto"/>
            <w:noWrap/>
            <w:vAlign w:val="center"/>
          </w:tcPr>
          <w:p w14:paraId="7BB83789"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-1,1</w:t>
            </w:r>
          </w:p>
        </w:tc>
        <w:tc>
          <w:tcPr>
            <w:tcW w:w="1275" w:type="dxa"/>
            <w:shd w:val="clear" w:color="auto" w:fill="auto"/>
            <w:noWrap/>
            <w:vAlign w:val="center"/>
          </w:tcPr>
          <w:p w14:paraId="653785B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-0,6</w:t>
            </w:r>
          </w:p>
        </w:tc>
        <w:tc>
          <w:tcPr>
            <w:tcW w:w="961" w:type="dxa"/>
            <w:vAlign w:val="center"/>
          </w:tcPr>
          <w:p w14:paraId="1E12B759"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-0,2</w:t>
            </w:r>
          </w:p>
        </w:tc>
        <w:tc>
          <w:tcPr>
            <w:tcW w:w="927" w:type="dxa"/>
            <w:vAlign w:val="center"/>
          </w:tcPr>
          <w:p w14:paraId="15A1B942" w14:textId="4E39E89D"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0,0</w:t>
            </w:r>
          </w:p>
        </w:tc>
      </w:tr>
      <w:tr w:rsidR="00906173" w:rsidRPr="00CA2430" w14:paraId="2174718B" w14:textId="6837A254" w:rsidTr="00906173">
        <w:trPr>
          <w:trHeight w:val="20"/>
          <w:jc w:val="center"/>
        </w:trPr>
        <w:tc>
          <w:tcPr>
            <w:tcW w:w="3346" w:type="dxa"/>
            <w:shd w:val="clear" w:color="auto" w:fill="auto"/>
            <w:vAlign w:val="center"/>
          </w:tcPr>
          <w:p w14:paraId="47D7E9F7"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Bilances cikliskā komponente, % no IKP</w:t>
            </w:r>
          </w:p>
        </w:tc>
        <w:tc>
          <w:tcPr>
            <w:tcW w:w="1443" w:type="dxa"/>
            <w:shd w:val="clear" w:color="auto" w:fill="auto"/>
            <w:noWrap/>
            <w:vAlign w:val="center"/>
            <w:hideMark/>
          </w:tcPr>
          <w:p w14:paraId="41378BA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(3)=0,378*(2)</w:t>
            </w:r>
          </w:p>
        </w:tc>
        <w:tc>
          <w:tcPr>
            <w:tcW w:w="1109" w:type="dxa"/>
            <w:shd w:val="clear" w:color="auto" w:fill="auto"/>
            <w:noWrap/>
            <w:vAlign w:val="center"/>
          </w:tcPr>
          <w:p w14:paraId="0AF4BD11"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-0,1</w:t>
            </w:r>
          </w:p>
        </w:tc>
        <w:tc>
          <w:tcPr>
            <w:tcW w:w="1275" w:type="dxa"/>
            <w:shd w:val="clear" w:color="auto" w:fill="auto"/>
            <w:noWrap/>
            <w:vAlign w:val="center"/>
          </w:tcPr>
          <w:p w14:paraId="6A05E846"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61" w:type="dxa"/>
            <w:vAlign w:val="center"/>
          </w:tcPr>
          <w:p w14:paraId="7FACC0FC"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27" w:type="dxa"/>
            <w:vAlign w:val="center"/>
          </w:tcPr>
          <w:p w14:paraId="36BC3F42" w14:textId="1E9DAB80"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0,0</w:t>
            </w:r>
          </w:p>
        </w:tc>
      </w:tr>
      <w:tr w:rsidR="00906173" w:rsidRPr="00CA2430" w14:paraId="5ED8D1EF" w14:textId="7F7C8880" w:rsidTr="00906173">
        <w:trPr>
          <w:trHeight w:val="20"/>
          <w:jc w:val="center"/>
        </w:trPr>
        <w:tc>
          <w:tcPr>
            <w:tcW w:w="3346" w:type="dxa"/>
            <w:shd w:val="clear" w:color="auto" w:fill="auto"/>
            <w:vAlign w:val="center"/>
          </w:tcPr>
          <w:p w14:paraId="0B34ADDA"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One-off un citi īslaicīgie pasākumi, kas iekļauti nemainīgas politikas scenārijā, % no IKP, tai skaitā</w:t>
            </w:r>
          </w:p>
        </w:tc>
        <w:tc>
          <w:tcPr>
            <w:tcW w:w="1443" w:type="dxa"/>
            <w:shd w:val="clear" w:color="auto" w:fill="auto"/>
            <w:noWrap/>
            <w:vAlign w:val="center"/>
            <w:hideMark/>
          </w:tcPr>
          <w:p w14:paraId="7EFE3B30"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(4)=(5)+(6)+</w:t>
            </w:r>
          </w:p>
          <w:p w14:paraId="7A31AD1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(7)+(9)</w:t>
            </w:r>
          </w:p>
        </w:tc>
        <w:tc>
          <w:tcPr>
            <w:tcW w:w="1109" w:type="dxa"/>
            <w:shd w:val="clear" w:color="auto" w:fill="auto"/>
            <w:noWrap/>
            <w:vAlign w:val="center"/>
          </w:tcPr>
          <w:p w14:paraId="5EC9AFD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-1,591</w:t>
            </w:r>
          </w:p>
        </w:tc>
        <w:tc>
          <w:tcPr>
            <w:tcW w:w="1275" w:type="dxa"/>
            <w:shd w:val="clear" w:color="auto" w:fill="auto"/>
            <w:noWrap/>
            <w:vAlign w:val="center"/>
          </w:tcPr>
          <w:p w14:paraId="7A6C4B6F"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-1,655</w:t>
            </w:r>
          </w:p>
        </w:tc>
        <w:tc>
          <w:tcPr>
            <w:tcW w:w="961" w:type="dxa"/>
            <w:vAlign w:val="center"/>
          </w:tcPr>
          <w:p w14:paraId="2796CA3A"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-1,496</w:t>
            </w:r>
          </w:p>
        </w:tc>
        <w:tc>
          <w:tcPr>
            <w:tcW w:w="927" w:type="dxa"/>
            <w:vAlign w:val="center"/>
          </w:tcPr>
          <w:p w14:paraId="4931B390" w14:textId="21C90686"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-1,327</w:t>
            </w:r>
          </w:p>
        </w:tc>
      </w:tr>
      <w:tr w:rsidR="00906173" w:rsidRPr="00CA2430" w14:paraId="5B5E438B" w14:textId="3ED83DC2" w:rsidTr="00906173">
        <w:trPr>
          <w:trHeight w:val="20"/>
          <w:jc w:val="center"/>
        </w:trPr>
        <w:tc>
          <w:tcPr>
            <w:tcW w:w="3346" w:type="dxa"/>
            <w:shd w:val="clear" w:color="auto" w:fill="auto"/>
            <w:vAlign w:val="bottom"/>
          </w:tcPr>
          <w:p w14:paraId="3EFAA6E0"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COVID -19 pandēmijas mazināšanas pasākumi</w:t>
            </w:r>
          </w:p>
        </w:tc>
        <w:tc>
          <w:tcPr>
            <w:tcW w:w="1443" w:type="dxa"/>
            <w:shd w:val="clear" w:color="auto" w:fill="auto"/>
            <w:noWrap/>
            <w:vAlign w:val="center"/>
            <w:hideMark/>
          </w:tcPr>
          <w:p w14:paraId="30E0AC2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(5)</w:t>
            </w:r>
          </w:p>
        </w:tc>
        <w:tc>
          <w:tcPr>
            <w:tcW w:w="1109" w:type="dxa"/>
            <w:shd w:val="clear" w:color="auto" w:fill="auto"/>
            <w:noWrap/>
            <w:vAlign w:val="center"/>
          </w:tcPr>
          <w:p w14:paraId="363A1B28"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-0,01</w:t>
            </w:r>
          </w:p>
        </w:tc>
        <w:tc>
          <w:tcPr>
            <w:tcW w:w="1275" w:type="dxa"/>
            <w:shd w:val="clear" w:color="auto" w:fill="auto"/>
            <w:noWrap/>
            <w:vAlign w:val="center"/>
          </w:tcPr>
          <w:p w14:paraId="6E309B14"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-0,01</w:t>
            </w:r>
          </w:p>
        </w:tc>
        <w:tc>
          <w:tcPr>
            <w:tcW w:w="961" w:type="dxa"/>
            <w:vAlign w:val="center"/>
          </w:tcPr>
          <w:p w14:paraId="59BA4E64"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-0,01</w:t>
            </w:r>
          </w:p>
        </w:tc>
        <w:tc>
          <w:tcPr>
            <w:tcW w:w="927" w:type="dxa"/>
            <w:vAlign w:val="center"/>
          </w:tcPr>
          <w:p w14:paraId="47324091" w14:textId="380BFEEC"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-0,01</w:t>
            </w:r>
          </w:p>
        </w:tc>
      </w:tr>
      <w:tr w:rsidR="00906173" w:rsidRPr="00CA2430" w14:paraId="538978A2" w14:textId="308BC8DA" w:rsidTr="00906173">
        <w:trPr>
          <w:trHeight w:val="20"/>
          <w:jc w:val="center"/>
        </w:trPr>
        <w:tc>
          <w:tcPr>
            <w:tcW w:w="3346" w:type="dxa"/>
            <w:shd w:val="clear" w:color="auto" w:fill="auto"/>
            <w:vAlign w:val="bottom"/>
          </w:tcPr>
          <w:p w14:paraId="4A5216F1"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enerģijas cenas pieauguma mazināšanas pasākumi</w:t>
            </w:r>
          </w:p>
        </w:tc>
        <w:tc>
          <w:tcPr>
            <w:tcW w:w="1443" w:type="dxa"/>
            <w:shd w:val="clear" w:color="auto" w:fill="auto"/>
            <w:noWrap/>
            <w:vAlign w:val="center"/>
            <w:hideMark/>
          </w:tcPr>
          <w:p w14:paraId="4A470786"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(6)</w:t>
            </w:r>
          </w:p>
        </w:tc>
        <w:tc>
          <w:tcPr>
            <w:tcW w:w="1109" w:type="dxa"/>
            <w:shd w:val="clear" w:color="auto" w:fill="auto"/>
            <w:noWrap/>
            <w:vAlign w:val="center"/>
          </w:tcPr>
          <w:p w14:paraId="21F86FB5"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1275" w:type="dxa"/>
            <w:shd w:val="clear" w:color="auto" w:fill="auto"/>
            <w:noWrap/>
            <w:vAlign w:val="center"/>
          </w:tcPr>
          <w:p w14:paraId="52E225E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61" w:type="dxa"/>
            <w:vAlign w:val="center"/>
          </w:tcPr>
          <w:p w14:paraId="48D5F79F"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27" w:type="dxa"/>
            <w:vAlign w:val="center"/>
          </w:tcPr>
          <w:p w14:paraId="58905B4C" w14:textId="3F3F7F13"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0,0</w:t>
            </w:r>
          </w:p>
        </w:tc>
      </w:tr>
      <w:tr w:rsidR="00906173" w:rsidRPr="00CA2430" w14:paraId="6C96176A" w14:textId="423C80C8" w:rsidTr="00906173">
        <w:trPr>
          <w:trHeight w:val="20"/>
          <w:jc w:val="center"/>
        </w:trPr>
        <w:tc>
          <w:tcPr>
            <w:tcW w:w="3346" w:type="dxa"/>
            <w:shd w:val="clear" w:color="auto" w:fill="auto"/>
            <w:vAlign w:val="bottom"/>
          </w:tcPr>
          <w:p w14:paraId="5BE5D1F1"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aizsardzības un iekšējās drošības finansējums</w:t>
            </w:r>
          </w:p>
        </w:tc>
        <w:tc>
          <w:tcPr>
            <w:tcW w:w="1443" w:type="dxa"/>
            <w:shd w:val="clear" w:color="auto" w:fill="auto"/>
            <w:noWrap/>
            <w:vAlign w:val="center"/>
            <w:hideMark/>
          </w:tcPr>
          <w:p w14:paraId="1AB3E464"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(7)</w:t>
            </w:r>
          </w:p>
        </w:tc>
        <w:tc>
          <w:tcPr>
            <w:tcW w:w="1109" w:type="dxa"/>
            <w:shd w:val="clear" w:color="auto" w:fill="auto"/>
            <w:noWrap/>
            <w:vAlign w:val="center"/>
          </w:tcPr>
          <w:p w14:paraId="024DA201"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-0,9</w:t>
            </w:r>
          </w:p>
        </w:tc>
        <w:tc>
          <w:tcPr>
            <w:tcW w:w="1275" w:type="dxa"/>
            <w:shd w:val="clear" w:color="auto" w:fill="auto"/>
            <w:noWrap/>
            <w:vAlign w:val="center"/>
          </w:tcPr>
          <w:p w14:paraId="774CB36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-1,1</w:t>
            </w:r>
          </w:p>
        </w:tc>
        <w:tc>
          <w:tcPr>
            <w:tcW w:w="961" w:type="dxa"/>
            <w:vAlign w:val="center"/>
          </w:tcPr>
          <w:p w14:paraId="548AD18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-0,9</w:t>
            </w:r>
          </w:p>
        </w:tc>
        <w:tc>
          <w:tcPr>
            <w:tcW w:w="927" w:type="dxa"/>
            <w:vAlign w:val="center"/>
          </w:tcPr>
          <w:p w14:paraId="0DD125D5" w14:textId="01FABF7E"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-0,7</w:t>
            </w:r>
          </w:p>
        </w:tc>
      </w:tr>
      <w:tr w:rsidR="00906173" w:rsidRPr="00CA2430" w14:paraId="285C95F2" w14:textId="008A276F" w:rsidTr="00906173">
        <w:trPr>
          <w:trHeight w:val="20"/>
          <w:jc w:val="center"/>
        </w:trPr>
        <w:tc>
          <w:tcPr>
            <w:tcW w:w="3346" w:type="dxa"/>
            <w:shd w:val="clear" w:color="auto" w:fill="auto"/>
            <w:vAlign w:val="bottom"/>
          </w:tcPr>
          <w:p w14:paraId="550D2DC0"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atbalsts bēgļiem no Ukrainas</w:t>
            </w:r>
          </w:p>
        </w:tc>
        <w:tc>
          <w:tcPr>
            <w:tcW w:w="1443" w:type="dxa"/>
            <w:shd w:val="clear" w:color="auto" w:fill="auto"/>
            <w:noWrap/>
            <w:vAlign w:val="center"/>
            <w:hideMark/>
          </w:tcPr>
          <w:p w14:paraId="75A0FC7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(8)</w:t>
            </w:r>
          </w:p>
        </w:tc>
        <w:tc>
          <w:tcPr>
            <w:tcW w:w="1109" w:type="dxa"/>
            <w:shd w:val="clear" w:color="auto" w:fill="auto"/>
            <w:noWrap/>
            <w:vAlign w:val="center"/>
          </w:tcPr>
          <w:p w14:paraId="3C0303C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1275" w:type="dxa"/>
            <w:shd w:val="clear" w:color="auto" w:fill="auto"/>
            <w:noWrap/>
            <w:vAlign w:val="center"/>
          </w:tcPr>
          <w:p w14:paraId="5AB5B8E5"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61" w:type="dxa"/>
            <w:vAlign w:val="center"/>
          </w:tcPr>
          <w:p w14:paraId="088318D7"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0,0</w:t>
            </w:r>
          </w:p>
        </w:tc>
        <w:tc>
          <w:tcPr>
            <w:tcW w:w="927" w:type="dxa"/>
            <w:vAlign w:val="center"/>
          </w:tcPr>
          <w:p w14:paraId="76415785" w14:textId="0B90F21C"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0,0</w:t>
            </w:r>
          </w:p>
        </w:tc>
      </w:tr>
      <w:tr w:rsidR="00906173" w:rsidRPr="00CA2430" w14:paraId="462ABBE1" w14:textId="53AF4A67" w:rsidTr="00906173">
        <w:trPr>
          <w:trHeight w:val="20"/>
          <w:jc w:val="center"/>
        </w:trPr>
        <w:tc>
          <w:tcPr>
            <w:tcW w:w="3346" w:type="dxa"/>
            <w:shd w:val="clear" w:color="auto" w:fill="auto"/>
            <w:vAlign w:val="center"/>
          </w:tcPr>
          <w:p w14:paraId="02F13458"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vienreizējie izdevumi valsts aizsardzībai un iekšējai drošībai</w:t>
            </w:r>
          </w:p>
        </w:tc>
        <w:tc>
          <w:tcPr>
            <w:tcW w:w="1443" w:type="dxa"/>
            <w:shd w:val="clear" w:color="auto" w:fill="auto"/>
            <w:noWrap/>
            <w:vAlign w:val="center"/>
          </w:tcPr>
          <w:p w14:paraId="7A71B5C2"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(9)</w:t>
            </w:r>
          </w:p>
        </w:tc>
        <w:tc>
          <w:tcPr>
            <w:tcW w:w="1109" w:type="dxa"/>
            <w:shd w:val="clear" w:color="auto" w:fill="auto"/>
            <w:noWrap/>
            <w:vAlign w:val="center"/>
          </w:tcPr>
          <w:p w14:paraId="7756D09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-0,7</w:t>
            </w:r>
          </w:p>
        </w:tc>
        <w:tc>
          <w:tcPr>
            <w:tcW w:w="1275" w:type="dxa"/>
            <w:shd w:val="clear" w:color="auto" w:fill="auto"/>
            <w:noWrap/>
            <w:vAlign w:val="center"/>
          </w:tcPr>
          <w:p w14:paraId="588DC84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-0,6</w:t>
            </w:r>
          </w:p>
        </w:tc>
        <w:tc>
          <w:tcPr>
            <w:tcW w:w="961" w:type="dxa"/>
            <w:vAlign w:val="center"/>
          </w:tcPr>
          <w:p w14:paraId="52489937"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-0,6</w:t>
            </w:r>
          </w:p>
        </w:tc>
        <w:tc>
          <w:tcPr>
            <w:tcW w:w="927" w:type="dxa"/>
            <w:vAlign w:val="center"/>
          </w:tcPr>
          <w:p w14:paraId="594F80EC" w14:textId="52A4CB87"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-0,6</w:t>
            </w:r>
          </w:p>
        </w:tc>
      </w:tr>
      <w:tr w:rsidR="00906173" w:rsidRPr="00CA2430" w14:paraId="7D6BC805" w14:textId="7E591368" w:rsidTr="00906173">
        <w:trPr>
          <w:trHeight w:val="20"/>
          <w:jc w:val="center"/>
        </w:trPr>
        <w:tc>
          <w:tcPr>
            <w:tcW w:w="3346" w:type="dxa"/>
            <w:shd w:val="clear" w:color="auto" w:fill="auto"/>
            <w:vAlign w:val="center"/>
          </w:tcPr>
          <w:p w14:paraId="70768BF7"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Vispārējās valdības budžeta strukturālās bilances prognozes nemainīgas politikas scenārijā, % no IKP</w:t>
            </w:r>
          </w:p>
        </w:tc>
        <w:tc>
          <w:tcPr>
            <w:tcW w:w="1443" w:type="dxa"/>
            <w:shd w:val="clear" w:color="auto" w:fill="auto"/>
            <w:noWrap/>
            <w:vAlign w:val="center"/>
            <w:hideMark/>
          </w:tcPr>
          <w:p w14:paraId="0EE46BC9"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(10)=(1)-(3)-(4)</w:t>
            </w:r>
          </w:p>
        </w:tc>
        <w:tc>
          <w:tcPr>
            <w:tcW w:w="1109" w:type="dxa"/>
            <w:shd w:val="clear" w:color="auto" w:fill="auto"/>
            <w:noWrap/>
            <w:vAlign w:val="center"/>
          </w:tcPr>
          <w:p w14:paraId="6C07A49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-0,899</w:t>
            </w:r>
          </w:p>
        </w:tc>
        <w:tc>
          <w:tcPr>
            <w:tcW w:w="1275" w:type="dxa"/>
            <w:shd w:val="clear" w:color="auto" w:fill="auto"/>
            <w:noWrap/>
            <w:vAlign w:val="center"/>
          </w:tcPr>
          <w:p w14:paraId="7C42BD0D"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-0,831</w:t>
            </w:r>
          </w:p>
        </w:tc>
        <w:tc>
          <w:tcPr>
            <w:tcW w:w="961" w:type="dxa"/>
            <w:vAlign w:val="center"/>
          </w:tcPr>
          <w:p w14:paraId="275B878C"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-0,812</w:t>
            </w:r>
          </w:p>
        </w:tc>
        <w:tc>
          <w:tcPr>
            <w:tcW w:w="927" w:type="dxa"/>
            <w:vAlign w:val="center"/>
          </w:tcPr>
          <w:p w14:paraId="78F24393" w14:textId="1720E316"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-0,897</w:t>
            </w:r>
          </w:p>
        </w:tc>
      </w:tr>
      <w:tr w:rsidR="00906173" w:rsidRPr="00CA2430" w14:paraId="0CC0CEA9" w14:textId="58DA2826" w:rsidTr="00906173">
        <w:trPr>
          <w:trHeight w:val="20"/>
          <w:jc w:val="center"/>
        </w:trPr>
        <w:tc>
          <w:tcPr>
            <w:tcW w:w="3346" w:type="dxa"/>
            <w:shd w:val="clear" w:color="auto" w:fill="auto"/>
            <w:vAlign w:val="center"/>
          </w:tcPr>
          <w:p w14:paraId="2AE55091"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Vispārējās valdības budžeta strukturālās bilances mērķis saskaņā ar visiem fiskālajiem nosacījumiem, % no IKP</w:t>
            </w:r>
          </w:p>
        </w:tc>
        <w:tc>
          <w:tcPr>
            <w:tcW w:w="1443" w:type="dxa"/>
            <w:shd w:val="clear" w:color="auto" w:fill="auto"/>
            <w:noWrap/>
            <w:vAlign w:val="center"/>
            <w:hideMark/>
          </w:tcPr>
          <w:p w14:paraId="3A50A21E"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(11)</w:t>
            </w:r>
          </w:p>
        </w:tc>
        <w:tc>
          <w:tcPr>
            <w:tcW w:w="1109" w:type="dxa"/>
            <w:shd w:val="clear" w:color="auto" w:fill="auto"/>
            <w:noWrap/>
            <w:vAlign w:val="center"/>
          </w:tcPr>
          <w:p w14:paraId="426831C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-0,970</w:t>
            </w:r>
          </w:p>
        </w:tc>
        <w:tc>
          <w:tcPr>
            <w:tcW w:w="1275" w:type="dxa"/>
            <w:shd w:val="clear" w:color="auto" w:fill="auto"/>
            <w:noWrap/>
            <w:vAlign w:val="center"/>
          </w:tcPr>
          <w:p w14:paraId="3249F004"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-1,000</w:t>
            </w:r>
          </w:p>
        </w:tc>
        <w:tc>
          <w:tcPr>
            <w:tcW w:w="961" w:type="dxa"/>
            <w:vAlign w:val="center"/>
          </w:tcPr>
          <w:p w14:paraId="59898BB0"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-1,000</w:t>
            </w:r>
          </w:p>
        </w:tc>
        <w:tc>
          <w:tcPr>
            <w:tcW w:w="927" w:type="dxa"/>
            <w:vAlign w:val="center"/>
          </w:tcPr>
          <w:p w14:paraId="76E32581" w14:textId="63B48082"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-1,000</w:t>
            </w:r>
          </w:p>
        </w:tc>
      </w:tr>
      <w:tr w:rsidR="00906173" w:rsidRPr="00CA2430" w14:paraId="77D4F0C7" w14:textId="5EA877D7" w:rsidTr="00906173">
        <w:trPr>
          <w:trHeight w:val="20"/>
          <w:jc w:val="center"/>
        </w:trPr>
        <w:tc>
          <w:tcPr>
            <w:tcW w:w="3346" w:type="dxa"/>
            <w:shd w:val="clear" w:color="auto" w:fill="auto"/>
            <w:vAlign w:val="center"/>
          </w:tcPr>
          <w:p w14:paraId="5BC4D633"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Fiskālā nodrošinājuma rezerve, % no IKP</w:t>
            </w:r>
          </w:p>
        </w:tc>
        <w:tc>
          <w:tcPr>
            <w:tcW w:w="1443" w:type="dxa"/>
            <w:shd w:val="clear" w:color="auto" w:fill="auto"/>
            <w:noWrap/>
            <w:vAlign w:val="center"/>
            <w:hideMark/>
          </w:tcPr>
          <w:p w14:paraId="295A5432"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(12)</w:t>
            </w:r>
          </w:p>
        </w:tc>
        <w:tc>
          <w:tcPr>
            <w:tcW w:w="1109" w:type="dxa"/>
            <w:shd w:val="clear" w:color="auto" w:fill="auto"/>
            <w:noWrap/>
            <w:vAlign w:val="center"/>
          </w:tcPr>
          <w:p w14:paraId="095CCAB3"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0,1</w:t>
            </w:r>
          </w:p>
        </w:tc>
        <w:tc>
          <w:tcPr>
            <w:tcW w:w="1275" w:type="dxa"/>
            <w:shd w:val="clear" w:color="auto" w:fill="auto"/>
            <w:noWrap/>
            <w:vAlign w:val="center"/>
          </w:tcPr>
          <w:p w14:paraId="47D8E1E9"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0,1</w:t>
            </w:r>
          </w:p>
        </w:tc>
        <w:tc>
          <w:tcPr>
            <w:tcW w:w="961" w:type="dxa"/>
            <w:vAlign w:val="center"/>
          </w:tcPr>
          <w:p w14:paraId="665F79EA"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0,1</w:t>
            </w:r>
          </w:p>
        </w:tc>
        <w:tc>
          <w:tcPr>
            <w:tcW w:w="927" w:type="dxa"/>
          </w:tcPr>
          <w:p w14:paraId="6948E98C" w14:textId="1EB2D9F0"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0,1</w:t>
            </w:r>
          </w:p>
        </w:tc>
      </w:tr>
      <w:tr w:rsidR="00906173" w:rsidRPr="00CA2430" w14:paraId="358BD758" w14:textId="2A895FCC" w:rsidTr="00906173">
        <w:trPr>
          <w:trHeight w:val="20"/>
          <w:jc w:val="center"/>
        </w:trPr>
        <w:tc>
          <w:tcPr>
            <w:tcW w:w="3346" w:type="dxa"/>
            <w:shd w:val="clear" w:color="auto" w:fill="auto"/>
            <w:vAlign w:val="center"/>
          </w:tcPr>
          <w:p w14:paraId="3F25FC47" w14:textId="77777777" w:rsidR="00906173" w:rsidRPr="00CA2430" w:rsidRDefault="00906173" w:rsidP="00906173">
            <w:pPr>
              <w:spacing w:before="60" w:after="0"/>
              <w:ind w:firstLine="0"/>
              <w:jc w:val="lef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IKP prognoze, milj. </w:t>
            </w:r>
            <w:r w:rsidRPr="00CA2430">
              <w:rPr>
                <w:rFonts w:eastAsia="Times New Roman" w:cs="Times New Roman"/>
                <w:i/>
                <w:iCs/>
                <w:noProof/>
                <w:color w:val="000000"/>
                <w:sz w:val="18"/>
                <w:szCs w:val="18"/>
                <w:lang w:eastAsia="lv-LV"/>
              </w:rPr>
              <w:t>euro</w:t>
            </w:r>
          </w:p>
        </w:tc>
        <w:tc>
          <w:tcPr>
            <w:tcW w:w="1443" w:type="dxa"/>
            <w:shd w:val="clear" w:color="auto" w:fill="auto"/>
            <w:noWrap/>
            <w:vAlign w:val="center"/>
          </w:tcPr>
          <w:p w14:paraId="2F4BFE8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(13)</w:t>
            </w:r>
          </w:p>
        </w:tc>
        <w:tc>
          <w:tcPr>
            <w:tcW w:w="1109" w:type="dxa"/>
            <w:shd w:val="clear" w:color="auto" w:fill="auto"/>
            <w:noWrap/>
            <w:vAlign w:val="center"/>
          </w:tcPr>
          <w:p w14:paraId="1170F0AB"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44 379</w:t>
            </w:r>
          </w:p>
        </w:tc>
        <w:tc>
          <w:tcPr>
            <w:tcW w:w="1275" w:type="dxa"/>
            <w:shd w:val="clear" w:color="auto" w:fill="auto"/>
            <w:noWrap/>
            <w:vAlign w:val="center"/>
          </w:tcPr>
          <w:p w14:paraId="34CD7F41"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46 836</w:t>
            </w:r>
          </w:p>
        </w:tc>
        <w:tc>
          <w:tcPr>
            <w:tcW w:w="961" w:type="dxa"/>
            <w:vAlign w:val="center"/>
          </w:tcPr>
          <w:p w14:paraId="4A979DC1" w14:textId="77777777" w:rsidR="00906173" w:rsidRPr="00CA2430" w:rsidRDefault="00906173" w:rsidP="00906173">
            <w:pPr>
              <w:spacing w:before="60" w:after="0"/>
              <w:ind w:firstLine="0"/>
              <w:jc w:val="center"/>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49 349</w:t>
            </w:r>
          </w:p>
        </w:tc>
        <w:tc>
          <w:tcPr>
            <w:tcW w:w="927" w:type="dxa"/>
          </w:tcPr>
          <w:p w14:paraId="53DCB1CB" w14:textId="4E5F9671" w:rsidR="00906173" w:rsidRPr="00906173" w:rsidRDefault="00906173" w:rsidP="00906173">
            <w:pPr>
              <w:spacing w:before="60" w:after="0"/>
              <w:ind w:firstLine="0"/>
              <w:jc w:val="center"/>
              <w:rPr>
                <w:rFonts w:eastAsia="Times New Roman" w:cs="Times New Roman"/>
                <w:noProof/>
                <w:color w:val="000000"/>
                <w:sz w:val="18"/>
                <w:szCs w:val="18"/>
                <w:lang w:eastAsia="lv-LV"/>
              </w:rPr>
            </w:pPr>
            <w:r w:rsidRPr="00906173">
              <w:rPr>
                <w:rFonts w:eastAsia="Times New Roman" w:cs="Times New Roman"/>
                <w:noProof/>
                <w:color w:val="000000"/>
                <w:sz w:val="18"/>
                <w:szCs w:val="18"/>
                <w:lang w:eastAsia="lv-LV"/>
              </w:rPr>
              <w:t>51 851</w:t>
            </w:r>
          </w:p>
        </w:tc>
      </w:tr>
      <w:tr w:rsidR="00906173" w:rsidRPr="00CA2430" w14:paraId="4FEB07AB" w14:textId="1BB87808" w:rsidTr="00906173">
        <w:trPr>
          <w:trHeight w:val="20"/>
          <w:jc w:val="center"/>
        </w:trPr>
        <w:tc>
          <w:tcPr>
            <w:tcW w:w="3346" w:type="dxa"/>
            <w:shd w:val="clear" w:color="auto" w:fill="BDD6EE" w:themeFill="accent1" w:themeFillTint="66"/>
            <w:vAlign w:val="center"/>
          </w:tcPr>
          <w:p w14:paraId="50D129D4" w14:textId="77777777" w:rsidR="00906173" w:rsidRPr="00CA2430" w:rsidRDefault="00906173" w:rsidP="00906173">
            <w:pPr>
              <w:spacing w:before="60" w:after="0"/>
              <w:ind w:firstLine="0"/>
              <w:jc w:val="left"/>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Fiskālā telpa, % no IKP</w:t>
            </w:r>
          </w:p>
        </w:tc>
        <w:tc>
          <w:tcPr>
            <w:tcW w:w="1443" w:type="dxa"/>
            <w:shd w:val="clear" w:color="auto" w:fill="BDD6EE" w:themeFill="accent1" w:themeFillTint="66"/>
            <w:noWrap/>
            <w:vAlign w:val="center"/>
          </w:tcPr>
          <w:p w14:paraId="033E8236"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(14)=(10)-(11)-(12)</w:t>
            </w:r>
          </w:p>
        </w:tc>
        <w:tc>
          <w:tcPr>
            <w:tcW w:w="1109" w:type="dxa"/>
            <w:shd w:val="clear" w:color="auto" w:fill="BDD6EE" w:themeFill="accent1" w:themeFillTint="66"/>
            <w:noWrap/>
            <w:vAlign w:val="center"/>
          </w:tcPr>
          <w:p w14:paraId="1015FD14"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-0,029</w:t>
            </w:r>
          </w:p>
        </w:tc>
        <w:tc>
          <w:tcPr>
            <w:tcW w:w="1275" w:type="dxa"/>
            <w:shd w:val="clear" w:color="auto" w:fill="BDD6EE" w:themeFill="accent1" w:themeFillTint="66"/>
            <w:noWrap/>
            <w:vAlign w:val="center"/>
          </w:tcPr>
          <w:p w14:paraId="369AA93B"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0,069</w:t>
            </w:r>
          </w:p>
        </w:tc>
        <w:tc>
          <w:tcPr>
            <w:tcW w:w="961" w:type="dxa"/>
            <w:shd w:val="clear" w:color="auto" w:fill="BDD6EE" w:themeFill="accent1" w:themeFillTint="66"/>
            <w:vAlign w:val="center"/>
          </w:tcPr>
          <w:p w14:paraId="665B196B"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0,088</w:t>
            </w:r>
          </w:p>
        </w:tc>
        <w:tc>
          <w:tcPr>
            <w:tcW w:w="927" w:type="dxa"/>
            <w:shd w:val="clear" w:color="auto" w:fill="BDD6EE" w:themeFill="accent1" w:themeFillTint="66"/>
            <w:vAlign w:val="center"/>
          </w:tcPr>
          <w:p w14:paraId="441B471D" w14:textId="77777777" w:rsidR="00906173" w:rsidRPr="00906173" w:rsidRDefault="00906173" w:rsidP="00906173">
            <w:pPr>
              <w:spacing w:before="60" w:after="0"/>
              <w:ind w:firstLine="0"/>
              <w:jc w:val="center"/>
              <w:rPr>
                <w:rFonts w:eastAsia="Times New Roman" w:cs="Times New Roman"/>
                <w:b/>
                <w:bCs/>
                <w:noProof/>
                <w:color w:val="000000"/>
                <w:sz w:val="18"/>
                <w:szCs w:val="18"/>
                <w:lang w:eastAsia="lv-LV"/>
              </w:rPr>
            </w:pPr>
          </w:p>
          <w:p w14:paraId="65840A1C" w14:textId="77777777" w:rsidR="00906173" w:rsidRPr="00906173" w:rsidRDefault="00906173" w:rsidP="00906173">
            <w:pPr>
              <w:spacing w:before="60" w:after="0"/>
              <w:ind w:firstLine="0"/>
              <w:jc w:val="center"/>
              <w:rPr>
                <w:rFonts w:eastAsia="Times New Roman" w:cs="Times New Roman"/>
                <w:b/>
                <w:bCs/>
                <w:noProof/>
                <w:color w:val="000000"/>
                <w:sz w:val="18"/>
                <w:szCs w:val="18"/>
                <w:lang w:eastAsia="lv-LV"/>
              </w:rPr>
            </w:pPr>
            <w:r w:rsidRPr="00906173">
              <w:rPr>
                <w:rFonts w:eastAsia="Times New Roman" w:cs="Times New Roman"/>
                <w:b/>
                <w:bCs/>
                <w:noProof/>
                <w:color w:val="000000"/>
                <w:sz w:val="18"/>
                <w:szCs w:val="18"/>
                <w:lang w:eastAsia="lv-LV"/>
              </w:rPr>
              <w:t>0,003</w:t>
            </w:r>
          </w:p>
          <w:p w14:paraId="3C8050FE"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p>
        </w:tc>
      </w:tr>
      <w:tr w:rsidR="00906173" w:rsidRPr="00CA2430" w14:paraId="04DAF9EC" w14:textId="7DBFAFFE" w:rsidTr="00906173">
        <w:trPr>
          <w:trHeight w:val="20"/>
          <w:jc w:val="center"/>
        </w:trPr>
        <w:tc>
          <w:tcPr>
            <w:tcW w:w="3346" w:type="dxa"/>
            <w:shd w:val="clear" w:color="auto" w:fill="BDD6EE" w:themeFill="accent1" w:themeFillTint="66"/>
            <w:vAlign w:val="center"/>
          </w:tcPr>
          <w:p w14:paraId="0692173F" w14:textId="77777777" w:rsidR="00906173" w:rsidRPr="00CA2430" w:rsidRDefault="00906173" w:rsidP="00906173">
            <w:pPr>
              <w:spacing w:before="60" w:after="0"/>
              <w:ind w:firstLine="0"/>
              <w:jc w:val="left"/>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 xml:space="preserve">Fiskālā telpa, milj. </w:t>
            </w:r>
            <w:r w:rsidRPr="00CA2430">
              <w:rPr>
                <w:rFonts w:eastAsia="Times New Roman" w:cs="Times New Roman"/>
                <w:b/>
                <w:bCs/>
                <w:i/>
                <w:iCs/>
                <w:noProof/>
                <w:color w:val="000000"/>
                <w:sz w:val="18"/>
                <w:szCs w:val="18"/>
                <w:lang w:eastAsia="lv-LV"/>
              </w:rPr>
              <w:t>euro</w:t>
            </w:r>
          </w:p>
        </w:tc>
        <w:tc>
          <w:tcPr>
            <w:tcW w:w="1443" w:type="dxa"/>
            <w:shd w:val="clear" w:color="auto" w:fill="BDD6EE" w:themeFill="accent1" w:themeFillTint="66"/>
            <w:noWrap/>
            <w:vAlign w:val="center"/>
          </w:tcPr>
          <w:p w14:paraId="2D92837C"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(15)=(14)*(13)</w:t>
            </w:r>
          </w:p>
        </w:tc>
        <w:tc>
          <w:tcPr>
            <w:tcW w:w="1109" w:type="dxa"/>
            <w:shd w:val="clear" w:color="auto" w:fill="BDD6EE" w:themeFill="accent1" w:themeFillTint="66"/>
            <w:noWrap/>
            <w:vAlign w:val="center"/>
          </w:tcPr>
          <w:p w14:paraId="68CAFD58"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-13,0</w:t>
            </w:r>
          </w:p>
        </w:tc>
        <w:tc>
          <w:tcPr>
            <w:tcW w:w="1275" w:type="dxa"/>
            <w:shd w:val="clear" w:color="auto" w:fill="BDD6EE" w:themeFill="accent1" w:themeFillTint="66"/>
            <w:noWrap/>
            <w:vAlign w:val="center"/>
          </w:tcPr>
          <w:p w14:paraId="4E65F5E1"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32,2</w:t>
            </w:r>
          </w:p>
        </w:tc>
        <w:tc>
          <w:tcPr>
            <w:tcW w:w="961" w:type="dxa"/>
            <w:shd w:val="clear" w:color="auto" w:fill="BDD6EE" w:themeFill="accent1" w:themeFillTint="66"/>
            <w:vAlign w:val="center"/>
          </w:tcPr>
          <w:p w14:paraId="38969B92" w14:textId="77777777"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sidRPr="00CA2430">
              <w:rPr>
                <w:rFonts w:eastAsia="Times New Roman" w:cs="Times New Roman"/>
                <w:b/>
                <w:bCs/>
                <w:noProof/>
                <w:color w:val="000000"/>
                <w:sz w:val="18"/>
                <w:szCs w:val="18"/>
                <w:lang w:eastAsia="lv-LV"/>
              </w:rPr>
              <w:t>43,5</w:t>
            </w:r>
          </w:p>
        </w:tc>
        <w:tc>
          <w:tcPr>
            <w:tcW w:w="927" w:type="dxa"/>
            <w:shd w:val="clear" w:color="auto" w:fill="BDD6EE" w:themeFill="accent1" w:themeFillTint="66"/>
          </w:tcPr>
          <w:p w14:paraId="7554D0A3" w14:textId="1584C790" w:rsidR="00906173" w:rsidRPr="00CA2430" w:rsidRDefault="00906173" w:rsidP="00906173">
            <w:pPr>
              <w:spacing w:before="60" w:after="0"/>
              <w:ind w:firstLine="0"/>
              <w:jc w:val="center"/>
              <w:rPr>
                <w:rFonts w:eastAsia="Times New Roman" w:cs="Times New Roman"/>
                <w:b/>
                <w:bCs/>
                <w:noProof/>
                <w:color w:val="000000"/>
                <w:sz w:val="18"/>
                <w:szCs w:val="18"/>
                <w:lang w:eastAsia="lv-LV"/>
              </w:rPr>
            </w:pPr>
            <w:r>
              <w:rPr>
                <w:rFonts w:eastAsia="Times New Roman" w:cs="Times New Roman"/>
                <w:b/>
                <w:bCs/>
                <w:noProof/>
                <w:color w:val="000000"/>
                <w:sz w:val="18"/>
                <w:szCs w:val="18"/>
                <w:lang w:eastAsia="lv-LV"/>
              </w:rPr>
              <w:t>1,4</w:t>
            </w:r>
          </w:p>
        </w:tc>
      </w:tr>
    </w:tbl>
    <w:p w14:paraId="5D4E7EF3" w14:textId="77777777" w:rsidR="00906173" w:rsidRPr="00CA2430" w:rsidRDefault="00906173" w:rsidP="00906173">
      <w:pPr>
        <w:rPr>
          <w:noProof/>
          <w:szCs w:val="20"/>
        </w:rPr>
      </w:pPr>
      <w:r w:rsidRPr="00CA2430">
        <w:rPr>
          <w:noProof/>
          <w:szCs w:val="20"/>
        </w:rPr>
        <w:t xml:space="preserve">2025. gadā fiskālās telpas apjoms ir negatīvs 13,0 milj. </w:t>
      </w:r>
      <w:r w:rsidRPr="00CA2430">
        <w:rPr>
          <w:i/>
          <w:iCs/>
          <w:noProof/>
          <w:szCs w:val="20"/>
        </w:rPr>
        <w:t>euro</w:t>
      </w:r>
      <w:r w:rsidRPr="00CA2430">
        <w:rPr>
          <w:noProof/>
          <w:szCs w:val="20"/>
        </w:rPr>
        <w:t xml:space="preserve">, pozitīvs 2026. gadā 32,2 milj. </w:t>
      </w:r>
      <w:r w:rsidRPr="00CA2430">
        <w:rPr>
          <w:i/>
          <w:iCs/>
          <w:noProof/>
          <w:szCs w:val="20"/>
        </w:rPr>
        <w:t>euro</w:t>
      </w:r>
      <w:r>
        <w:rPr>
          <w:noProof/>
          <w:szCs w:val="20"/>
        </w:rPr>
        <w:t>,</w:t>
      </w:r>
      <w:r w:rsidRPr="00CA2430">
        <w:rPr>
          <w:noProof/>
          <w:szCs w:val="20"/>
        </w:rPr>
        <w:t xml:space="preserve"> 2027. gadā 43,5 milj. </w:t>
      </w:r>
      <w:r w:rsidRPr="00CA2430">
        <w:rPr>
          <w:i/>
          <w:iCs/>
          <w:noProof/>
          <w:szCs w:val="20"/>
        </w:rPr>
        <w:t>euro</w:t>
      </w:r>
      <w:r>
        <w:rPr>
          <w:noProof/>
          <w:szCs w:val="20"/>
        </w:rPr>
        <w:t xml:space="preserve"> un 2028. gadā 1,4 </w:t>
      </w:r>
      <w:r w:rsidRPr="00CA2430">
        <w:rPr>
          <w:noProof/>
          <w:szCs w:val="20"/>
        </w:rPr>
        <w:t xml:space="preserve">milj. </w:t>
      </w:r>
      <w:r w:rsidRPr="00CA2430">
        <w:rPr>
          <w:i/>
          <w:iCs/>
          <w:noProof/>
          <w:szCs w:val="20"/>
        </w:rPr>
        <w:t xml:space="preserve">euro </w:t>
      </w:r>
      <w:r w:rsidRPr="00CA2430">
        <w:rPr>
          <w:noProof/>
          <w:szCs w:val="20"/>
        </w:rPr>
        <w:t xml:space="preserve">(skat. 8. tabulu). </w:t>
      </w:r>
    </w:p>
    <w:p w14:paraId="1B6E0404" w14:textId="77777777" w:rsidR="00E37498" w:rsidRPr="00CA2430" w:rsidRDefault="00E37498">
      <w:pPr>
        <w:spacing w:before="0" w:after="0"/>
        <w:ind w:firstLine="0"/>
        <w:jc w:val="left"/>
        <w:rPr>
          <w:noProof/>
          <w:szCs w:val="20"/>
        </w:rPr>
      </w:pPr>
      <w:r w:rsidRPr="00CA2430">
        <w:rPr>
          <w:noProof/>
          <w:szCs w:val="20"/>
        </w:rPr>
        <w:br w:type="page"/>
      </w:r>
    </w:p>
    <w:p w14:paraId="669CD78E" w14:textId="77777777" w:rsidR="00E37498" w:rsidRPr="00CA2430" w:rsidRDefault="00E37498" w:rsidP="00E37498">
      <w:pPr>
        <w:pStyle w:val="Heading1"/>
        <w:spacing w:after="120"/>
        <w:ind w:left="360"/>
        <w:rPr>
          <w:noProof/>
          <w:sz w:val="28"/>
          <w:szCs w:val="28"/>
        </w:rPr>
      </w:pPr>
      <w:bookmarkStart w:id="17" w:name="_Toc174017003"/>
      <w:r w:rsidRPr="00CA2430">
        <w:rPr>
          <w:noProof/>
          <w:sz w:val="28"/>
          <w:szCs w:val="28"/>
        </w:rPr>
        <w:lastRenderedPageBreak/>
        <w:t>Makroekonomiskās un fiskālās attīstības pesimistiskais</w:t>
      </w:r>
      <w:r w:rsidRPr="00CA2430">
        <w:rPr>
          <w:noProof/>
          <w:sz w:val="28"/>
          <w:szCs w:val="28"/>
        </w:rPr>
        <w:br/>
        <w:t>un optimistiskais scenārijs</w:t>
      </w:r>
      <w:bookmarkEnd w:id="17"/>
    </w:p>
    <w:p w14:paraId="2A065514" w14:textId="77777777" w:rsidR="00E37498" w:rsidRPr="00CA2430" w:rsidRDefault="00E37498" w:rsidP="00CA2430">
      <w:pPr>
        <w:pStyle w:val="H4"/>
        <w:jc w:val="both"/>
        <w:outlineLvl w:val="9"/>
        <w:rPr>
          <w:rFonts w:ascii="Times New Roman" w:hAnsi="Times New Roman"/>
          <w:iCs/>
          <w:noProof/>
          <w:sz w:val="24"/>
          <w:szCs w:val="24"/>
        </w:rPr>
      </w:pPr>
      <w:r w:rsidRPr="00CA2430">
        <w:rPr>
          <w:rFonts w:ascii="Times New Roman" w:hAnsi="Times New Roman"/>
          <w:iCs/>
          <w:noProof/>
          <w:sz w:val="24"/>
          <w:szCs w:val="24"/>
        </w:rPr>
        <w:t>Pesimistiskais scenārijs</w:t>
      </w:r>
    </w:p>
    <w:p w14:paraId="4FFAA8B8" w14:textId="77777777" w:rsidR="00E37498" w:rsidRPr="00CA2430" w:rsidRDefault="00E37498" w:rsidP="00E37498">
      <w:pPr>
        <w:spacing w:before="0" w:after="0"/>
        <w:ind w:firstLine="567"/>
        <w:rPr>
          <w:rFonts w:eastAsia="Calibri" w:cs="Times New Roman"/>
          <w:noProof/>
          <w:szCs w:val="24"/>
        </w:rPr>
      </w:pPr>
      <w:bookmarkStart w:id="18" w:name="_Hlk127201895"/>
      <w:r w:rsidRPr="00CA2430">
        <w:rPr>
          <w:rFonts w:eastAsia="Calibri" w:cs="Times New Roman"/>
          <w:noProof/>
          <w:szCs w:val="24"/>
        </w:rPr>
        <w:t>Ņemot vērā iespējamos negatīvos riskus ekonomikas izaugsmei, Finanšu ministrija ir sagatavojusi alternatīvu ekonomikas attīstības scenāriju periodam no 2024. līdz 2028. gadam, paredzot negatīvo risku ietekmes īstenošanos. Šajā scenārijā tiek modelēta šo risku realizēšanās ietekme uz dažādiem makroekonomiskajiem rādītājiem un budžeta ieņēmumiem.</w:t>
      </w:r>
    </w:p>
    <w:p w14:paraId="5E278D7C" w14:textId="77777777" w:rsidR="00E37498" w:rsidRPr="00CA2430" w:rsidRDefault="00E37498" w:rsidP="00E37498">
      <w:pPr>
        <w:spacing w:before="0" w:after="0"/>
        <w:ind w:firstLine="567"/>
        <w:rPr>
          <w:rFonts w:eastAsia="Calibri" w:cs="Times New Roman"/>
          <w:noProof/>
          <w:szCs w:val="24"/>
        </w:rPr>
      </w:pPr>
      <w:r w:rsidRPr="00CA2430">
        <w:rPr>
          <w:rFonts w:eastAsia="Calibri" w:cs="Times New Roman"/>
          <w:noProof/>
          <w:szCs w:val="24"/>
        </w:rPr>
        <w:t>Lielākais negatīvais risks ir ģeopolitiskā nenoteiktība, kas atbilstoši scenārijam būtu viens no iemesliem energoresursu cenu pieaugumam. Tas pasliktinātu investoru un patērētāju noskaņojumu, vēl vairāk bremzējot ekonomikas izaugsmi. Tā rezultātā ekonomiskās izaugsmes palēnināšanās būtu jūtama jau 2024. gada beigās un turpinātos visu 2025. gadu.</w:t>
      </w:r>
    </w:p>
    <w:p w14:paraId="2E6BA471" w14:textId="77777777" w:rsidR="00E37498" w:rsidRPr="00CA2430" w:rsidRDefault="00E37498" w:rsidP="00E37498">
      <w:pPr>
        <w:spacing w:before="0" w:after="0"/>
        <w:ind w:firstLine="567"/>
        <w:rPr>
          <w:rFonts w:eastAsia="Calibri" w:cs="Times New Roman"/>
          <w:noProof/>
          <w:szCs w:val="24"/>
        </w:rPr>
      </w:pPr>
      <w:r w:rsidRPr="00CA2430">
        <w:rPr>
          <w:rFonts w:eastAsia="Calibri" w:cs="Times New Roman"/>
          <w:noProof/>
          <w:szCs w:val="24"/>
        </w:rPr>
        <w:t>Pesimistiskā scenārija īstenošanās gadījumā Eiropas Centrālā banka apstādinātu bāzes likmes tālāku samazinājumu, jo eirozonas inflācija saglabātos virs mērķa līmeņa. Augstās ECB bāzes likmes turpinātu ierobežot kreditēšanu un pieprasījumu arī eirozonā, kas Latvijai nozīmētu arī vājāku eksporta izaugsmi, pastiprinot tā samazinājumu. Vienlaikus, privātās investīcijas var samazināties vēl straujāk, kas nozīmētu vājāku izaugsmi arī 2025. gadā.</w:t>
      </w:r>
      <w:r w:rsidRPr="00CA2430">
        <w:rPr>
          <w:rFonts w:eastAsia="Times New Roman" w:cs="Times New Roman"/>
          <w:noProof/>
          <w:szCs w:val="24"/>
          <w:lang w:eastAsia="lv-LV"/>
        </w:rPr>
        <w:t xml:space="preserve"> Tajā pašā laikā, ņemot vērā relatīvi saspringto darbaspēka tirgu, riska scenārijs neparedz būtiskas izmaiņas darba tirgū – nedz algu, nedz nodarbinātības ziņā.</w:t>
      </w:r>
    </w:p>
    <w:p w14:paraId="72904715" w14:textId="0FE39EDD" w:rsidR="00E37498" w:rsidRPr="00CA2430" w:rsidRDefault="00E37498" w:rsidP="00E37498">
      <w:pPr>
        <w:spacing w:before="0" w:after="0"/>
        <w:ind w:firstLine="567"/>
        <w:rPr>
          <w:rFonts w:eastAsia="Calibri" w:cs="Times New Roman"/>
          <w:noProof/>
          <w:szCs w:val="24"/>
        </w:rPr>
      </w:pPr>
      <w:r w:rsidRPr="00CA2430">
        <w:rPr>
          <w:rFonts w:eastAsia="Calibri" w:cs="Times New Roman"/>
          <w:noProof/>
          <w:szCs w:val="24"/>
        </w:rPr>
        <w:t xml:space="preserve">Atbilstoši pesimistiskajam scenārijam </w:t>
      </w:r>
      <w:r w:rsidRPr="00CA2430">
        <w:rPr>
          <w:rFonts w:eastAsia="Calibri" w:cs="Times New Roman"/>
          <w:noProof/>
        </w:rPr>
        <w:t xml:space="preserve">(skat. </w:t>
      </w:r>
      <w:r w:rsidR="00FE0109">
        <w:rPr>
          <w:rFonts w:eastAsia="Calibri" w:cs="Times New Roman"/>
          <w:noProof/>
        </w:rPr>
        <w:t>9</w:t>
      </w:r>
      <w:r w:rsidRPr="00CA2430">
        <w:rPr>
          <w:rFonts w:eastAsia="Calibri" w:cs="Times New Roman"/>
          <w:noProof/>
        </w:rPr>
        <w:t>. tabulu)</w:t>
      </w:r>
      <w:r w:rsidRPr="00CA2430">
        <w:rPr>
          <w:rFonts w:eastAsia="Calibri" w:cs="Times New Roman"/>
          <w:noProof/>
          <w:szCs w:val="24"/>
        </w:rPr>
        <w:t xml:space="preserve"> 2024. gadā iekšzemes kopprodukta izaugsme salīdzināmajās cenās varētu būt 0,4%, un 2025. gadā tā palielinātos līdz 1,8%, kas attiecīgi būtu par 0,9 un 1,1 procentpunkt</w:t>
      </w:r>
      <w:r w:rsidR="00FE0109">
        <w:rPr>
          <w:rFonts w:eastAsia="Calibri" w:cs="Times New Roman"/>
          <w:noProof/>
          <w:szCs w:val="24"/>
        </w:rPr>
        <w:t>u</w:t>
      </w:r>
      <w:r w:rsidRPr="00CA2430">
        <w:rPr>
          <w:rFonts w:eastAsia="Calibri" w:cs="Times New Roman"/>
          <w:noProof/>
          <w:szCs w:val="24"/>
        </w:rPr>
        <w:t xml:space="preserve"> mazāk nekā bāzes scenārijā. Noturīgāka izaugsme atsāktos tikai 2026.</w:t>
      </w:r>
      <w:r w:rsidR="00FE0109">
        <w:rPr>
          <w:rFonts w:eastAsia="Calibri" w:cs="Times New Roman"/>
          <w:noProof/>
          <w:szCs w:val="24"/>
        </w:rPr>
        <w:t> </w:t>
      </w:r>
      <w:r w:rsidRPr="00CA2430">
        <w:rPr>
          <w:rFonts w:eastAsia="Calibri" w:cs="Times New Roman"/>
          <w:noProof/>
          <w:szCs w:val="24"/>
        </w:rPr>
        <w:t>gadā.</w:t>
      </w:r>
    </w:p>
    <w:bookmarkEnd w:id="18"/>
    <w:p w14:paraId="45D371C8" w14:textId="0A48498F" w:rsidR="00E37498" w:rsidRPr="00CA2430" w:rsidRDefault="00FE0109" w:rsidP="00FE0109">
      <w:pPr>
        <w:ind w:firstLine="0"/>
        <w:jc w:val="center"/>
        <w:rPr>
          <w:b/>
          <w:bCs/>
          <w:noProof/>
          <w:szCs w:val="24"/>
        </w:rPr>
      </w:pPr>
      <w:r>
        <w:rPr>
          <w:b/>
          <w:bCs/>
          <w:noProof/>
          <w:szCs w:val="24"/>
        </w:rPr>
        <w:t>9</w:t>
      </w:r>
      <w:r w:rsidR="00E37498" w:rsidRPr="00CA2430">
        <w:rPr>
          <w:b/>
          <w:bCs/>
          <w:noProof/>
          <w:szCs w:val="24"/>
        </w:rPr>
        <w:t>. tabula. Makroekonomiskie rādītāji 2023. – 2028. gadā</w:t>
      </w:r>
      <w:r w:rsidR="00E37498" w:rsidRPr="00CA2430">
        <w:rPr>
          <w:b/>
          <w:bCs/>
          <w:noProof/>
          <w:szCs w:val="24"/>
        </w:rPr>
        <w:br/>
        <w:t>(Pesimistiskais scenārijs)</w:t>
      </w:r>
    </w:p>
    <w:tbl>
      <w:tblPr>
        <w:tblW w:w="5000" w:type="pct"/>
        <w:jc w:val="center"/>
        <w:tblLayout w:type="fixed"/>
        <w:tblCellMar>
          <w:left w:w="85" w:type="dxa"/>
          <w:right w:w="85" w:type="dxa"/>
        </w:tblCellMar>
        <w:tblLook w:val="04A0" w:firstRow="1" w:lastRow="0" w:firstColumn="1" w:lastColumn="0" w:noHBand="0" w:noVBand="1"/>
      </w:tblPr>
      <w:tblGrid>
        <w:gridCol w:w="3400"/>
        <w:gridCol w:w="889"/>
        <w:gridCol w:w="954"/>
        <w:gridCol w:w="955"/>
        <w:gridCol w:w="954"/>
        <w:gridCol w:w="955"/>
        <w:gridCol w:w="954"/>
      </w:tblGrid>
      <w:tr w:rsidR="00E37498" w:rsidRPr="00CA2430" w14:paraId="0E64895E" w14:textId="77777777" w:rsidTr="00FE0109">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0E0EB" w14:textId="77777777" w:rsidR="00E37498" w:rsidRPr="00CA2430" w:rsidRDefault="00E37498" w:rsidP="006E6149">
            <w:pPr>
              <w:spacing w:before="0" w:after="0"/>
              <w:ind w:firstLine="0"/>
              <w:rPr>
                <w:rFonts w:cs="Times New Roman"/>
                <w:noProof/>
                <w:sz w:val="20"/>
                <w:szCs w:val="20"/>
                <w:lang w:eastAsia="lv-LV"/>
              </w:rPr>
            </w:pP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14:paraId="11817A5B"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2023</w:t>
            </w:r>
          </w:p>
        </w:tc>
        <w:tc>
          <w:tcPr>
            <w:tcW w:w="873"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F3FA683"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2024</w:t>
            </w:r>
          </w:p>
        </w:tc>
        <w:tc>
          <w:tcPr>
            <w:tcW w:w="87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7E3C4EF"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2025</w:t>
            </w:r>
          </w:p>
        </w:tc>
        <w:tc>
          <w:tcPr>
            <w:tcW w:w="873"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806DA65"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2026</w:t>
            </w:r>
          </w:p>
        </w:tc>
        <w:tc>
          <w:tcPr>
            <w:tcW w:w="87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9F518CC"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2027</w:t>
            </w:r>
          </w:p>
        </w:tc>
        <w:tc>
          <w:tcPr>
            <w:tcW w:w="87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AC54E95" w14:textId="77777777" w:rsidR="00E37498" w:rsidRPr="00CA2430" w:rsidRDefault="00E37498"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2028</w:t>
            </w:r>
          </w:p>
        </w:tc>
      </w:tr>
      <w:tr w:rsidR="00E37498" w:rsidRPr="00CA2430" w14:paraId="69B966BB" w14:textId="77777777" w:rsidTr="00FE0109">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68974" w14:textId="77777777" w:rsidR="00E37498" w:rsidRPr="00CA2430" w:rsidRDefault="00E37498" w:rsidP="006E6149">
            <w:pPr>
              <w:spacing w:before="0" w:after="0"/>
              <w:ind w:firstLine="0"/>
              <w:rPr>
                <w:rFonts w:cs="Times New Roman"/>
                <w:noProof/>
                <w:sz w:val="20"/>
                <w:szCs w:val="20"/>
                <w:lang w:eastAsia="lv-LV"/>
              </w:rPr>
            </w:pPr>
          </w:p>
        </w:tc>
        <w:tc>
          <w:tcPr>
            <w:tcW w:w="815" w:type="dxa"/>
            <w:tcBorders>
              <w:top w:val="single" w:sz="4" w:space="0" w:color="auto"/>
              <w:left w:val="nil"/>
              <w:bottom w:val="single" w:sz="4" w:space="0" w:color="auto"/>
              <w:right w:val="single" w:sz="4" w:space="0" w:color="auto"/>
            </w:tcBorders>
            <w:shd w:val="clear" w:color="auto" w:fill="auto"/>
            <w:noWrap/>
            <w:vAlign w:val="center"/>
          </w:tcPr>
          <w:p w14:paraId="2A040AB9" w14:textId="4E99ABEF" w:rsidR="00E37498" w:rsidRPr="00CA2430" w:rsidRDefault="00E06827" w:rsidP="006E6149">
            <w:pPr>
              <w:spacing w:before="0" w:after="0"/>
              <w:ind w:firstLine="0"/>
              <w:jc w:val="center"/>
              <w:rPr>
                <w:rFonts w:cs="Times New Roman"/>
                <w:noProof/>
                <w:sz w:val="20"/>
                <w:szCs w:val="20"/>
                <w:lang w:eastAsia="lv-LV"/>
              </w:rPr>
            </w:pPr>
            <w:r>
              <w:rPr>
                <w:rFonts w:cs="Times New Roman"/>
                <w:noProof/>
                <w:sz w:val="20"/>
                <w:szCs w:val="20"/>
                <w:lang w:eastAsia="lv-LV"/>
              </w:rPr>
              <w:t>F</w:t>
            </w:r>
            <w:r w:rsidR="00E37498" w:rsidRPr="00CA2430">
              <w:rPr>
                <w:rFonts w:cs="Times New Roman"/>
                <w:noProof/>
                <w:sz w:val="20"/>
                <w:szCs w:val="20"/>
                <w:lang w:eastAsia="lv-LV"/>
              </w:rPr>
              <w:t>akts</w:t>
            </w:r>
          </w:p>
        </w:tc>
        <w:tc>
          <w:tcPr>
            <w:tcW w:w="4367" w:type="dxa"/>
            <w:gridSpan w:val="5"/>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81C1E0A" w14:textId="7332D939" w:rsidR="00E37498" w:rsidRPr="00CA2430" w:rsidRDefault="00E06827" w:rsidP="006E6149">
            <w:pPr>
              <w:spacing w:before="0" w:after="0"/>
              <w:ind w:firstLine="0"/>
              <w:jc w:val="center"/>
              <w:rPr>
                <w:rFonts w:cs="Times New Roman"/>
                <w:noProof/>
                <w:sz w:val="20"/>
                <w:szCs w:val="20"/>
                <w:lang w:eastAsia="lv-LV"/>
              </w:rPr>
            </w:pPr>
            <w:r>
              <w:rPr>
                <w:rFonts w:cs="Times New Roman"/>
                <w:noProof/>
                <w:sz w:val="20"/>
                <w:szCs w:val="20"/>
                <w:lang w:eastAsia="lv-LV"/>
              </w:rPr>
              <w:t>P</w:t>
            </w:r>
            <w:r w:rsidR="00E37498" w:rsidRPr="00CA2430">
              <w:rPr>
                <w:rFonts w:cs="Times New Roman"/>
                <w:noProof/>
                <w:sz w:val="20"/>
                <w:szCs w:val="20"/>
                <w:lang w:eastAsia="lv-LV"/>
              </w:rPr>
              <w:t>rognoze</w:t>
            </w:r>
          </w:p>
        </w:tc>
      </w:tr>
      <w:tr w:rsidR="00E37498" w:rsidRPr="00CA2430" w14:paraId="1A60D283"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8A712F1"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 xml:space="preserve">Iekšzemes kopprodukts, milj. </w:t>
            </w:r>
            <w:r w:rsidRPr="00CA2430">
              <w:rPr>
                <w:rFonts w:cs="Times New Roman"/>
                <w:i/>
                <w:noProof/>
                <w:sz w:val="20"/>
                <w:szCs w:val="20"/>
                <w:lang w:eastAsia="lv-LV"/>
              </w:rPr>
              <w:t>euro</w:t>
            </w:r>
          </w:p>
        </w:tc>
        <w:tc>
          <w:tcPr>
            <w:tcW w:w="815"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0C8E567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40 348</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B97951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41 509</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13FF50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43 500</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DA85E5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45 910</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F391EE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48 374</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6D636D3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50 826</w:t>
            </w:r>
          </w:p>
        </w:tc>
      </w:tr>
      <w:tr w:rsidR="00E37498" w:rsidRPr="00CA2430" w14:paraId="7D089613"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F7899AD"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faktiskajās cenās,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20AC2A2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5,1</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7DA361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2,9</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95A105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4,8</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F31700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5,5</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6A2E27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5,4</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41D755E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5,1</w:t>
            </w:r>
          </w:p>
        </w:tc>
      </w:tr>
      <w:tr w:rsidR="00E37498" w:rsidRPr="00CA2430" w14:paraId="1FE19065"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D725874"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salīdzin. cenās,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36B8363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-0,3</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40531F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0,4</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65B14A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1,8</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F34BD9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2,8</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559F8B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2,6</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57A63F9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2,3</w:t>
            </w:r>
          </w:p>
        </w:tc>
      </w:tr>
      <w:tr w:rsidR="00E37498" w:rsidRPr="00CA2430" w14:paraId="590C5351"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B6D29B1"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deflators (gads pret gadu),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15E52B3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5,4</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3B7B48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9944BF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2,9</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9334F2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070276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49A4F9B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r>
      <w:tr w:rsidR="00E37498" w:rsidRPr="00CA2430" w14:paraId="22EDD39C"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8E53DF7"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PCI (gads pret gadu),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1D870A0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8,9</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0981AC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1,2</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647867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2,2</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0FED5C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B5C1CD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67CC47D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r>
      <w:tr w:rsidR="00E37498" w:rsidRPr="00CA2430" w14:paraId="19BDB12B"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8DBD7D9"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 xml:space="preserve">Nodarbināto mēn. vid. bruto darba samaksa, </w:t>
            </w:r>
            <w:r w:rsidRPr="00CA2430">
              <w:rPr>
                <w:rFonts w:cs="Times New Roman"/>
                <w:i/>
                <w:noProof/>
                <w:sz w:val="20"/>
                <w:szCs w:val="20"/>
                <w:lang w:eastAsia="lv-LV"/>
              </w:rPr>
              <w:t>euro</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44F460F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1 537</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E37F7D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1 645</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42B910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1 743</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666991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1 848</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90D184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1 940</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3669F3E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2 037</w:t>
            </w:r>
          </w:p>
        </w:tc>
      </w:tr>
      <w:tr w:rsidR="00E37498" w:rsidRPr="00CA2430" w14:paraId="75C0AFFE"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D427B77"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faktiskajās cenās,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1A874A9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11,9</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3454BD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7,0</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47B277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6,0</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3A4AD3C"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6,0</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F969D7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50234FF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w:t>
            </w:r>
          </w:p>
        </w:tc>
      </w:tr>
      <w:tr w:rsidR="00E37498" w:rsidRPr="00CA2430" w14:paraId="5CD503EE"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C2C929D"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salīdzin. cenās,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55018E3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2,8</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7BAA81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5,7</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ECEF30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3,7</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44D9B9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3,4</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05615F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2194999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r>
      <w:tr w:rsidR="00E37498" w:rsidRPr="00CA2430" w14:paraId="2730E51D"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304A5A3"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Nodarbinātība, tūkst. iedzīvotāju (atbilstoši darbaspēka apsekoj.)</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145358C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884</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C826A3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883</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232A81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882</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C672C7C"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882</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D22586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882</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09A5581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878</w:t>
            </w:r>
          </w:p>
        </w:tc>
      </w:tr>
      <w:tr w:rsidR="00E37498" w:rsidRPr="00CA2430" w14:paraId="2473BA6D" w14:textId="77777777" w:rsidTr="00FE0109">
        <w:trPr>
          <w:trHeight w:val="2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9D247F4"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w:t>
            </w:r>
          </w:p>
        </w:tc>
        <w:tc>
          <w:tcPr>
            <w:tcW w:w="815" w:type="dxa"/>
            <w:tcBorders>
              <w:top w:val="nil"/>
              <w:left w:val="nil"/>
              <w:bottom w:val="single" w:sz="4" w:space="0" w:color="auto"/>
              <w:right w:val="single" w:sz="4" w:space="0" w:color="auto"/>
            </w:tcBorders>
            <w:shd w:val="clear" w:color="auto" w:fill="auto"/>
            <w:noWrap/>
            <w:tcMar>
              <w:right w:w="170" w:type="dxa"/>
            </w:tcMar>
            <w:vAlign w:val="center"/>
          </w:tcPr>
          <w:p w14:paraId="331F1AE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-0,2</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B570F4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-0,1</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5F1824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-0,1</w:t>
            </w:r>
          </w:p>
        </w:tc>
        <w:tc>
          <w:tcPr>
            <w:tcW w:w="873"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D1F270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0,0</w:t>
            </w:r>
          </w:p>
        </w:tc>
        <w:tc>
          <w:tcPr>
            <w:tcW w:w="87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F28CD2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-0,1</w:t>
            </w:r>
          </w:p>
        </w:tc>
        <w:tc>
          <w:tcPr>
            <w:tcW w:w="873" w:type="dxa"/>
            <w:tcBorders>
              <w:top w:val="nil"/>
              <w:left w:val="nil"/>
              <w:bottom w:val="single" w:sz="4" w:space="0" w:color="auto"/>
              <w:right w:val="single" w:sz="4" w:space="0" w:color="auto"/>
            </w:tcBorders>
            <w:shd w:val="clear" w:color="auto" w:fill="DEEAF6" w:themeFill="accent1" w:themeFillTint="33"/>
            <w:vAlign w:val="center"/>
          </w:tcPr>
          <w:p w14:paraId="4B52041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-0,4</w:t>
            </w:r>
          </w:p>
        </w:tc>
      </w:tr>
      <w:tr w:rsidR="00E37498" w:rsidRPr="00CA2430" w14:paraId="1071B584" w14:textId="77777777" w:rsidTr="00FE0109">
        <w:trPr>
          <w:trHeight w:val="2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3B9CC"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Bezdarba līmenis (gada vidējais),</w:t>
            </w:r>
            <w:r w:rsidRPr="00CA2430">
              <w:rPr>
                <w:rFonts w:cs="Times New Roman"/>
                <w:noProof/>
                <w:sz w:val="20"/>
                <w:szCs w:val="20"/>
                <w:lang w:eastAsia="lv-LV"/>
              </w:rPr>
              <w:br/>
              <w:t>% no ekon. aktīviem iedzīv.</w:t>
            </w:r>
          </w:p>
        </w:tc>
        <w:tc>
          <w:tcPr>
            <w:tcW w:w="815"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1DBB848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6,5</w:t>
            </w:r>
          </w:p>
        </w:tc>
        <w:tc>
          <w:tcPr>
            <w:tcW w:w="873"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3DD8ECF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6,8</w:t>
            </w:r>
          </w:p>
        </w:tc>
        <w:tc>
          <w:tcPr>
            <w:tcW w:w="87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46078E1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6,5</w:t>
            </w:r>
          </w:p>
        </w:tc>
        <w:tc>
          <w:tcPr>
            <w:tcW w:w="873"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2AE37B8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6,1</w:t>
            </w:r>
          </w:p>
        </w:tc>
        <w:tc>
          <w:tcPr>
            <w:tcW w:w="87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7405A13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5,5</w:t>
            </w:r>
          </w:p>
        </w:tc>
        <w:tc>
          <w:tcPr>
            <w:tcW w:w="87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7075C6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4,9</w:t>
            </w:r>
          </w:p>
        </w:tc>
      </w:tr>
    </w:tbl>
    <w:p w14:paraId="754D3C5A" w14:textId="38FB9501" w:rsidR="00E37498" w:rsidRPr="00CA2430" w:rsidRDefault="00E37498" w:rsidP="00E37498">
      <w:pPr>
        <w:rPr>
          <w:noProof/>
          <w:szCs w:val="20"/>
          <w:highlight w:val="yellow"/>
        </w:rPr>
      </w:pPr>
      <w:r w:rsidRPr="00CA2430">
        <w:rPr>
          <w:noProof/>
          <w:color w:val="000000" w:themeColor="text1"/>
        </w:rPr>
        <w:t xml:space="preserve">Ņemot vērā makroekonomiskās attīstības pesimistisko scenāriju, Finanšu ministrija ir novērtējusi šī scenārija ietekmi uz vispārējās valdības budžeta bilanci, novērtējot izmaiņas nodokļu un nenodokļu ieņēmumos, kā arī valsts speciālā budžeta izdevumos un valsts parāda apkalpošanas (procentu) izdevumos salīdzinājumā ar bāzes scenāriju (skat. </w:t>
      </w:r>
      <w:r w:rsidR="00FE0109">
        <w:rPr>
          <w:noProof/>
          <w:color w:val="000000" w:themeColor="text1"/>
        </w:rPr>
        <w:t>10</w:t>
      </w:r>
      <w:r w:rsidRPr="00CA2430">
        <w:rPr>
          <w:noProof/>
          <w:color w:val="000000" w:themeColor="text1"/>
        </w:rPr>
        <w:t xml:space="preserve">. tabulu). </w:t>
      </w:r>
      <w:r w:rsidRPr="00CA2430">
        <w:rPr>
          <w:noProof/>
          <w:szCs w:val="24"/>
          <w:lang w:eastAsia="lv-LV"/>
        </w:rPr>
        <w:t>Rezultātā kopbudžeta nodokļu ieņēmumi, salīdzinot ar bāzes scenāriju 2024.-2028. gadam, pēc naudas plūsmas tiek prognozēti ar samazinājumu 101,5 milj. </w:t>
      </w:r>
      <w:r w:rsidRPr="00CA2430">
        <w:rPr>
          <w:i/>
          <w:iCs/>
          <w:noProof/>
          <w:szCs w:val="24"/>
          <w:lang w:eastAsia="lv-LV"/>
        </w:rPr>
        <w:t>euro</w:t>
      </w:r>
      <w:r w:rsidRPr="00CA2430">
        <w:rPr>
          <w:noProof/>
          <w:szCs w:val="24"/>
          <w:lang w:eastAsia="lv-LV"/>
        </w:rPr>
        <w:t xml:space="preserve"> 2024. gadā, 211,5 milj. </w:t>
      </w:r>
      <w:r w:rsidRPr="00CA2430">
        <w:rPr>
          <w:i/>
          <w:iCs/>
          <w:noProof/>
          <w:szCs w:val="24"/>
          <w:lang w:eastAsia="lv-LV"/>
        </w:rPr>
        <w:t>euro</w:t>
      </w:r>
      <w:r w:rsidRPr="00CA2430">
        <w:rPr>
          <w:noProof/>
          <w:szCs w:val="24"/>
          <w:lang w:eastAsia="lv-LV"/>
        </w:rPr>
        <w:t xml:space="preserve"> 2025. gadā, 210,6 milj. </w:t>
      </w:r>
      <w:r w:rsidRPr="00CA2430">
        <w:rPr>
          <w:i/>
          <w:iCs/>
          <w:noProof/>
          <w:szCs w:val="24"/>
          <w:lang w:eastAsia="lv-LV"/>
        </w:rPr>
        <w:t>euro</w:t>
      </w:r>
      <w:r w:rsidRPr="00CA2430">
        <w:rPr>
          <w:noProof/>
          <w:szCs w:val="24"/>
          <w:lang w:eastAsia="lv-LV"/>
        </w:rPr>
        <w:t xml:space="preserve"> 2026. gadā, 210,2 milj. </w:t>
      </w:r>
      <w:r w:rsidRPr="00CA2430">
        <w:rPr>
          <w:i/>
          <w:iCs/>
          <w:noProof/>
          <w:szCs w:val="24"/>
          <w:lang w:eastAsia="lv-LV"/>
        </w:rPr>
        <w:t>euro</w:t>
      </w:r>
      <w:r w:rsidRPr="00CA2430">
        <w:rPr>
          <w:noProof/>
          <w:szCs w:val="24"/>
          <w:lang w:eastAsia="lv-LV"/>
        </w:rPr>
        <w:t xml:space="preserve"> 2027. gadā un 226,5 milj. </w:t>
      </w:r>
      <w:r w:rsidRPr="00CA2430">
        <w:rPr>
          <w:i/>
          <w:iCs/>
          <w:noProof/>
          <w:szCs w:val="24"/>
          <w:lang w:eastAsia="lv-LV"/>
        </w:rPr>
        <w:t>euro</w:t>
      </w:r>
      <w:r w:rsidRPr="00CA2430">
        <w:rPr>
          <w:noProof/>
          <w:szCs w:val="24"/>
          <w:lang w:eastAsia="lv-LV"/>
        </w:rPr>
        <w:t xml:space="preserve"> 2028. gadā, vadoties pēc pesimistiskā scenārijā iezīmētājām tautsaimniecības attīstības tendencēm. </w:t>
      </w:r>
    </w:p>
    <w:p w14:paraId="0320A29B" w14:textId="77777777" w:rsidR="00017774" w:rsidRDefault="00017774">
      <w:pPr>
        <w:spacing w:before="0" w:after="0"/>
        <w:ind w:firstLine="0"/>
        <w:jc w:val="left"/>
        <w:rPr>
          <w:rFonts w:eastAsia="Calibri" w:cs="Times New Roman"/>
          <w:b/>
          <w:noProof/>
          <w:szCs w:val="24"/>
        </w:rPr>
      </w:pPr>
      <w:r>
        <w:rPr>
          <w:rFonts w:eastAsia="Calibri" w:cs="Times New Roman"/>
          <w:b/>
          <w:noProof/>
          <w:szCs w:val="24"/>
        </w:rPr>
        <w:br w:type="page"/>
      </w:r>
    </w:p>
    <w:p w14:paraId="2F1139C3" w14:textId="1AE94C4B" w:rsidR="00E37498" w:rsidRPr="00CA2430" w:rsidRDefault="00FE0109" w:rsidP="00E2717D">
      <w:pPr>
        <w:jc w:val="center"/>
        <w:rPr>
          <w:rFonts w:eastAsia="Calibri" w:cs="Times New Roman"/>
          <w:b/>
          <w:noProof/>
          <w:szCs w:val="24"/>
          <w:highlight w:val="yellow"/>
        </w:rPr>
      </w:pPr>
      <w:r>
        <w:rPr>
          <w:rFonts w:eastAsia="Calibri" w:cs="Times New Roman"/>
          <w:b/>
          <w:noProof/>
          <w:szCs w:val="24"/>
        </w:rPr>
        <w:lastRenderedPageBreak/>
        <w:t>10</w:t>
      </w:r>
      <w:r w:rsidR="00E37498" w:rsidRPr="00CA2430">
        <w:rPr>
          <w:rFonts w:eastAsia="Calibri" w:cs="Times New Roman"/>
          <w:b/>
          <w:noProof/>
          <w:szCs w:val="24"/>
        </w:rPr>
        <w:t>. tabula. Vispārējās valdības budžeta bilance un parāds</w:t>
      </w:r>
      <w:r w:rsidR="00E37498" w:rsidRPr="00CA2430">
        <w:rPr>
          <w:rFonts w:eastAsia="Calibri" w:cs="Times New Roman"/>
          <w:b/>
          <w:noProof/>
          <w:szCs w:val="24"/>
        </w:rPr>
        <w:br/>
        <w:t>(pesimistiskais scenārijs)</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907"/>
        <w:gridCol w:w="906"/>
        <w:gridCol w:w="891"/>
        <w:gridCol w:w="891"/>
        <w:gridCol w:w="933"/>
      </w:tblGrid>
      <w:tr w:rsidR="00FE0109" w:rsidRPr="00CA2430" w14:paraId="07232A35" w14:textId="77777777" w:rsidTr="00FE0109">
        <w:trPr>
          <w:trHeight w:val="20"/>
          <w:jc w:val="center"/>
        </w:trPr>
        <w:tc>
          <w:tcPr>
            <w:tcW w:w="4655" w:type="dxa"/>
            <w:vMerge w:val="restart"/>
            <w:shd w:val="clear" w:color="auto" w:fill="auto"/>
            <w:vAlign w:val="center"/>
            <w:hideMark/>
          </w:tcPr>
          <w:p w14:paraId="42E1CB6D" w14:textId="77777777" w:rsidR="00FE0109" w:rsidRPr="00CA2430" w:rsidRDefault="00FE0109" w:rsidP="006E6149">
            <w:pPr>
              <w:spacing w:before="0" w:after="0"/>
              <w:ind w:firstLine="0"/>
              <w:jc w:val="left"/>
              <w:rPr>
                <w:rFonts w:ascii="Calibri" w:eastAsia="Times New Roman" w:hAnsi="Calibri" w:cs="Calibri"/>
                <w:noProof/>
                <w:color w:val="000000"/>
                <w:sz w:val="22"/>
                <w:lang w:eastAsia="lv-LV"/>
              </w:rPr>
            </w:pPr>
            <w:r w:rsidRPr="00CA2430">
              <w:rPr>
                <w:rFonts w:ascii="Calibri" w:eastAsia="Times New Roman" w:hAnsi="Calibri" w:cs="Calibri"/>
                <w:noProof/>
                <w:color w:val="000000"/>
                <w:sz w:val="22"/>
                <w:lang w:eastAsia="lv-LV"/>
              </w:rPr>
              <w:t> </w:t>
            </w:r>
          </w:p>
        </w:tc>
        <w:tc>
          <w:tcPr>
            <w:tcW w:w="907" w:type="dxa"/>
            <w:shd w:val="clear" w:color="auto" w:fill="BDD6EE" w:themeFill="accent1" w:themeFillTint="66"/>
            <w:vAlign w:val="center"/>
            <w:hideMark/>
          </w:tcPr>
          <w:p w14:paraId="6B45E96A"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2024</w:t>
            </w:r>
          </w:p>
        </w:tc>
        <w:tc>
          <w:tcPr>
            <w:tcW w:w="906" w:type="dxa"/>
            <w:shd w:val="clear" w:color="auto" w:fill="BDD6EE" w:themeFill="accent1" w:themeFillTint="66"/>
            <w:vAlign w:val="center"/>
            <w:hideMark/>
          </w:tcPr>
          <w:p w14:paraId="74187905"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2025</w:t>
            </w:r>
          </w:p>
        </w:tc>
        <w:tc>
          <w:tcPr>
            <w:tcW w:w="891" w:type="dxa"/>
            <w:shd w:val="clear" w:color="auto" w:fill="BDD6EE" w:themeFill="accent1" w:themeFillTint="66"/>
            <w:vAlign w:val="center"/>
          </w:tcPr>
          <w:p w14:paraId="69E7BC36"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2026</w:t>
            </w:r>
          </w:p>
        </w:tc>
        <w:tc>
          <w:tcPr>
            <w:tcW w:w="891" w:type="dxa"/>
            <w:shd w:val="clear" w:color="auto" w:fill="BDD6EE" w:themeFill="accent1" w:themeFillTint="66"/>
            <w:vAlign w:val="center"/>
            <w:hideMark/>
          </w:tcPr>
          <w:p w14:paraId="7A2C4625"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2027</w:t>
            </w:r>
          </w:p>
        </w:tc>
        <w:tc>
          <w:tcPr>
            <w:tcW w:w="933" w:type="dxa"/>
            <w:shd w:val="clear" w:color="auto" w:fill="BDD6EE" w:themeFill="accent1" w:themeFillTint="66"/>
            <w:vAlign w:val="center"/>
            <w:hideMark/>
          </w:tcPr>
          <w:p w14:paraId="0F8BF42D"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2028</w:t>
            </w:r>
          </w:p>
        </w:tc>
      </w:tr>
      <w:tr w:rsidR="00FE0109" w:rsidRPr="00CA2430" w14:paraId="44E7B7F3" w14:textId="77777777" w:rsidTr="00FE0109">
        <w:trPr>
          <w:trHeight w:val="20"/>
          <w:jc w:val="center"/>
        </w:trPr>
        <w:tc>
          <w:tcPr>
            <w:tcW w:w="4655" w:type="dxa"/>
            <w:vMerge/>
            <w:shd w:val="clear" w:color="auto" w:fill="auto"/>
            <w:vAlign w:val="center"/>
          </w:tcPr>
          <w:p w14:paraId="6B16EE25" w14:textId="77777777" w:rsidR="00FE0109" w:rsidRPr="00CA2430" w:rsidRDefault="00FE0109" w:rsidP="006E6149">
            <w:pPr>
              <w:spacing w:before="0" w:after="0"/>
              <w:ind w:firstLine="0"/>
              <w:jc w:val="left"/>
              <w:rPr>
                <w:rFonts w:eastAsia="Times New Roman" w:cs="Times New Roman"/>
                <w:b/>
                <w:bCs/>
                <w:noProof/>
                <w:color w:val="000000"/>
                <w:sz w:val="20"/>
                <w:szCs w:val="20"/>
                <w:lang w:eastAsia="lv-LV"/>
              </w:rPr>
            </w:pPr>
          </w:p>
        </w:tc>
        <w:tc>
          <w:tcPr>
            <w:tcW w:w="4528" w:type="dxa"/>
            <w:gridSpan w:val="5"/>
            <w:shd w:val="clear" w:color="auto" w:fill="BDD6EE" w:themeFill="accent1" w:themeFillTint="66"/>
            <w:vAlign w:val="center"/>
          </w:tcPr>
          <w:p w14:paraId="69BAF8CD" w14:textId="04956DF4" w:rsidR="00FE0109" w:rsidRPr="00E06827" w:rsidRDefault="00E06827" w:rsidP="006E6149">
            <w:pPr>
              <w:spacing w:before="0" w:after="0"/>
              <w:ind w:firstLine="0"/>
              <w:jc w:val="center"/>
              <w:rPr>
                <w:noProof/>
                <w:color w:val="000000"/>
                <w:sz w:val="20"/>
                <w:szCs w:val="20"/>
              </w:rPr>
            </w:pPr>
            <w:r>
              <w:rPr>
                <w:noProof/>
                <w:color w:val="000000"/>
                <w:sz w:val="20"/>
                <w:szCs w:val="20"/>
              </w:rPr>
              <w:t>P</w:t>
            </w:r>
            <w:r w:rsidR="00FE0109" w:rsidRPr="00E06827">
              <w:rPr>
                <w:noProof/>
                <w:color w:val="000000"/>
                <w:sz w:val="20"/>
                <w:szCs w:val="20"/>
              </w:rPr>
              <w:t>rognoze</w:t>
            </w:r>
          </w:p>
        </w:tc>
      </w:tr>
      <w:tr w:rsidR="00E37498" w:rsidRPr="00CA2430" w14:paraId="087430FC" w14:textId="77777777" w:rsidTr="00FE0109">
        <w:trPr>
          <w:trHeight w:val="20"/>
          <w:jc w:val="center"/>
        </w:trPr>
        <w:tc>
          <w:tcPr>
            <w:tcW w:w="4655" w:type="dxa"/>
            <w:shd w:val="clear" w:color="auto" w:fill="auto"/>
            <w:vAlign w:val="center"/>
          </w:tcPr>
          <w:p w14:paraId="0888B933" w14:textId="77777777" w:rsidR="00E37498" w:rsidRPr="00CA2430" w:rsidRDefault="00E37498" w:rsidP="006E6149">
            <w:pPr>
              <w:spacing w:before="0" w:after="0"/>
              <w:ind w:firstLine="0"/>
              <w:jc w:val="left"/>
              <w:rPr>
                <w:rFonts w:ascii="Calibri" w:eastAsia="Times New Roman" w:hAnsi="Calibri" w:cs="Calibri"/>
                <w:noProof/>
                <w:color w:val="000000"/>
                <w:sz w:val="22"/>
                <w:lang w:eastAsia="lv-LV"/>
              </w:rPr>
            </w:pPr>
            <w:r w:rsidRPr="00CA2430">
              <w:rPr>
                <w:rFonts w:eastAsia="Times New Roman" w:cs="Times New Roman"/>
                <w:b/>
                <w:bCs/>
                <w:noProof/>
                <w:color w:val="000000"/>
                <w:sz w:val="20"/>
                <w:szCs w:val="20"/>
                <w:lang w:eastAsia="lv-LV"/>
              </w:rPr>
              <w:t>Vispārējās valdības budžeta bilance, % no IKP</w:t>
            </w:r>
          </w:p>
        </w:tc>
        <w:tc>
          <w:tcPr>
            <w:tcW w:w="907" w:type="dxa"/>
            <w:shd w:val="clear" w:color="auto" w:fill="BDD6EE" w:themeFill="accent1" w:themeFillTint="66"/>
            <w:vAlign w:val="center"/>
          </w:tcPr>
          <w:p w14:paraId="00359DCB"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-2,8</w:t>
            </w:r>
          </w:p>
        </w:tc>
        <w:tc>
          <w:tcPr>
            <w:tcW w:w="906" w:type="dxa"/>
            <w:shd w:val="clear" w:color="auto" w:fill="BDD6EE" w:themeFill="accent1" w:themeFillTint="66"/>
            <w:vAlign w:val="center"/>
          </w:tcPr>
          <w:p w14:paraId="23F31411"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-3,5</w:t>
            </w:r>
          </w:p>
        </w:tc>
        <w:tc>
          <w:tcPr>
            <w:tcW w:w="891" w:type="dxa"/>
            <w:shd w:val="clear" w:color="auto" w:fill="BDD6EE" w:themeFill="accent1" w:themeFillTint="66"/>
            <w:vAlign w:val="center"/>
          </w:tcPr>
          <w:p w14:paraId="3F55A72B" w14:textId="77777777" w:rsidR="00E37498" w:rsidRPr="00CA2430" w:rsidRDefault="00E37498" w:rsidP="006E6149">
            <w:pPr>
              <w:spacing w:before="0" w:after="0"/>
              <w:ind w:firstLine="0"/>
              <w:jc w:val="center"/>
              <w:rPr>
                <w:rFonts w:cs="Times New Roman"/>
                <w:b/>
                <w:bCs/>
                <w:noProof/>
                <w:color w:val="000000"/>
                <w:sz w:val="20"/>
                <w:szCs w:val="20"/>
              </w:rPr>
            </w:pPr>
            <w:r w:rsidRPr="00CA2430">
              <w:rPr>
                <w:rFonts w:cs="Times New Roman"/>
                <w:b/>
                <w:bCs/>
                <w:noProof/>
                <w:color w:val="000000"/>
                <w:sz w:val="20"/>
                <w:szCs w:val="20"/>
              </w:rPr>
              <w:t>-3,2</w:t>
            </w:r>
          </w:p>
        </w:tc>
        <w:tc>
          <w:tcPr>
            <w:tcW w:w="891" w:type="dxa"/>
            <w:shd w:val="clear" w:color="auto" w:fill="BDD6EE" w:themeFill="accent1" w:themeFillTint="66"/>
            <w:vAlign w:val="center"/>
          </w:tcPr>
          <w:p w14:paraId="53FB006D"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-2,8</w:t>
            </w:r>
          </w:p>
        </w:tc>
        <w:tc>
          <w:tcPr>
            <w:tcW w:w="933" w:type="dxa"/>
            <w:shd w:val="clear" w:color="auto" w:fill="BDD6EE" w:themeFill="accent1" w:themeFillTint="66"/>
            <w:vAlign w:val="center"/>
          </w:tcPr>
          <w:p w14:paraId="5F4C2D56"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-2,7</w:t>
            </w:r>
          </w:p>
        </w:tc>
      </w:tr>
      <w:tr w:rsidR="00E37498" w:rsidRPr="00CA2430" w14:paraId="0A79C3BD" w14:textId="77777777" w:rsidTr="00FE0109">
        <w:trPr>
          <w:trHeight w:val="20"/>
          <w:jc w:val="center"/>
        </w:trPr>
        <w:tc>
          <w:tcPr>
            <w:tcW w:w="4655" w:type="dxa"/>
            <w:shd w:val="clear" w:color="auto" w:fill="auto"/>
            <w:vAlign w:val="center"/>
          </w:tcPr>
          <w:p w14:paraId="6C87E6DF" w14:textId="77777777" w:rsidR="00E37498" w:rsidRPr="00CA2430" w:rsidRDefault="00E37498" w:rsidP="006E6149">
            <w:pPr>
              <w:spacing w:before="0" w:after="0"/>
              <w:ind w:firstLine="0"/>
              <w:jc w:val="left"/>
              <w:rPr>
                <w:rFonts w:ascii="Calibri" w:eastAsia="Times New Roman" w:hAnsi="Calibri" w:cs="Calibri"/>
                <w:noProof/>
                <w:color w:val="000000"/>
                <w:sz w:val="22"/>
                <w:lang w:eastAsia="lv-LV"/>
              </w:rPr>
            </w:pPr>
            <w:r w:rsidRPr="00CA2430">
              <w:rPr>
                <w:rFonts w:eastAsia="Times New Roman" w:cs="Times New Roman"/>
                <w:noProof/>
                <w:color w:val="000000"/>
                <w:sz w:val="20"/>
                <w:szCs w:val="20"/>
                <w:lang w:eastAsia="lv-LV"/>
              </w:rPr>
              <w:t xml:space="preserve">Vispārējās valdības budžeta bilance, milj. </w:t>
            </w:r>
            <w:r w:rsidRPr="00CA2430">
              <w:rPr>
                <w:rFonts w:eastAsia="Times New Roman" w:cs="Times New Roman"/>
                <w:i/>
                <w:noProof/>
                <w:color w:val="000000"/>
                <w:sz w:val="20"/>
                <w:szCs w:val="20"/>
                <w:lang w:eastAsia="lv-LV"/>
              </w:rPr>
              <w:t>euro</w:t>
            </w:r>
          </w:p>
        </w:tc>
        <w:tc>
          <w:tcPr>
            <w:tcW w:w="907" w:type="dxa"/>
            <w:shd w:val="clear" w:color="auto" w:fill="BDD6EE" w:themeFill="accent1" w:themeFillTint="66"/>
            <w:vAlign w:val="bottom"/>
          </w:tcPr>
          <w:p w14:paraId="34B0E31C"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-1 181,8</w:t>
            </w:r>
          </w:p>
        </w:tc>
        <w:tc>
          <w:tcPr>
            <w:tcW w:w="906" w:type="dxa"/>
            <w:shd w:val="clear" w:color="auto" w:fill="BDD6EE" w:themeFill="accent1" w:themeFillTint="66"/>
            <w:vAlign w:val="bottom"/>
          </w:tcPr>
          <w:p w14:paraId="01058ACF"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-1 512,6</w:t>
            </w:r>
          </w:p>
        </w:tc>
        <w:tc>
          <w:tcPr>
            <w:tcW w:w="891" w:type="dxa"/>
            <w:shd w:val="clear" w:color="auto" w:fill="BDD6EE" w:themeFill="accent1" w:themeFillTint="66"/>
            <w:vAlign w:val="bottom"/>
          </w:tcPr>
          <w:p w14:paraId="4CAACE50" w14:textId="77777777" w:rsidR="00E37498" w:rsidRPr="00CA2430" w:rsidRDefault="00E37498" w:rsidP="006E6149">
            <w:pPr>
              <w:spacing w:before="0" w:after="0"/>
              <w:ind w:firstLine="0"/>
              <w:jc w:val="center"/>
              <w:rPr>
                <w:rFonts w:cs="Times New Roman"/>
                <w:noProof/>
                <w:color w:val="000000"/>
                <w:sz w:val="20"/>
                <w:szCs w:val="20"/>
              </w:rPr>
            </w:pPr>
            <w:r w:rsidRPr="00CA2430">
              <w:rPr>
                <w:rFonts w:cs="Times New Roman"/>
                <w:noProof/>
                <w:color w:val="000000"/>
                <w:sz w:val="20"/>
                <w:szCs w:val="20"/>
              </w:rPr>
              <w:t>-1 466,3</w:t>
            </w:r>
          </w:p>
        </w:tc>
        <w:tc>
          <w:tcPr>
            <w:tcW w:w="891" w:type="dxa"/>
            <w:shd w:val="clear" w:color="auto" w:fill="BDD6EE" w:themeFill="accent1" w:themeFillTint="66"/>
            <w:vAlign w:val="bottom"/>
          </w:tcPr>
          <w:p w14:paraId="4FB9A5DC"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-1 369,5</w:t>
            </w:r>
          </w:p>
        </w:tc>
        <w:tc>
          <w:tcPr>
            <w:tcW w:w="933" w:type="dxa"/>
            <w:shd w:val="clear" w:color="auto" w:fill="BDD6EE" w:themeFill="accent1" w:themeFillTint="66"/>
            <w:vAlign w:val="bottom"/>
          </w:tcPr>
          <w:p w14:paraId="201CC336"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-1 371,7</w:t>
            </w:r>
          </w:p>
        </w:tc>
      </w:tr>
      <w:tr w:rsidR="00E37498" w:rsidRPr="00CA2430" w14:paraId="56AFDA96" w14:textId="77777777" w:rsidTr="00FE0109">
        <w:trPr>
          <w:trHeight w:val="20"/>
          <w:jc w:val="center"/>
        </w:trPr>
        <w:tc>
          <w:tcPr>
            <w:tcW w:w="4655" w:type="dxa"/>
            <w:shd w:val="clear" w:color="auto" w:fill="auto"/>
            <w:vAlign w:val="center"/>
            <w:hideMark/>
          </w:tcPr>
          <w:p w14:paraId="7C56EA52" w14:textId="77777777" w:rsidR="00E37498" w:rsidRPr="00CA2430" w:rsidRDefault="00E37498" w:rsidP="006E6149">
            <w:pPr>
              <w:spacing w:before="0" w:after="0"/>
              <w:ind w:firstLine="0"/>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Vispārējās valdības budžeta bilances novirze no bāzes scenārija, % no IKP</w:t>
            </w:r>
          </w:p>
        </w:tc>
        <w:tc>
          <w:tcPr>
            <w:tcW w:w="907" w:type="dxa"/>
            <w:shd w:val="clear" w:color="auto" w:fill="BDD6EE" w:themeFill="accent1" w:themeFillTint="66"/>
            <w:vAlign w:val="center"/>
            <w:hideMark/>
          </w:tcPr>
          <w:p w14:paraId="2D6842A0"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-0,3</w:t>
            </w:r>
          </w:p>
        </w:tc>
        <w:tc>
          <w:tcPr>
            <w:tcW w:w="906" w:type="dxa"/>
            <w:shd w:val="clear" w:color="auto" w:fill="BDD6EE" w:themeFill="accent1" w:themeFillTint="66"/>
            <w:vAlign w:val="center"/>
            <w:hideMark/>
          </w:tcPr>
          <w:p w14:paraId="13D0D144"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-0,6</w:t>
            </w:r>
          </w:p>
        </w:tc>
        <w:tc>
          <w:tcPr>
            <w:tcW w:w="891" w:type="dxa"/>
            <w:shd w:val="clear" w:color="auto" w:fill="BDD6EE" w:themeFill="accent1" w:themeFillTint="66"/>
            <w:vAlign w:val="center"/>
          </w:tcPr>
          <w:p w14:paraId="4CF8C8B6" w14:textId="77777777" w:rsidR="00E37498" w:rsidRPr="00CA2430" w:rsidRDefault="00E37498" w:rsidP="006E6149">
            <w:pPr>
              <w:spacing w:before="0" w:after="0"/>
              <w:ind w:firstLine="0"/>
              <w:jc w:val="center"/>
              <w:rPr>
                <w:rFonts w:cs="Times New Roman"/>
                <w:b/>
                <w:bCs/>
                <w:noProof/>
                <w:sz w:val="20"/>
                <w:szCs w:val="20"/>
              </w:rPr>
            </w:pPr>
            <w:r w:rsidRPr="00CA2430">
              <w:rPr>
                <w:rFonts w:cs="Times New Roman"/>
                <w:b/>
                <w:bCs/>
                <w:noProof/>
                <w:sz w:val="20"/>
                <w:szCs w:val="20"/>
              </w:rPr>
              <w:t>-0,5</w:t>
            </w:r>
          </w:p>
        </w:tc>
        <w:tc>
          <w:tcPr>
            <w:tcW w:w="891" w:type="dxa"/>
            <w:shd w:val="clear" w:color="auto" w:fill="BDD6EE" w:themeFill="accent1" w:themeFillTint="66"/>
            <w:vAlign w:val="center"/>
            <w:hideMark/>
          </w:tcPr>
          <w:p w14:paraId="7F38D1FE"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-0,4</w:t>
            </w:r>
          </w:p>
        </w:tc>
        <w:tc>
          <w:tcPr>
            <w:tcW w:w="933" w:type="dxa"/>
            <w:shd w:val="clear" w:color="auto" w:fill="BDD6EE" w:themeFill="accent1" w:themeFillTint="66"/>
            <w:vAlign w:val="center"/>
            <w:hideMark/>
          </w:tcPr>
          <w:p w14:paraId="41DD0259"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-0,5</w:t>
            </w:r>
          </w:p>
        </w:tc>
      </w:tr>
      <w:tr w:rsidR="00E37498" w:rsidRPr="00CA2430" w14:paraId="64E57702" w14:textId="77777777" w:rsidTr="00FE0109">
        <w:trPr>
          <w:trHeight w:val="20"/>
          <w:jc w:val="center"/>
        </w:trPr>
        <w:tc>
          <w:tcPr>
            <w:tcW w:w="4655" w:type="dxa"/>
            <w:shd w:val="clear" w:color="auto" w:fill="auto"/>
            <w:vAlign w:val="center"/>
            <w:hideMark/>
          </w:tcPr>
          <w:p w14:paraId="3361868F" w14:textId="77777777" w:rsidR="00E37498" w:rsidRPr="00CA2430" w:rsidRDefault="00E37498" w:rsidP="006E6149">
            <w:pPr>
              <w:spacing w:before="0" w:after="0"/>
              <w:ind w:firstLine="0"/>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 xml:space="preserve">Vispārējās valdības budžeta bilances novirze no bāzes scenārija, milj. </w:t>
            </w:r>
            <w:r w:rsidRPr="00CA2430">
              <w:rPr>
                <w:rFonts w:eastAsia="Times New Roman" w:cs="Times New Roman"/>
                <w:b/>
                <w:bCs/>
                <w:i/>
                <w:noProof/>
                <w:color w:val="000000"/>
                <w:sz w:val="20"/>
                <w:szCs w:val="20"/>
                <w:lang w:eastAsia="lv-LV"/>
              </w:rPr>
              <w:t>euro</w:t>
            </w:r>
          </w:p>
        </w:tc>
        <w:tc>
          <w:tcPr>
            <w:tcW w:w="907" w:type="dxa"/>
            <w:shd w:val="clear" w:color="auto" w:fill="BDD6EE" w:themeFill="accent1" w:themeFillTint="66"/>
            <w:vAlign w:val="center"/>
            <w:hideMark/>
          </w:tcPr>
          <w:p w14:paraId="3F73DC2A"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-106,4</w:t>
            </w:r>
          </w:p>
        </w:tc>
        <w:tc>
          <w:tcPr>
            <w:tcW w:w="906" w:type="dxa"/>
            <w:shd w:val="clear" w:color="auto" w:fill="BDD6EE" w:themeFill="accent1" w:themeFillTint="66"/>
            <w:vAlign w:val="center"/>
            <w:hideMark/>
          </w:tcPr>
          <w:p w14:paraId="5AD20448"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-216,7</w:t>
            </w:r>
          </w:p>
        </w:tc>
        <w:tc>
          <w:tcPr>
            <w:tcW w:w="891" w:type="dxa"/>
            <w:shd w:val="clear" w:color="auto" w:fill="BDD6EE" w:themeFill="accent1" w:themeFillTint="66"/>
            <w:vAlign w:val="center"/>
          </w:tcPr>
          <w:p w14:paraId="45FB33DE" w14:textId="77777777" w:rsidR="00E37498" w:rsidRPr="00CA2430" w:rsidRDefault="00E37498" w:rsidP="006E6149">
            <w:pPr>
              <w:spacing w:before="0" w:after="0"/>
              <w:ind w:firstLine="0"/>
              <w:jc w:val="center"/>
              <w:rPr>
                <w:rFonts w:cs="Times New Roman"/>
                <w:b/>
                <w:bCs/>
                <w:noProof/>
                <w:sz w:val="20"/>
                <w:szCs w:val="20"/>
                <w:highlight w:val="yellow"/>
              </w:rPr>
            </w:pPr>
            <w:r w:rsidRPr="00CA2430">
              <w:rPr>
                <w:rFonts w:cs="Times New Roman"/>
                <w:b/>
                <w:bCs/>
                <w:noProof/>
                <w:color w:val="000000"/>
                <w:sz w:val="20"/>
                <w:szCs w:val="20"/>
              </w:rPr>
              <w:t>-197,0</w:t>
            </w:r>
          </w:p>
        </w:tc>
        <w:tc>
          <w:tcPr>
            <w:tcW w:w="891" w:type="dxa"/>
            <w:shd w:val="clear" w:color="auto" w:fill="BDD6EE" w:themeFill="accent1" w:themeFillTint="66"/>
            <w:vAlign w:val="center"/>
            <w:hideMark/>
          </w:tcPr>
          <w:p w14:paraId="5101B333"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-192,4</w:t>
            </w:r>
          </w:p>
        </w:tc>
        <w:tc>
          <w:tcPr>
            <w:tcW w:w="933" w:type="dxa"/>
            <w:shd w:val="clear" w:color="auto" w:fill="BDD6EE" w:themeFill="accent1" w:themeFillTint="66"/>
            <w:vAlign w:val="center"/>
            <w:hideMark/>
          </w:tcPr>
          <w:p w14:paraId="4944866A"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-216,2</w:t>
            </w:r>
          </w:p>
        </w:tc>
      </w:tr>
      <w:tr w:rsidR="00E37498" w:rsidRPr="00CA2430" w14:paraId="676F65A8" w14:textId="77777777" w:rsidTr="00FE0109">
        <w:trPr>
          <w:trHeight w:val="20"/>
          <w:jc w:val="center"/>
        </w:trPr>
        <w:tc>
          <w:tcPr>
            <w:tcW w:w="4655" w:type="dxa"/>
            <w:shd w:val="clear" w:color="auto" w:fill="auto"/>
            <w:vAlign w:val="center"/>
            <w:hideMark/>
          </w:tcPr>
          <w:p w14:paraId="52137426"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Nodokļu ieņēmumi</w:t>
            </w:r>
          </w:p>
        </w:tc>
        <w:tc>
          <w:tcPr>
            <w:tcW w:w="907" w:type="dxa"/>
            <w:shd w:val="clear" w:color="auto" w:fill="BDD6EE" w:themeFill="accent1" w:themeFillTint="66"/>
            <w:vAlign w:val="bottom"/>
            <w:hideMark/>
          </w:tcPr>
          <w:p w14:paraId="4F5BA946"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-101,5</w:t>
            </w:r>
          </w:p>
        </w:tc>
        <w:tc>
          <w:tcPr>
            <w:tcW w:w="906" w:type="dxa"/>
            <w:shd w:val="clear" w:color="auto" w:fill="BDD6EE" w:themeFill="accent1" w:themeFillTint="66"/>
            <w:vAlign w:val="bottom"/>
            <w:hideMark/>
          </w:tcPr>
          <w:p w14:paraId="0A79C99C"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-211,5</w:t>
            </w:r>
          </w:p>
        </w:tc>
        <w:tc>
          <w:tcPr>
            <w:tcW w:w="891" w:type="dxa"/>
            <w:shd w:val="clear" w:color="auto" w:fill="BDD6EE" w:themeFill="accent1" w:themeFillTint="66"/>
            <w:vAlign w:val="bottom"/>
          </w:tcPr>
          <w:p w14:paraId="7D381DB7"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color w:val="000000"/>
                <w:sz w:val="20"/>
                <w:szCs w:val="20"/>
              </w:rPr>
              <w:t>-210,6</w:t>
            </w:r>
          </w:p>
        </w:tc>
        <w:tc>
          <w:tcPr>
            <w:tcW w:w="891" w:type="dxa"/>
            <w:shd w:val="clear" w:color="auto" w:fill="BDD6EE" w:themeFill="accent1" w:themeFillTint="66"/>
            <w:vAlign w:val="bottom"/>
            <w:hideMark/>
          </w:tcPr>
          <w:p w14:paraId="6CD8F096"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-210,2</w:t>
            </w:r>
          </w:p>
        </w:tc>
        <w:tc>
          <w:tcPr>
            <w:tcW w:w="933" w:type="dxa"/>
            <w:shd w:val="clear" w:color="auto" w:fill="BDD6EE" w:themeFill="accent1" w:themeFillTint="66"/>
            <w:vAlign w:val="bottom"/>
            <w:hideMark/>
          </w:tcPr>
          <w:p w14:paraId="5992951D"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-226,5</w:t>
            </w:r>
          </w:p>
        </w:tc>
      </w:tr>
      <w:tr w:rsidR="00E37498" w:rsidRPr="00CA2430" w14:paraId="4BBD7598" w14:textId="77777777" w:rsidTr="00FE0109">
        <w:trPr>
          <w:trHeight w:val="20"/>
          <w:jc w:val="center"/>
        </w:trPr>
        <w:tc>
          <w:tcPr>
            <w:tcW w:w="4655" w:type="dxa"/>
            <w:shd w:val="clear" w:color="auto" w:fill="auto"/>
            <w:vAlign w:val="center"/>
            <w:hideMark/>
          </w:tcPr>
          <w:p w14:paraId="379BBBFE"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Iedzīvotāju ienākuma nodoklis</w:t>
            </w:r>
          </w:p>
        </w:tc>
        <w:tc>
          <w:tcPr>
            <w:tcW w:w="907" w:type="dxa"/>
            <w:shd w:val="clear" w:color="auto" w:fill="BDD6EE" w:themeFill="accent1" w:themeFillTint="66"/>
            <w:vAlign w:val="bottom"/>
            <w:hideMark/>
          </w:tcPr>
          <w:p w14:paraId="6C87D091"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-17,9</w:t>
            </w:r>
          </w:p>
        </w:tc>
        <w:tc>
          <w:tcPr>
            <w:tcW w:w="906" w:type="dxa"/>
            <w:shd w:val="clear" w:color="auto" w:fill="BDD6EE" w:themeFill="accent1" w:themeFillTint="66"/>
            <w:vAlign w:val="bottom"/>
            <w:hideMark/>
          </w:tcPr>
          <w:p w14:paraId="31594DF4"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-33,4</w:t>
            </w:r>
          </w:p>
        </w:tc>
        <w:tc>
          <w:tcPr>
            <w:tcW w:w="891" w:type="dxa"/>
            <w:shd w:val="clear" w:color="auto" w:fill="BDD6EE" w:themeFill="accent1" w:themeFillTint="66"/>
            <w:vAlign w:val="bottom"/>
          </w:tcPr>
          <w:p w14:paraId="4A10461C" w14:textId="77777777" w:rsidR="00E37498" w:rsidRPr="00CA2430" w:rsidRDefault="00E37498" w:rsidP="006E6149">
            <w:pPr>
              <w:spacing w:before="0" w:after="0"/>
              <w:ind w:firstLine="0"/>
              <w:jc w:val="center"/>
              <w:rPr>
                <w:rFonts w:cs="Times New Roman"/>
                <w:i/>
                <w:iCs/>
                <w:noProof/>
                <w:sz w:val="18"/>
                <w:szCs w:val="18"/>
                <w:highlight w:val="yellow"/>
              </w:rPr>
            </w:pPr>
            <w:r w:rsidRPr="00CA2430">
              <w:rPr>
                <w:rFonts w:cs="Times New Roman"/>
                <w:i/>
                <w:iCs/>
                <w:noProof/>
                <w:color w:val="000000"/>
                <w:sz w:val="18"/>
                <w:szCs w:val="18"/>
              </w:rPr>
              <w:t>-31,3</w:t>
            </w:r>
          </w:p>
        </w:tc>
        <w:tc>
          <w:tcPr>
            <w:tcW w:w="891" w:type="dxa"/>
            <w:shd w:val="clear" w:color="auto" w:fill="BDD6EE" w:themeFill="accent1" w:themeFillTint="66"/>
            <w:vAlign w:val="bottom"/>
            <w:hideMark/>
          </w:tcPr>
          <w:p w14:paraId="6D5E6A0C"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-29,3</w:t>
            </w:r>
          </w:p>
        </w:tc>
        <w:tc>
          <w:tcPr>
            <w:tcW w:w="933" w:type="dxa"/>
            <w:shd w:val="clear" w:color="auto" w:fill="BDD6EE" w:themeFill="accent1" w:themeFillTint="66"/>
            <w:vAlign w:val="bottom"/>
            <w:hideMark/>
          </w:tcPr>
          <w:p w14:paraId="5A17524F"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-33,5</w:t>
            </w:r>
          </w:p>
        </w:tc>
      </w:tr>
      <w:tr w:rsidR="00E37498" w:rsidRPr="00CA2430" w14:paraId="7C87BCB1" w14:textId="77777777" w:rsidTr="00FE0109">
        <w:trPr>
          <w:trHeight w:val="20"/>
          <w:jc w:val="center"/>
        </w:trPr>
        <w:tc>
          <w:tcPr>
            <w:tcW w:w="4655" w:type="dxa"/>
            <w:shd w:val="clear" w:color="auto" w:fill="auto"/>
            <w:vAlign w:val="center"/>
            <w:hideMark/>
          </w:tcPr>
          <w:p w14:paraId="3E551A57"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Uzņēmuma ienākuma nodoklis</w:t>
            </w:r>
          </w:p>
        </w:tc>
        <w:tc>
          <w:tcPr>
            <w:tcW w:w="907" w:type="dxa"/>
            <w:shd w:val="clear" w:color="auto" w:fill="BDD6EE" w:themeFill="accent1" w:themeFillTint="66"/>
            <w:vAlign w:val="bottom"/>
            <w:hideMark/>
          </w:tcPr>
          <w:p w14:paraId="61E05871"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-6,4</w:t>
            </w:r>
          </w:p>
        </w:tc>
        <w:tc>
          <w:tcPr>
            <w:tcW w:w="906" w:type="dxa"/>
            <w:shd w:val="clear" w:color="auto" w:fill="BDD6EE" w:themeFill="accent1" w:themeFillTint="66"/>
            <w:vAlign w:val="bottom"/>
            <w:hideMark/>
          </w:tcPr>
          <w:p w14:paraId="76ADC2E9"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-13,7</w:t>
            </w:r>
          </w:p>
        </w:tc>
        <w:tc>
          <w:tcPr>
            <w:tcW w:w="891" w:type="dxa"/>
            <w:shd w:val="clear" w:color="auto" w:fill="BDD6EE" w:themeFill="accent1" w:themeFillTint="66"/>
            <w:vAlign w:val="bottom"/>
          </w:tcPr>
          <w:p w14:paraId="031B5903"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-13,9</w:t>
            </w:r>
          </w:p>
        </w:tc>
        <w:tc>
          <w:tcPr>
            <w:tcW w:w="891" w:type="dxa"/>
            <w:shd w:val="clear" w:color="auto" w:fill="BDD6EE" w:themeFill="accent1" w:themeFillTint="66"/>
            <w:vAlign w:val="bottom"/>
            <w:hideMark/>
          </w:tcPr>
          <w:p w14:paraId="4B327F03"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-14,1</w:t>
            </w:r>
          </w:p>
        </w:tc>
        <w:tc>
          <w:tcPr>
            <w:tcW w:w="933" w:type="dxa"/>
            <w:shd w:val="clear" w:color="auto" w:fill="BDD6EE" w:themeFill="accent1" w:themeFillTint="66"/>
            <w:vAlign w:val="bottom"/>
            <w:hideMark/>
          </w:tcPr>
          <w:p w14:paraId="6B3F7566"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-14,3</w:t>
            </w:r>
          </w:p>
        </w:tc>
      </w:tr>
      <w:tr w:rsidR="00E37498" w:rsidRPr="00CA2430" w14:paraId="5E997A52" w14:textId="77777777" w:rsidTr="00FE0109">
        <w:trPr>
          <w:trHeight w:val="20"/>
          <w:jc w:val="center"/>
        </w:trPr>
        <w:tc>
          <w:tcPr>
            <w:tcW w:w="4655" w:type="dxa"/>
            <w:shd w:val="clear" w:color="auto" w:fill="auto"/>
            <w:vAlign w:val="center"/>
            <w:hideMark/>
          </w:tcPr>
          <w:p w14:paraId="7E5ECF34"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Pievienotās vērtības nodoklis</w:t>
            </w:r>
          </w:p>
        </w:tc>
        <w:tc>
          <w:tcPr>
            <w:tcW w:w="907" w:type="dxa"/>
            <w:shd w:val="clear" w:color="auto" w:fill="BDD6EE" w:themeFill="accent1" w:themeFillTint="66"/>
            <w:vAlign w:val="bottom"/>
            <w:hideMark/>
          </w:tcPr>
          <w:p w14:paraId="163FF64E"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-36,6</w:t>
            </w:r>
          </w:p>
        </w:tc>
        <w:tc>
          <w:tcPr>
            <w:tcW w:w="906" w:type="dxa"/>
            <w:shd w:val="clear" w:color="auto" w:fill="BDD6EE" w:themeFill="accent1" w:themeFillTint="66"/>
            <w:vAlign w:val="bottom"/>
            <w:hideMark/>
          </w:tcPr>
          <w:p w14:paraId="2ED8BDEB"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-83,5</w:t>
            </w:r>
          </w:p>
        </w:tc>
        <w:tc>
          <w:tcPr>
            <w:tcW w:w="891" w:type="dxa"/>
            <w:shd w:val="clear" w:color="auto" w:fill="BDD6EE" w:themeFill="accent1" w:themeFillTint="66"/>
            <w:vAlign w:val="bottom"/>
          </w:tcPr>
          <w:p w14:paraId="4BFAA0F5"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-86,8</w:t>
            </w:r>
          </w:p>
        </w:tc>
        <w:tc>
          <w:tcPr>
            <w:tcW w:w="891" w:type="dxa"/>
            <w:shd w:val="clear" w:color="auto" w:fill="BDD6EE" w:themeFill="accent1" w:themeFillTint="66"/>
            <w:vAlign w:val="bottom"/>
            <w:hideMark/>
          </w:tcPr>
          <w:p w14:paraId="68FDC6DF"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-90,6</w:t>
            </w:r>
          </w:p>
        </w:tc>
        <w:tc>
          <w:tcPr>
            <w:tcW w:w="933" w:type="dxa"/>
            <w:shd w:val="clear" w:color="auto" w:fill="BDD6EE" w:themeFill="accent1" w:themeFillTint="66"/>
            <w:vAlign w:val="bottom"/>
            <w:hideMark/>
          </w:tcPr>
          <w:p w14:paraId="6AC33A1E"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-94,9</w:t>
            </w:r>
          </w:p>
        </w:tc>
      </w:tr>
      <w:tr w:rsidR="00E37498" w:rsidRPr="00CA2430" w14:paraId="14B2C1FE" w14:textId="77777777" w:rsidTr="00FE0109">
        <w:trPr>
          <w:trHeight w:val="20"/>
          <w:jc w:val="center"/>
        </w:trPr>
        <w:tc>
          <w:tcPr>
            <w:tcW w:w="4655" w:type="dxa"/>
            <w:shd w:val="clear" w:color="auto" w:fill="auto"/>
            <w:vAlign w:val="bottom"/>
            <w:hideMark/>
          </w:tcPr>
          <w:p w14:paraId="40F68B6F"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bookmarkStart w:id="19" w:name="RANGE!A13"/>
            <w:r w:rsidRPr="00CA2430">
              <w:rPr>
                <w:rFonts w:eastAsia="Times New Roman" w:cs="Times New Roman"/>
                <w:i/>
                <w:iCs/>
                <w:noProof/>
                <w:color w:val="000000"/>
                <w:sz w:val="18"/>
                <w:szCs w:val="18"/>
                <w:lang w:eastAsia="lv-LV"/>
              </w:rPr>
              <w:t>Valsts sociālās apdrošināšanas obligātās  iemaksas</w:t>
            </w:r>
            <w:bookmarkEnd w:id="19"/>
          </w:p>
        </w:tc>
        <w:tc>
          <w:tcPr>
            <w:tcW w:w="907" w:type="dxa"/>
            <w:shd w:val="clear" w:color="auto" w:fill="BDD6EE" w:themeFill="accent1" w:themeFillTint="66"/>
            <w:vAlign w:val="bottom"/>
            <w:hideMark/>
          </w:tcPr>
          <w:p w14:paraId="4D4FED87"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-28,8</w:t>
            </w:r>
          </w:p>
        </w:tc>
        <w:tc>
          <w:tcPr>
            <w:tcW w:w="906" w:type="dxa"/>
            <w:shd w:val="clear" w:color="auto" w:fill="BDD6EE" w:themeFill="accent1" w:themeFillTint="66"/>
            <w:vAlign w:val="bottom"/>
            <w:hideMark/>
          </w:tcPr>
          <w:p w14:paraId="0E582378"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-54,3</w:t>
            </w:r>
          </w:p>
        </w:tc>
        <w:tc>
          <w:tcPr>
            <w:tcW w:w="891" w:type="dxa"/>
            <w:shd w:val="clear" w:color="auto" w:fill="BDD6EE" w:themeFill="accent1" w:themeFillTint="66"/>
            <w:vAlign w:val="bottom"/>
          </w:tcPr>
          <w:p w14:paraId="66557ABF"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-50,7</w:t>
            </w:r>
          </w:p>
        </w:tc>
        <w:tc>
          <w:tcPr>
            <w:tcW w:w="891" w:type="dxa"/>
            <w:shd w:val="clear" w:color="auto" w:fill="BDD6EE" w:themeFill="accent1" w:themeFillTint="66"/>
            <w:vAlign w:val="bottom"/>
            <w:hideMark/>
          </w:tcPr>
          <w:p w14:paraId="7852EE84"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-47,4</w:t>
            </w:r>
          </w:p>
        </w:tc>
        <w:tc>
          <w:tcPr>
            <w:tcW w:w="933" w:type="dxa"/>
            <w:shd w:val="clear" w:color="auto" w:fill="BDD6EE" w:themeFill="accent1" w:themeFillTint="66"/>
            <w:vAlign w:val="bottom"/>
            <w:hideMark/>
          </w:tcPr>
          <w:p w14:paraId="209524D5"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-54,1</w:t>
            </w:r>
          </w:p>
        </w:tc>
      </w:tr>
      <w:tr w:rsidR="00E37498" w:rsidRPr="00CA2430" w14:paraId="6CA8E0D6" w14:textId="77777777" w:rsidTr="00FE0109">
        <w:trPr>
          <w:trHeight w:val="20"/>
          <w:jc w:val="center"/>
        </w:trPr>
        <w:tc>
          <w:tcPr>
            <w:tcW w:w="4655" w:type="dxa"/>
            <w:shd w:val="clear" w:color="auto" w:fill="auto"/>
            <w:vAlign w:val="center"/>
            <w:hideMark/>
          </w:tcPr>
          <w:p w14:paraId="28C8F31C" w14:textId="77777777" w:rsidR="00E37498" w:rsidRPr="00CA2430" w:rsidRDefault="00E37498" w:rsidP="006E6149">
            <w:pPr>
              <w:spacing w:before="0" w:after="0"/>
              <w:ind w:firstLine="0"/>
              <w:jc w:val="righ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          </w:t>
            </w:r>
            <w:r w:rsidRPr="00CA2430">
              <w:rPr>
                <w:rFonts w:eastAsia="Times New Roman" w:cs="Times New Roman"/>
                <w:i/>
                <w:iCs/>
                <w:noProof/>
                <w:color w:val="000000"/>
                <w:sz w:val="18"/>
                <w:szCs w:val="18"/>
                <w:lang w:eastAsia="lv-LV"/>
              </w:rPr>
              <w:t>Akcīzes nodoklis</w:t>
            </w:r>
          </w:p>
        </w:tc>
        <w:tc>
          <w:tcPr>
            <w:tcW w:w="907" w:type="dxa"/>
            <w:shd w:val="clear" w:color="auto" w:fill="BDD6EE" w:themeFill="accent1" w:themeFillTint="66"/>
            <w:vAlign w:val="bottom"/>
            <w:hideMark/>
          </w:tcPr>
          <w:p w14:paraId="402337BD"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-11,2</w:t>
            </w:r>
          </w:p>
        </w:tc>
        <w:tc>
          <w:tcPr>
            <w:tcW w:w="906" w:type="dxa"/>
            <w:shd w:val="clear" w:color="auto" w:fill="BDD6EE" w:themeFill="accent1" w:themeFillTint="66"/>
            <w:vAlign w:val="bottom"/>
            <w:hideMark/>
          </w:tcPr>
          <w:p w14:paraId="221E1AD7"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-25,3</w:t>
            </w:r>
          </w:p>
        </w:tc>
        <w:tc>
          <w:tcPr>
            <w:tcW w:w="891" w:type="dxa"/>
            <w:shd w:val="clear" w:color="auto" w:fill="BDD6EE" w:themeFill="accent1" w:themeFillTint="66"/>
            <w:vAlign w:val="bottom"/>
          </w:tcPr>
          <w:p w14:paraId="77F86106"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-26,5</w:t>
            </w:r>
          </w:p>
        </w:tc>
        <w:tc>
          <w:tcPr>
            <w:tcW w:w="891" w:type="dxa"/>
            <w:shd w:val="clear" w:color="auto" w:fill="BDD6EE" w:themeFill="accent1" w:themeFillTint="66"/>
            <w:vAlign w:val="bottom"/>
            <w:hideMark/>
          </w:tcPr>
          <w:p w14:paraId="0EAF28DB"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-27,4</w:t>
            </w:r>
          </w:p>
        </w:tc>
        <w:tc>
          <w:tcPr>
            <w:tcW w:w="933" w:type="dxa"/>
            <w:shd w:val="clear" w:color="auto" w:fill="BDD6EE" w:themeFill="accent1" w:themeFillTint="66"/>
            <w:vAlign w:val="bottom"/>
            <w:hideMark/>
          </w:tcPr>
          <w:p w14:paraId="70BF0ED4"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-28,1</w:t>
            </w:r>
          </w:p>
        </w:tc>
      </w:tr>
      <w:tr w:rsidR="00E37498" w:rsidRPr="00CA2430" w14:paraId="2F97DD86" w14:textId="77777777" w:rsidTr="00FE0109">
        <w:trPr>
          <w:trHeight w:val="20"/>
          <w:jc w:val="center"/>
        </w:trPr>
        <w:tc>
          <w:tcPr>
            <w:tcW w:w="4655" w:type="dxa"/>
            <w:shd w:val="clear" w:color="auto" w:fill="auto"/>
            <w:vAlign w:val="center"/>
            <w:hideMark/>
          </w:tcPr>
          <w:p w14:paraId="25C65B78"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Nenodokļu ieņēmumi</w:t>
            </w:r>
          </w:p>
        </w:tc>
        <w:tc>
          <w:tcPr>
            <w:tcW w:w="907" w:type="dxa"/>
            <w:shd w:val="clear" w:color="auto" w:fill="BDD6EE" w:themeFill="accent1" w:themeFillTint="66"/>
            <w:vAlign w:val="bottom"/>
            <w:hideMark/>
          </w:tcPr>
          <w:p w14:paraId="45AFC975"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-3,8</w:t>
            </w:r>
          </w:p>
        </w:tc>
        <w:tc>
          <w:tcPr>
            <w:tcW w:w="906" w:type="dxa"/>
            <w:shd w:val="clear" w:color="auto" w:fill="BDD6EE" w:themeFill="accent1" w:themeFillTint="66"/>
            <w:vAlign w:val="bottom"/>
            <w:hideMark/>
          </w:tcPr>
          <w:p w14:paraId="03D0768F"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-4,7</w:t>
            </w:r>
          </w:p>
        </w:tc>
        <w:tc>
          <w:tcPr>
            <w:tcW w:w="891" w:type="dxa"/>
            <w:shd w:val="clear" w:color="auto" w:fill="BDD6EE" w:themeFill="accent1" w:themeFillTint="66"/>
            <w:vAlign w:val="bottom"/>
          </w:tcPr>
          <w:p w14:paraId="6F60F263"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color w:val="000000"/>
                <w:sz w:val="20"/>
                <w:szCs w:val="20"/>
              </w:rPr>
              <w:t>-3,9</w:t>
            </w:r>
          </w:p>
        </w:tc>
        <w:tc>
          <w:tcPr>
            <w:tcW w:w="891" w:type="dxa"/>
            <w:shd w:val="clear" w:color="auto" w:fill="BDD6EE" w:themeFill="accent1" w:themeFillTint="66"/>
            <w:vAlign w:val="bottom"/>
            <w:hideMark/>
          </w:tcPr>
          <w:p w14:paraId="753FA0C5"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-4,0</w:t>
            </w:r>
          </w:p>
        </w:tc>
        <w:tc>
          <w:tcPr>
            <w:tcW w:w="933" w:type="dxa"/>
            <w:shd w:val="clear" w:color="auto" w:fill="BDD6EE" w:themeFill="accent1" w:themeFillTint="66"/>
            <w:vAlign w:val="bottom"/>
            <w:hideMark/>
          </w:tcPr>
          <w:p w14:paraId="2507997C"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-4,1</w:t>
            </w:r>
          </w:p>
        </w:tc>
      </w:tr>
      <w:tr w:rsidR="00E37498" w:rsidRPr="00CA2430" w14:paraId="5E628AEA" w14:textId="77777777" w:rsidTr="00FE0109">
        <w:trPr>
          <w:trHeight w:val="20"/>
          <w:jc w:val="center"/>
        </w:trPr>
        <w:tc>
          <w:tcPr>
            <w:tcW w:w="4655" w:type="dxa"/>
            <w:shd w:val="clear" w:color="auto" w:fill="auto"/>
            <w:vAlign w:val="center"/>
          </w:tcPr>
          <w:p w14:paraId="701A2F59"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Soc.pabalstu izdevumi</w:t>
            </w:r>
          </w:p>
        </w:tc>
        <w:tc>
          <w:tcPr>
            <w:tcW w:w="907" w:type="dxa"/>
            <w:shd w:val="clear" w:color="auto" w:fill="BDD6EE" w:themeFill="accent1" w:themeFillTint="66"/>
            <w:vAlign w:val="bottom"/>
          </w:tcPr>
          <w:p w14:paraId="37976916"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1,1</w:t>
            </w:r>
          </w:p>
        </w:tc>
        <w:tc>
          <w:tcPr>
            <w:tcW w:w="906" w:type="dxa"/>
            <w:shd w:val="clear" w:color="auto" w:fill="BDD6EE" w:themeFill="accent1" w:themeFillTint="66"/>
            <w:vAlign w:val="bottom"/>
          </w:tcPr>
          <w:p w14:paraId="46A73F4B"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-3,2</w:t>
            </w:r>
          </w:p>
        </w:tc>
        <w:tc>
          <w:tcPr>
            <w:tcW w:w="891" w:type="dxa"/>
            <w:shd w:val="clear" w:color="auto" w:fill="BDD6EE" w:themeFill="accent1" w:themeFillTint="66"/>
            <w:vAlign w:val="bottom"/>
          </w:tcPr>
          <w:p w14:paraId="1933F2F8"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-28,8</w:t>
            </w:r>
          </w:p>
        </w:tc>
        <w:tc>
          <w:tcPr>
            <w:tcW w:w="891" w:type="dxa"/>
            <w:shd w:val="clear" w:color="auto" w:fill="BDD6EE" w:themeFill="accent1" w:themeFillTint="66"/>
            <w:vAlign w:val="bottom"/>
          </w:tcPr>
          <w:p w14:paraId="78FCDBF2"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-39,9</w:t>
            </w:r>
          </w:p>
        </w:tc>
        <w:tc>
          <w:tcPr>
            <w:tcW w:w="933" w:type="dxa"/>
            <w:shd w:val="clear" w:color="auto" w:fill="BDD6EE" w:themeFill="accent1" w:themeFillTint="66"/>
            <w:vAlign w:val="bottom"/>
          </w:tcPr>
          <w:p w14:paraId="178EDA89"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-39,1</w:t>
            </w:r>
          </w:p>
        </w:tc>
      </w:tr>
      <w:tr w:rsidR="00E37498" w:rsidRPr="00CA2430" w14:paraId="4A79121F" w14:textId="77777777" w:rsidTr="00FE0109">
        <w:trPr>
          <w:trHeight w:val="20"/>
          <w:jc w:val="center"/>
        </w:trPr>
        <w:tc>
          <w:tcPr>
            <w:tcW w:w="4655" w:type="dxa"/>
            <w:tcBorders>
              <w:bottom w:val="single" w:sz="4" w:space="0" w:color="auto"/>
            </w:tcBorders>
            <w:shd w:val="clear" w:color="auto" w:fill="auto"/>
            <w:vAlign w:val="center"/>
            <w:hideMark/>
          </w:tcPr>
          <w:p w14:paraId="05782859"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Procentu izdevumi</w:t>
            </w:r>
          </w:p>
        </w:tc>
        <w:tc>
          <w:tcPr>
            <w:tcW w:w="907" w:type="dxa"/>
            <w:tcBorders>
              <w:bottom w:val="single" w:sz="4" w:space="0" w:color="auto"/>
            </w:tcBorders>
            <w:shd w:val="clear" w:color="auto" w:fill="BDD6EE" w:themeFill="accent1" w:themeFillTint="66"/>
            <w:vAlign w:val="bottom"/>
            <w:hideMark/>
          </w:tcPr>
          <w:p w14:paraId="6DB0A30A"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0,0</w:t>
            </w:r>
          </w:p>
        </w:tc>
        <w:tc>
          <w:tcPr>
            <w:tcW w:w="906" w:type="dxa"/>
            <w:tcBorders>
              <w:bottom w:val="single" w:sz="4" w:space="0" w:color="auto"/>
            </w:tcBorders>
            <w:shd w:val="clear" w:color="auto" w:fill="BDD6EE" w:themeFill="accent1" w:themeFillTint="66"/>
            <w:vAlign w:val="bottom"/>
            <w:hideMark/>
          </w:tcPr>
          <w:p w14:paraId="2C6BA621"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3,8</w:t>
            </w:r>
          </w:p>
        </w:tc>
        <w:tc>
          <w:tcPr>
            <w:tcW w:w="891" w:type="dxa"/>
            <w:tcBorders>
              <w:bottom w:val="single" w:sz="4" w:space="0" w:color="auto"/>
            </w:tcBorders>
            <w:shd w:val="clear" w:color="auto" w:fill="BDD6EE" w:themeFill="accent1" w:themeFillTint="66"/>
            <w:vAlign w:val="bottom"/>
          </w:tcPr>
          <w:p w14:paraId="38D0FE41"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11,3</w:t>
            </w:r>
          </w:p>
        </w:tc>
        <w:tc>
          <w:tcPr>
            <w:tcW w:w="891" w:type="dxa"/>
            <w:tcBorders>
              <w:bottom w:val="single" w:sz="4" w:space="0" w:color="auto"/>
            </w:tcBorders>
            <w:shd w:val="clear" w:color="auto" w:fill="BDD6EE" w:themeFill="accent1" w:themeFillTint="66"/>
            <w:vAlign w:val="bottom"/>
            <w:hideMark/>
          </w:tcPr>
          <w:p w14:paraId="44B6DB48"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18,0</w:t>
            </w:r>
          </w:p>
        </w:tc>
        <w:tc>
          <w:tcPr>
            <w:tcW w:w="933" w:type="dxa"/>
            <w:tcBorders>
              <w:bottom w:val="single" w:sz="4" w:space="0" w:color="auto"/>
            </w:tcBorders>
            <w:shd w:val="clear" w:color="auto" w:fill="BDD6EE" w:themeFill="accent1" w:themeFillTint="66"/>
            <w:vAlign w:val="bottom"/>
            <w:hideMark/>
          </w:tcPr>
          <w:p w14:paraId="36072090"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24,8</w:t>
            </w:r>
          </w:p>
        </w:tc>
      </w:tr>
      <w:tr w:rsidR="00E37498" w:rsidRPr="00CA2430" w14:paraId="2DFB37FF" w14:textId="77777777" w:rsidTr="00FE0109">
        <w:trPr>
          <w:trHeight w:val="20"/>
          <w:jc w:val="center"/>
        </w:trPr>
        <w:tc>
          <w:tcPr>
            <w:tcW w:w="4655" w:type="dxa"/>
            <w:shd w:val="clear" w:color="auto" w:fill="auto"/>
            <w:vAlign w:val="center"/>
          </w:tcPr>
          <w:p w14:paraId="21B918FD" w14:textId="77777777" w:rsidR="00E37498" w:rsidRPr="00CA2430" w:rsidRDefault="00E37498" w:rsidP="006E6149">
            <w:pPr>
              <w:spacing w:before="0" w:after="0"/>
              <w:ind w:firstLine="0"/>
              <w:jc w:val="left"/>
              <w:rPr>
                <w:rFonts w:eastAsia="Times New Roman" w:cs="Times New Roman"/>
                <w:noProof/>
                <w:color w:val="000000"/>
                <w:sz w:val="20"/>
                <w:szCs w:val="20"/>
                <w:lang w:eastAsia="lv-LV"/>
              </w:rPr>
            </w:pPr>
            <w:r w:rsidRPr="00CA2430">
              <w:rPr>
                <w:rFonts w:eastAsia="Times New Roman" w:cs="Times New Roman"/>
                <w:b/>
                <w:bCs/>
                <w:noProof/>
                <w:color w:val="000000"/>
                <w:sz w:val="20"/>
                <w:szCs w:val="20"/>
                <w:lang w:eastAsia="lv-LV"/>
              </w:rPr>
              <w:t>Vispārējās valdības parāds, % no IKP</w:t>
            </w:r>
          </w:p>
        </w:tc>
        <w:tc>
          <w:tcPr>
            <w:tcW w:w="907" w:type="dxa"/>
            <w:shd w:val="clear" w:color="auto" w:fill="BDD6EE" w:themeFill="accent1" w:themeFillTint="66"/>
            <w:vAlign w:val="bottom"/>
          </w:tcPr>
          <w:p w14:paraId="550060B3"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46,5%</w:t>
            </w:r>
          </w:p>
        </w:tc>
        <w:tc>
          <w:tcPr>
            <w:tcW w:w="906" w:type="dxa"/>
            <w:shd w:val="clear" w:color="auto" w:fill="BDD6EE" w:themeFill="accent1" w:themeFillTint="66"/>
            <w:vAlign w:val="bottom"/>
          </w:tcPr>
          <w:p w14:paraId="0A8A951D"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48,5%</w:t>
            </w:r>
          </w:p>
        </w:tc>
        <w:tc>
          <w:tcPr>
            <w:tcW w:w="891" w:type="dxa"/>
            <w:shd w:val="clear" w:color="auto" w:fill="BDD6EE" w:themeFill="accent1" w:themeFillTint="66"/>
            <w:vAlign w:val="bottom"/>
          </w:tcPr>
          <w:p w14:paraId="01872419"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49,1%</w:t>
            </w:r>
          </w:p>
        </w:tc>
        <w:tc>
          <w:tcPr>
            <w:tcW w:w="891" w:type="dxa"/>
            <w:shd w:val="clear" w:color="auto" w:fill="BDD6EE" w:themeFill="accent1" w:themeFillTint="66"/>
            <w:vAlign w:val="bottom"/>
          </w:tcPr>
          <w:p w14:paraId="38808D27"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52,1%</w:t>
            </w:r>
          </w:p>
        </w:tc>
        <w:tc>
          <w:tcPr>
            <w:tcW w:w="933" w:type="dxa"/>
            <w:shd w:val="clear" w:color="auto" w:fill="BDD6EE" w:themeFill="accent1" w:themeFillTint="66"/>
            <w:vAlign w:val="bottom"/>
          </w:tcPr>
          <w:p w14:paraId="36B3E23E"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51,8%</w:t>
            </w:r>
          </w:p>
        </w:tc>
      </w:tr>
    </w:tbl>
    <w:p w14:paraId="28250430" w14:textId="77777777" w:rsidR="00E37498" w:rsidRPr="00CA2430" w:rsidRDefault="00E37498" w:rsidP="00E37498">
      <w:pPr>
        <w:rPr>
          <w:noProof/>
          <w:color w:val="000000" w:themeColor="text1"/>
          <w:szCs w:val="24"/>
        </w:rPr>
      </w:pPr>
      <w:r w:rsidRPr="00CA2430">
        <w:rPr>
          <w:noProof/>
          <w:color w:val="000000" w:themeColor="text1"/>
          <w:szCs w:val="24"/>
        </w:rPr>
        <w:t>2024. -2028. gadā vispārējās valdības budžeta deficīts, pesimistiskajam scenārijam iestājoties un saglabājoties nemainīgai valdības politikai, tiek prognozēts attiecīgi 2,8% no IKP 2024. gadā, 3,5% no IKP 2025. gadā, 3,2% no IKP 2026. gadā, 2,8% no IKP 2027. gadā un 2,7% no IKP 2028. gadā. Pie šī scenārija bilances pasliktināšanos galvenokārt nosaka zemāki kopbudžeta nodokļu ieņēmumi un augstāki izdevumi procentu izdevumiem, kamēr speciālā budžeta pabalstu izdevumi prognozēti zemākā apmērā kā bāzes scenārijā.</w:t>
      </w:r>
    </w:p>
    <w:p w14:paraId="2F1E7A2F" w14:textId="1F397B96" w:rsidR="00E37498" w:rsidRPr="00CA2430" w:rsidRDefault="00E37498" w:rsidP="00E37498">
      <w:pPr>
        <w:rPr>
          <w:noProof/>
          <w:color w:val="000000" w:themeColor="text1"/>
          <w:szCs w:val="24"/>
          <w:highlight w:val="yellow"/>
        </w:rPr>
      </w:pPr>
      <w:r w:rsidRPr="00CA2430">
        <w:rPr>
          <w:noProof/>
          <w:color w:val="000000" w:themeColor="text1"/>
          <w:szCs w:val="24"/>
        </w:rPr>
        <w:t>Iestājoties šādam scenārijam, vispārējās valdības budžeta bilance pasliktinātos par 0,3 procentpunktiem 2024.</w:t>
      </w:r>
      <w:r w:rsidR="00FE0109">
        <w:rPr>
          <w:noProof/>
          <w:color w:val="000000" w:themeColor="text1"/>
          <w:szCs w:val="24"/>
        </w:rPr>
        <w:t> </w:t>
      </w:r>
      <w:r w:rsidRPr="00CA2430">
        <w:rPr>
          <w:noProof/>
          <w:color w:val="000000" w:themeColor="text1"/>
          <w:szCs w:val="24"/>
        </w:rPr>
        <w:t>gadā, salīdzinot ar bāzes scenāriju, 2025.</w:t>
      </w:r>
      <w:r w:rsidR="00FE0109">
        <w:rPr>
          <w:noProof/>
          <w:color w:val="000000" w:themeColor="text1"/>
          <w:szCs w:val="24"/>
        </w:rPr>
        <w:t> </w:t>
      </w:r>
      <w:r w:rsidRPr="00CA2430">
        <w:rPr>
          <w:noProof/>
          <w:color w:val="000000" w:themeColor="text1"/>
          <w:szCs w:val="24"/>
        </w:rPr>
        <w:t>gadā par 0,6 procentpunktiem no IKP, 2026. gadā par 0,5 procentpunktiem no IKP, 2027. gadā par 0,4</w:t>
      </w:r>
      <w:r w:rsidR="00FE0109">
        <w:rPr>
          <w:noProof/>
          <w:color w:val="000000" w:themeColor="text1"/>
          <w:szCs w:val="24"/>
        </w:rPr>
        <w:t> </w:t>
      </w:r>
      <w:r w:rsidRPr="00CA2430">
        <w:rPr>
          <w:noProof/>
          <w:color w:val="000000" w:themeColor="text1"/>
          <w:szCs w:val="24"/>
        </w:rPr>
        <w:t>procentpunktiem no IKP un 2028. gadā par 0,5</w:t>
      </w:r>
      <w:r w:rsidR="00FE0109">
        <w:rPr>
          <w:noProof/>
          <w:color w:val="000000" w:themeColor="text1"/>
          <w:szCs w:val="24"/>
        </w:rPr>
        <w:t> </w:t>
      </w:r>
      <w:r w:rsidRPr="00CA2430">
        <w:rPr>
          <w:noProof/>
          <w:color w:val="000000" w:themeColor="text1"/>
          <w:szCs w:val="24"/>
        </w:rPr>
        <w:t>procentpunktiem no IKP. Savukārt vispārējās valdības parāda līmenis pieaugs 2024. gadā par 0,7 procentpunktiem, 2025. gadā par 1,7 procentpunktiem, 2026. gadā par 2,1 procentpunktiem, 2027. gadā par 2,5 procentpunktiem un 2028. gadā par 2,9 procentpunktiem. Sagaidāms, ka parāda līmenis, pesimistiskajam scenārijam iestājoties, 2027. gadā sasniegtu jau 52,1% no IKP.</w:t>
      </w:r>
    </w:p>
    <w:p w14:paraId="6702C60E" w14:textId="77777777" w:rsidR="00E37498" w:rsidRPr="00CA2430" w:rsidRDefault="00E37498" w:rsidP="00FE0109">
      <w:pPr>
        <w:pStyle w:val="H4"/>
        <w:spacing w:before="240"/>
        <w:ind w:left="0" w:firstLine="720"/>
        <w:jc w:val="both"/>
        <w:outlineLvl w:val="9"/>
        <w:rPr>
          <w:rFonts w:ascii="Times New Roman" w:hAnsi="Times New Roman"/>
          <w:iCs/>
          <w:noProof/>
          <w:sz w:val="24"/>
          <w:szCs w:val="24"/>
        </w:rPr>
      </w:pPr>
      <w:r w:rsidRPr="00CA2430">
        <w:rPr>
          <w:rFonts w:ascii="Times New Roman" w:hAnsi="Times New Roman"/>
          <w:iCs/>
          <w:noProof/>
          <w:sz w:val="24"/>
          <w:szCs w:val="24"/>
        </w:rPr>
        <w:t>Optimistiskais scenārijs</w:t>
      </w:r>
    </w:p>
    <w:p w14:paraId="7074E232" w14:textId="77777777" w:rsidR="00E37498" w:rsidRPr="00CA2430" w:rsidRDefault="00E37498" w:rsidP="00E37498">
      <w:pPr>
        <w:autoSpaceDE w:val="0"/>
        <w:autoSpaceDN w:val="0"/>
        <w:adjustRightInd w:val="0"/>
        <w:spacing w:before="0" w:after="0"/>
        <w:rPr>
          <w:rFonts w:eastAsia="Calibri" w:cs="Times New Roman"/>
          <w:noProof/>
          <w:szCs w:val="24"/>
        </w:rPr>
      </w:pPr>
      <w:r w:rsidRPr="00CA2430">
        <w:rPr>
          <w:rFonts w:eastAsia="Calibri" w:cs="Times New Roman"/>
          <w:noProof/>
          <w:szCs w:val="24"/>
        </w:rPr>
        <w:t>Optimistiskais scenārijs turpretim paredz straujāku eirozonas ekonomikas atkopšanos, jo eirozonas pamatinflācija varētu mazināties ātrāk un ECB varētu pieņemt lēmumu straujāk samazināt bāzes procentu likmi. Papildus tam, energoresursu tirgus situācija saglabātos labvēlīga, ES kļūtu neatkarīgāka no energoresursu importa no politiski nestabiliem reģioniem, kā arī šī ziema nebūtu aukstāka par iepriekšējo.</w:t>
      </w:r>
    </w:p>
    <w:p w14:paraId="4F169392" w14:textId="169C02B8" w:rsidR="00E37498" w:rsidRPr="00CA2430" w:rsidRDefault="00E37498" w:rsidP="00E37498">
      <w:pPr>
        <w:spacing w:before="0" w:after="0"/>
        <w:rPr>
          <w:rFonts w:eastAsia="Times New Roman" w:cs="Times New Roman"/>
          <w:noProof/>
          <w:szCs w:val="24"/>
          <w:lang w:eastAsia="lv-LV"/>
        </w:rPr>
      </w:pPr>
      <w:r w:rsidRPr="00CA2430">
        <w:rPr>
          <w:rFonts w:eastAsia="Times New Roman" w:cs="Times New Roman"/>
          <w:noProof/>
          <w:szCs w:val="24"/>
          <w:lang w:eastAsia="lv-LV"/>
        </w:rPr>
        <w:t>Saskaņā ar optimistisko scenāriju iekšzemes kopprodukts salīdzināmajās cenās varētu pieaugt par 2,1% 2024. gadā un par 3,8% 2025. gadā, kas attiecīgi būtu par 0,7 un 0,9</w:t>
      </w:r>
      <w:r w:rsidR="00FE0109">
        <w:rPr>
          <w:rFonts w:eastAsia="Times New Roman" w:cs="Times New Roman"/>
          <w:noProof/>
          <w:szCs w:val="24"/>
          <w:lang w:eastAsia="lv-LV"/>
        </w:rPr>
        <w:t> </w:t>
      </w:r>
      <w:r w:rsidRPr="00CA2430">
        <w:rPr>
          <w:rFonts w:eastAsia="Times New Roman" w:cs="Times New Roman"/>
          <w:noProof/>
          <w:szCs w:val="24"/>
          <w:lang w:eastAsia="lv-LV"/>
        </w:rPr>
        <w:t xml:space="preserve">procentpunktiem vairāk nekā bāzes scenārijā </w:t>
      </w:r>
      <w:r w:rsidRPr="00CA2430">
        <w:rPr>
          <w:noProof/>
          <w:color w:val="000000" w:themeColor="text1"/>
        </w:rPr>
        <w:t xml:space="preserve">(skat. </w:t>
      </w:r>
      <w:r w:rsidR="00FE0109">
        <w:rPr>
          <w:noProof/>
          <w:color w:val="000000" w:themeColor="text1"/>
        </w:rPr>
        <w:t>11</w:t>
      </w:r>
      <w:r w:rsidRPr="00CA2430">
        <w:rPr>
          <w:noProof/>
          <w:color w:val="000000" w:themeColor="text1"/>
        </w:rPr>
        <w:t>. tabulu)</w:t>
      </w:r>
      <w:r w:rsidRPr="00CA2430">
        <w:rPr>
          <w:rFonts w:eastAsia="Times New Roman" w:cs="Times New Roman"/>
          <w:noProof/>
          <w:szCs w:val="24"/>
          <w:lang w:eastAsia="lv-LV"/>
        </w:rPr>
        <w:t>. Turpmākajos gados izaugsme saglabātos bāzes scenārija līmenī. Arī inflācijas dinamika neatšķirtos no bāzes scenārija, jo enerģijas tirgū turpinātos tendences saskaņā ar nospraustajiem plāniem.</w:t>
      </w:r>
    </w:p>
    <w:p w14:paraId="63C7C816" w14:textId="77777777" w:rsidR="00FE0109" w:rsidRDefault="00FE0109">
      <w:pPr>
        <w:spacing w:before="0" w:after="0"/>
        <w:ind w:firstLine="0"/>
        <w:jc w:val="left"/>
        <w:rPr>
          <w:b/>
          <w:bCs/>
          <w:noProof/>
          <w:szCs w:val="24"/>
        </w:rPr>
      </w:pPr>
      <w:r>
        <w:rPr>
          <w:b/>
          <w:bCs/>
          <w:noProof/>
          <w:szCs w:val="24"/>
        </w:rPr>
        <w:br w:type="page"/>
      </w:r>
    </w:p>
    <w:p w14:paraId="0F99FB8D" w14:textId="106091D8" w:rsidR="00E37498" w:rsidRPr="00CA2430" w:rsidRDefault="00FE0109" w:rsidP="00E2717D">
      <w:pPr>
        <w:ind w:firstLine="0"/>
        <w:jc w:val="center"/>
        <w:rPr>
          <w:b/>
          <w:bCs/>
          <w:noProof/>
          <w:szCs w:val="24"/>
        </w:rPr>
      </w:pPr>
      <w:r>
        <w:rPr>
          <w:b/>
          <w:bCs/>
          <w:noProof/>
          <w:szCs w:val="24"/>
        </w:rPr>
        <w:lastRenderedPageBreak/>
        <w:t>11</w:t>
      </w:r>
      <w:r w:rsidR="00E37498" w:rsidRPr="00CA2430">
        <w:rPr>
          <w:b/>
          <w:bCs/>
          <w:noProof/>
          <w:szCs w:val="24"/>
        </w:rPr>
        <w:t>. tabula. Makroekonomiskie rādītāji 2023. – 2028. gadā</w:t>
      </w:r>
      <w:r w:rsidR="00E37498" w:rsidRPr="00CA2430">
        <w:rPr>
          <w:b/>
          <w:bCs/>
          <w:noProof/>
          <w:szCs w:val="24"/>
        </w:rPr>
        <w:br/>
        <w:t>(Optimistiskais scenārijs)</w:t>
      </w:r>
    </w:p>
    <w:tbl>
      <w:tblPr>
        <w:tblW w:w="5000" w:type="pct"/>
        <w:jc w:val="center"/>
        <w:tblLayout w:type="fixed"/>
        <w:tblCellMar>
          <w:left w:w="85" w:type="dxa"/>
          <w:right w:w="85" w:type="dxa"/>
        </w:tblCellMar>
        <w:tblLook w:val="04A0" w:firstRow="1" w:lastRow="0" w:firstColumn="1" w:lastColumn="0" w:noHBand="0" w:noVBand="1"/>
      </w:tblPr>
      <w:tblGrid>
        <w:gridCol w:w="3400"/>
        <w:gridCol w:w="889"/>
        <w:gridCol w:w="954"/>
        <w:gridCol w:w="955"/>
        <w:gridCol w:w="954"/>
        <w:gridCol w:w="955"/>
        <w:gridCol w:w="954"/>
      </w:tblGrid>
      <w:tr w:rsidR="00FE0109" w:rsidRPr="00CA2430" w14:paraId="405E8F79" w14:textId="77777777" w:rsidTr="00FE0109">
        <w:trPr>
          <w:trHeight w:val="20"/>
          <w:jc w:val="center"/>
        </w:trPr>
        <w:tc>
          <w:tcPr>
            <w:tcW w:w="3400" w:type="dxa"/>
            <w:vMerge w:val="restart"/>
            <w:tcBorders>
              <w:top w:val="single" w:sz="4" w:space="0" w:color="auto"/>
              <w:left w:val="single" w:sz="4" w:space="0" w:color="auto"/>
              <w:right w:val="single" w:sz="4" w:space="0" w:color="auto"/>
            </w:tcBorders>
            <w:shd w:val="clear" w:color="auto" w:fill="auto"/>
            <w:noWrap/>
            <w:vAlign w:val="center"/>
            <w:hideMark/>
          </w:tcPr>
          <w:p w14:paraId="2154025A" w14:textId="77777777" w:rsidR="00FE0109" w:rsidRPr="00CA2430" w:rsidRDefault="00FE0109" w:rsidP="006E6149">
            <w:pPr>
              <w:spacing w:before="0" w:after="0"/>
              <w:ind w:firstLine="0"/>
              <w:rPr>
                <w:rFonts w:cs="Times New Roman"/>
                <w:noProof/>
                <w:sz w:val="20"/>
                <w:szCs w:val="20"/>
                <w:lang w:eastAsia="lv-LV"/>
              </w:rPr>
            </w:pP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2EEAFE07"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2023</w:t>
            </w:r>
          </w:p>
        </w:tc>
        <w:tc>
          <w:tcPr>
            <w:tcW w:w="95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8202963"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2024</w:t>
            </w:r>
          </w:p>
        </w:tc>
        <w:tc>
          <w:tcPr>
            <w:tcW w:w="955"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4E08272"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2025</w:t>
            </w:r>
          </w:p>
        </w:tc>
        <w:tc>
          <w:tcPr>
            <w:tcW w:w="954"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3F93431"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2026</w:t>
            </w:r>
          </w:p>
        </w:tc>
        <w:tc>
          <w:tcPr>
            <w:tcW w:w="955"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A542167"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2027</w:t>
            </w:r>
          </w:p>
        </w:tc>
        <w:tc>
          <w:tcPr>
            <w:tcW w:w="954"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89251F3" w14:textId="77777777" w:rsidR="00FE0109" w:rsidRPr="00CA2430" w:rsidRDefault="00FE0109" w:rsidP="006E6149">
            <w:pPr>
              <w:spacing w:before="0" w:after="0"/>
              <w:ind w:firstLine="0"/>
              <w:jc w:val="center"/>
              <w:rPr>
                <w:rFonts w:cs="Times New Roman"/>
                <w:b/>
                <w:bCs/>
                <w:noProof/>
                <w:sz w:val="20"/>
                <w:szCs w:val="20"/>
                <w:lang w:eastAsia="lv-LV"/>
              </w:rPr>
            </w:pPr>
            <w:r w:rsidRPr="00CA2430">
              <w:rPr>
                <w:rFonts w:cs="Times New Roman"/>
                <w:b/>
                <w:bCs/>
                <w:noProof/>
                <w:sz w:val="20"/>
                <w:szCs w:val="20"/>
                <w:lang w:eastAsia="lv-LV"/>
              </w:rPr>
              <w:t>2028</w:t>
            </w:r>
          </w:p>
        </w:tc>
      </w:tr>
      <w:tr w:rsidR="00FE0109" w:rsidRPr="00CA2430" w14:paraId="298C3D83" w14:textId="77777777" w:rsidTr="00FE0109">
        <w:trPr>
          <w:trHeight w:val="20"/>
          <w:jc w:val="center"/>
        </w:trPr>
        <w:tc>
          <w:tcPr>
            <w:tcW w:w="3400" w:type="dxa"/>
            <w:vMerge/>
            <w:tcBorders>
              <w:left w:val="single" w:sz="4" w:space="0" w:color="auto"/>
              <w:bottom w:val="single" w:sz="4" w:space="0" w:color="auto"/>
              <w:right w:val="single" w:sz="4" w:space="0" w:color="auto"/>
            </w:tcBorders>
            <w:shd w:val="clear" w:color="auto" w:fill="auto"/>
            <w:noWrap/>
            <w:vAlign w:val="center"/>
          </w:tcPr>
          <w:p w14:paraId="06B2F7A4" w14:textId="77777777" w:rsidR="00FE0109" w:rsidRPr="00CA2430" w:rsidRDefault="00FE0109" w:rsidP="006E6149">
            <w:pPr>
              <w:spacing w:before="0" w:after="0"/>
              <w:ind w:firstLine="0"/>
              <w:rPr>
                <w:rFonts w:cs="Times New Roman"/>
                <w:noProof/>
                <w:sz w:val="20"/>
                <w:szCs w:val="20"/>
                <w:lang w:eastAsia="lv-LV"/>
              </w:rPr>
            </w:pP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1AD30A86" w14:textId="72207A30" w:rsidR="00FE0109" w:rsidRPr="00CA2430" w:rsidRDefault="00E06827" w:rsidP="006E6149">
            <w:pPr>
              <w:spacing w:before="0" w:after="0"/>
              <w:ind w:firstLine="0"/>
              <w:jc w:val="center"/>
              <w:rPr>
                <w:rFonts w:cs="Times New Roman"/>
                <w:noProof/>
                <w:sz w:val="20"/>
                <w:szCs w:val="20"/>
                <w:lang w:eastAsia="lv-LV"/>
              </w:rPr>
            </w:pPr>
            <w:r>
              <w:rPr>
                <w:rFonts w:cs="Times New Roman"/>
                <w:noProof/>
                <w:sz w:val="20"/>
                <w:szCs w:val="20"/>
                <w:lang w:eastAsia="lv-LV"/>
              </w:rPr>
              <w:t>F</w:t>
            </w:r>
            <w:r w:rsidR="00FE0109" w:rsidRPr="00CA2430">
              <w:rPr>
                <w:rFonts w:cs="Times New Roman"/>
                <w:noProof/>
                <w:sz w:val="20"/>
                <w:szCs w:val="20"/>
                <w:lang w:eastAsia="lv-LV"/>
              </w:rPr>
              <w:t>akts</w:t>
            </w:r>
          </w:p>
        </w:tc>
        <w:tc>
          <w:tcPr>
            <w:tcW w:w="4772" w:type="dxa"/>
            <w:gridSpan w:val="5"/>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D477625" w14:textId="08F1CF8C" w:rsidR="00FE0109" w:rsidRPr="00CA2430" w:rsidRDefault="00E06827" w:rsidP="006E6149">
            <w:pPr>
              <w:spacing w:before="0" w:after="0"/>
              <w:ind w:firstLine="0"/>
              <w:jc w:val="center"/>
              <w:rPr>
                <w:rFonts w:cs="Times New Roman"/>
                <w:noProof/>
                <w:sz w:val="20"/>
                <w:szCs w:val="20"/>
                <w:lang w:eastAsia="lv-LV"/>
              </w:rPr>
            </w:pPr>
            <w:r>
              <w:rPr>
                <w:rFonts w:cs="Times New Roman"/>
                <w:noProof/>
                <w:sz w:val="20"/>
                <w:szCs w:val="20"/>
                <w:lang w:eastAsia="lv-LV"/>
              </w:rPr>
              <w:t>P</w:t>
            </w:r>
            <w:r w:rsidR="00FE0109" w:rsidRPr="00CA2430">
              <w:rPr>
                <w:rFonts w:cs="Times New Roman"/>
                <w:noProof/>
                <w:sz w:val="20"/>
                <w:szCs w:val="20"/>
                <w:lang w:eastAsia="lv-LV"/>
              </w:rPr>
              <w:t>rognoze</w:t>
            </w:r>
          </w:p>
        </w:tc>
      </w:tr>
      <w:tr w:rsidR="00E37498" w:rsidRPr="00CA2430" w14:paraId="36BD8DA5"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04209CCA"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 xml:space="preserve">Iekšzemes kopprodukts, milj. </w:t>
            </w:r>
            <w:r w:rsidRPr="00CA2430">
              <w:rPr>
                <w:rFonts w:cs="Times New Roman"/>
                <w:i/>
                <w:noProof/>
                <w:sz w:val="20"/>
                <w:szCs w:val="20"/>
                <w:lang w:eastAsia="lv-LV"/>
              </w:rPr>
              <w:t>euro</w:t>
            </w:r>
          </w:p>
        </w:tc>
        <w:tc>
          <w:tcPr>
            <w:tcW w:w="889"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722BAED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40 348</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0DEAC6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42 199</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9886D2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45 083</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1CFDEB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47 627</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EA0B84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50 185</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26CA377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52 729</w:t>
            </w:r>
          </w:p>
        </w:tc>
      </w:tr>
      <w:tr w:rsidR="00E37498" w:rsidRPr="00CA2430" w14:paraId="4B81C164"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20EFB122"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faktiskajās cenās,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266B360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5,1</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A055C3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4,6</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AB0E0B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6,8</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EA886E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5,6</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24BD98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5,4</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02E5F8A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5,1</w:t>
            </w:r>
          </w:p>
        </w:tc>
      </w:tr>
      <w:tr w:rsidR="00E37498" w:rsidRPr="00CA2430" w14:paraId="1DCBC595"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4BE4EA2D"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salīdzin. cenās,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27F8B0D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-0,3</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AA40E0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2,1</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2BBF78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3,8</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0145BC7"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2,9</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811915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2,6</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5500E13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2,3</w:t>
            </w:r>
          </w:p>
        </w:tc>
      </w:tr>
      <w:tr w:rsidR="00E37498" w:rsidRPr="00CA2430" w14:paraId="68CE505A"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2D67A21F"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deflators (gads pret gadu),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7BC3538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5,4</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F6955B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709186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2,9</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2F91A1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96B419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22C1330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2,7</w:t>
            </w:r>
          </w:p>
        </w:tc>
      </w:tr>
      <w:tr w:rsidR="00E37498" w:rsidRPr="00CA2430" w14:paraId="3D74981E"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4DED863A"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PCI (gads pret gadu),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2C4350B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8,9</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D7D2B3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1,2</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5EECA0C"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2,2</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4CA00A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4870B4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7BC7DCF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2,5</w:t>
            </w:r>
          </w:p>
        </w:tc>
      </w:tr>
      <w:tr w:rsidR="00E37498" w:rsidRPr="00CA2430" w14:paraId="5BE7B357"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3CFC8D24"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 xml:space="preserve">Nodarbināto mēn. vid. bruto darba samaksa, </w:t>
            </w:r>
            <w:r w:rsidRPr="00CA2430">
              <w:rPr>
                <w:rFonts w:cs="Times New Roman"/>
                <w:i/>
                <w:noProof/>
                <w:sz w:val="20"/>
                <w:szCs w:val="20"/>
                <w:lang w:eastAsia="lv-LV"/>
              </w:rPr>
              <w:t>euro</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3FBF7A8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1 537</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FCCDF8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1 655</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1A7AD8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1 766</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78BA224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1 878</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7C2347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1 971</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1063B37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2 070</w:t>
            </w:r>
          </w:p>
        </w:tc>
      </w:tr>
      <w:tr w:rsidR="00E37498" w:rsidRPr="00CA2430" w14:paraId="723EE1D7"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62D800C5"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faktiskajās cenās,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13A2828D"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11,9</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C770DCC"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7,7</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5E593C4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6,7</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06947B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6,3</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1F19AA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2CC73B6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5,0</w:t>
            </w:r>
          </w:p>
        </w:tc>
      </w:tr>
      <w:tr w:rsidR="00E37498" w:rsidRPr="00CA2430" w14:paraId="6417CA6E"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716AFCDF"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salīdzin. cenās,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3073FC4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2,8</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6CA341E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6,4</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E25427E"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4,4</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674BF82"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3,7</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47E388A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7EFDA7B5"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2,4</w:t>
            </w:r>
          </w:p>
        </w:tc>
      </w:tr>
      <w:tr w:rsidR="00E37498" w:rsidRPr="00CA2430" w14:paraId="14AF5DBD"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7FBDCB94"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Nodarbinātība, tūkst. iedzīvotāju (atbilstoši darbaspēka apsekoj.)</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2F37E30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884</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E0C691F"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884</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D296FE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884</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09B5C54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883</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D5D4980"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882</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1ED962C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878</w:t>
            </w:r>
          </w:p>
        </w:tc>
      </w:tr>
      <w:tr w:rsidR="00E37498" w:rsidRPr="00CA2430" w14:paraId="4D93521F" w14:textId="77777777" w:rsidTr="00FE0109">
        <w:trPr>
          <w:trHeight w:val="2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26ABCF4A" w14:textId="77777777" w:rsidR="00E37498" w:rsidRPr="00CA2430" w:rsidRDefault="00E37498" w:rsidP="006E6149">
            <w:pPr>
              <w:spacing w:before="0" w:after="0"/>
              <w:ind w:left="174" w:firstLine="0"/>
              <w:jc w:val="left"/>
              <w:rPr>
                <w:rFonts w:cs="Times New Roman"/>
                <w:noProof/>
                <w:sz w:val="20"/>
                <w:szCs w:val="20"/>
                <w:lang w:eastAsia="lv-LV"/>
              </w:rPr>
            </w:pPr>
            <w:r w:rsidRPr="00CA2430">
              <w:rPr>
                <w:rFonts w:cs="Times New Roman"/>
                <w:noProof/>
                <w:sz w:val="20"/>
                <w:szCs w:val="20"/>
                <w:lang w:eastAsia="lv-LV"/>
              </w:rPr>
              <w:t>izmaiņas, %</w:t>
            </w:r>
          </w:p>
        </w:tc>
        <w:tc>
          <w:tcPr>
            <w:tcW w:w="889" w:type="dxa"/>
            <w:tcBorders>
              <w:top w:val="nil"/>
              <w:left w:val="nil"/>
              <w:bottom w:val="single" w:sz="4" w:space="0" w:color="auto"/>
              <w:right w:val="single" w:sz="4" w:space="0" w:color="auto"/>
            </w:tcBorders>
            <w:shd w:val="clear" w:color="auto" w:fill="auto"/>
            <w:noWrap/>
            <w:tcMar>
              <w:right w:w="170" w:type="dxa"/>
            </w:tcMar>
            <w:vAlign w:val="center"/>
          </w:tcPr>
          <w:p w14:paraId="283C032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-0,2</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2150DA2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0,0</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35CD3FB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0,0</w:t>
            </w:r>
          </w:p>
        </w:tc>
        <w:tc>
          <w:tcPr>
            <w:tcW w:w="954"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E112E03"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-0,1</w:t>
            </w:r>
          </w:p>
        </w:tc>
        <w:tc>
          <w:tcPr>
            <w:tcW w:w="955" w:type="dxa"/>
            <w:tcBorders>
              <w:top w:val="nil"/>
              <w:left w:val="nil"/>
              <w:bottom w:val="single" w:sz="4" w:space="0" w:color="auto"/>
              <w:right w:val="single" w:sz="4" w:space="0" w:color="auto"/>
            </w:tcBorders>
            <w:shd w:val="clear" w:color="auto" w:fill="DEEAF6" w:themeFill="accent1" w:themeFillTint="33"/>
            <w:noWrap/>
            <w:tcMar>
              <w:right w:w="170" w:type="dxa"/>
            </w:tcMar>
            <w:vAlign w:val="center"/>
          </w:tcPr>
          <w:p w14:paraId="141EF239"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-0,2</w:t>
            </w:r>
          </w:p>
        </w:tc>
        <w:tc>
          <w:tcPr>
            <w:tcW w:w="954" w:type="dxa"/>
            <w:tcBorders>
              <w:top w:val="nil"/>
              <w:left w:val="nil"/>
              <w:bottom w:val="single" w:sz="4" w:space="0" w:color="auto"/>
              <w:right w:val="single" w:sz="4" w:space="0" w:color="auto"/>
            </w:tcBorders>
            <w:shd w:val="clear" w:color="auto" w:fill="DEEAF6" w:themeFill="accent1" w:themeFillTint="33"/>
            <w:vAlign w:val="center"/>
          </w:tcPr>
          <w:p w14:paraId="023F32FA"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-0,4</w:t>
            </w:r>
          </w:p>
        </w:tc>
      </w:tr>
      <w:tr w:rsidR="00E37498" w:rsidRPr="00CA2430" w14:paraId="609B4F80" w14:textId="77777777" w:rsidTr="00FE0109">
        <w:trPr>
          <w:trHeight w:val="20"/>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25D09" w14:textId="77777777" w:rsidR="00E37498" w:rsidRPr="00CA2430" w:rsidRDefault="00E37498" w:rsidP="006E6149">
            <w:pPr>
              <w:spacing w:before="0" w:after="0"/>
              <w:ind w:firstLine="0"/>
              <w:jc w:val="left"/>
              <w:rPr>
                <w:rFonts w:cs="Times New Roman"/>
                <w:noProof/>
                <w:sz w:val="20"/>
                <w:szCs w:val="20"/>
                <w:lang w:eastAsia="lv-LV"/>
              </w:rPr>
            </w:pPr>
            <w:r w:rsidRPr="00CA2430">
              <w:rPr>
                <w:rFonts w:cs="Times New Roman"/>
                <w:noProof/>
                <w:sz w:val="20"/>
                <w:szCs w:val="20"/>
                <w:lang w:eastAsia="lv-LV"/>
              </w:rPr>
              <w:t>Bezdarba līmenis (gada vidējais),</w:t>
            </w:r>
            <w:r w:rsidRPr="00CA2430">
              <w:rPr>
                <w:rFonts w:cs="Times New Roman"/>
                <w:noProof/>
                <w:sz w:val="20"/>
                <w:szCs w:val="20"/>
                <w:lang w:eastAsia="lv-LV"/>
              </w:rPr>
              <w:br/>
              <w:t>% no ekon. aktīviem iedzīv.</w:t>
            </w:r>
          </w:p>
        </w:tc>
        <w:tc>
          <w:tcPr>
            <w:tcW w:w="889" w:type="dxa"/>
            <w:tcBorders>
              <w:top w:val="single" w:sz="4" w:space="0" w:color="auto"/>
              <w:left w:val="nil"/>
              <w:bottom w:val="single" w:sz="4" w:space="0" w:color="auto"/>
              <w:right w:val="single" w:sz="4" w:space="0" w:color="auto"/>
            </w:tcBorders>
            <w:shd w:val="clear" w:color="auto" w:fill="auto"/>
            <w:noWrap/>
            <w:tcMar>
              <w:right w:w="170" w:type="dxa"/>
            </w:tcMar>
            <w:vAlign w:val="center"/>
          </w:tcPr>
          <w:p w14:paraId="6677F0B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6,5</w:t>
            </w:r>
          </w:p>
        </w:tc>
        <w:tc>
          <w:tcPr>
            <w:tcW w:w="95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225AA381"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6,7</w:t>
            </w:r>
          </w:p>
        </w:tc>
        <w:tc>
          <w:tcPr>
            <w:tcW w:w="955"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0A3F4B7B"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6,3</w:t>
            </w:r>
          </w:p>
        </w:tc>
        <w:tc>
          <w:tcPr>
            <w:tcW w:w="954"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393F6954"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6,0</w:t>
            </w:r>
          </w:p>
        </w:tc>
        <w:tc>
          <w:tcPr>
            <w:tcW w:w="955" w:type="dxa"/>
            <w:tcBorders>
              <w:top w:val="single" w:sz="4" w:space="0" w:color="auto"/>
              <w:left w:val="nil"/>
              <w:bottom w:val="single" w:sz="4" w:space="0" w:color="auto"/>
              <w:right w:val="single" w:sz="4" w:space="0" w:color="auto"/>
            </w:tcBorders>
            <w:shd w:val="clear" w:color="auto" w:fill="DEEAF6" w:themeFill="accent1" w:themeFillTint="33"/>
            <w:noWrap/>
            <w:tcMar>
              <w:right w:w="170" w:type="dxa"/>
            </w:tcMar>
            <w:vAlign w:val="center"/>
          </w:tcPr>
          <w:p w14:paraId="50B88578"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5,5</w:t>
            </w:r>
          </w:p>
        </w:tc>
        <w:tc>
          <w:tcPr>
            <w:tcW w:w="954"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51E53126" w14:textId="77777777" w:rsidR="00E37498" w:rsidRPr="00CA2430" w:rsidRDefault="00E37498" w:rsidP="006E6149">
            <w:pPr>
              <w:spacing w:before="0" w:after="0"/>
              <w:ind w:firstLine="0"/>
              <w:jc w:val="right"/>
              <w:rPr>
                <w:rFonts w:cs="Times New Roman"/>
                <w:noProof/>
                <w:sz w:val="20"/>
                <w:szCs w:val="20"/>
              </w:rPr>
            </w:pPr>
            <w:r w:rsidRPr="00CA2430">
              <w:rPr>
                <w:rFonts w:cs="Times New Roman"/>
                <w:noProof/>
                <w:sz w:val="20"/>
                <w:szCs w:val="20"/>
              </w:rPr>
              <w:t>4,9</w:t>
            </w:r>
          </w:p>
        </w:tc>
      </w:tr>
    </w:tbl>
    <w:p w14:paraId="4145D364" w14:textId="7FEC0700" w:rsidR="00E37498" w:rsidRPr="00CA2430" w:rsidRDefault="00E37498" w:rsidP="00E37498">
      <w:pPr>
        <w:rPr>
          <w:noProof/>
          <w:szCs w:val="20"/>
          <w:highlight w:val="yellow"/>
        </w:rPr>
      </w:pPr>
      <w:r w:rsidRPr="00CA2430">
        <w:rPr>
          <w:noProof/>
          <w:color w:val="000000" w:themeColor="text1"/>
        </w:rPr>
        <w:t xml:space="preserve">Ņemot vērā makroekonomiskās attīstības optimistisko scenāriju, Finanšu ministrija ir novērtējusi šī scenārija ietekmi uz vispārējās valdības budžeta bilanci, novērtējot izmaiņas nodokļu un nenodokļu ieņēmumos, kā arī valsts speciālā budžeta izdevumos un valsts parāda apkalpošanas (procentu) izdevumos salīdzinājumā ar bāzes scenāriju (skat. </w:t>
      </w:r>
      <w:r w:rsidR="00E2717D">
        <w:rPr>
          <w:noProof/>
          <w:color w:val="000000" w:themeColor="text1"/>
        </w:rPr>
        <w:t>12</w:t>
      </w:r>
      <w:r w:rsidRPr="00CA2430">
        <w:rPr>
          <w:noProof/>
          <w:color w:val="000000" w:themeColor="text1"/>
        </w:rPr>
        <w:t xml:space="preserve">. tabulu). </w:t>
      </w:r>
      <w:r w:rsidRPr="00CA2430">
        <w:rPr>
          <w:noProof/>
          <w:szCs w:val="24"/>
          <w:lang w:eastAsia="lv-LV"/>
        </w:rPr>
        <w:t>Rezultātā kopbudžeta nodokļu ieņēmumi, salīdzinot ar bāzes scenāriju 2024.-2028. gadam, pēc naudas plūsmas tiek prognozēti ar palielinājumu 43,5 milj. </w:t>
      </w:r>
      <w:r w:rsidRPr="00CA2430">
        <w:rPr>
          <w:i/>
          <w:iCs/>
          <w:noProof/>
          <w:szCs w:val="24"/>
          <w:lang w:eastAsia="lv-LV"/>
        </w:rPr>
        <w:t>euro</w:t>
      </w:r>
      <w:r w:rsidRPr="00CA2430">
        <w:rPr>
          <w:noProof/>
          <w:szCs w:val="24"/>
          <w:lang w:eastAsia="lv-LV"/>
        </w:rPr>
        <w:t xml:space="preserve"> 2024. gadā,</w:t>
      </w:r>
      <w:r w:rsidR="00FE0109">
        <w:rPr>
          <w:noProof/>
          <w:szCs w:val="24"/>
          <w:lang w:eastAsia="lv-LV"/>
        </w:rPr>
        <w:t xml:space="preserve"> </w:t>
      </w:r>
      <w:r w:rsidRPr="00CA2430">
        <w:rPr>
          <w:noProof/>
          <w:szCs w:val="24"/>
          <w:lang w:eastAsia="lv-LV"/>
        </w:rPr>
        <w:t>131,2 milj. </w:t>
      </w:r>
      <w:r w:rsidRPr="00CA2430">
        <w:rPr>
          <w:i/>
          <w:iCs/>
          <w:noProof/>
          <w:szCs w:val="24"/>
          <w:lang w:eastAsia="lv-LV"/>
        </w:rPr>
        <w:t>euro</w:t>
      </w:r>
      <w:r w:rsidRPr="00CA2430">
        <w:rPr>
          <w:noProof/>
          <w:szCs w:val="24"/>
          <w:lang w:eastAsia="lv-LV"/>
        </w:rPr>
        <w:t xml:space="preserve"> 2025. gadā, 178,8 milj. </w:t>
      </w:r>
      <w:r w:rsidRPr="00CA2430">
        <w:rPr>
          <w:i/>
          <w:iCs/>
          <w:noProof/>
          <w:szCs w:val="24"/>
          <w:lang w:eastAsia="lv-LV"/>
        </w:rPr>
        <w:t>euro</w:t>
      </w:r>
      <w:r w:rsidRPr="00CA2430">
        <w:rPr>
          <w:noProof/>
          <w:szCs w:val="24"/>
          <w:lang w:eastAsia="lv-LV"/>
        </w:rPr>
        <w:t xml:space="preserve"> 2026. gadā, 201,2 milj. </w:t>
      </w:r>
      <w:r w:rsidRPr="00CA2430">
        <w:rPr>
          <w:i/>
          <w:iCs/>
          <w:noProof/>
          <w:szCs w:val="24"/>
          <w:lang w:eastAsia="lv-LV"/>
        </w:rPr>
        <w:t>euro</w:t>
      </w:r>
      <w:r w:rsidRPr="00CA2430">
        <w:rPr>
          <w:noProof/>
          <w:szCs w:val="24"/>
          <w:lang w:eastAsia="lv-LV"/>
        </w:rPr>
        <w:t xml:space="preserve"> 2027. gadā un 219,9 milj. </w:t>
      </w:r>
      <w:r w:rsidRPr="00CA2430">
        <w:rPr>
          <w:i/>
          <w:iCs/>
          <w:noProof/>
          <w:szCs w:val="24"/>
          <w:lang w:eastAsia="lv-LV"/>
        </w:rPr>
        <w:t>euro</w:t>
      </w:r>
      <w:r w:rsidRPr="00CA2430">
        <w:rPr>
          <w:noProof/>
          <w:szCs w:val="24"/>
          <w:lang w:eastAsia="lv-LV"/>
        </w:rPr>
        <w:t xml:space="preserve"> 2028. gadā, vadoties pēc optimistiskajā scenārijā iezīmētājām tautsaimniecības attīstības tendencēm. </w:t>
      </w:r>
    </w:p>
    <w:p w14:paraId="2ECB80C4" w14:textId="1F0E1436" w:rsidR="00E37498" w:rsidRPr="00CA2430" w:rsidRDefault="00FE0109" w:rsidP="00E2717D">
      <w:pPr>
        <w:jc w:val="center"/>
        <w:rPr>
          <w:rFonts w:eastAsia="Calibri" w:cs="Times New Roman"/>
          <w:b/>
          <w:noProof/>
          <w:szCs w:val="24"/>
          <w:highlight w:val="yellow"/>
        </w:rPr>
      </w:pPr>
      <w:r>
        <w:rPr>
          <w:rFonts w:eastAsia="Calibri" w:cs="Times New Roman"/>
          <w:b/>
          <w:noProof/>
          <w:szCs w:val="24"/>
        </w:rPr>
        <w:t>12</w:t>
      </w:r>
      <w:r w:rsidR="00E37498" w:rsidRPr="00CA2430">
        <w:rPr>
          <w:rFonts w:eastAsia="Calibri" w:cs="Times New Roman"/>
          <w:b/>
          <w:noProof/>
          <w:szCs w:val="24"/>
        </w:rPr>
        <w:t>. tabula. Vispārējās valdības budžeta bilance un parāds</w:t>
      </w:r>
      <w:r w:rsidR="00E37498" w:rsidRPr="00CA2430">
        <w:rPr>
          <w:rFonts w:eastAsia="Calibri" w:cs="Times New Roman"/>
          <w:b/>
          <w:noProof/>
          <w:szCs w:val="24"/>
        </w:rPr>
        <w:br/>
        <w:t>(optimistiskais scenārijs)</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908"/>
        <w:gridCol w:w="907"/>
        <w:gridCol w:w="891"/>
        <w:gridCol w:w="891"/>
        <w:gridCol w:w="935"/>
      </w:tblGrid>
      <w:tr w:rsidR="00FE0109" w:rsidRPr="00CA2430" w14:paraId="07B2233F" w14:textId="77777777" w:rsidTr="00FE0109">
        <w:trPr>
          <w:trHeight w:val="20"/>
          <w:tblHeader/>
        </w:trPr>
        <w:tc>
          <w:tcPr>
            <w:tcW w:w="4661" w:type="dxa"/>
            <w:vMerge w:val="restart"/>
            <w:shd w:val="clear" w:color="auto" w:fill="auto"/>
            <w:vAlign w:val="center"/>
            <w:hideMark/>
          </w:tcPr>
          <w:p w14:paraId="5017A616" w14:textId="77777777" w:rsidR="00FE0109" w:rsidRPr="00CA2430" w:rsidRDefault="00FE0109" w:rsidP="006E6149">
            <w:pPr>
              <w:spacing w:before="0" w:after="0"/>
              <w:ind w:firstLine="0"/>
              <w:jc w:val="left"/>
              <w:rPr>
                <w:rFonts w:ascii="Calibri" w:eastAsia="Times New Roman" w:hAnsi="Calibri" w:cs="Calibri"/>
                <w:noProof/>
                <w:color w:val="000000"/>
                <w:sz w:val="22"/>
                <w:lang w:eastAsia="lv-LV"/>
              </w:rPr>
            </w:pPr>
            <w:r w:rsidRPr="00CA2430">
              <w:rPr>
                <w:rFonts w:ascii="Calibri" w:eastAsia="Times New Roman" w:hAnsi="Calibri" w:cs="Calibri"/>
                <w:noProof/>
                <w:color w:val="000000"/>
                <w:sz w:val="22"/>
                <w:lang w:eastAsia="lv-LV"/>
              </w:rPr>
              <w:t> </w:t>
            </w:r>
          </w:p>
        </w:tc>
        <w:tc>
          <w:tcPr>
            <w:tcW w:w="908" w:type="dxa"/>
            <w:shd w:val="clear" w:color="auto" w:fill="BDD6EE" w:themeFill="accent1" w:themeFillTint="66"/>
            <w:vAlign w:val="center"/>
            <w:hideMark/>
          </w:tcPr>
          <w:p w14:paraId="364B6D63"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2024</w:t>
            </w:r>
          </w:p>
        </w:tc>
        <w:tc>
          <w:tcPr>
            <w:tcW w:w="907" w:type="dxa"/>
            <w:shd w:val="clear" w:color="auto" w:fill="BDD6EE" w:themeFill="accent1" w:themeFillTint="66"/>
            <w:vAlign w:val="center"/>
            <w:hideMark/>
          </w:tcPr>
          <w:p w14:paraId="06B04F2D"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2025</w:t>
            </w:r>
          </w:p>
        </w:tc>
        <w:tc>
          <w:tcPr>
            <w:tcW w:w="891" w:type="dxa"/>
            <w:shd w:val="clear" w:color="auto" w:fill="BDD6EE" w:themeFill="accent1" w:themeFillTint="66"/>
            <w:vAlign w:val="center"/>
          </w:tcPr>
          <w:p w14:paraId="34DA2D84"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2026</w:t>
            </w:r>
          </w:p>
        </w:tc>
        <w:tc>
          <w:tcPr>
            <w:tcW w:w="891" w:type="dxa"/>
            <w:shd w:val="clear" w:color="auto" w:fill="BDD6EE" w:themeFill="accent1" w:themeFillTint="66"/>
            <w:vAlign w:val="center"/>
            <w:hideMark/>
          </w:tcPr>
          <w:p w14:paraId="3110F553"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2027</w:t>
            </w:r>
          </w:p>
        </w:tc>
        <w:tc>
          <w:tcPr>
            <w:tcW w:w="935" w:type="dxa"/>
            <w:shd w:val="clear" w:color="auto" w:fill="BDD6EE" w:themeFill="accent1" w:themeFillTint="66"/>
            <w:vAlign w:val="center"/>
            <w:hideMark/>
          </w:tcPr>
          <w:p w14:paraId="72A038DB" w14:textId="77777777" w:rsidR="00FE0109" w:rsidRPr="00CA2430" w:rsidRDefault="00FE0109"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2028</w:t>
            </w:r>
          </w:p>
        </w:tc>
      </w:tr>
      <w:tr w:rsidR="00FE0109" w:rsidRPr="00CA2430" w14:paraId="1E1222C5" w14:textId="77777777" w:rsidTr="00FE0109">
        <w:trPr>
          <w:trHeight w:val="20"/>
          <w:tblHeader/>
        </w:trPr>
        <w:tc>
          <w:tcPr>
            <w:tcW w:w="4661" w:type="dxa"/>
            <w:vMerge/>
            <w:shd w:val="clear" w:color="auto" w:fill="auto"/>
            <w:vAlign w:val="center"/>
          </w:tcPr>
          <w:p w14:paraId="57FEDAC3" w14:textId="77777777" w:rsidR="00FE0109" w:rsidRPr="00CA2430" w:rsidRDefault="00FE0109" w:rsidP="006E6149">
            <w:pPr>
              <w:spacing w:before="0" w:after="0"/>
              <w:ind w:firstLine="0"/>
              <w:jc w:val="left"/>
              <w:rPr>
                <w:rFonts w:eastAsia="Times New Roman" w:cs="Times New Roman"/>
                <w:b/>
                <w:bCs/>
                <w:noProof/>
                <w:color w:val="000000"/>
                <w:sz w:val="20"/>
                <w:szCs w:val="20"/>
                <w:lang w:eastAsia="lv-LV"/>
              </w:rPr>
            </w:pPr>
          </w:p>
        </w:tc>
        <w:tc>
          <w:tcPr>
            <w:tcW w:w="4532" w:type="dxa"/>
            <w:gridSpan w:val="5"/>
            <w:shd w:val="clear" w:color="auto" w:fill="BDD6EE" w:themeFill="accent1" w:themeFillTint="66"/>
            <w:vAlign w:val="center"/>
          </w:tcPr>
          <w:p w14:paraId="671B517D" w14:textId="0B89C562" w:rsidR="00FE0109" w:rsidRPr="00E06827" w:rsidRDefault="00E06827" w:rsidP="006E6149">
            <w:pPr>
              <w:spacing w:before="0" w:after="0"/>
              <w:ind w:firstLine="0"/>
              <w:jc w:val="center"/>
              <w:rPr>
                <w:noProof/>
                <w:color w:val="000000"/>
                <w:sz w:val="20"/>
                <w:szCs w:val="20"/>
              </w:rPr>
            </w:pPr>
            <w:r>
              <w:rPr>
                <w:noProof/>
                <w:color w:val="000000"/>
                <w:sz w:val="20"/>
                <w:szCs w:val="20"/>
              </w:rPr>
              <w:t>P</w:t>
            </w:r>
            <w:r w:rsidR="00FE0109" w:rsidRPr="00E06827">
              <w:rPr>
                <w:noProof/>
                <w:color w:val="000000"/>
                <w:sz w:val="20"/>
                <w:szCs w:val="20"/>
              </w:rPr>
              <w:t>rognoze</w:t>
            </w:r>
          </w:p>
        </w:tc>
      </w:tr>
      <w:tr w:rsidR="00E37498" w:rsidRPr="00CA2430" w14:paraId="6EF5AF2C" w14:textId="77777777" w:rsidTr="00FE0109">
        <w:trPr>
          <w:trHeight w:val="20"/>
        </w:trPr>
        <w:tc>
          <w:tcPr>
            <w:tcW w:w="4661" w:type="dxa"/>
            <w:shd w:val="clear" w:color="auto" w:fill="auto"/>
            <w:vAlign w:val="center"/>
          </w:tcPr>
          <w:p w14:paraId="38CCAACC" w14:textId="77777777" w:rsidR="00E37498" w:rsidRPr="00CA2430" w:rsidRDefault="00E37498" w:rsidP="006E6149">
            <w:pPr>
              <w:spacing w:before="0" w:after="0"/>
              <w:ind w:firstLine="0"/>
              <w:jc w:val="left"/>
              <w:rPr>
                <w:rFonts w:ascii="Calibri" w:eastAsia="Times New Roman" w:hAnsi="Calibri" w:cs="Calibri"/>
                <w:noProof/>
                <w:color w:val="000000"/>
                <w:sz w:val="22"/>
                <w:lang w:eastAsia="lv-LV"/>
              </w:rPr>
            </w:pPr>
            <w:r w:rsidRPr="00CA2430">
              <w:rPr>
                <w:rFonts w:eastAsia="Times New Roman" w:cs="Times New Roman"/>
                <w:b/>
                <w:bCs/>
                <w:noProof/>
                <w:color w:val="000000"/>
                <w:sz w:val="20"/>
                <w:szCs w:val="20"/>
                <w:lang w:eastAsia="lv-LV"/>
              </w:rPr>
              <w:t>Vispārējās valdības budžeta bilance, % no IKP</w:t>
            </w:r>
          </w:p>
        </w:tc>
        <w:tc>
          <w:tcPr>
            <w:tcW w:w="908" w:type="dxa"/>
            <w:shd w:val="clear" w:color="auto" w:fill="BDD6EE" w:themeFill="accent1" w:themeFillTint="66"/>
            <w:vAlign w:val="center"/>
          </w:tcPr>
          <w:p w14:paraId="1EC115AD"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-2,4</w:t>
            </w:r>
          </w:p>
        </w:tc>
        <w:tc>
          <w:tcPr>
            <w:tcW w:w="907" w:type="dxa"/>
            <w:shd w:val="clear" w:color="auto" w:fill="BDD6EE" w:themeFill="accent1" w:themeFillTint="66"/>
            <w:vAlign w:val="center"/>
          </w:tcPr>
          <w:p w14:paraId="70693ED9"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-2,6</w:t>
            </w:r>
          </w:p>
        </w:tc>
        <w:tc>
          <w:tcPr>
            <w:tcW w:w="891" w:type="dxa"/>
            <w:shd w:val="clear" w:color="auto" w:fill="BDD6EE" w:themeFill="accent1" w:themeFillTint="66"/>
            <w:vAlign w:val="center"/>
          </w:tcPr>
          <w:p w14:paraId="109D0318" w14:textId="77777777" w:rsidR="00E37498" w:rsidRPr="00CA2430" w:rsidRDefault="00E37498" w:rsidP="006E6149">
            <w:pPr>
              <w:spacing w:before="0" w:after="0"/>
              <w:ind w:firstLine="0"/>
              <w:jc w:val="center"/>
              <w:rPr>
                <w:rFonts w:cs="Times New Roman"/>
                <w:b/>
                <w:bCs/>
                <w:noProof/>
                <w:color w:val="000000"/>
                <w:sz w:val="20"/>
                <w:szCs w:val="20"/>
              </w:rPr>
            </w:pPr>
            <w:r w:rsidRPr="00CA2430">
              <w:rPr>
                <w:rFonts w:cs="Times New Roman"/>
                <w:b/>
                <w:bCs/>
                <w:noProof/>
                <w:color w:val="000000"/>
                <w:sz w:val="20"/>
                <w:szCs w:val="20"/>
              </w:rPr>
              <w:t>-2,3</w:t>
            </w:r>
          </w:p>
        </w:tc>
        <w:tc>
          <w:tcPr>
            <w:tcW w:w="891" w:type="dxa"/>
            <w:shd w:val="clear" w:color="auto" w:fill="BDD6EE" w:themeFill="accent1" w:themeFillTint="66"/>
            <w:vAlign w:val="center"/>
          </w:tcPr>
          <w:p w14:paraId="728C77B9"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b/>
                <w:bCs/>
                <w:noProof/>
                <w:color w:val="000000"/>
                <w:sz w:val="20"/>
                <w:szCs w:val="20"/>
              </w:rPr>
              <w:t>-2,0</w:t>
            </w:r>
          </w:p>
        </w:tc>
        <w:tc>
          <w:tcPr>
            <w:tcW w:w="935" w:type="dxa"/>
            <w:shd w:val="clear" w:color="auto" w:fill="BDD6EE" w:themeFill="accent1" w:themeFillTint="66"/>
            <w:vAlign w:val="center"/>
          </w:tcPr>
          <w:p w14:paraId="11D9E367"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eastAsia="Times New Roman" w:cs="Times New Roman"/>
                <w:b/>
                <w:bCs/>
                <w:noProof/>
                <w:color w:val="000000"/>
                <w:sz w:val="20"/>
                <w:szCs w:val="20"/>
                <w:lang w:eastAsia="lv-LV"/>
              </w:rPr>
              <w:t>-1,8</w:t>
            </w:r>
          </w:p>
        </w:tc>
      </w:tr>
      <w:tr w:rsidR="00E37498" w:rsidRPr="00CA2430" w14:paraId="3443D42B" w14:textId="77777777" w:rsidTr="00FE0109">
        <w:trPr>
          <w:trHeight w:val="20"/>
        </w:trPr>
        <w:tc>
          <w:tcPr>
            <w:tcW w:w="4661" w:type="dxa"/>
            <w:shd w:val="clear" w:color="auto" w:fill="auto"/>
            <w:vAlign w:val="center"/>
          </w:tcPr>
          <w:p w14:paraId="624E1322" w14:textId="77777777" w:rsidR="00E37498" w:rsidRPr="00CA2430" w:rsidRDefault="00E37498" w:rsidP="006E6149">
            <w:pPr>
              <w:spacing w:before="0" w:after="0"/>
              <w:ind w:firstLine="0"/>
              <w:jc w:val="left"/>
              <w:rPr>
                <w:rFonts w:ascii="Calibri" w:eastAsia="Times New Roman" w:hAnsi="Calibri" w:cs="Calibri"/>
                <w:noProof/>
                <w:color w:val="000000"/>
                <w:sz w:val="22"/>
                <w:lang w:eastAsia="lv-LV"/>
              </w:rPr>
            </w:pPr>
            <w:r w:rsidRPr="00CA2430">
              <w:rPr>
                <w:rFonts w:eastAsia="Times New Roman" w:cs="Times New Roman"/>
                <w:noProof/>
                <w:color w:val="000000"/>
                <w:sz w:val="20"/>
                <w:szCs w:val="20"/>
                <w:lang w:eastAsia="lv-LV"/>
              </w:rPr>
              <w:t xml:space="preserve">Vispārējās valdības budžeta bilance, milj. </w:t>
            </w:r>
            <w:r w:rsidRPr="00CA2430">
              <w:rPr>
                <w:rFonts w:eastAsia="Times New Roman" w:cs="Times New Roman"/>
                <w:i/>
                <w:noProof/>
                <w:color w:val="000000"/>
                <w:sz w:val="20"/>
                <w:szCs w:val="20"/>
                <w:lang w:eastAsia="lv-LV"/>
              </w:rPr>
              <w:t>euro</w:t>
            </w:r>
          </w:p>
        </w:tc>
        <w:tc>
          <w:tcPr>
            <w:tcW w:w="908" w:type="dxa"/>
            <w:shd w:val="clear" w:color="auto" w:fill="BDD6EE" w:themeFill="accent1" w:themeFillTint="66"/>
            <w:vAlign w:val="bottom"/>
          </w:tcPr>
          <w:p w14:paraId="6840EBC5"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-1 029,1</w:t>
            </w:r>
          </w:p>
        </w:tc>
        <w:tc>
          <w:tcPr>
            <w:tcW w:w="907" w:type="dxa"/>
            <w:shd w:val="clear" w:color="auto" w:fill="BDD6EE" w:themeFill="accent1" w:themeFillTint="66"/>
            <w:vAlign w:val="bottom"/>
          </w:tcPr>
          <w:p w14:paraId="1DA1DE67"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-1 160,7</w:t>
            </w:r>
          </w:p>
        </w:tc>
        <w:tc>
          <w:tcPr>
            <w:tcW w:w="891" w:type="dxa"/>
            <w:shd w:val="clear" w:color="auto" w:fill="BDD6EE" w:themeFill="accent1" w:themeFillTint="66"/>
            <w:vAlign w:val="bottom"/>
          </w:tcPr>
          <w:p w14:paraId="65DDD63B" w14:textId="77777777" w:rsidR="00E37498" w:rsidRPr="00CA2430" w:rsidRDefault="00E37498" w:rsidP="006E6149">
            <w:pPr>
              <w:spacing w:before="0" w:after="0"/>
              <w:ind w:firstLine="0"/>
              <w:jc w:val="center"/>
              <w:rPr>
                <w:rFonts w:cs="Times New Roman"/>
                <w:noProof/>
                <w:color w:val="000000"/>
                <w:sz w:val="20"/>
                <w:szCs w:val="20"/>
              </w:rPr>
            </w:pPr>
            <w:r w:rsidRPr="00CA2430">
              <w:rPr>
                <w:rFonts w:cs="Times New Roman"/>
                <w:noProof/>
                <w:color w:val="000000"/>
                <w:sz w:val="20"/>
                <w:szCs w:val="20"/>
              </w:rPr>
              <w:t>-1 088,3</w:t>
            </w:r>
          </w:p>
        </w:tc>
        <w:tc>
          <w:tcPr>
            <w:tcW w:w="891" w:type="dxa"/>
            <w:shd w:val="clear" w:color="auto" w:fill="BDD6EE" w:themeFill="accent1" w:themeFillTint="66"/>
            <w:vAlign w:val="bottom"/>
          </w:tcPr>
          <w:p w14:paraId="0A7073D9"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-980,6</w:t>
            </w:r>
          </w:p>
        </w:tc>
        <w:tc>
          <w:tcPr>
            <w:tcW w:w="935" w:type="dxa"/>
            <w:shd w:val="clear" w:color="auto" w:fill="BDD6EE" w:themeFill="accent1" w:themeFillTint="66"/>
            <w:vAlign w:val="bottom"/>
          </w:tcPr>
          <w:p w14:paraId="1718FA37" w14:textId="77777777" w:rsidR="00E37498" w:rsidRPr="00CA2430" w:rsidRDefault="00E37498" w:rsidP="006E6149">
            <w:pPr>
              <w:spacing w:before="0" w:after="0"/>
              <w:ind w:firstLine="0"/>
              <w:jc w:val="center"/>
              <w:rPr>
                <w:rFonts w:eastAsia="Times New Roman" w:cs="Times New Roman"/>
                <w:b/>
                <w:bCs/>
                <w:noProof/>
                <w:color w:val="000000"/>
                <w:sz w:val="20"/>
                <w:szCs w:val="20"/>
                <w:lang w:eastAsia="lv-LV"/>
              </w:rPr>
            </w:pPr>
            <w:r w:rsidRPr="00CA2430">
              <w:rPr>
                <w:rFonts w:cs="Times New Roman"/>
                <w:noProof/>
                <w:color w:val="000000"/>
                <w:sz w:val="20"/>
                <w:szCs w:val="20"/>
              </w:rPr>
              <w:t>-946,3</w:t>
            </w:r>
          </w:p>
        </w:tc>
      </w:tr>
      <w:tr w:rsidR="00E37498" w:rsidRPr="00CA2430" w14:paraId="66FAD2B9" w14:textId="77777777" w:rsidTr="00FE0109">
        <w:trPr>
          <w:trHeight w:val="20"/>
        </w:trPr>
        <w:tc>
          <w:tcPr>
            <w:tcW w:w="4661" w:type="dxa"/>
            <w:shd w:val="clear" w:color="auto" w:fill="auto"/>
            <w:vAlign w:val="center"/>
            <w:hideMark/>
          </w:tcPr>
          <w:p w14:paraId="292F3456" w14:textId="77777777" w:rsidR="00E37498" w:rsidRPr="00CA2430" w:rsidRDefault="00E37498" w:rsidP="006E6149">
            <w:pPr>
              <w:spacing w:before="0" w:after="0"/>
              <w:ind w:firstLine="0"/>
              <w:rPr>
                <w:rFonts w:eastAsia="Times New Roman" w:cs="Times New Roman"/>
                <w:b/>
                <w:bCs/>
                <w:noProof/>
                <w:sz w:val="20"/>
                <w:szCs w:val="20"/>
                <w:lang w:eastAsia="lv-LV"/>
              </w:rPr>
            </w:pPr>
            <w:r w:rsidRPr="00CA2430">
              <w:rPr>
                <w:rFonts w:eastAsia="Times New Roman" w:cs="Times New Roman"/>
                <w:b/>
                <w:bCs/>
                <w:noProof/>
                <w:sz w:val="20"/>
                <w:szCs w:val="20"/>
                <w:lang w:eastAsia="lv-LV"/>
              </w:rPr>
              <w:t>Vispārējās valdības budžeta bilances novirze no bāzes scenārija, % no IKP</w:t>
            </w:r>
          </w:p>
        </w:tc>
        <w:tc>
          <w:tcPr>
            <w:tcW w:w="908" w:type="dxa"/>
            <w:shd w:val="clear" w:color="auto" w:fill="BDD6EE" w:themeFill="accent1" w:themeFillTint="66"/>
            <w:vAlign w:val="center"/>
            <w:hideMark/>
          </w:tcPr>
          <w:p w14:paraId="12F7A25C"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0,1</w:t>
            </w:r>
          </w:p>
        </w:tc>
        <w:tc>
          <w:tcPr>
            <w:tcW w:w="907" w:type="dxa"/>
            <w:shd w:val="clear" w:color="auto" w:fill="BDD6EE" w:themeFill="accent1" w:themeFillTint="66"/>
            <w:vAlign w:val="center"/>
            <w:hideMark/>
          </w:tcPr>
          <w:p w14:paraId="411C521A"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0,3</w:t>
            </w:r>
          </w:p>
        </w:tc>
        <w:tc>
          <w:tcPr>
            <w:tcW w:w="891" w:type="dxa"/>
            <w:shd w:val="clear" w:color="auto" w:fill="BDD6EE" w:themeFill="accent1" w:themeFillTint="66"/>
            <w:vAlign w:val="center"/>
          </w:tcPr>
          <w:p w14:paraId="76868F80" w14:textId="77777777" w:rsidR="00E37498" w:rsidRPr="00CA2430" w:rsidRDefault="00E37498" w:rsidP="006E6149">
            <w:pPr>
              <w:spacing w:before="0" w:after="0"/>
              <w:ind w:firstLine="0"/>
              <w:jc w:val="center"/>
              <w:rPr>
                <w:rFonts w:cs="Times New Roman"/>
                <w:b/>
                <w:bCs/>
                <w:noProof/>
                <w:sz w:val="20"/>
                <w:szCs w:val="20"/>
              </w:rPr>
            </w:pPr>
            <w:r w:rsidRPr="00CA2430">
              <w:rPr>
                <w:rFonts w:cs="Times New Roman"/>
                <w:b/>
                <w:bCs/>
                <w:noProof/>
                <w:sz w:val="20"/>
                <w:szCs w:val="20"/>
              </w:rPr>
              <w:t>0,4</w:t>
            </w:r>
          </w:p>
        </w:tc>
        <w:tc>
          <w:tcPr>
            <w:tcW w:w="891" w:type="dxa"/>
            <w:shd w:val="clear" w:color="auto" w:fill="BDD6EE" w:themeFill="accent1" w:themeFillTint="66"/>
            <w:vAlign w:val="center"/>
            <w:hideMark/>
          </w:tcPr>
          <w:p w14:paraId="233C1C76"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0,4</w:t>
            </w:r>
          </w:p>
        </w:tc>
        <w:tc>
          <w:tcPr>
            <w:tcW w:w="935" w:type="dxa"/>
            <w:shd w:val="clear" w:color="auto" w:fill="BDD6EE" w:themeFill="accent1" w:themeFillTint="66"/>
            <w:vAlign w:val="center"/>
            <w:hideMark/>
          </w:tcPr>
          <w:p w14:paraId="541C9130" w14:textId="77777777" w:rsidR="00E37498" w:rsidRPr="00CA2430" w:rsidRDefault="00E37498" w:rsidP="006E6149">
            <w:pPr>
              <w:spacing w:before="0" w:after="0"/>
              <w:ind w:firstLine="0"/>
              <w:jc w:val="center"/>
              <w:rPr>
                <w:rFonts w:eastAsia="Times New Roman" w:cs="Times New Roman"/>
                <w:b/>
                <w:bCs/>
                <w:noProof/>
                <w:sz w:val="20"/>
                <w:szCs w:val="20"/>
                <w:lang w:eastAsia="lv-LV"/>
              </w:rPr>
            </w:pPr>
            <w:r w:rsidRPr="00CA2430">
              <w:rPr>
                <w:rFonts w:cs="Times New Roman"/>
                <w:b/>
                <w:bCs/>
                <w:noProof/>
                <w:sz w:val="20"/>
                <w:szCs w:val="20"/>
              </w:rPr>
              <w:t>0,4</w:t>
            </w:r>
          </w:p>
        </w:tc>
      </w:tr>
      <w:tr w:rsidR="00E37498" w:rsidRPr="00CA2430" w14:paraId="2E7CA63D" w14:textId="77777777" w:rsidTr="00FE0109">
        <w:trPr>
          <w:trHeight w:val="20"/>
        </w:trPr>
        <w:tc>
          <w:tcPr>
            <w:tcW w:w="4661" w:type="dxa"/>
            <w:shd w:val="clear" w:color="auto" w:fill="auto"/>
            <w:vAlign w:val="center"/>
            <w:hideMark/>
          </w:tcPr>
          <w:p w14:paraId="3F72FFD0" w14:textId="77777777" w:rsidR="00E37498" w:rsidRPr="00CA2430" w:rsidRDefault="00E37498" w:rsidP="006E6149">
            <w:pPr>
              <w:spacing w:before="0" w:after="0"/>
              <w:ind w:firstLine="0"/>
              <w:rPr>
                <w:rFonts w:eastAsia="Times New Roman" w:cs="Times New Roman"/>
                <w:b/>
                <w:bCs/>
                <w:noProof/>
                <w:sz w:val="20"/>
                <w:szCs w:val="20"/>
                <w:lang w:eastAsia="lv-LV"/>
              </w:rPr>
            </w:pPr>
            <w:r w:rsidRPr="00CA2430">
              <w:rPr>
                <w:rFonts w:eastAsia="Times New Roman" w:cs="Times New Roman"/>
                <w:b/>
                <w:bCs/>
                <w:noProof/>
                <w:sz w:val="20"/>
                <w:szCs w:val="20"/>
                <w:lang w:eastAsia="lv-LV"/>
              </w:rPr>
              <w:t xml:space="preserve">Vispārējās valdības budžeta bilances novirze no bāzes scenārija, milj. </w:t>
            </w:r>
            <w:r w:rsidRPr="00CA2430">
              <w:rPr>
                <w:rFonts w:eastAsia="Times New Roman" w:cs="Times New Roman"/>
                <w:b/>
                <w:bCs/>
                <w:i/>
                <w:noProof/>
                <w:sz w:val="20"/>
                <w:szCs w:val="20"/>
                <w:lang w:eastAsia="lv-LV"/>
              </w:rPr>
              <w:t>euro</w:t>
            </w:r>
          </w:p>
        </w:tc>
        <w:tc>
          <w:tcPr>
            <w:tcW w:w="908" w:type="dxa"/>
            <w:shd w:val="clear" w:color="auto" w:fill="BDD6EE" w:themeFill="accent1" w:themeFillTint="66"/>
            <w:vAlign w:val="center"/>
            <w:hideMark/>
          </w:tcPr>
          <w:p w14:paraId="39CCAB06"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46,2</w:t>
            </w:r>
          </w:p>
        </w:tc>
        <w:tc>
          <w:tcPr>
            <w:tcW w:w="907" w:type="dxa"/>
            <w:shd w:val="clear" w:color="auto" w:fill="BDD6EE" w:themeFill="accent1" w:themeFillTint="66"/>
            <w:vAlign w:val="center"/>
            <w:hideMark/>
          </w:tcPr>
          <w:p w14:paraId="7BC9E48F"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135,2</w:t>
            </w:r>
          </w:p>
        </w:tc>
        <w:tc>
          <w:tcPr>
            <w:tcW w:w="891" w:type="dxa"/>
            <w:shd w:val="clear" w:color="auto" w:fill="BDD6EE" w:themeFill="accent1" w:themeFillTint="66"/>
            <w:vAlign w:val="center"/>
          </w:tcPr>
          <w:p w14:paraId="0B524AEC" w14:textId="77777777" w:rsidR="00E37498" w:rsidRPr="00CA2430" w:rsidRDefault="00E37498" w:rsidP="006E6149">
            <w:pPr>
              <w:spacing w:before="0" w:after="0"/>
              <w:ind w:firstLine="0"/>
              <w:jc w:val="center"/>
              <w:rPr>
                <w:rFonts w:cs="Times New Roman"/>
                <w:b/>
                <w:bCs/>
                <w:noProof/>
                <w:sz w:val="20"/>
                <w:szCs w:val="20"/>
                <w:highlight w:val="yellow"/>
              </w:rPr>
            </w:pPr>
            <w:r w:rsidRPr="00CA2430">
              <w:rPr>
                <w:rFonts w:cs="Times New Roman"/>
                <w:b/>
                <w:bCs/>
                <w:noProof/>
                <w:color w:val="000000"/>
                <w:sz w:val="20"/>
                <w:szCs w:val="20"/>
              </w:rPr>
              <w:t>181,1</w:t>
            </w:r>
          </w:p>
        </w:tc>
        <w:tc>
          <w:tcPr>
            <w:tcW w:w="891" w:type="dxa"/>
            <w:shd w:val="clear" w:color="auto" w:fill="BDD6EE" w:themeFill="accent1" w:themeFillTint="66"/>
            <w:vAlign w:val="center"/>
            <w:hideMark/>
          </w:tcPr>
          <w:p w14:paraId="6F10F4B5"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196,6</w:t>
            </w:r>
          </w:p>
        </w:tc>
        <w:tc>
          <w:tcPr>
            <w:tcW w:w="935" w:type="dxa"/>
            <w:shd w:val="clear" w:color="auto" w:fill="BDD6EE" w:themeFill="accent1" w:themeFillTint="66"/>
            <w:vAlign w:val="center"/>
            <w:hideMark/>
          </w:tcPr>
          <w:p w14:paraId="7888ADB3" w14:textId="77777777" w:rsidR="00E37498" w:rsidRPr="00CA2430" w:rsidRDefault="00E37498" w:rsidP="006E6149">
            <w:pPr>
              <w:spacing w:before="0" w:after="0"/>
              <w:ind w:firstLine="0"/>
              <w:jc w:val="center"/>
              <w:rPr>
                <w:rFonts w:eastAsia="Times New Roman" w:cs="Times New Roman"/>
                <w:b/>
                <w:bCs/>
                <w:noProof/>
                <w:sz w:val="20"/>
                <w:szCs w:val="20"/>
                <w:highlight w:val="yellow"/>
                <w:lang w:eastAsia="lv-LV"/>
              </w:rPr>
            </w:pPr>
            <w:r w:rsidRPr="00CA2430">
              <w:rPr>
                <w:rFonts w:cs="Times New Roman"/>
                <w:b/>
                <w:bCs/>
                <w:noProof/>
                <w:color w:val="000000"/>
                <w:sz w:val="20"/>
                <w:szCs w:val="20"/>
              </w:rPr>
              <w:t>209,3</w:t>
            </w:r>
          </w:p>
        </w:tc>
      </w:tr>
      <w:tr w:rsidR="00E37498" w:rsidRPr="00CA2430" w14:paraId="4740E84A" w14:textId="77777777" w:rsidTr="00FE0109">
        <w:trPr>
          <w:trHeight w:val="20"/>
        </w:trPr>
        <w:tc>
          <w:tcPr>
            <w:tcW w:w="4661" w:type="dxa"/>
            <w:shd w:val="clear" w:color="auto" w:fill="auto"/>
            <w:vAlign w:val="center"/>
            <w:hideMark/>
          </w:tcPr>
          <w:p w14:paraId="7F022F86"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Nodokļu ieņēmumi</w:t>
            </w:r>
          </w:p>
        </w:tc>
        <w:tc>
          <w:tcPr>
            <w:tcW w:w="908" w:type="dxa"/>
            <w:shd w:val="clear" w:color="auto" w:fill="BDD6EE" w:themeFill="accent1" w:themeFillTint="66"/>
            <w:vAlign w:val="center"/>
            <w:hideMark/>
          </w:tcPr>
          <w:p w14:paraId="11E61ED2"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43,5</w:t>
            </w:r>
          </w:p>
        </w:tc>
        <w:tc>
          <w:tcPr>
            <w:tcW w:w="907" w:type="dxa"/>
            <w:shd w:val="clear" w:color="auto" w:fill="BDD6EE" w:themeFill="accent1" w:themeFillTint="66"/>
            <w:vAlign w:val="center"/>
            <w:hideMark/>
          </w:tcPr>
          <w:p w14:paraId="44390A92"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131,2</w:t>
            </w:r>
          </w:p>
        </w:tc>
        <w:tc>
          <w:tcPr>
            <w:tcW w:w="891" w:type="dxa"/>
            <w:shd w:val="clear" w:color="auto" w:fill="BDD6EE" w:themeFill="accent1" w:themeFillTint="66"/>
            <w:vAlign w:val="center"/>
          </w:tcPr>
          <w:p w14:paraId="5B576A4A"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color w:val="000000"/>
                <w:sz w:val="20"/>
                <w:szCs w:val="20"/>
              </w:rPr>
              <w:t>178,8</w:t>
            </w:r>
          </w:p>
        </w:tc>
        <w:tc>
          <w:tcPr>
            <w:tcW w:w="891" w:type="dxa"/>
            <w:shd w:val="clear" w:color="auto" w:fill="BDD6EE" w:themeFill="accent1" w:themeFillTint="66"/>
            <w:vAlign w:val="center"/>
            <w:hideMark/>
          </w:tcPr>
          <w:p w14:paraId="43957E43"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201,2</w:t>
            </w:r>
          </w:p>
        </w:tc>
        <w:tc>
          <w:tcPr>
            <w:tcW w:w="935" w:type="dxa"/>
            <w:shd w:val="clear" w:color="auto" w:fill="BDD6EE" w:themeFill="accent1" w:themeFillTint="66"/>
            <w:vAlign w:val="center"/>
            <w:hideMark/>
          </w:tcPr>
          <w:p w14:paraId="5919A0F6"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219,9</w:t>
            </w:r>
          </w:p>
        </w:tc>
      </w:tr>
      <w:tr w:rsidR="00E37498" w:rsidRPr="00CA2430" w14:paraId="26213239" w14:textId="77777777" w:rsidTr="00FE0109">
        <w:trPr>
          <w:trHeight w:val="20"/>
        </w:trPr>
        <w:tc>
          <w:tcPr>
            <w:tcW w:w="4661" w:type="dxa"/>
            <w:shd w:val="clear" w:color="auto" w:fill="auto"/>
            <w:vAlign w:val="center"/>
            <w:hideMark/>
          </w:tcPr>
          <w:p w14:paraId="201C4071"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Iedzīvotāju ienākuma nodoklis</w:t>
            </w:r>
          </w:p>
        </w:tc>
        <w:tc>
          <w:tcPr>
            <w:tcW w:w="908" w:type="dxa"/>
            <w:shd w:val="clear" w:color="auto" w:fill="BDD6EE" w:themeFill="accent1" w:themeFillTint="66"/>
            <w:vAlign w:val="bottom"/>
            <w:hideMark/>
          </w:tcPr>
          <w:p w14:paraId="76E0F58E"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0,0</w:t>
            </w:r>
          </w:p>
        </w:tc>
        <w:tc>
          <w:tcPr>
            <w:tcW w:w="907" w:type="dxa"/>
            <w:shd w:val="clear" w:color="auto" w:fill="BDD6EE" w:themeFill="accent1" w:themeFillTint="66"/>
            <w:vAlign w:val="bottom"/>
            <w:hideMark/>
          </w:tcPr>
          <w:p w14:paraId="2F3945DE"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12,2</w:t>
            </w:r>
          </w:p>
        </w:tc>
        <w:tc>
          <w:tcPr>
            <w:tcW w:w="891" w:type="dxa"/>
            <w:shd w:val="clear" w:color="auto" w:fill="BDD6EE" w:themeFill="accent1" w:themeFillTint="66"/>
            <w:vAlign w:val="bottom"/>
          </w:tcPr>
          <w:p w14:paraId="433A2419" w14:textId="77777777" w:rsidR="00E37498" w:rsidRPr="00CA2430" w:rsidRDefault="00E37498" w:rsidP="006E6149">
            <w:pPr>
              <w:spacing w:before="0" w:after="0"/>
              <w:ind w:firstLine="0"/>
              <w:jc w:val="center"/>
              <w:rPr>
                <w:rFonts w:cs="Times New Roman"/>
                <w:i/>
                <w:iCs/>
                <w:noProof/>
                <w:sz w:val="18"/>
                <w:szCs w:val="18"/>
                <w:highlight w:val="yellow"/>
              </w:rPr>
            </w:pPr>
            <w:r w:rsidRPr="00CA2430">
              <w:rPr>
                <w:rFonts w:cs="Times New Roman"/>
                <w:i/>
                <w:iCs/>
                <w:noProof/>
                <w:color w:val="000000"/>
                <w:sz w:val="18"/>
                <w:szCs w:val="18"/>
              </w:rPr>
              <w:t>26,1</w:t>
            </w:r>
          </w:p>
        </w:tc>
        <w:tc>
          <w:tcPr>
            <w:tcW w:w="891" w:type="dxa"/>
            <w:shd w:val="clear" w:color="auto" w:fill="BDD6EE" w:themeFill="accent1" w:themeFillTint="66"/>
            <w:vAlign w:val="bottom"/>
            <w:hideMark/>
          </w:tcPr>
          <w:p w14:paraId="2887B3BE"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32,8</w:t>
            </w:r>
          </w:p>
        </w:tc>
        <w:tc>
          <w:tcPr>
            <w:tcW w:w="935" w:type="dxa"/>
            <w:shd w:val="clear" w:color="auto" w:fill="BDD6EE" w:themeFill="accent1" w:themeFillTint="66"/>
            <w:vAlign w:val="bottom"/>
            <w:hideMark/>
          </w:tcPr>
          <w:p w14:paraId="79073FA2"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38,2</w:t>
            </w:r>
          </w:p>
        </w:tc>
      </w:tr>
      <w:tr w:rsidR="00E37498" w:rsidRPr="00CA2430" w14:paraId="714F9352" w14:textId="77777777" w:rsidTr="00FE0109">
        <w:trPr>
          <w:trHeight w:val="20"/>
        </w:trPr>
        <w:tc>
          <w:tcPr>
            <w:tcW w:w="4661" w:type="dxa"/>
            <w:shd w:val="clear" w:color="auto" w:fill="auto"/>
            <w:vAlign w:val="center"/>
            <w:hideMark/>
          </w:tcPr>
          <w:p w14:paraId="62907EA9"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Uzņēmuma ienākuma nodoklis</w:t>
            </w:r>
          </w:p>
        </w:tc>
        <w:tc>
          <w:tcPr>
            <w:tcW w:w="908" w:type="dxa"/>
            <w:shd w:val="clear" w:color="auto" w:fill="BDD6EE" w:themeFill="accent1" w:themeFillTint="66"/>
            <w:vAlign w:val="bottom"/>
            <w:hideMark/>
          </w:tcPr>
          <w:p w14:paraId="5C57FDF2"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5,1</w:t>
            </w:r>
          </w:p>
        </w:tc>
        <w:tc>
          <w:tcPr>
            <w:tcW w:w="907" w:type="dxa"/>
            <w:shd w:val="clear" w:color="auto" w:fill="BDD6EE" w:themeFill="accent1" w:themeFillTint="66"/>
            <w:vAlign w:val="bottom"/>
            <w:hideMark/>
          </w:tcPr>
          <w:p w14:paraId="36B623FA"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10,9</w:t>
            </w:r>
          </w:p>
        </w:tc>
        <w:tc>
          <w:tcPr>
            <w:tcW w:w="891" w:type="dxa"/>
            <w:shd w:val="clear" w:color="auto" w:fill="BDD6EE" w:themeFill="accent1" w:themeFillTint="66"/>
            <w:vAlign w:val="bottom"/>
          </w:tcPr>
          <w:p w14:paraId="048EF95A"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11,9</w:t>
            </w:r>
          </w:p>
        </w:tc>
        <w:tc>
          <w:tcPr>
            <w:tcW w:w="891" w:type="dxa"/>
            <w:shd w:val="clear" w:color="auto" w:fill="BDD6EE" w:themeFill="accent1" w:themeFillTint="66"/>
            <w:vAlign w:val="bottom"/>
            <w:hideMark/>
          </w:tcPr>
          <w:p w14:paraId="7C00A8C4"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12,1</w:t>
            </w:r>
          </w:p>
        </w:tc>
        <w:tc>
          <w:tcPr>
            <w:tcW w:w="935" w:type="dxa"/>
            <w:shd w:val="clear" w:color="auto" w:fill="BDD6EE" w:themeFill="accent1" w:themeFillTint="66"/>
            <w:vAlign w:val="bottom"/>
            <w:hideMark/>
          </w:tcPr>
          <w:p w14:paraId="40575473"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12,3</w:t>
            </w:r>
          </w:p>
        </w:tc>
      </w:tr>
      <w:tr w:rsidR="00E37498" w:rsidRPr="00CA2430" w14:paraId="428751A4" w14:textId="77777777" w:rsidTr="00FE0109">
        <w:trPr>
          <w:trHeight w:val="20"/>
        </w:trPr>
        <w:tc>
          <w:tcPr>
            <w:tcW w:w="4661" w:type="dxa"/>
            <w:shd w:val="clear" w:color="auto" w:fill="auto"/>
            <w:vAlign w:val="center"/>
            <w:hideMark/>
          </w:tcPr>
          <w:p w14:paraId="14D39EF0"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Pievienotās vērtības nodoklis</w:t>
            </w:r>
          </w:p>
        </w:tc>
        <w:tc>
          <w:tcPr>
            <w:tcW w:w="908" w:type="dxa"/>
            <w:shd w:val="clear" w:color="auto" w:fill="BDD6EE" w:themeFill="accent1" w:themeFillTint="66"/>
            <w:vAlign w:val="bottom"/>
            <w:hideMark/>
          </w:tcPr>
          <w:p w14:paraId="15851144"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29,1</w:t>
            </w:r>
          </w:p>
        </w:tc>
        <w:tc>
          <w:tcPr>
            <w:tcW w:w="907" w:type="dxa"/>
            <w:shd w:val="clear" w:color="auto" w:fill="BDD6EE" w:themeFill="accent1" w:themeFillTint="66"/>
            <w:vAlign w:val="bottom"/>
            <w:hideMark/>
          </w:tcPr>
          <w:p w14:paraId="2CF41A66"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66,8</w:t>
            </w:r>
          </w:p>
        </w:tc>
        <w:tc>
          <w:tcPr>
            <w:tcW w:w="891" w:type="dxa"/>
            <w:shd w:val="clear" w:color="auto" w:fill="BDD6EE" w:themeFill="accent1" w:themeFillTint="66"/>
            <w:vAlign w:val="bottom"/>
          </w:tcPr>
          <w:p w14:paraId="2BA5737A"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74,2</w:t>
            </w:r>
          </w:p>
        </w:tc>
        <w:tc>
          <w:tcPr>
            <w:tcW w:w="891" w:type="dxa"/>
            <w:shd w:val="clear" w:color="auto" w:fill="BDD6EE" w:themeFill="accent1" w:themeFillTint="66"/>
            <w:vAlign w:val="bottom"/>
            <w:hideMark/>
          </w:tcPr>
          <w:p w14:paraId="054BE08C"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77,7</w:t>
            </w:r>
          </w:p>
        </w:tc>
        <w:tc>
          <w:tcPr>
            <w:tcW w:w="935" w:type="dxa"/>
            <w:shd w:val="clear" w:color="auto" w:fill="BDD6EE" w:themeFill="accent1" w:themeFillTint="66"/>
            <w:vAlign w:val="bottom"/>
            <w:hideMark/>
          </w:tcPr>
          <w:p w14:paraId="4AF20A70"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81,3</w:t>
            </w:r>
          </w:p>
        </w:tc>
      </w:tr>
      <w:tr w:rsidR="00E37498" w:rsidRPr="00CA2430" w14:paraId="3F65AB06" w14:textId="77777777" w:rsidTr="00FE0109">
        <w:trPr>
          <w:trHeight w:val="20"/>
        </w:trPr>
        <w:tc>
          <w:tcPr>
            <w:tcW w:w="4661" w:type="dxa"/>
            <w:shd w:val="clear" w:color="auto" w:fill="auto"/>
            <w:vAlign w:val="bottom"/>
            <w:hideMark/>
          </w:tcPr>
          <w:p w14:paraId="5C53CA15" w14:textId="77777777" w:rsidR="00E37498" w:rsidRPr="00CA2430" w:rsidRDefault="00E37498" w:rsidP="006E6149">
            <w:pPr>
              <w:spacing w:before="0" w:after="0"/>
              <w:ind w:firstLine="0"/>
              <w:jc w:val="right"/>
              <w:rPr>
                <w:rFonts w:eastAsia="Times New Roman" w:cs="Times New Roman"/>
                <w:i/>
                <w:iCs/>
                <w:noProof/>
                <w:color w:val="000000"/>
                <w:sz w:val="18"/>
                <w:szCs w:val="18"/>
                <w:lang w:eastAsia="lv-LV"/>
              </w:rPr>
            </w:pPr>
            <w:r w:rsidRPr="00CA2430">
              <w:rPr>
                <w:rFonts w:eastAsia="Times New Roman" w:cs="Times New Roman"/>
                <w:i/>
                <w:iCs/>
                <w:noProof/>
                <w:color w:val="000000"/>
                <w:sz w:val="18"/>
                <w:szCs w:val="18"/>
                <w:lang w:eastAsia="lv-LV"/>
              </w:rPr>
              <w:t>Valsts sociālās apdrošināšanas obligātās  iemaksas</w:t>
            </w:r>
          </w:p>
        </w:tc>
        <w:tc>
          <w:tcPr>
            <w:tcW w:w="908" w:type="dxa"/>
            <w:shd w:val="clear" w:color="auto" w:fill="BDD6EE" w:themeFill="accent1" w:themeFillTint="66"/>
            <w:vAlign w:val="bottom"/>
            <w:hideMark/>
          </w:tcPr>
          <w:p w14:paraId="157C68BD"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0,0</w:t>
            </w:r>
          </w:p>
        </w:tc>
        <w:tc>
          <w:tcPr>
            <w:tcW w:w="907" w:type="dxa"/>
            <w:shd w:val="clear" w:color="auto" w:fill="BDD6EE" w:themeFill="accent1" w:themeFillTint="66"/>
            <w:vAlign w:val="bottom"/>
            <w:hideMark/>
          </w:tcPr>
          <w:p w14:paraId="60CADDB8"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19,9</w:t>
            </w:r>
          </w:p>
        </w:tc>
        <w:tc>
          <w:tcPr>
            <w:tcW w:w="891" w:type="dxa"/>
            <w:shd w:val="clear" w:color="auto" w:fill="BDD6EE" w:themeFill="accent1" w:themeFillTint="66"/>
            <w:vAlign w:val="bottom"/>
          </w:tcPr>
          <w:p w14:paraId="61A8CB7C"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42,8</w:t>
            </w:r>
          </w:p>
        </w:tc>
        <w:tc>
          <w:tcPr>
            <w:tcW w:w="891" w:type="dxa"/>
            <w:shd w:val="clear" w:color="auto" w:fill="BDD6EE" w:themeFill="accent1" w:themeFillTint="66"/>
            <w:vAlign w:val="bottom"/>
            <w:hideMark/>
          </w:tcPr>
          <w:p w14:paraId="2393469D"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53,8</w:t>
            </w:r>
          </w:p>
        </w:tc>
        <w:tc>
          <w:tcPr>
            <w:tcW w:w="935" w:type="dxa"/>
            <w:shd w:val="clear" w:color="auto" w:fill="BDD6EE" w:themeFill="accent1" w:themeFillTint="66"/>
            <w:vAlign w:val="bottom"/>
            <w:hideMark/>
          </w:tcPr>
          <w:p w14:paraId="6408C475"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62,6</w:t>
            </w:r>
          </w:p>
        </w:tc>
      </w:tr>
      <w:tr w:rsidR="00E37498" w:rsidRPr="00CA2430" w14:paraId="17911967" w14:textId="77777777" w:rsidTr="00FE0109">
        <w:trPr>
          <w:trHeight w:val="20"/>
        </w:trPr>
        <w:tc>
          <w:tcPr>
            <w:tcW w:w="4661" w:type="dxa"/>
            <w:shd w:val="clear" w:color="auto" w:fill="auto"/>
            <w:vAlign w:val="center"/>
            <w:hideMark/>
          </w:tcPr>
          <w:p w14:paraId="3A5EDBF3" w14:textId="77777777" w:rsidR="00E37498" w:rsidRPr="00CA2430" w:rsidRDefault="00E37498" w:rsidP="006E6149">
            <w:pPr>
              <w:spacing w:before="0" w:after="0"/>
              <w:ind w:firstLine="0"/>
              <w:jc w:val="right"/>
              <w:rPr>
                <w:rFonts w:eastAsia="Times New Roman" w:cs="Times New Roman"/>
                <w:noProof/>
                <w:color w:val="000000"/>
                <w:sz w:val="18"/>
                <w:szCs w:val="18"/>
                <w:lang w:eastAsia="lv-LV"/>
              </w:rPr>
            </w:pPr>
            <w:r w:rsidRPr="00CA2430">
              <w:rPr>
                <w:rFonts w:eastAsia="Times New Roman" w:cs="Times New Roman"/>
                <w:noProof/>
                <w:color w:val="000000"/>
                <w:sz w:val="18"/>
                <w:szCs w:val="18"/>
                <w:lang w:eastAsia="lv-LV"/>
              </w:rPr>
              <w:t xml:space="preserve">          </w:t>
            </w:r>
            <w:r w:rsidRPr="00CA2430">
              <w:rPr>
                <w:rFonts w:eastAsia="Times New Roman" w:cs="Times New Roman"/>
                <w:i/>
                <w:iCs/>
                <w:noProof/>
                <w:color w:val="000000"/>
                <w:sz w:val="18"/>
                <w:szCs w:val="18"/>
                <w:lang w:eastAsia="lv-LV"/>
              </w:rPr>
              <w:t>Akcīzes nodoklis</w:t>
            </w:r>
          </w:p>
        </w:tc>
        <w:tc>
          <w:tcPr>
            <w:tcW w:w="908" w:type="dxa"/>
            <w:shd w:val="clear" w:color="auto" w:fill="BDD6EE" w:themeFill="accent1" w:themeFillTint="66"/>
            <w:vAlign w:val="bottom"/>
            <w:hideMark/>
          </w:tcPr>
          <w:p w14:paraId="6428B9CA"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8,8</w:t>
            </w:r>
          </w:p>
        </w:tc>
        <w:tc>
          <w:tcPr>
            <w:tcW w:w="907" w:type="dxa"/>
            <w:shd w:val="clear" w:color="auto" w:fill="BDD6EE" w:themeFill="accent1" w:themeFillTint="66"/>
            <w:vAlign w:val="bottom"/>
            <w:hideMark/>
          </w:tcPr>
          <w:p w14:paraId="096C6349"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20,3</w:t>
            </w:r>
          </w:p>
        </w:tc>
        <w:tc>
          <w:tcPr>
            <w:tcW w:w="891" w:type="dxa"/>
            <w:shd w:val="clear" w:color="auto" w:fill="BDD6EE" w:themeFill="accent1" w:themeFillTint="66"/>
            <w:vAlign w:val="bottom"/>
          </w:tcPr>
          <w:p w14:paraId="1E29A663" w14:textId="77777777" w:rsidR="00E37498" w:rsidRPr="00CA2430" w:rsidRDefault="00E37498" w:rsidP="006E6149">
            <w:pPr>
              <w:spacing w:before="0" w:after="0"/>
              <w:ind w:firstLine="0"/>
              <w:jc w:val="center"/>
              <w:rPr>
                <w:rFonts w:cs="Times New Roman"/>
                <w:i/>
                <w:iCs/>
                <w:noProof/>
                <w:color w:val="000000"/>
                <w:sz w:val="18"/>
                <w:szCs w:val="18"/>
                <w:highlight w:val="yellow"/>
              </w:rPr>
            </w:pPr>
            <w:r w:rsidRPr="00CA2430">
              <w:rPr>
                <w:rFonts w:cs="Times New Roman"/>
                <w:i/>
                <w:iCs/>
                <w:noProof/>
                <w:color w:val="000000"/>
                <w:sz w:val="18"/>
                <w:szCs w:val="18"/>
              </w:rPr>
              <w:t>22,6</w:t>
            </w:r>
          </w:p>
        </w:tc>
        <w:tc>
          <w:tcPr>
            <w:tcW w:w="891" w:type="dxa"/>
            <w:shd w:val="clear" w:color="auto" w:fill="BDD6EE" w:themeFill="accent1" w:themeFillTint="66"/>
            <w:vAlign w:val="bottom"/>
            <w:hideMark/>
          </w:tcPr>
          <w:p w14:paraId="3EE0E6A7"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23,6</w:t>
            </w:r>
          </w:p>
        </w:tc>
        <w:tc>
          <w:tcPr>
            <w:tcW w:w="935" w:type="dxa"/>
            <w:shd w:val="clear" w:color="auto" w:fill="BDD6EE" w:themeFill="accent1" w:themeFillTint="66"/>
            <w:vAlign w:val="bottom"/>
            <w:hideMark/>
          </w:tcPr>
          <w:p w14:paraId="54FD6178" w14:textId="77777777" w:rsidR="00E37498" w:rsidRPr="00CA2430" w:rsidRDefault="00E37498" w:rsidP="006E6149">
            <w:pPr>
              <w:spacing w:before="0" w:after="0"/>
              <w:ind w:firstLine="0"/>
              <w:jc w:val="center"/>
              <w:rPr>
                <w:rFonts w:eastAsia="Times New Roman" w:cs="Times New Roman"/>
                <w:i/>
                <w:iCs/>
                <w:noProof/>
                <w:color w:val="000000"/>
                <w:sz w:val="18"/>
                <w:szCs w:val="18"/>
                <w:highlight w:val="yellow"/>
                <w:lang w:eastAsia="lv-LV"/>
              </w:rPr>
            </w:pPr>
            <w:r w:rsidRPr="00CA2430">
              <w:rPr>
                <w:rFonts w:cs="Times New Roman"/>
                <w:i/>
                <w:iCs/>
                <w:noProof/>
                <w:color w:val="000000"/>
                <w:sz w:val="18"/>
                <w:szCs w:val="18"/>
              </w:rPr>
              <w:t>24,2</w:t>
            </w:r>
          </w:p>
        </w:tc>
      </w:tr>
      <w:tr w:rsidR="00E37498" w:rsidRPr="00CA2430" w14:paraId="54051390" w14:textId="77777777" w:rsidTr="00FE0109">
        <w:trPr>
          <w:trHeight w:val="20"/>
        </w:trPr>
        <w:tc>
          <w:tcPr>
            <w:tcW w:w="4661" w:type="dxa"/>
            <w:shd w:val="clear" w:color="auto" w:fill="auto"/>
            <w:vAlign w:val="center"/>
            <w:hideMark/>
          </w:tcPr>
          <w:p w14:paraId="348851F8"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Nenodokļu ieņēmumi</w:t>
            </w:r>
          </w:p>
        </w:tc>
        <w:tc>
          <w:tcPr>
            <w:tcW w:w="908" w:type="dxa"/>
            <w:shd w:val="clear" w:color="auto" w:fill="BDD6EE" w:themeFill="accent1" w:themeFillTint="66"/>
            <w:vAlign w:val="bottom"/>
            <w:hideMark/>
          </w:tcPr>
          <w:p w14:paraId="6CBD70DB"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2,9</w:t>
            </w:r>
          </w:p>
        </w:tc>
        <w:tc>
          <w:tcPr>
            <w:tcW w:w="907" w:type="dxa"/>
            <w:shd w:val="clear" w:color="auto" w:fill="BDD6EE" w:themeFill="accent1" w:themeFillTint="66"/>
            <w:vAlign w:val="bottom"/>
            <w:hideMark/>
          </w:tcPr>
          <w:p w14:paraId="3A9F72A0"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3,8</w:t>
            </w:r>
          </w:p>
        </w:tc>
        <w:tc>
          <w:tcPr>
            <w:tcW w:w="891" w:type="dxa"/>
            <w:shd w:val="clear" w:color="auto" w:fill="BDD6EE" w:themeFill="accent1" w:themeFillTint="66"/>
            <w:vAlign w:val="bottom"/>
          </w:tcPr>
          <w:p w14:paraId="11FD41B7"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color w:val="000000"/>
                <w:sz w:val="20"/>
                <w:szCs w:val="20"/>
              </w:rPr>
              <w:t>3,4</w:t>
            </w:r>
          </w:p>
        </w:tc>
        <w:tc>
          <w:tcPr>
            <w:tcW w:w="891" w:type="dxa"/>
            <w:shd w:val="clear" w:color="auto" w:fill="BDD6EE" w:themeFill="accent1" w:themeFillTint="66"/>
            <w:vAlign w:val="bottom"/>
            <w:hideMark/>
          </w:tcPr>
          <w:p w14:paraId="3BCEB7F0"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3,5</w:t>
            </w:r>
          </w:p>
        </w:tc>
        <w:tc>
          <w:tcPr>
            <w:tcW w:w="935" w:type="dxa"/>
            <w:shd w:val="clear" w:color="auto" w:fill="BDD6EE" w:themeFill="accent1" w:themeFillTint="66"/>
            <w:vAlign w:val="bottom"/>
            <w:hideMark/>
          </w:tcPr>
          <w:p w14:paraId="04733D58"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color w:val="000000"/>
                <w:sz w:val="20"/>
                <w:szCs w:val="20"/>
              </w:rPr>
              <w:t>3,4</w:t>
            </w:r>
          </w:p>
        </w:tc>
      </w:tr>
      <w:tr w:rsidR="00E37498" w:rsidRPr="00CA2430" w14:paraId="264EDCA8" w14:textId="77777777" w:rsidTr="00FE0109">
        <w:trPr>
          <w:trHeight w:val="20"/>
        </w:trPr>
        <w:tc>
          <w:tcPr>
            <w:tcW w:w="4661" w:type="dxa"/>
            <w:shd w:val="clear" w:color="auto" w:fill="auto"/>
            <w:vAlign w:val="center"/>
          </w:tcPr>
          <w:p w14:paraId="61CC56CC"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Soc.pabalstu izdevumi</w:t>
            </w:r>
          </w:p>
        </w:tc>
        <w:tc>
          <w:tcPr>
            <w:tcW w:w="908" w:type="dxa"/>
            <w:shd w:val="clear" w:color="auto" w:fill="BDD6EE" w:themeFill="accent1" w:themeFillTint="66"/>
            <w:vAlign w:val="bottom"/>
          </w:tcPr>
          <w:p w14:paraId="772AC7FE"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0,2</w:t>
            </w:r>
          </w:p>
        </w:tc>
        <w:tc>
          <w:tcPr>
            <w:tcW w:w="907" w:type="dxa"/>
            <w:shd w:val="clear" w:color="auto" w:fill="BDD6EE" w:themeFill="accent1" w:themeFillTint="66"/>
            <w:vAlign w:val="bottom"/>
          </w:tcPr>
          <w:p w14:paraId="3F474D17"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1,6</w:t>
            </w:r>
          </w:p>
        </w:tc>
        <w:tc>
          <w:tcPr>
            <w:tcW w:w="891" w:type="dxa"/>
            <w:shd w:val="clear" w:color="auto" w:fill="BDD6EE" w:themeFill="accent1" w:themeFillTint="66"/>
            <w:vAlign w:val="bottom"/>
          </w:tcPr>
          <w:p w14:paraId="2D6541E6"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7,8</w:t>
            </w:r>
          </w:p>
        </w:tc>
        <w:tc>
          <w:tcPr>
            <w:tcW w:w="891" w:type="dxa"/>
            <w:shd w:val="clear" w:color="auto" w:fill="BDD6EE" w:themeFill="accent1" w:themeFillTint="66"/>
            <w:vAlign w:val="bottom"/>
          </w:tcPr>
          <w:p w14:paraId="209DE687"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21,2</w:t>
            </w:r>
          </w:p>
        </w:tc>
        <w:tc>
          <w:tcPr>
            <w:tcW w:w="935" w:type="dxa"/>
            <w:shd w:val="clear" w:color="auto" w:fill="BDD6EE" w:themeFill="accent1" w:themeFillTint="66"/>
            <w:vAlign w:val="bottom"/>
          </w:tcPr>
          <w:p w14:paraId="64A197F1"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33,9</w:t>
            </w:r>
          </w:p>
        </w:tc>
      </w:tr>
      <w:tr w:rsidR="00E37498" w:rsidRPr="00CA2430" w14:paraId="32B7D613" w14:textId="77777777" w:rsidTr="00FE0109">
        <w:trPr>
          <w:trHeight w:val="20"/>
        </w:trPr>
        <w:tc>
          <w:tcPr>
            <w:tcW w:w="4661" w:type="dxa"/>
            <w:shd w:val="clear" w:color="auto" w:fill="auto"/>
            <w:vAlign w:val="center"/>
            <w:hideMark/>
          </w:tcPr>
          <w:p w14:paraId="3A73E648" w14:textId="77777777" w:rsidR="00E37498" w:rsidRPr="00CA2430" w:rsidRDefault="00E37498" w:rsidP="006E6149">
            <w:pPr>
              <w:spacing w:before="0" w:after="0"/>
              <w:ind w:firstLineChars="100" w:firstLine="200"/>
              <w:jc w:val="left"/>
              <w:rPr>
                <w:rFonts w:eastAsia="Times New Roman" w:cs="Times New Roman"/>
                <w:noProof/>
                <w:color w:val="000000"/>
                <w:sz w:val="20"/>
                <w:szCs w:val="20"/>
                <w:lang w:eastAsia="lv-LV"/>
              </w:rPr>
            </w:pPr>
            <w:r w:rsidRPr="00CA2430">
              <w:rPr>
                <w:rFonts w:eastAsia="Times New Roman" w:cs="Times New Roman"/>
                <w:noProof/>
                <w:color w:val="000000"/>
                <w:sz w:val="20"/>
                <w:szCs w:val="20"/>
                <w:lang w:eastAsia="lv-LV"/>
              </w:rPr>
              <w:t>Procentu izdevumi</w:t>
            </w:r>
          </w:p>
        </w:tc>
        <w:tc>
          <w:tcPr>
            <w:tcW w:w="908" w:type="dxa"/>
            <w:shd w:val="clear" w:color="auto" w:fill="BDD6EE" w:themeFill="accent1" w:themeFillTint="66"/>
            <w:vAlign w:val="bottom"/>
            <w:hideMark/>
          </w:tcPr>
          <w:p w14:paraId="0B563C6A"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0,0</w:t>
            </w:r>
          </w:p>
        </w:tc>
        <w:tc>
          <w:tcPr>
            <w:tcW w:w="907" w:type="dxa"/>
            <w:shd w:val="clear" w:color="auto" w:fill="BDD6EE" w:themeFill="accent1" w:themeFillTint="66"/>
            <w:vAlign w:val="bottom"/>
            <w:hideMark/>
          </w:tcPr>
          <w:p w14:paraId="06586356"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-1,9</w:t>
            </w:r>
          </w:p>
        </w:tc>
        <w:tc>
          <w:tcPr>
            <w:tcW w:w="891" w:type="dxa"/>
            <w:shd w:val="clear" w:color="auto" w:fill="BDD6EE" w:themeFill="accent1" w:themeFillTint="66"/>
            <w:vAlign w:val="bottom"/>
          </w:tcPr>
          <w:p w14:paraId="07E78FE5" w14:textId="77777777" w:rsidR="00E37498" w:rsidRPr="00CA2430" w:rsidRDefault="00E37498" w:rsidP="006E6149">
            <w:pPr>
              <w:spacing w:before="0" w:after="0"/>
              <w:ind w:firstLine="0"/>
              <w:jc w:val="center"/>
              <w:rPr>
                <w:rFonts w:cs="Times New Roman"/>
                <w:noProof/>
                <w:color w:val="000000"/>
                <w:sz w:val="20"/>
                <w:szCs w:val="20"/>
                <w:highlight w:val="yellow"/>
              </w:rPr>
            </w:pPr>
            <w:r w:rsidRPr="00CA2430">
              <w:rPr>
                <w:rFonts w:cs="Times New Roman"/>
                <w:noProof/>
                <w:sz w:val="20"/>
                <w:szCs w:val="20"/>
              </w:rPr>
              <w:t>-6,8</w:t>
            </w:r>
          </w:p>
        </w:tc>
        <w:tc>
          <w:tcPr>
            <w:tcW w:w="891" w:type="dxa"/>
            <w:shd w:val="clear" w:color="auto" w:fill="BDD6EE" w:themeFill="accent1" w:themeFillTint="66"/>
            <w:vAlign w:val="bottom"/>
            <w:hideMark/>
          </w:tcPr>
          <w:p w14:paraId="5987F9C4"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-13,1</w:t>
            </w:r>
          </w:p>
        </w:tc>
        <w:tc>
          <w:tcPr>
            <w:tcW w:w="935" w:type="dxa"/>
            <w:shd w:val="clear" w:color="auto" w:fill="BDD6EE" w:themeFill="accent1" w:themeFillTint="66"/>
            <w:vAlign w:val="bottom"/>
            <w:hideMark/>
          </w:tcPr>
          <w:p w14:paraId="5085A92C" w14:textId="77777777" w:rsidR="00E37498" w:rsidRPr="00CA2430" w:rsidRDefault="00E37498" w:rsidP="006E6149">
            <w:pPr>
              <w:spacing w:before="0" w:after="0"/>
              <w:ind w:firstLine="0"/>
              <w:jc w:val="center"/>
              <w:rPr>
                <w:rFonts w:eastAsia="Times New Roman" w:cs="Times New Roman"/>
                <w:noProof/>
                <w:color w:val="000000"/>
                <w:sz w:val="20"/>
                <w:szCs w:val="20"/>
                <w:highlight w:val="yellow"/>
                <w:lang w:eastAsia="lv-LV"/>
              </w:rPr>
            </w:pPr>
            <w:r w:rsidRPr="00CA2430">
              <w:rPr>
                <w:rFonts w:cs="Times New Roman"/>
                <w:noProof/>
                <w:sz w:val="20"/>
                <w:szCs w:val="20"/>
              </w:rPr>
              <w:t>-19,9</w:t>
            </w:r>
          </w:p>
        </w:tc>
      </w:tr>
      <w:tr w:rsidR="00E37498" w:rsidRPr="00CA2430" w14:paraId="0ACBC8E4" w14:textId="77777777" w:rsidTr="00FE0109">
        <w:trPr>
          <w:trHeight w:val="20"/>
        </w:trPr>
        <w:tc>
          <w:tcPr>
            <w:tcW w:w="4661" w:type="dxa"/>
            <w:shd w:val="clear" w:color="auto" w:fill="auto"/>
            <w:vAlign w:val="center"/>
          </w:tcPr>
          <w:p w14:paraId="519C6F9E" w14:textId="77777777" w:rsidR="00E37498" w:rsidRPr="00CA2430" w:rsidRDefault="00E37498" w:rsidP="006E6149">
            <w:pPr>
              <w:spacing w:before="0" w:after="0"/>
              <w:ind w:firstLine="0"/>
              <w:jc w:val="left"/>
              <w:rPr>
                <w:rFonts w:eastAsia="Times New Roman" w:cs="Times New Roman"/>
                <w:noProof/>
                <w:color w:val="000000"/>
                <w:sz w:val="20"/>
                <w:szCs w:val="20"/>
                <w:lang w:eastAsia="lv-LV"/>
              </w:rPr>
            </w:pPr>
            <w:r w:rsidRPr="00CA2430">
              <w:rPr>
                <w:rFonts w:eastAsia="Times New Roman" w:cs="Times New Roman"/>
                <w:b/>
                <w:bCs/>
                <w:noProof/>
                <w:color w:val="000000"/>
                <w:sz w:val="20"/>
                <w:szCs w:val="20"/>
                <w:lang w:eastAsia="lv-LV"/>
              </w:rPr>
              <w:t>Vispārējās valdības parāds, % no IKP</w:t>
            </w:r>
          </w:p>
        </w:tc>
        <w:tc>
          <w:tcPr>
            <w:tcW w:w="908" w:type="dxa"/>
            <w:shd w:val="clear" w:color="auto" w:fill="BDD6EE" w:themeFill="accent1" w:themeFillTint="66"/>
            <w:vAlign w:val="bottom"/>
          </w:tcPr>
          <w:p w14:paraId="7972DCA2"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45,4%</w:t>
            </w:r>
          </w:p>
        </w:tc>
        <w:tc>
          <w:tcPr>
            <w:tcW w:w="907" w:type="dxa"/>
            <w:shd w:val="clear" w:color="auto" w:fill="BDD6EE" w:themeFill="accent1" w:themeFillTint="66"/>
            <w:vAlign w:val="bottom"/>
          </w:tcPr>
          <w:p w14:paraId="468723B2"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45,6%</w:t>
            </w:r>
          </w:p>
        </w:tc>
        <w:tc>
          <w:tcPr>
            <w:tcW w:w="891" w:type="dxa"/>
            <w:shd w:val="clear" w:color="auto" w:fill="BDD6EE" w:themeFill="accent1" w:themeFillTint="66"/>
            <w:vAlign w:val="bottom"/>
          </w:tcPr>
          <w:p w14:paraId="49712C6B"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45,4%</w:t>
            </w:r>
          </w:p>
        </w:tc>
        <w:tc>
          <w:tcPr>
            <w:tcW w:w="891" w:type="dxa"/>
            <w:shd w:val="clear" w:color="auto" w:fill="BDD6EE" w:themeFill="accent1" w:themeFillTint="66"/>
            <w:vAlign w:val="bottom"/>
          </w:tcPr>
          <w:p w14:paraId="15C1ED06"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47,7%</w:t>
            </w:r>
          </w:p>
        </w:tc>
        <w:tc>
          <w:tcPr>
            <w:tcW w:w="935" w:type="dxa"/>
            <w:shd w:val="clear" w:color="auto" w:fill="BDD6EE" w:themeFill="accent1" w:themeFillTint="66"/>
            <w:vAlign w:val="bottom"/>
          </w:tcPr>
          <w:p w14:paraId="4BAEC516" w14:textId="77777777" w:rsidR="00E37498" w:rsidRPr="00CA2430" w:rsidRDefault="00E37498" w:rsidP="006E6149">
            <w:pPr>
              <w:spacing w:before="0" w:after="0"/>
              <w:ind w:firstLine="0"/>
              <w:jc w:val="center"/>
              <w:rPr>
                <w:rFonts w:cs="Times New Roman"/>
                <w:b/>
                <w:bCs/>
                <w:noProof/>
                <w:color w:val="000000"/>
                <w:sz w:val="20"/>
                <w:szCs w:val="20"/>
                <w:highlight w:val="yellow"/>
              </w:rPr>
            </w:pPr>
            <w:r w:rsidRPr="00CA2430">
              <w:rPr>
                <w:rFonts w:cs="Times New Roman"/>
                <w:b/>
                <w:bCs/>
                <w:noProof/>
                <w:sz w:val="20"/>
                <w:szCs w:val="20"/>
              </w:rPr>
              <w:t>46,6%</w:t>
            </w:r>
          </w:p>
        </w:tc>
      </w:tr>
    </w:tbl>
    <w:p w14:paraId="46E69BE2" w14:textId="77777777" w:rsidR="00E37498" w:rsidRPr="00CA2430" w:rsidRDefault="00E37498" w:rsidP="00E37498">
      <w:pPr>
        <w:rPr>
          <w:noProof/>
          <w:color w:val="000000" w:themeColor="text1"/>
          <w:szCs w:val="24"/>
        </w:rPr>
      </w:pPr>
      <w:r w:rsidRPr="00CA2430">
        <w:rPr>
          <w:noProof/>
          <w:color w:val="000000" w:themeColor="text1"/>
          <w:szCs w:val="24"/>
        </w:rPr>
        <w:t>2024. -2028. gadā vispārējās valdības budžeta deficīts, optimistiskajam scenārijam iestājoties un saglabājoties nemainīgai valdības politikai, tiek prognozēts attiecīgi 2,4% no IKP 2024. gadā, 2,6% no IKP 2025. gadā, 2,3% no IKP 2026. gadā, 2,0% no IKP 2027. gadā un 1,8% no IKP 2028. gadā. Pie šī scenārija bilances uzlabošanos galvenokārt nosaka augstāki kopbudžeta nodokļu ieņēmumi un zemāki procentu izdevumi.</w:t>
      </w:r>
    </w:p>
    <w:p w14:paraId="17F70AC4" w14:textId="22A2C98B" w:rsidR="00E37498" w:rsidRPr="00CA2430" w:rsidRDefault="00E37498" w:rsidP="00E37498">
      <w:pPr>
        <w:rPr>
          <w:noProof/>
          <w:color w:val="000000" w:themeColor="text1"/>
          <w:szCs w:val="24"/>
          <w:highlight w:val="yellow"/>
        </w:rPr>
      </w:pPr>
      <w:r w:rsidRPr="00CA2430">
        <w:rPr>
          <w:noProof/>
          <w:color w:val="000000" w:themeColor="text1"/>
          <w:szCs w:val="24"/>
        </w:rPr>
        <w:t>Iestājoties šādam scenārijam, vispārējās valdības budžeta bilance uzlabotos par 0,1 procentpunktu</w:t>
      </w:r>
      <w:r w:rsidR="00E2717D">
        <w:rPr>
          <w:noProof/>
          <w:color w:val="000000" w:themeColor="text1"/>
          <w:szCs w:val="24"/>
        </w:rPr>
        <w:t xml:space="preserve"> </w:t>
      </w:r>
      <w:r w:rsidRPr="00CA2430">
        <w:rPr>
          <w:noProof/>
          <w:color w:val="000000" w:themeColor="text1"/>
          <w:szCs w:val="24"/>
        </w:rPr>
        <w:t>2024.</w:t>
      </w:r>
      <w:r w:rsidR="00E2717D">
        <w:rPr>
          <w:noProof/>
          <w:color w:val="000000" w:themeColor="text1"/>
          <w:szCs w:val="24"/>
        </w:rPr>
        <w:t> </w:t>
      </w:r>
      <w:r w:rsidRPr="00CA2430">
        <w:rPr>
          <w:noProof/>
          <w:color w:val="000000" w:themeColor="text1"/>
          <w:szCs w:val="24"/>
        </w:rPr>
        <w:t xml:space="preserve">gadā, salīdzinot ar bāzes scenāriju, 2025. gadā par 0,3 procentpunktiem no IKP, bet 2026.-2028. gadā par 0,4 procentpunktiem no IKP ik gadu. </w:t>
      </w:r>
      <w:r w:rsidRPr="00CA2430">
        <w:rPr>
          <w:noProof/>
          <w:color w:val="000000" w:themeColor="text1"/>
          <w:szCs w:val="24"/>
        </w:rPr>
        <w:lastRenderedPageBreak/>
        <w:t>Savukārt vispārējās valdības parāda līmenis samazināsies – 2024.</w:t>
      </w:r>
      <w:r w:rsidR="00E2717D">
        <w:rPr>
          <w:noProof/>
          <w:color w:val="000000" w:themeColor="text1"/>
          <w:szCs w:val="24"/>
        </w:rPr>
        <w:t> </w:t>
      </w:r>
      <w:r w:rsidRPr="00CA2430">
        <w:rPr>
          <w:noProof/>
          <w:color w:val="000000" w:themeColor="text1"/>
          <w:szCs w:val="24"/>
        </w:rPr>
        <w:t>gadā par 0,5 procentpunkt</w:t>
      </w:r>
      <w:r w:rsidR="00E2717D">
        <w:rPr>
          <w:noProof/>
          <w:color w:val="000000" w:themeColor="text1"/>
          <w:szCs w:val="24"/>
        </w:rPr>
        <w:t>iem</w:t>
      </w:r>
      <w:r w:rsidRPr="00CA2430">
        <w:rPr>
          <w:noProof/>
          <w:color w:val="000000" w:themeColor="text1"/>
          <w:szCs w:val="24"/>
        </w:rPr>
        <w:t>, 2025.</w:t>
      </w:r>
      <w:r w:rsidR="00E2717D">
        <w:rPr>
          <w:noProof/>
          <w:color w:val="000000" w:themeColor="text1"/>
          <w:szCs w:val="24"/>
        </w:rPr>
        <w:t> </w:t>
      </w:r>
      <w:r w:rsidRPr="00CA2430">
        <w:rPr>
          <w:noProof/>
          <w:color w:val="000000" w:themeColor="text1"/>
          <w:szCs w:val="24"/>
        </w:rPr>
        <w:t>gadā par 1,2</w:t>
      </w:r>
      <w:r w:rsidR="00E2717D">
        <w:rPr>
          <w:noProof/>
          <w:color w:val="000000" w:themeColor="text1"/>
          <w:szCs w:val="24"/>
        </w:rPr>
        <w:t> </w:t>
      </w:r>
      <w:r w:rsidRPr="00CA2430">
        <w:rPr>
          <w:noProof/>
          <w:color w:val="000000" w:themeColor="text1"/>
          <w:szCs w:val="24"/>
        </w:rPr>
        <w:t>procentpunktiem, 2026.</w:t>
      </w:r>
      <w:r w:rsidR="00E2717D">
        <w:rPr>
          <w:noProof/>
          <w:color w:val="000000" w:themeColor="text1"/>
          <w:szCs w:val="24"/>
        </w:rPr>
        <w:t> </w:t>
      </w:r>
      <w:r w:rsidRPr="00CA2430">
        <w:rPr>
          <w:noProof/>
          <w:color w:val="000000" w:themeColor="text1"/>
          <w:szCs w:val="24"/>
        </w:rPr>
        <w:t>gadā par 1,6</w:t>
      </w:r>
      <w:r w:rsidR="00E2717D">
        <w:rPr>
          <w:noProof/>
          <w:color w:val="000000" w:themeColor="text1"/>
          <w:szCs w:val="24"/>
        </w:rPr>
        <w:t> </w:t>
      </w:r>
      <w:r w:rsidRPr="00CA2430">
        <w:rPr>
          <w:noProof/>
          <w:color w:val="000000" w:themeColor="text1"/>
          <w:szCs w:val="24"/>
        </w:rPr>
        <w:t>procentpunktiem, 2027.</w:t>
      </w:r>
      <w:r w:rsidR="00E2717D">
        <w:rPr>
          <w:noProof/>
          <w:color w:val="000000" w:themeColor="text1"/>
          <w:szCs w:val="24"/>
        </w:rPr>
        <w:t> </w:t>
      </w:r>
      <w:r w:rsidRPr="00CA2430">
        <w:rPr>
          <w:noProof/>
          <w:color w:val="000000" w:themeColor="text1"/>
          <w:szCs w:val="24"/>
        </w:rPr>
        <w:t>gadā par 2 procentpunktiem un 2028.</w:t>
      </w:r>
      <w:r w:rsidR="00E2717D">
        <w:rPr>
          <w:noProof/>
          <w:color w:val="000000" w:themeColor="text1"/>
          <w:szCs w:val="24"/>
        </w:rPr>
        <w:t> </w:t>
      </w:r>
      <w:r w:rsidRPr="00CA2430">
        <w:rPr>
          <w:noProof/>
          <w:color w:val="000000" w:themeColor="text1"/>
          <w:szCs w:val="24"/>
        </w:rPr>
        <w:t>gadā par 2,3</w:t>
      </w:r>
      <w:r w:rsidR="00E2717D">
        <w:rPr>
          <w:noProof/>
          <w:color w:val="000000" w:themeColor="text1"/>
          <w:szCs w:val="24"/>
        </w:rPr>
        <w:t> </w:t>
      </w:r>
      <w:r w:rsidRPr="00CA2430">
        <w:rPr>
          <w:noProof/>
          <w:color w:val="000000" w:themeColor="text1"/>
          <w:szCs w:val="24"/>
        </w:rPr>
        <w:t xml:space="preserve">procentpunktiem. </w:t>
      </w:r>
    </w:p>
    <w:p w14:paraId="0944F64C" w14:textId="076727C9" w:rsidR="00B15B93" w:rsidRPr="00CA2430" w:rsidRDefault="00B15B93" w:rsidP="00277F0E">
      <w:pPr>
        <w:rPr>
          <w:noProof/>
          <w:szCs w:val="20"/>
        </w:rPr>
      </w:pPr>
      <w:r w:rsidRPr="00CA2430">
        <w:rPr>
          <w:noProof/>
          <w:szCs w:val="20"/>
        </w:rPr>
        <w:br w:type="page"/>
      </w:r>
    </w:p>
    <w:p w14:paraId="1F7C64E4" w14:textId="171D117C" w:rsidR="00A840E6" w:rsidRPr="00CA2430" w:rsidRDefault="00043218" w:rsidP="00B13C44">
      <w:pPr>
        <w:pStyle w:val="Heading1"/>
        <w:spacing w:after="120"/>
        <w:ind w:left="360"/>
        <w:rPr>
          <w:noProof/>
          <w:sz w:val="28"/>
          <w:szCs w:val="28"/>
        </w:rPr>
      </w:pPr>
      <w:bookmarkStart w:id="20" w:name="_Toc174017004"/>
      <w:r w:rsidRPr="00CA2430">
        <w:rPr>
          <w:noProof/>
          <w:sz w:val="28"/>
          <w:szCs w:val="28"/>
        </w:rPr>
        <w:lastRenderedPageBreak/>
        <w:t>Turpmākā rīcība</w:t>
      </w:r>
      <w:bookmarkEnd w:id="13"/>
      <w:bookmarkEnd w:id="20"/>
    </w:p>
    <w:p w14:paraId="44B7C4A4" w14:textId="1A4785AD" w:rsidR="005F7872" w:rsidRPr="00CA2430" w:rsidRDefault="00C33828" w:rsidP="001A60E2">
      <w:pPr>
        <w:spacing w:after="60"/>
        <w:rPr>
          <w:noProof/>
          <w:szCs w:val="24"/>
        </w:rPr>
      </w:pPr>
      <w:r w:rsidRPr="00CA2430">
        <w:rPr>
          <w:noProof/>
          <w:szCs w:val="24"/>
        </w:rPr>
        <w:t xml:space="preserve">Lai turpinātu </w:t>
      </w:r>
      <w:r w:rsidR="00E2717D" w:rsidRPr="006164C8">
        <w:rPr>
          <w:noProof/>
          <w:szCs w:val="24"/>
        </w:rPr>
        <w:t>Fiskāli strukturālā plāna</w:t>
      </w:r>
      <w:r w:rsidR="006164C8" w:rsidRPr="006164C8">
        <w:rPr>
          <w:noProof/>
          <w:szCs w:val="24"/>
        </w:rPr>
        <w:t xml:space="preserve"> 2025</w:t>
      </w:r>
      <w:r w:rsidR="006164C8">
        <w:rPr>
          <w:noProof/>
          <w:szCs w:val="24"/>
        </w:rPr>
        <w:t>.-2028.</w:t>
      </w:r>
      <w:r w:rsidR="00E2717D">
        <w:rPr>
          <w:noProof/>
          <w:szCs w:val="24"/>
        </w:rPr>
        <w:t xml:space="preserve"> </w:t>
      </w:r>
      <w:r w:rsidR="006164C8">
        <w:rPr>
          <w:noProof/>
          <w:szCs w:val="24"/>
        </w:rPr>
        <w:t xml:space="preserve">gadam </w:t>
      </w:r>
      <w:r w:rsidR="00E2717D">
        <w:rPr>
          <w:noProof/>
          <w:szCs w:val="24"/>
        </w:rPr>
        <w:t xml:space="preserve">un </w:t>
      </w:r>
      <w:r w:rsidR="00622435" w:rsidRPr="00CA2430">
        <w:rPr>
          <w:noProof/>
          <w:szCs w:val="24"/>
        </w:rPr>
        <w:t xml:space="preserve">likumprojekta </w:t>
      </w:r>
      <w:r w:rsidR="006B3507" w:rsidRPr="00CA2430">
        <w:rPr>
          <w:noProof/>
          <w:szCs w:val="24"/>
        </w:rPr>
        <w:t>“</w:t>
      </w:r>
      <w:r w:rsidR="0087701D" w:rsidRPr="00CA2430">
        <w:rPr>
          <w:noProof/>
          <w:szCs w:val="24"/>
        </w:rPr>
        <w:t>Par valsts budžetu 2025.</w:t>
      </w:r>
      <w:r w:rsidR="00E2717D">
        <w:rPr>
          <w:noProof/>
          <w:szCs w:val="24"/>
        </w:rPr>
        <w:t> </w:t>
      </w:r>
      <w:r w:rsidR="0087701D" w:rsidRPr="00CA2430">
        <w:rPr>
          <w:noProof/>
          <w:szCs w:val="24"/>
        </w:rPr>
        <w:t>gadam un budžeta ietvaru 2025., 2026. un 2027. gadam</w:t>
      </w:r>
      <w:r w:rsidR="00400ECC" w:rsidRPr="00CA2430">
        <w:rPr>
          <w:noProof/>
          <w:szCs w:val="24"/>
        </w:rPr>
        <w:t>”</w:t>
      </w:r>
      <w:r w:rsidR="00E2717D">
        <w:rPr>
          <w:noProof/>
          <w:szCs w:val="24"/>
        </w:rPr>
        <w:t xml:space="preserve"> </w:t>
      </w:r>
      <w:r w:rsidR="00400ECC" w:rsidRPr="00CA2430">
        <w:rPr>
          <w:noProof/>
          <w:szCs w:val="24"/>
        </w:rPr>
        <w:t>sagatavošanu, nepieciešams:</w:t>
      </w:r>
    </w:p>
    <w:p w14:paraId="452B5D36" w14:textId="77777777" w:rsidR="000A2C5B" w:rsidRPr="00CA2430" w:rsidRDefault="00E84F3D" w:rsidP="001A60E2">
      <w:pPr>
        <w:pStyle w:val="ListParagraph"/>
        <w:numPr>
          <w:ilvl w:val="0"/>
          <w:numId w:val="3"/>
        </w:numPr>
        <w:tabs>
          <w:tab w:val="left" w:pos="1134"/>
        </w:tabs>
        <w:spacing w:before="0" w:after="60"/>
        <w:ind w:left="714" w:hanging="357"/>
        <w:contextualSpacing w:val="0"/>
        <w:rPr>
          <w:noProof/>
        </w:rPr>
      </w:pPr>
      <w:r w:rsidRPr="00CA2430">
        <w:rPr>
          <w:noProof/>
        </w:rPr>
        <w:t>Pieņemt zināšanai iesniegto informatīvo ziņojumu</w:t>
      </w:r>
      <w:r w:rsidR="002603F6" w:rsidRPr="00CA2430">
        <w:rPr>
          <w:noProof/>
        </w:rPr>
        <w:t>.</w:t>
      </w:r>
      <w:r w:rsidR="000A2C5B" w:rsidRPr="00CA2430">
        <w:rPr>
          <w:noProof/>
        </w:rPr>
        <w:t xml:space="preserve"> </w:t>
      </w:r>
    </w:p>
    <w:p w14:paraId="07324BC5" w14:textId="77777777" w:rsidR="005437D4" w:rsidRPr="00CA2430" w:rsidRDefault="005437D4" w:rsidP="001A60E2">
      <w:pPr>
        <w:pStyle w:val="ListParagraph"/>
        <w:numPr>
          <w:ilvl w:val="0"/>
          <w:numId w:val="3"/>
        </w:numPr>
        <w:tabs>
          <w:tab w:val="left" w:pos="1134"/>
        </w:tabs>
        <w:spacing w:after="60"/>
        <w:ind w:left="714" w:hanging="357"/>
        <w:contextualSpacing w:val="0"/>
        <w:rPr>
          <w:noProof/>
        </w:rPr>
      </w:pPr>
      <w:r w:rsidRPr="00CA2430">
        <w:rPr>
          <w:noProof/>
        </w:rPr>
        <w:t xml:space="preserve">Pieņemt zināšanai, ka vispārējās valdības budžeta bilances prognožu pamatā ir Finanšu ministrijas izstrādātās un Fiskālās disciplīnas padomes 2024. gada 10. jūnijā apstiprinātās makroekonomisko rādītāju prognozes: </w:t>
      </w:r>
    </w:p>
    <w:p w14:paraId="2F91678F" w14:textId="77777777" w:rsidR="005437D4" w:rsidRPr="00CA2430" w:rsidRDefault="005437D4" w:rsidP="001A60E2">
      <w:pPr>
        <w:pStyle w:val="ListParagraph"/>
        <w:numPr>
          <w:ilvl w:val="1"/>
          <w:numId w:val="33"/>
        </w:numPr>
        <w:tabs>
          <w:tab w:val="left" w:pos="1134"/>
        </w:tabs>
        <w:spacing w:after="60"/>
        <w:contextualSpacing w:val="0"/>
        <w:rPr>
          <w:noProof/>
        </w:rPr>
      </w:pPr>
      <w:r w:rsidRPr="00CA2430">
        <w:rPr>
          <w:noProof/>
        </w:rPr>
        <w:t xml:space="preserve"> iekšzemes kopprodukta pieaugums salīdzināmās cenās 2024. gadā 1,4%, 2025. gadā 2,9%, 2026. gadā 2,8%, 2027. gadā 2,6% un 2028. gadā 2,3%; </w:t>
      </w:r>
    </w:p>
    <w:p w14:paraId="783EAC1E" w14:textId="77777777" w:rsidR="005437D4" w:rsidRPr="00CA2430" w:rsidRDefault="005437D4" w:rsidP="001A60E2">
      <w:pPr>
        <w:pStyle w:val="ListParagraph"/>
        <w:numPr>
          <w:ilvl w:val="1"/>
          <w:numId w:val="33"/>
        </w:numPr>
        <w:tabs>
          <w:tab w:val="left" w:pos="1134"/>
        </w:tabs>
        <w:spacing w:after="60"/>
        <w:contextualSpacing w:val="0"/>
        <w:rPr>
          <w:noProof/>
        </w:rPr>
      </w:pPr>
      <w:r w:rsidRPr="00CA2430">
        <w:rPr>
          <w:noProof/>
        </w:rPr>
        <w:t xml:space="preserve">iekšzemes kopprodukta pieaugums faktiskajās cenās 2024. gadā 3,8%, 2025. gadā 5,9%, 2026. gadā 5,5%, 2027. gadā 5,4% un 2028. gadā 5,1%; </w:t>
      </w:r>
    </w:p>
    <w:p w14:paraId="175DEC91" w14:textId="77777777" w:rsidR="005437D4" w:rsidRPr="00CA2430" w:rsidRDefault="005437D4" w:rsidP="001A60E2">
      <w:pPr>
        <w:pStyle w:val="ListParagraph"/>
        <w:numPr>
          <w:ilvl w:val="1"/>
          <w:numId w:val="33"/>
        </w:numPr>
        <w:tabs>
          <w:tab w:val="left" w:pos="1134"/>
        </w:tabs>
        <w:spacing w:after="60"/>
        <w:contextualSpacing w:val="0"/>
        <w:rPr>
          <w:noProof/>
        </w:rPr>
      </w:pPr>
      <w:r w:rsidRPr="00CA2430">
        <w:rPr>
          <w:noProof/>
        </w:rPr>
        <w:t xml:space="preserve">nominālais iekšzemes kopprodukts 2024. gadā 41 894 milj. </w:t>
      </w:r>
      <w:r w:rsidRPr="00CA2430">
        <w:rPr>
          <w:i/>
          <w:iCs/>
          <w:noProof/>
        </w:rPr>
        <w:t>euro</w:t>
      </w:r>
      <w:r w:rsidRPr="00CA2430">
        <w:rPr>
          <w:noProof/>
        </w:rPr>
        <w:t xml:space="preserve">, 2025. gadā 44 379 milj. </w:t>
      </w:r>
      <w:r w:rsidRPr="00CA2430">
        <w:rPr>
          <w:i/>
          <w:iCs/>
          <w:noProof/>
        </w:rPr>
        <w:t>euro</w:t>
      </w:r>
      <w:r w:rsidRPr="00CA2430">
        <w:rPr>
          <w:noProof/>
        </w:rPr>
        <w:t xml:space="preserve">, 2026. gadā 46 836 milj. </w:t>
      </w:r>
      <w:r w:rsidRPr="00CA2430">
        <w:rPr>
          <w:i/>
          <w:iCs/>
          <w:noProof/>
        </w:rPr>
        <w:t>euro</w:t>
      </w:r>
      <w:r w:rsidRPr="00CA2430">
        <w:rPr>
          <w:noProof/>
        </w:rPr>
        <w:t xml:space="preserve">, 2027. gadā 49 349 milj. </w:t>
      </w:r>
      <w:r w:rsidRPr="00CA2430">
        <w:rPr>
          <w:i/>
          <w:iCs/>
          <w:noProof/>
        </w:rPr>
        <w:t>euro</w:t>
      </w:r>
      <w:r w:rsidRPr="00CA2430">
        <w:rPr>
          <w:noProof/>
        </w:rPr>
        <w:t xml:space="preserve"> un 2028. gadā 51 851 milj. </w:t>
      </w:r>
      <w:r w:rsidRPr="00CA2430">
        <w:rPr>
          <w:i/>
          <w:iCs/>
          <w:noProof/>
        </w:rPr>
        <w:t>euro</w:t>
      </w:r>
      <w:r w:rsidRPr="00CA2430">
        <w:rPr>
          <w:noProof/>
        </w:rPr>
        <w:t xml:space="preserve">; </w:t>
      </w:r>
    </w:p>
    <w:p w14:paraId="09493F49" w14:textId="77777777" w:rsidR="005437D4" w:rsidRPr="00CA2430" w:rsidRDefault="005437D4" w:rsidP="001A60E2">
      <w:pPr>
        <w:pStyle w:val="ListParagraph"/>
        <w:numPr>
          <w:ilvl w:val="1"/>
          <w:numId w:val="33"/>
        </w:numPr>
        <w:tabs>
          <w:tab w:val="left" w:pos="1134"/>
        </w:tabs>
        <w:spacing w:after="60"/>
        <w:contextualSpacing w:val="0"/>
        <w:rPr>
          <w:noProof/>
        </w:rPr>
      </w:pPr>
      <w:r w:rsidRPr="00CA2430">
        <w:rPr>
          <w:noProof/>
        </w:rPr>
        <w:t xml:space="preserve">patēriņa cenu izmaiņas salīdzinājumā ar iepriekšējo gadu 2024. gadā 1,2%, 2025. gadā 2,2%, 2026. gadā 2,5%, 2027. gadā 2,5% un 2028. gadā 2,5%; </w:t>
      </w:r>
    </w:p>
    <w:p w14:paraId="5A0D875E" w14:textId="77777777" w:rsidR="005437D4" w:rsidRPr="00CA2430" w:rsidRDefault="005437D4" w:rsidP="001A60E2">
      <w:pPr>
        <w:pStyle w:val="ListParagraph"/>
        <w:numPr>
          <w:ilvl w:val="1"/>
          <w:numId w:val="33"/>
        </w:numPr>
        <w:tabs>
          <w:tab w:val="left" w:pos="1134"/>
        </w:tabs>
        <w:spacing w:after="60"/>
        <w:contextualSpacing w:val="0"/>
        <w:rPr>
          <w:noProof/>
        </w:rPr>
      </w:pPr>
      <w:r w:rsidRPr="00CA2430">
        <w:rPr>
          <w:noProof/>
        </w:rPr>
        <w:t>nodarbinātības izmaiņas 2024. gadā 0,0%, 2025. gadā 0,0%, 2026. gadā -0,1%, 2027. gadā  -0,2% un 2028. gadā  -0,4%.</w:t>
      </w:r>
    </w:p>
    <w:p w14:paraId="3A9E3EE6" w14:textId="77777777" w:rsidR="005437D4" w:rsidRPr="00CA2430" w:rsidRDefault="005437D4" w:rsidP="001A60E2">
      <w:pPr>
        <w:pStyle w:val="ListParagraph"/>
        <w:numPr>
          <w:ilvl w:val="0"/>
          <w:numId w:val="3"/>
        </w:numPr>
        <w:tabs>
          <w:tab w:val="left" w:pos="1134"/>
        </w:tabs>
        <w:spacing w:after="60"/>
        <w:ind w:left="714" w:hanging="357"/>
        <w:contextualSpacing w:val="0"/>
        <w:rPr>
          <w:noProof/>
        </w:rPr>
      </w:pPr>
      <w:r w:rsidRPr="00CA2430">
        <w:rPr>
          <w:noProof/>
        </w:rPr>
        <w:t xml:space="preserve">Pieņemt zināšanai, ka vispārējās valdības budžeta bilance pie nemainīgas politikas tiek prognozēta 2025. gadā  -1 295,9 milj. </w:t>
      </w:r>
      <w:r w:rsidRPr="00CA2430">
        <w:rPr>
          <w:i/>
          <w:iCs/>
          <w:noProof/>
        </w:rPr>
        <w:t>euro</w:t>
      </w:r>
      <w:r w:rsidRPr="00CA2430">
        <w:rPr>
          <w:noProof/>
        </w:rPr>
        <w:t xml:space="preserve"> jeb -2,9% no IKP, 2026. gadā  -1 269,3 milj. </w:t>
      </w:r>
      <w:r w:rsidRPr="00CA2430">
        <w:rPr>
          <w:i/>
          <w:iCs/>
          <w:noProof/>
        </w:rPr>
        <w:t>euro</w:t>
      </w:r>
      <w:r w:rsidRPr="00CA2430">
        <w:rPr>
          <w:noProof/>
        </w:rPr>
        <w:t xml:space="preserve"> jeb -2,7% no IKP, 2027. gadā  -1 177,2 milj. </w:t>
      </w:r>
      <w:r w:rsidRPr="00CA2430">
        <w:rPr>
          <w:i/>
          <w:iCs/>
          <w:noProof/>
        </w:rPr>
        <w:t>euro</w:t>
      </w:r>
      <w:r w:rsidRPr="00CA2430">
        <w:rPr>
          <w:noProof/>
        </w:rPr>
        <w:t xml:space="preserve"> jeb -2,4% no IKP un 2028. gadā  -1 155,6 milj. </w:t>
      </w:r>
      <w:r w:rsidRPr="00CA2430">
        <w:rPr>
          <w:i/>
          <w:iCs/>
          <w:noProof/>
        </w:rPr>
        <w:t>euro</w:t>
      </w:r>
      <w:r w:rsidRPr="00CA2430">
        <w:rPr>
          <w:noProof/>
        </w:rPr>
        <w:t xml:space="preserve"> jeb -2,2% no IKP.</w:t>
      </w:r>
    </w:p>
    <w:p w14:paraId="63DFDE0F" w14:textId="77777777" w:rsidR="005437D4" w:rsidRPr="00CA2430" w:rsidRDefault="005437D4" w:rsidP="001A60E2">
      <w:pPr>
        <w:pStyle w:val="ListParagraph"/>
        <w:numPr>
          <w:ilvl w:val="0"/>
          <w:numId w:val="3"/>
        </w:numPr>
        <w:tabs>
          <w:tab w:val="left" w:pos="1134"/>
        </w:tabs>
        <w:spacing w:after="60"/>
        <w:ind w:left="714" w:hanging="357"/>
        <w:contextualSpacing w:val="0"/>
        <w:rPr>
          <w:noProof/>
        </w:rPr>
      </w:pPr>
      <w:bookmarkStart w:id="21" w:name="_Hlk142555450"/>
      <w:r w:rsidRPr="00CA2430">
        <w:rPr>
          <w:noProof/>
        </w:rPr>
        <w:t>Pieņemt zināšanai, ka šā protokollēmuma 3. punktā noteiktajā prognozē ir ietverta vispārējās valdības sektorā klasificēto kapitālsabiedrību:</w:t>
      </w:r>
    </w:p>
    <w:p w14:paraId="1E56E3DB" w14:textId="77777777" w:rsidR="005437D4" w:rsidRPr="00CA2430" w:rsidRDefault="005437D4" w:rsidP="001A60E2">
      <w:pPr>
        <w:pStyle w:val="ListParagraph"/>
        <w:numPr>
          <w:ilvl w:val="1"/>
          <w:numId w:val="31"/>
        </w:numPr>
        <w:tabs>
          <w:tab w:val="left" w:pos="1134"/>
        </w:tabs>
        <w:spacing w:after="60"/>
        <w:ind w:left="1080"/>
        <w:contextualSpacing w:val="0"/>
        <w:rPr>
          <w:noProof/>
        </w:rPr>
      </w:pPr>
      <w:r w:rsidRPr="00CA2430">
        <w:rPr>
          <w:noProof/>
        </w:rPr>
        <w:t xml:space="preserve"> VAS “Latvijas dzelzceļš” ietekme – 2025. gadā </w:t>
      </w:r>
      <w:r w:rsidRPr="00CA2430">
        <w:rPr>
          <w:noProof/>
        </w:rPr>
        <w:noBreakHyphen/>
        <w:t xml:space="preserve">40,0 milj. </w:t>
      </w:r>
      <w:r w:rsidRPr="00CA2430">
        <w:rPr>
          <w:i/>
          <w:iCs/>
          <w:noProof/>
        </w:rPr>
        <w:t>euro</w:t>
      </w:r>
      <w:r w:rsidRPr="00CA2430">
        <w:rPr>
          <w:noProof/>
        </w:rPr>
        <w:t xml:space="preserve">, 2026. gadā </w:t>
      </w:r>
      <w:r w:rsidRPr="00CA2430">
        <w:rPr>
          <w:noProof/>
        </w:rPr>
        <w:noBreakHyphen/>
        <w:t xml:space="preserve">21,6 milj. </w:t>
      </w:r>
      <w:r w:rsidRPr="00CA2430">
        <w:rPr>
          <w:i/>
          <w:iCs/>
          <w:noProof/>
        </w:rPr>
        <w:t>euro</w:t>
      </w:r>
      <w:r w:rsidRPr="00CA2430">
        <w:rPr>
          <w:noProof/>
        </w:rPr>
        <w:t xml:space="preserve">, 2027. gadā </w:t>
      </w:r>
      <w:r w:rsidRPr="00CA2430">
        <w:rPr>
          <w:noProof/>
        </w:rPr>
        <w:noBreakHyphen/>
        <w:t xml:space="preserve">34,8 milj. </w:t>
      </w:r>
      <w:r w:rsidRPr="00CA2430">
        <w:rPr>
          <w:i/>
          <w:iCs/>
          <w:noProof/>
        </w:rPr>
        <w:t>euro</w:t>
      </w:r>
      <w:r w:rsidRPr="00CA2430">
        <w:rPr>
          <w:noProof/>
        </w:rPr>
        <w:t xml:space="preserve"> un 2028. gadā </w:t>
      </w:r>
      <w:r w:rsidRPr="00CA2430">
        <w:rPr>
          <w:noProof/>
        </w:rPr>
        <w:noBreakHyphen/>
        <w:t xml:space="preserve">40,8 milj. </w:t>
      </w:r>
      <w:r w:rsidRPr="00CA2430">
        <w:rPr>
          <w:i/>
          <w:iCs/>
          <w:noProof/>
        </w:rPr>
        <w:t>euro</w:t>
      </w:r>
      <w:r w:rsidRPr="00CA2430">
        <w:rPr>
          <w:noProof/>
        </w:rPr>
        <w:t>;</w:t>
      </w:r>
    </w:p>
    <w:p w14:paraId="1E8378C0" w14:textId="77777777" w:rsidR="00FE0DFC" w:rsidRDefault="005437D4" w:rsidP="001A60E2">
      <w:pPr>
        <w:pStyle w:val="ListParagraph"/>
        <w:numPr>
          <w:ilvl w:val="1"/>
          <w:numId w:val="31"/>
        </w:numPr>
        <w:tabs>
          <w:tab w:val="left" w:pos="1134"/>
        </w:tabs>
        <w:spacing w:after="60"/>
        <w:ind w:left="1077" w:hanging="357"/>
        <w:contextualSpacing w:val="0"/>
        <w:rPr>
          <w:noProof/>
        </w:rPr>
      </w:pPr>
      <w:r w:rsidRPr="00CA2430">
        <w:rPr>
          <w:noProof/>
        </w:rPr>
        <w:t xml:space="preserve"> AS “Pasažieru vilciens” ietekme – 2025. gadā </w:t>
      </w:r>
      <w:r w:rsidRPr="00CA2430">
        <w:rPr>
          <w:noProof/>
        </w:rPr>
        <w:noBreakHyphen/>
        <w:t xml:space="preserve">8,3 milj. </w:t>
      </w:r>
      <w:r w:rsidRPr="00CA2430">
        <w:rPr>
          <w:i/>
          <w:iCs/>
          <w:noProof/>
        </w:rPr>
        <w:t>euro</w:t>
      </w:r>
      <w:r w:rsidRPr="00CA2430">
        <w:rPr>
          <w:noProof/>
        </w:rPr>
        <w:t xml:space="preserve">, 2026. gadā +4,0 milj. </w:t>
      </w:r>
      <w:r w:rsidRPr="00CA2430">
        <w:rPr>
          <w:i/>
          <w:iCs/>
          <w:noProof/>
        </w:rPr>
        <w:t>euro</w:t>
      </w:r>
      <w:r w:rsidRPr="00CA2430">
        <w:rPr>
          <w:noProof/>
        </w:rPr>
        <w:t xml:space="preserve">, 2027. gadā +3,7 milj. </w:t>
      </w:r>
      <w:r w:rsidRPr="00CA2430">
        <w:rPr>
          <w:i/>
          <w:iCs/>
          <w:noProof/>
        </w:rPr>
        <w:t>euro</w:t>
      </w:r>
      <w:r w:rsidRPr="00CA2430">
        <w:rPr>
          <w:noProof/>
        </w:rPr>
        <w:t xml:space="preserve"> un 2028. gadā +2,8 milj. </w:t>
      </w:r>
      <w:r w:rsidRPr="00CA2430">
        <w:rPr>
          <w:i/>
          <w:iCs/>
          <w:noProof/>
        </w:rPr>
        <w:t>euro</w:t>
      </w:r>
      <w:r w:rsidRPr="00CA2430">
        <w:rPr>
          <w:noProof/>
        </w:rPr>
        <w:t>,</w:t>
      </w:r>
    </w:p>
    <w:p w14:paraId="06700C73" w14:textId="6D959509" w:rsidR="005437D4" w:rsidRPr="00CA2430" w:rsidRDefault="005437D4" w:rsidP="00FE0DFC">
      <w:pPr>
        <w:tabs>
          <w:tab w:val="left" w:pos="1134"/>
        </w:tabs>
        <w:spacing w:after="60"/>
        <w:ind w:left="720" w:firstLine="0"/>
        <w:rPr>
          <w:noProof/>
        </w:rPr>
      </w:pPr>
      <w:r w:rsidRPr="00CA2430">
        <w:rPr>
          <w:noProof/>
        </w:rPr>
        <w:t>kurām atbilstoši likuma “Par valsts budžetu 2024. gadam un budžeta ietvaru 2024., 2025. un 2026. gadam” 19. pantam nepieciešams saņemt Ministru kabineta piekrišanu negatīvās ietekmes pārsniegšanai 2025. un 2026. gadam.</w:t>
      </w:r>
    </w:p>
    <w:bookmarkEnd w:id="21"/>
    <w:p w14:paraId="139A3A9F" w14:textId="77777777" w:rsidR="005437D4" w:rsidRPr="00CA2430" w:rsidRDefault="005437D4" w:rsidP="001A60E2">
      <w:pPr>
        <w:pStyle w:val="ListParagraph"/>
        <w:numPr>
          <w:ilvl w:val="0"/>
          <w:numId w:val="3"/>
        </w:numPr>
        <w:tabs>
          <w:tab w:val="left" w:pos="1134"/>
        </w:tabs>
        <w:spacing w:after="60"/>
        <w:ind w:left="714" w:hanging="357"/>
        <w:contextualSpacing w:val="0"/>
        <w:rPr>
          <w:noProof/>
        </w:rPr>
      </w:pPr>
      <w:r w:rsidRPr="00CA2430">
        <w:rPr>
          <w:noProof/>
        </w:rPr>
        <w:t xml:space="preserve">Pieņemt zināšanai, ka fiskālā telpa 2025. gadā ir -13,0 milj. </w:t>
      </w:r>
      <w:r w:rsidRPr="00CA2430">
        <w:rPr>
          <w:i/>
          <w:iCs/>
          <w:noProof/>
        </w:rPr>
        <w:t>euro</w:t>
      </w:r>
      <w:r w:rsidRPr="00CA2430">
        <w:rPr>
          <w:noProof/>
        </w:rPr>
        <w:t xml:space="preserve">, 2026. gadā ir 32,2 milj. </w:t>
      </w:r>
      <w:r w:rsidRPr="00CA2430">
        <w:rPr>
          <w:i/>
          <w:iCs/>
          <w:noProof/>
        </w:rPr>
        <w:t>euro</w:t>
      </w:r>
      <w:r w:rsidRPr="00CA2430">
        <w:rPr>
          <w:noProof/>
        </w:rPr>
        <w:t xml:space="preserve">, 2027. gadā ir 43,5 milj. </w:t>
      </w:r>
      <w:r w:rsidRPr="00CA2430">
        <w:rPr>
          <w:i/>
          <w:iCs/>
          <w:noProof/>
        </w:rPr>
        <w:t>euro</w:t>
      </w:r>
      <w:r w:rsidRPr="00CA2430">
        <w:rPr>
          <w:noProof/>
        </w:rPr>
        <w:t xml:space="preserve"> un 2028. gadā ir 1,4 milj. </w:t>
      </w:r>
      <w:r w:rsidRPr="00CA2430">
        <w:rPr>
          <w:i/>
          <w:iCs/>
          <w:noProof/>
        </w:rPr>
        <w:t>euro</w:t>
      </w:r>
      <w:r w:rsidRPr="00CA2430">
        <w:rPr>
          <w:noProof/>
        </w:rPr>
        <w:t>.</w:t>
      </w:r>
    </w:p>
    <w:p w14:paraId="1F7DBC7C" w14:textId="24B71CD0" w:rsidR="00906173" w:rsidRPr="00CA2430" w:rsidRDefault="00906173" w:rsidP="00906173">
      <w:pPr>
        <w:pStyle w:val="ListParagraph"/>
        <w:numPr>
          <w:ilvl w:val="0"/>
          <w:numId w:val="3"/>
        </w:numPr>
        <w:tabs>
          <w:tab w:val="left" w:pos="1134"/>
        </w:tabs>
        <w:spacing w:after="60"/>
        <w:ind w:left="714" w:hanging="357"/>
        <w:contextualSpacing w:val="0"/>
        <w:rPr>
          <w:noProof/>
        </w:rPr>
      </w:pPr>
      <w:r w:rsidRPr="00CA2430">
        <w:rPr>
          <w:noProof/>
        </w:rPr>
        <w:t>Pieņemt zināšanai, ka no fiskālajiem nosacījumiem izrietošais maksimāli pieļaujamais valsts finansēto neto primāro izdevumu pieaugums 2025. gadā ir 4,2%, 2026. gadā 3,8%</w:t>
      </w:r>
      <w:r>
        <w:rPr>
          <w:noProof/>
        </w:rPr>
        <w:t>,</w:t>
      </w:r>
      <w:r w:rsidR="0051484E">
        <w:rPr>
          <w:noProof/>
        </w:rPr>
        <w:t xml:space="preserve"> </w:t>
      </w:r>
      <w:r w:rsidRPr="00CA2430">
        <w:rPr>
          <w:noProof/>
        </w:rPr>
        <w:t>2027. gadā 3,1%</w:t>
      </w:r>
      <w:r>
        <w:rPr>
          <w:noProof/>
        </w:rPr>
        <w:t xml:space="preserve"> un 2028. gadā 3,5%</w:t>
      </w:r>
      <w:r w:rsidRPr="00CA2430">
        <w:rPr>
          <w:noProof/>
        </w:rPr>
        <w:t xml:space="preserve">. </w:t>
      </w:r>
    </w:p>
    <w:p w14:paraId="589F3450" w14:textId="0AA4E8AD" w:rsidR="000D4ED5" w:rsidRDefault="005437D4" w:rsidP="001A60E2">
      <w:pPr>
        <w:pStyle w:val="ListParagraph"/>
        <w:numPr>
          <w:ilvl w:val="0"/>
          <w:numId w:val="3"/>
        </w:numPr>
        <w:tabs>
          <w:tab w:val="left" w:pos="1134"/>
        </w:tabs>
        <w:spacing w:before="0" w:after="60"/>
        <w:ind w:left="714" w:hanging="357"/>
        <w:contextualSpacing w:val="0"/>
        <w:rPr>
          <w:noProof/>
        </w:rPr>
      </w:pPr>
      <w:r w:rsidRPr="00CA2430">
        <w:rPr>
          <w:noProof/>
        </w:rPr>
        <w:t>Pieņemt zināšanai Finanšu ministrijas izstrādāto makroekonomiskās attīstības pesimistisko scenāriju, kas paredz iekšzemes kopprodukta pieaugumu salīdzināmās cenās 2024. gadā 0,4%, 2025. gadā 1,8%, 2026. gadā 2,8%, 2027. gadā 2,6% un 2028. gadā 2,3%, un optimistisko scenāriju, kas paredz iekšzemes kopprodukta pieaugumu salīdzināmās cenās 2024. gadā 2,1%, 2025. gadā 3,8%, 2026. gadā 2,9%, 2027. gadā 2,6% un 2028. gadā 2,3%.</w:t>
      </w:r>
    </w:p>
    <w:p w14:paraId="3D29FE41" w14:textId="77777777" w:rsidR="00EC18BE" w:rsidRPr="00C87302" w:rsidRDefault="00EC18BE" w:rsidP="00EC18BE">
      <w:pPr>
        <w:pStyle w:val="ListParagraph"/>
        <w:numPr>
          <w:ilvl w:val="0"/>
          <w:numId w:val="3"/>
        </w:numPr>
        <w:tabs>
          <w:tab w:val="left" w:pos="1134"/>
        </w:tabs>
        <w:spacing w:before="0"/>
        <w:ind w:left="714" w:hanging="357"/>
        <w:contextualSpacing w:val="0"/>
        <w:rPr>
          <w:noProof/>
        </w:rPr>
      </w:pPr>
      <w:r w:rsidRPr="00C87302">
        <w:rPr>
          <w:noProof/>
        </w:rPr>
        <w:lastRenderedPageBreak/>
        <w:t>Finanšu ministrijai sadarbībā ar nozaru ministrijām turpināt darbu valsts budžeta ieņēmumus palielinošu un izdevumus samazinošu pasākumu sagatavošanā 2025., 2026., 2027. un 2028.</w:t>
      </w:r>
      <w:r>
        <w:rPr>
          <w:noProof/>
        </w:rPr>
        <w:t> </w:t>
      </w:r>
      <w:r w:rsidRPr="00C87302">
        <w:rPr>
          <w:noProof/>
        </w:rPr>
        <w:t>gadam.</w:t>
      </w:r>
    </w:p>
    <w:p w14:paraId="23A2F1FB" w14:textId="77777777" w:rsidR="00EC18BE" w:rsidRDefault="00EC18BE" w:rsidP="00EC18BE">
      <w:pPr>
        <w:pStyle w:val="ListParagraph"/>
        <w:tabs>
          <w:tab w:val="left" w:pos="1134"/>
        </w:tabs>
        <w:spacing w:before="0" w:after="60"/>
        <w:ind w:left="714" w:firstLine="0"/>
        <w:contextualSpacing w:val="0"/>
        <w:rPr>
          <w:noProof/>
        </w:rPr>
      </w:pPr>
    </w:p>
    <w:p w14:paraId="48AF1E60" w14:textId="77777777" w:rsidR="00EC18BE" w:rsidRDefault="00EC18BE" w:rsidP="00EC18BE">
      <w:pPr>
        <w:pStyle w:val="ListParagraph"/>
        <w:tabs>
          <w:tab w:val="left" w:pos="1134"/>
        </w:tabs>
        <w:spacing w:before="0" w:after="60"/>
        <w:ind w:left="714" w:firstLine="0"/>
        <w:contextualSpacing w:val="0"/>
        <w:rPr>
          <w:noProof/>
        </w:rPr>
      </w:pPr>
    </w:p>
    <w:p w14:paraId="5352D5C7" w14:textId="4309F9D6" w:rsidR="007343B2" w:rsidRPr="00CA2430" w:rsidRDefault="00B7536F" w:rsidP="00034FA8">
      <w:pPr>
        <w:tabs>
          <w:tab w:val="left" w:pos="709"/>
          <w:tab w:val="left" w:pos="6946"/>
        </w:tabs>
        <w:spacing w:after="0"/>
        <w:ind w:firstLine="0"/>
        <w:jc w:val="left"/>
        <w:rPr>
          <w:rFonts w:cs="Times New Roman"/>
          <w:noProof/>
          <w:szCs w:val="24"/>
        </w:rPr>
      </w:pPr>
      <w:r w:rsidRPr="00CA2430">
        <w:rPr>
          <w:bCs/>
          <w:noProof/>
          <w:szCs w:val="24"/>
        </w:rPr>
        <w:tab/>
      </w:r>
      <w:r w:rsidR="00E96CDD" w:rsidRPr="00CA2430">
        <w:rPr>
          <w:bCs/>
          <w:noProof/>
          <w:szCs w:val="24"/>
        </w:rPr>
        <w:t>Finanšu ministrs</w:t>
      </w:r>
      <w:r w:rsidR="00622435" w:rsidRPr="00CA2430">
        <w:rPr>
          <w:bCs/>
          <w:noProof/>
          <w:szCs w:val="24"/>
        </w:rPr>
        <w:tab/>
      </w:r>
      <w:r w:rsidR="00622435" w:rsidRPr="00CA2430">
        <w:rPr>
          <w:bCs/>
          <w:noProof/>
          <w:szCs w:val="24"/>
        </w:rPr>
        <w:tab/>
      </w:r>
      <w:r w:rsidR="00171158" w:rsidRPr="00CA2430">
        <w:rPr>
          <w:bCs/>
          <w:noProof/>
          <w:szCs w:val="24"/>
        </w:rPr>
        <w:t>A</w:t>
      </w:r>
      <w:r w:rsidR="00C832FF" w:rsidRPr="00CA2430">
        <w:rPr>
          <w:bCs/>
          <w:noProof/>
          <w:szCs w:val="24"/>
        </w:rPr>
        <w:t>.</w:t>
      </w:r>
      <w:r w:rsidR="00ED378F" w:rsidRPr="00CA2430">
        <w:rPr>
          <w:bCs/>
          <w:noProof/>
          <w:szCs w:val="24"/>
        </w:rPr>
        <w:t xml:space="preserve"> </w:t>
      </w:r>
      <w:r w:rsidR="00171158" w:rsidRPr="00CA2430">
        <w:rPr>
          <w:bCs/>
          <w:noProof/>
          <w:szCs w:val="24"/>
        </w:rPr>
        <w:t>Ašeradens</w:t>
      </w:r>
    </w:p>
    <w:p w14:paraId="469CC468" w14:textId="77777777" w:rsidR="00EC18BE" w:rsidRDefault="00EC18BE" w:rsidP="001A60E2">
      <w:pPr>
        <w:spacing w:after="0"/>
      </w:pPr>
    </w:p>
    <w:p w14:paraId="17D96FA2" w14:textId="77777777" w:rsidR="00EC18BE" w:rsidRDefault="00EC18BE" w:rsidP="001A60E2">
      <w:pPr>
        <w:spacing w:after="0"/>
      </w:pPr>
    </w:p>
    <w:p w14:paraId="0857A9C9" w14:textId="77777777" w:rsidR="00EC18BE" w:rsidRDefault="00EC18BE" w:rsidP="001A60E2">
      <w:pPr>
        <w:spacing w:after="0"/>
      </w:pPr>
    </w:p>
    <w:p w14:paraId="2DD512F1" w14:textId="77777777" w:rsidR="00EC18BE" w:rsidRDefault="00EC18BE" w:rsidP="001A60E2">
      <w:pPr>
        <w:spacing w:after="0"/>
      </w:pPr>
    </w:p>
    <w:p w14:paraId="793E89D5" w14:textId="77777777" w:rsidR="00EC18BE" w:rsidRDefault="00EC18BE" w:rsidP="001A60E2">
      <w:pPr>
        <w:spacing w:after="0"/>
      </w:pPr>
    </w:p>
    <w:p w14:paraId="39B4B487" w14:textId="77777777" w:rsidR="00EC18BE" w:rsidRDefault="00EC18BE" w:rsidP="001A60E2">
      <w:pPr>
        <w:spacing w:after="0"/>
      </w:pPr>
    </w:p>
    <w:p w14:paraId="63ED3C64" w14:textId="77777777" w:rsidR="00EC18BE" w:rsidRDefault="00EC18BE" w:rsidP="001A60E2">
      <w:pPr>
        <w:spacing w:after="0"/>
      </w:pPr>
    </w:p>
    <w:p w14:paraId="7797B9DB" w14:textId="77777777" w:rsidR="00EC18BE" w:rsidRDefault="00EC18BE" w:rsidP="001A60E2">
      <w:pPr>
        <w:spacing w:after="0"/>
      </w:pPr>
    </w:p>
    <w:p w14:paraId="35FAD613" w14:textId="77777777" w:rsidR="00EC18BE" w:rsidRDefault="00EC18BE" w:rsidP="001A60E2">
      <w:pPr>
        <w:spacing w:after="0"/>
      </w:pPr>
    </w:p>
    <w:p w14:paraId="7E47B111" w14:textId="77777777" w:rsidR="00EC18BE" w:rsidRDefault="00EC18BE" w:rsidP="001A60E2">
      <w:pPr>
        <w:spacing w:after="0"/>
      </w:pPr>
    </w:p>
    <w:p w14:paraId="5F0D8C2D" w14:textId="77777777" w:rsidR="00EC18BE" w:rsidRDefault="00EC18BE" w:rsidP="001A60E2">
      <w:pPr>
        <w:spacing w:after="0"/>
      </w:pPr>
    </w:p>
    <w:p w14:paraId="7322602E" w14:textId="77777777" w:rsidR="00EC18BE" w:rsidRDefault="00EC18BE" w:rsidP="001A60E2">
      <w:pPr>
        <w:spacing w:after="0"/>
      </w:pPr>
    </w:p>
    <w:p w14:paraId="4A224DB8" w14:textId="77777777" w:rsidR="00EC18BE" w:rsidRDefault="00EC18BE" w:rsidP="001A60E2">
      <w:pPr>
        <w:spacing w:after="0"/>
      </w:pPr>
    </w:p>
    <w:p w14:paraId="75BF440F" w14:textId="77777777" w:rsidR="00EC18BE" w:rsidRDefault="00EC18BE" w:rsidP="001A60E2">
      <w:pPr>
        <w:spacing w:after="0"/>
      </w:pPr>
    </w:p>
    <w:p w14:paraId="16D785F0" w14:textId="77777777" w:rsidR="00EC18BE" w:rsidRDefault="00EC18BE" w:rsidP="001A60E2">
      <w:pPr>
        <w:spacing w:after="0"/>
      </w:pPr>
    </w:p>
    <w:p w14:paraId="7F277B84" w14:textId="77777777" w:rsidR="00EC18BE" w:rsidRDefault="00EC18BE" w:rsidP="001A60E2">
      <w:pPr>
        <w:spacing w:after="0"/>
      </w:pPr>
    </w:p>
    <w:p w14:paraId="1648D662" w14:textId="77777777" w:rsidR="00EC18BE" w:rsidRDefault="00EC18BE" w:rsidP="001A60E2">
      <w:pPr>
        <w:spacing w:after="0"/>
      </w:pPr>
    </w:p>
    <w:p w14:paraId="77DF4006" w14:textId="77777777" w:rsidR="00EC18BE" w:rsidRDefault="00EC18BE" w:rsidP="001A60E2">
      <w:pPr>
        <w:spacing w:after="0"/>
      </w:pPr>
    </w:p>
    <w:p w14:paraId="2EFDD00D" w14:textId="77777777" w:rsidR="00EC18BE" w:rsidRDefault="00EC18BE" w:rsidP="001A60E2">
      <w:pPr>
        <w:spacing w:after="0"/>
      </w:pPr>
    </w:p>
    <w:p w14:paraId="199472A2" w14:textId="77777777" w:rsidR="00EC18BE" w:rsidRDefault="00EC18BE" w:rsidP="001A60E2">
      <w:pPr>
        <w:spacing w:after="0"/>
      </w:pPr>
    </w:p>
    <w:p w14:paraId="3360F966" w14:textId="77777777" w:rsidR="00EC18BE" w:rsidRDefault="00EC18BE" w:rsidP="001A60E2">
      <w:pPr>
        <w:spacing w:after="0"/>
      </w:pPr>
    </w:p>
    <w:p w14:paraId="57F5F7A8" w14:textId="77777777" w:rsidR="00EC18BE" w:rsidRDefault="00EC18BE" w:rsidP="001A60E2">
      <w:pPr>
        <w:spacing w:after="0"/>
      </w:pPr>
    </w:p>
    <w:p w14:paraId="0C6524CF" w14:textId="77777777" w:rsidR="00EC18BE" w:rsidRDefault="00EC18BE" w:rsidP="001A60E2">
      <w:pPr>
        <w:spacing w:after="0"/>
      </w:pPr>
    </w:p>
    <w:p w14:paraId="3BA34B85" w14:textId="77777777" w:rsidR="00EC18BE" w:rsidRDefault="00EC18BE" w:rsidP="001A60E2">
      <w:pPr>
        <w:spacing w:after="0"/>
      </w:pPr>
    </w:p>
    <w:p w14:paraId="2788BA80" w14:textId="77777777" w:rsidR="00EC18BE" w:rsidRDefault="00EC18BE" w:rsidP="001A60E2">
      <w:pPr>
        <w:spacing w:after="0"/>
      </w:pPr>
    </w:p>
    <w:p w14:paraId="7881E550" w14:textId="77777777" w:rsidR="00EC18BE" w:rsidRDefault="00EC18BE" w:rsidP="001A60E2">
      <w:pPr>
        <w:spacing w:after="0"/>
      </w:pPr>
    </w:p>
    <w:p w14:paraId="35F5B794" w14:textId="077C1C73" w:rsidR="00EC18BE" w:rsidRDefault="00EC18BE" w:rsidP="001A60E2">
      <w:pPr>
        <w:spacing w:after="0"/>
      </w:pPr>
    </w:p>
    <w:p w14:paraId="4E7B9872" w14:textId="10E6C0EC" w:rsidR="00EC18BE" w:rsidRPr="00EC18BE" w:rsidRDefault="00EC18BE" w:rsidP="00EC18BE">
      <w:pPr>
        <w:spacing w:before="0" w:after="0"/>
        <w:rPr>
          <w:rFonts w:cs="Times New Roman"/>
          <w:noProof/>
          <w:sz w:val="18"/>
          <w:szCs w:val="18"/>
        </w:rPr>
      </w:pPr>
      <w:r w:rsidRPr="00EC18BE">
        <w:rPr>
          <w:rFonts w:cs="Times New Roman"/>
          <w:noProof/>
          <w:sz w:val="18"/>
          <w:szCs w:val="18"/>
        </w:rPr>
        <w:t>Gavrovska, 26631915</w:t>
      </w:r>
    </w:p>
    <w:p w14:paraId="680C3DC5" w14:textId="5FD29DDE" w:rsidR="006A7261" w:rsidRPr="00EC18BE" w:rsidRDefault="005C302F" w:rsidP="00EC18BE">
      <w:pPr>
        <w:spacing w:before="0" w:after="0"/>
        <w:rPr>
          <w:rFonts w:cs="Times New Roman"/>
          <w:noProof/>
          <w:sz w:val="18"/>
          <w:szCs w:val="18"/>
        </w:rPr>
      </w:pPr>
      <w:hyperlink r:id="rId11" w:history="1">
        <w:r w:rsidR="00EC18BE" w:rsidRPr="00EC18BE">
          <w:rPr>
            <w:rStyle w:val="Hyperlink"/>
            <w:rFonts w:ascii="Times New Roman" w:hAnsi="Times New Roman" w:cs="Times New Roman"/>
            <w:noProof/>
            <w:sz w:val="18"/>
            <w:szCs w:val="18"/>
          </w:rPr>
          <w:t>Kristine.Gavrovska@fm.gov.lv</w:t>
        </w:r>
      </w:hyperlink>
    </w:p>
    <w:sectPr w:rsidR="006A7261" w:rsidRPr="00EC18BE" w:rsidSect="00E2717D">
      <w:footerReference w:type="default" r:id="rId12"/>
      <w:headerReference w:type="first" r:id="rId13"/>
      <w:footerReference w:type="first" r:id="rId14"/>
      <w:pgSz w:w="11906" w:h="16838"/>
      <w:pgMar w:top="1134" w:right="1134" w:bottom="851" w:left="1701" w:header="709" w:footer="11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20097" w14:textId="77777777" w:rsidR="00C60391" w:rsidRDefault="00C60391" w:rsidP="00043218">
      <w:pPr>
        <w:spacing w:before="0" w:after="0"/>
      </w:pPr>
      <w:r>
        <w:separator/>
      </w:r>
    </w:p>
  </w:endnote>
  <w:endnote w:type="continuationSeparator" w:id="0">
    <w:p w14:paraId="15C6B977" w14:textId="77777777" w:rsidR="00C60391" w:rsidRDefault="00C60391" w:rsidP="000432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81923"/>
      <w:docPartObj>
        <w:docPartGallery w:val="Page Numbers (Bottom of Page)"/>
        <w:docPartUnique/>
      </w:docPartObj>
    </w:sdtPr>
    <w:sdtEndPr>
      <w:rPr>
        <w:noProof/>
      </w:rPr>
    </w:sdtEndPr>
    <w:sdtContent>
      <w:p w14:paraId="37806247" w14:textId="4E77A5E7" w:rsidR="00A069DD" w:rsidRDefault="00A069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27FF5" w14:textId="799BED4E" w:rsidR="00C60391" w:rsidRPr="00EC6A33" w:rsidRDefault="00C60391" w:rsidP="002D0A6E">
    <w:pPr>
      <w:ind w:firstLine="0"/>
      <w:jc w:val="center"/>
      <w:rPr>
        <w:sz w:val="2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ECD0" w14:textId="1D87B0F2" w:rsidR="00C60391" w:rsidRPr="00EC6A33" w:rsidRDefault="00C60391" w:rsidP="002D0A6E">
    <w:pPr>
      <w:ind w:firstLine="0"/>
      <w:jc w:val="center"/>
      <w:rPr>
        <w:sz w:val="2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4697" w14:textId="77777777" w:rsidR="00C60391" w:rsidRDefault="00C60391" w:rsidP="00043218">
      <w:pPr>
        <w:spacing w:before="0" w:after="0"/>
      </w:pPr>
      <w:r>
        <w:separator/>
      </w:r>
    </w:p>
  </w:footnote>
  <w:footnote w:type="continuationSeparator" w:id="0">
    <w:p w14:paraId="50FB5336" w14:textId="77777777" w:rsidR="00C60391" w:rsidRDefault="00C60391" w:rsidP="00043218">
      <w:pPr>
        <w:spacing w:before="0" w:after="0"/>
      </w:pPr>
      <w:r>
        <w:continuationSeparator/>
      </w:r>
    </w:p>
  </w:footnote>
  <w:footnote w:id="1">
    <w:p w14:paraId="5F6350D2" w14:textId="0C3922B2" w:rsidR="0078750D" w:rsidRPr="007C2718" w:rsidRDefault="0078750D" w:rsidP="0078750D">
      <w:pPr>
        <w:pStyle w:val="FootnoteText"/>
        <w:ind w:firstLine="0"/>
        <w:rPr>
          <w:sz w:val="18"/>
          <w:szCs w:val="18"/>
        </w:rPr>
      </w:pPr>
      <w:r w:rsidRPr="007C2718">
        <w:rPr>
          <w:rStyle w:val="FootnoteReference"/>
          <w:sz w:val="18"/>
          <w:szCs w:val="18"/>
        </w:rPr>
        <w:footnoteRef/>
      </w:r>
      <w:r w:rsidRPr="007C2718">
        <w:rPr>
          <w:sz w:val="18"/>
          <w:szCs w:val="18"/>
        </w:rPr>
        <w:t xml:space="preserve"> Eiropas Parlamenta un Padomes Regula (ES) 2024/1263 (2024. gada 29. aprīlis) par ekonomikas politikas efektīvu koordināciju un budžeta daudzpusēju uzraudzību un ar ko atceļ Padomes Regulu (EK) Nr. 1466/97</w:t>
      </w:r>
      <w:r w:rsidR="007C2718" w:rsidRPr="007C2718">
        <w:rPr>
          <w:sz w:val="18"/>
          <w:szCs w:val="18"/>
        </w:rPr>
        <w:t>.</w:t>
      </w:r>
    </w:p>
    <w:p w14:paraId="002079CF" w14:textId="77777777" w:rsidR="0078750D" w:rsidRPr="007C2718" w:rsidRDefault="0078750D" w:rsidP="0078750D">
      <w:pPr>
        <w:pStyle w:val="FootnoteText"/>
        <w:ind w:firstLine="0"/>
        <w:rPr>
          <w:sz w:val="18"/>
          <w:szCs w:val="18"/>
        </w:rPr>
      </w:pPr>
      <w:r w:rsidRPr="007C2718">
        <w:rPr>
          <w:sz w:val="18"/>
          <w:szCs w:val="18"/>
        </w:rPr>
        <w:t>Padomes Regula (ES) 2024/1264 (2024. gada 29. aprīlis), ar ko groza Regulu (EK) Nr. 1467/97 par to, kā paātrināt un precizēt pārmērīga budžeta deficīta novēršanas procedūras īstenošanu.</w:t>
      </w:r>
    </w:p>
    <w:p w14:paraId="78EDB4CA" w14:textId="77777777" w:rsidR="0078750D" w:rsidRPr="007C2718" w:rsidRDefault="0078750D" w:rsidP="0078750D">
      <w:pPr>
        <w:pStyle w:val="FootnoteText"/>
        <w:ind w:firstLine="0"/>
        <w:rPr>
          <w:sz w:val="18"/>
          <w:szCs w:val="18"/>
        </w:rPr>
      </w:pPr>
      <w:r w:rsidRPr="007C2718">
        <w:rPr>
          <w:sz w:val="18"/>
          <w:szCs w:val="18"/>
        </w:rPr>
        <w:t>Padomes Direktīva (ES) 2024/1265 (2024. gada 29. aprīlis), ar ko groza Direktīvu 2011/85/ES par prasībām dalībvalstu budžeta struktūrām.</w:t>
      </w:r>
    </w:p>
  </w:footnote>
  <w:footnote w:id="2">
    <w:p w14:paraId="523DAB3C" w14:textId="77777777" w:rsidR="0078750D" w:rsidRPr="007C2718" w:rsidRDefault="0078750D" w:rsidP="0078750D">
      <w:pPr>
        <w:pStyle w:val="FootnoteText"/>
        <w:ind w:firstLine="0"/>
        <w:rPr>
          <w:sz w:val="18"/>
          <w:szCs w:val="18"/>
        </w:rPr>
      </w:pPr>
      <w:r w:rsidRPr="007C2718">
        <w:rPr>
          <w:rStyle w:val="FootnoteReference"/>
          <w:sz w:val="18"/>
          <w:szCs w:val="18"/>
        </w:rPr>
        <w:footnoteRef/>
      </w:r>
      <w:r w:rsidRPr="007C2718">
        <w:rPr>
          <w:sz w:val="18"/>
          <w:szCs w:val="18"/>
        </w:rPr>
        <w:t xml:space="preserve"> </w:t>
      </w:r>
      <w:r w:rsidRPr="007C2718">
        <w:rPr>
          <w:color w:val="000000" w:themeColor="text1"/>
          <w:sz w:val="18"/>
          <w:szCs w:val="18"/>
        </w:rPr>
        <w:t>Izdevumi, no kuriem izslēgtas vairākas pozīcijas – procentu izdevumi, diskrecionārie ieņēmumi pasākumi (valdības apstiprinātās izmaiņas nodokļos, nenodokļos, maksas pakalpojumos un citos pašu ieņēmumos), izdevumi par ES fondu programmām un valsts līdzfinansējums ES fondu programmām, kā arī bezdarbnieku pabalstu izdevumu cikliskie elementi.</w:t>
      </w:r>
    </w:p>
  </w:footnote>
  <w:footnote w:id="3">
    <w:p w14:paraId="22DEFCC8" w14:textId="15A20EAD" w:rsidR="0078750D" w:rsidRPr="007C2718" w:rsidRDefault="0078750D" w:rsidP="0078750D">
      <w:pPr>
        <w:pStyle w:val="FootnoteText"/>
        <w:ind w:firstLine="0"/>
        <w:rPr>
          <w:sz w:val="18"/>
          <w:szCs w:val="18"/>
        </w:rPr>
      </w:pPr>
      <w:r w:rsidRPr="007C2718">
        <w:rPr>
          <w:rStyle w:val="FootnoteReference"/>
          <w:sz w:val="18"/>
          <w:szCs w:val="18"/>
        </w:rPr>
        <w:footnoteRef/>
      </w:r>
      <w:r w:rsidRPr="007C2718">
        <w:rPr>
          <w:sz w:val="18"/>
          <w:szCs w:val="18"/>
        </w:rPr>
        <w:t>https://likumi.lv/ta/id/350802-par-likumprojekta-par-valsts-budzetu-2025-gadam-un-budzeta-ietvaru-2025-2026-un-2027-gadam-sagatavosanas-grafiku</w:t>
      </w:r>
    </w:p>
  </w:footnote>
  <w:footnote w:id="4">
    <w:p w14:paraId="5F945248" w14:textId="77777777" w:rsidR="0078750D" w:rsidRPr="007C2718" w:rsidRDefault="0078750D" w:rsidP="0078750D">
      <w:pPr>
        <w:pStyle w:val="FootnoteText"/>
        <w:ind w:firstLine="0"/>
        <w:rPr>
          <w:sz w:val="18"/>
          <w:szCs w:val="18"/>
        </w:rPr>
      </w:pPr>
      <w:r w:rsidRPr="007C2718">
        <w:rPr>
          <w:rStyle w:val="FootnoteReference"/>
          <w:sz w:val="18"/>
          <w:szCs w:val="18"/>
        </w:rPr>
        <w:footnoteRef/>
      </w:r>
      <w:r w:rsidRPr="007C2718">
        <w:rPr>
          <w:sz w:val="18"/>
          <w:szCs w:val="18"/>
        </w:rPr>
        <w:t xml:space="preserve"> https://www.fm.gov.lv/lv/fiskali-strukturalais-plans</w:t>
      </w:r>
    </w:p>
  </w:footnote>
  <w:footnote w:id="5">
    <w:p w14:paraId="582574E3" w14:textId="06F4CC0D" w:rsidR="0078750D" w:rsidRPr="00CA2430" w:rsidRDefault="0078750D" w:rsidP="0078750D">
      <w:pPr>
        <w:pStyle w:val="FootnoteText"/>
        <w:ind w:firstLine="0"/>
        <w:rPr>
          <w:sz w:val="16"/>
          <w:szCs w:val="16"/>
        </w:rPr>
      </w:pPr>
      <w:r w:rsidRPr="007C2718">
        <w:rPr>
          <w:rStyle w:val="FootnoteReference"/>
          <w:sz w:val="18"/>
          <w:szCs w:val="18"/>
        </w:rPr>
        <w:footnoteRef/>
      </w:r>
      <w:r w:rsidRPr="007C2718">
        <w:rPr>
          <w:sz w:val="18"/>
          <w:szCs w:val="18"/>
        </w:rPr>
        <w:t xml:space="preserve"> Likuma “Par valsts budžetu 2023. gadam un budžeta ietvaru 2023., 2024. un 2025. gadam” un “Par valsts budžetu 2024. gadam un budžeta ietvaru 2024., 2025. un 2026. gadam” 5. panta ietvaros</w:t>
      </w:r>
      <w:r w:rsidR="007C2718" w:rsidRPr="007C2718">
        <w:rPr>
          <w:sz w:val="18"/>
          <w:szCs w:val="18"/>
        </w:rPr>
        <w:t>.</w:t>
      </w:r>
    </w:p>
  </w:footnote>
  <w:footnote w:id="6">
    <w:p w14:paraId="30021569" w14:textId="77777777" w:rsidR="0078750D" w:rsidRPr="007C2718" w:rsidRDefault="0078750D" w:rsidP="0078750D">
      <w:pPr>
        <w:pStyle w:val="FootnoteText"/>
        <w:ind w:firstLine="0"/>
        <w:rPr>
          <w:sz w:val="18"/>
          <w:szCs w:val="18"/>
        </w:rPr>
      </w:pPr>
      <w:r w:rsidRPr="007C2718">
        <w:rPr>
          <w:rStyle w:val="FootnoteReference"/>
          <w:sz w:val="18"/>
          <w:szCs w:val="18"/>
        </w:rPr>
        <w:footnoteRef/>
      </w:r>
      <w:r w:rsidRPr="007C2718">
        <w:rPr>
          <w:sz w:val="18"/>
          <w:szCs w:val="18"/>
        </w:rPr>
        <w:t xml:space="preserve"> </w:t>
      </w:r>
      <w:hyperlink r:id="rId1" w:history="1">
        <w:r w:rsidRPr="007C2718">
          <w:rPr>
            <w:rStyle w:val="Hyperlink"/>
            <w:rFonts w:ascii="Times New Roman" w:hAnsi="Times New Roman"/>
            <w:sz w:val="18"/>
            <w:szCs w:val="18"/>
          </w:rPr>
          <w:t>Latvijas Stabilitātes programma 2024.-2028. gadam (mk.gov.lv)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EAAA" w14:textId="39E83D62" w:rsidR="00C60391" w:rsidRDefault="00C60391" w:rsidP="002D0A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9DE"/>
    <w:multiLevelType w:val="hybridMultilevel"/>
    <w:tmpl w:val="5C7ECE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8C94615"/>
    <w:multiLevelType w:val="hybridMultilevel"/>
    <w:tmpl w:val="C200FE52"/>
    <w:lvl w:ilvl="0" w:tplc="ADD6734C">
      <w:start w:val="202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670409"/>
    <w:multiLevelType w:val="hybridMultilevel"/>
    <w:tmpl w:val="FC2A863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0FD628C"/>
    <w:multiLevelType w:val="hybridMultilevel"/>
    <w:tmpl w:val="285A82DE"/>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7A3C4D"/>
    <w:multiLevelType w:val="hybridMultilevel"/>
    <w:tmpl w:val="283E3A8E"/>
    <w:lvl w:ilvl="0" w:tplc="552A82E2">
      <w:start w:val="1"/>
      <w:numFmt w:val="decimal"/>
      <w:lvlText w:val="%1."/>
      <w:lvlJc w:val="left"/>
      <w:pPr>
        <w:ind w:left="1440" w:hanging="360"/>
      </w:pPr>
      <w:rPr>
        <w:rFonts w:ascii="Times New Roman" w:hAnsi="Times New Roman" w:cs="Times New Roman"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68528B3"/>
    <w:multiLevelType w:val="hybridMultilevel"/>
    <w:tmpl w:val="2C7C1D46"/>
    <w:lvl w:ilvl="0" w:tplc="046E5138">
      <w:start w:val="4"/>
      <w:numFmt w:val="decimal"/>
      <w:lvlText w:val="%1."/>
      <w:lvlJc w:val="left"/>
      <w:pPr>
        <w:ind w:left="720" w:hanging="360"/>
      </w:pPr>
      <w:rPr>
        <w:rFonts w:hint="default"/>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25228"/>
    <w:multiLevelType w:val="hybridMultilevel"/>
    <w:tmpl w:val="29145A7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BFD7CD0"/>
    <w:multiLevelType w:val="hybridMultilevel"/>
    <w:tmpl w:val="F09650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D742C3A"/>
    <w:multiLevelType w:val="hybridMultilevel"/>
    <w:tmpl w:val="1D0E06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F792FC2"/>
    <w:multiLevelType w:val="multilevel"/>
    <w:tmpl w:val="B0123828"/>
    <w:lvl w:ilvl="0">
      <w:start w:val="1"/>
      <w:numFmt w:val="decimal"/>
      <w:pStyle w:val="Heading1"/>
      <w:lvlText w:val="%1."/>
      <w:lvlJc w:val="left"/>
      <w:pPr>
        <w:ind w:left="927"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1903D2"/>
    <w:multiLevelType w:val="hybridMultilevel"/>
    <w:tmpl w:val="82B01038"/>
    <w:lvl w:ilvl="0" w:tplc="C43E399A">
      <w:start w:val="1"/>
      <w:numFmt w:val="decimal"/>
      <w:pStyle w:val="Heading2"/>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772D9A"/>
    <w:multiLevelType w:val="hybridMultilevel"/>
    <w:tmpl w:val="AE8EF3E8"/>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07461"/>
    <w:multiLevelType w:val="hybridMultilevel"/>
    <w:tmpl w:val="FA24CD6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3" w15:restartNumberingAfterBreak="0">
    <w:nsid w:val="400C4580"/>
    <w:multiLevelType w:val="hybridMultilevel"/>
    <w:tmpl w:val="10DC4A30"/>
    <w:lvl w:ilvl="0" w:tplc="04260017">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E719B2"/>
    <w:multiLevelType w:val="hybridMultilevel"/>
    <w:tmpl w:val="C8FCE4B4"/>
    <w:lvl w:ilvl="0" w:tplc="04260001">
      <w:start w:val="1"/>
      <w:numFmt w:val="bullet"/>
      <w:lvlText w:val=""/>
      <w:lvlJc w:val="left"/>
      <w:pPr>
        <w:ind w:left="3076" w:hanging="360"/>
      </w:pPr>
      <w:rPr>
        <w:rFonts w:ascii="Symbol" w:hAnsi="Symbol" w:hint="default"/>
      </w:rPr>
    </w:lvl>
    <w:lvl w:ilvl="1" w:tplc="04260003">
      <w:start w:val="1"/>
      <w:numFmt w:val="bullet"/>
      <w:lvlText w:val="o"/>
      <w:lvlJc w:val="left"/>
      <w:pPr>
        <w:ind w:left="3796" w:hanging="360"/>
      </w:pPr>
      <w:rPr>
        <w:rFonts w:ascii="Courier New" w:hAnsi="Courier New" w:cs="Courier New" w:hint="default"/>
      </w:rPr>
    </w:lvl>
    <w:lvl w:ilvl="2" w:tplc="04260001">
      <w:start w:val="1"/>
      <w:numFmt w:val="bullet"/>
      <w:lvlText w:val=""/>
      <w:lvlJc w:val="left"/>
      <w:pPr>
        <w:ind w:left="4516" w:hanging="360"/>
      </w:pPr>
      <w:rPr>
        <w:rFonts w:ascii="Symbol" w:hAnsi="Symbol" w:hint="default"/>
      </w:rPr>
    </w:lvl>
    <w:lvl w:ilvl="3" w:tplc="04260001" w:tentative="1">
      <w:start w:val="1"/>
      <w:numFmt w:val="bullet"/>
      <w:lvlText w:val=""/>
      <w:lvlJc w:val="left"/>
      <w:pPr>
        <w:ind w:left="5236" w:hanging="360"/>
      </w:pPr>
      <w:rPr>
        <w:rFonts w:ascii="Symbol" w:hAnsi="Symbol" w:hint="default"/>
      </w:rPr>
    </w:lvl>
    <w:lvl w:ilvl="4" w:tplc="04260003" w:tentative="1">
      <w:start w:val="1"/>
      <w:numFmt w:val="bullet"/>
      <w:lvlText w:val="o"/>
      <w:lvlJc w:val="left"/>
      <w:pPr>
        <w:ind w:left="5956" w:hanging="360"/>
      </w:pPr>
      <w:rPr>
        <w:rFonts w:ascii="Courier New" w:hAnsi="Courier New" w:cs="Courier New" w:hint="default"/>
      </w:rPr>
    </w:lvl>
    <w:lvl w:ilvl="5" w:tplc="04260005" w:tentative="1">
      <w:start w:val="1"/>
      <w:numFmt w:val="bullet"/>
      <w:lvlText w:val=""/>
      <w:lvlJc w:val="left"/>
      <w:pPr>
        <w:ind w:left="6676" w:hanging="360"/>
      </w:pPr>
      <w:rPr>
        <w:rFonts w:ascii="Wingdings" w:hAnsi="Wingdings" w:hint="default"/>
      </w:rPr>
    </w:lvl>
    <w:lvl w:ilvl="6" w:tplc="04260001" w:tentative="1">
      <w:start w:val="1"/>
      <w:numFmt w:val="bullet"/>
      <w:lvlText w:val=""/>
      <w:lvlJc w:val="left"/>
      <w:pPr>
        <w:ind w:left="7396" w:hanging="360"/>
      </w:pPr>
      <w:rPr>
        <w:rFonts w:ascii="Symbol" w:hAnsi="Symbol" w:hint="default"/>
      </w:rPr>
    </w:lvl>
    <w:lvl w:ilvl="7" w:tplc="04260003" w:tentative="1">
      <w:start w:val="1"/>
      <w:numFmt w:val="bullet"/>
      <w:lvlText w:val="o"/>
      <w:lvlJc w:val="left"/>
      <w:pPr>
        <w:ind w:left="8116" w:hanging="360"/>
      </w:pPr>
      <w:rPr>
        <w:rFonts w:ascii="Courier New" w:hAnsi="Courier New" w:cs="Courier New" w:hint="default"/>
      </w:rPr>
    </w:lvl>
    <w:lvl w:ilvl="8" w:tplc="04260005" w:tentative="1">
      <w:start w:val="1"/>
      <w:numFmt w:val="bullet"/>
      <w:lvlText w:val=""/>
      <w:lvlJc w:val="left"/>
      <w:pPr>
        <w:ind w:left="8836" w:hanging="360"/>
      </w:pPr>
      <w:rPr>
        <w:rFonts w:ascii="Wingdings" w:hAnsi="Wingdings" w:hint="default"/>
      </w:rPr>
    </w:lvl>
  </w:abstractNum>
  <w:abstractNum w:abstractNumId="15" w15:restartNumberingAfterBreak="0">
    <w:nsid w:val="438B7355"/>
    <w:multiLevelType w:val="multilevel"/>
    <w:tmpl w:val="E5FA3A26"/>
    <w:lvl w:ilvl="0">
      <w:start w:val="2"/>
      <w:numFmt w:val="decimal"/>
      <w:lvlText w:val="%1."/>
      <w:lvlJc w:val="left"/>
      <w:pPr>
        <w:ind w:left="450" w:hanging="450"/>
      </w:pPr>
      <w:rPr>
        <w:rFonts w:hint="default"/>
        <w:sz w:val="28"/>
      </w:rPr>
    </w:lvl>
    <w:lvl w:ilvl="1">
      <w:start w:val="1"/>
      <w:numFmt w:val="decimal"/>
      <w:lvlText w:val="%1.%2."/>
      <w:lvlJc w:val="left"/>
      <w:pPr>
        <w:ind w:left="1164" w:hanging="450"/>
      </w:pPr>
      <w:rPr>
        <w:rFonts w:hint="default"/>
        <w:sz w:val="24"/>
        <w:szCs w:val="22"/>
      </w:rPr>
    </w:lvl>
    <w:lvl w:ilvl="2">
      <w:start w:val="1"/>
      <w:numFmt w:val="decimal"/>
      <w:lvlText w:val="%1.%2.%3."/>
      <w:lvlJc w:val="left"/>
      <w:pPr>
        <w:ind w:left="2148" w:hanging="720"/>
      </w:pPr>
      <w:rPr>
        <w:rFonts w:hint="default"/>
        <w:sz w:val="28"/>
      </w:rPr>
    </w:lvl>
    <w:lvl w:ilvl="3">
      <w:start w:val="1"/>
      <w:numFmt w:val="decimal"/>
      <w:lvlText w:val="%1.%2.%3.%4."/>
      <w:lvlJc w:val="left"/>
      <w:pPr>
        <w:ind w:left="2862" w:hanging="720"/>
      </w:pPr>
      <w:rPr>
        <w:rFonts w:hint="default"/>
        <w:sz w:val="28"/>
      </w:rPr>
    </w:lvl>
    <w:lvl w:ilvl="4">
      <w:start w:val="1"/>
      <w:numFmt w:val="decimal"/>
      <w:lvlText w:val="%1.%2.%3.%4.%5."/>
      <w:lvlJc w:val="left"/>
      <w:pPr>
        <w:ind w:left="3936" w:hanging="1080"/>
      </w:pPr>
      <w:rPr>
        <w:rFonts w:hint="default"/>
        <w:sz w:val="28"/>
      </w:rPr>
    </w:lvl>
    <w:lvl w:ilvl="5">
      <w:start w:val="1"/>
      <w:numFmt w:val="decimal"/>
      <w:lvlText w:val="%1.%2.%3.%4.%5.%6."/>
      <w:lvlJc w:val="left"/>
      <w:pPr>
        <w:ind w:left="4650" w:hanging="1080"/>
      </w:pPr>
      <w:rPr>
        <w:rFonts w:hint="default"/>
        <w:sz w:val="28"/>
      </w:rPr>
    </w:lvl>
    <w:lvl w:ilvl="6">
      <w:start w:val="1"/>
      <w:numFmt w:val="decimal"/>
      <w:lvlText w:val="%1.%2.%3.%4.%5.%6.%7."/>
      <w:lvlJc w:val="left"/>
      <w:pPr>
        <w:ind w:left="5724" w:hanging="1440"/>
      </w:pPr>
      <w:rPr>
        <w:rFonts w:hint="default"/>
        <w:sz w:val="28"/>
      </w:rPr>
    </w:lvl>
    <w:lvl w:ilvl="7">
      <w:start w:val="1"/>
      <w:numFmt w:val="decimal"/>
      <w:lvlText w:val="%1.%2.%3.%4.%5.%6.%7.%8."/>
      <w:lvlJc w:val="left"/>
      <w:pPr>
        <w:ind w:left="6438" w:hanging="1440"/>
      </w:pPr>
      <w:rPr>
        <w:rFonts w:hint="default"/>
        <w:sz w:val="28"/>
      </w:rPr>
    </w:lvl>
    <w:lvl w:ilvl="8">
      <w:start w:val="1"/>
      <w:numFmt w:val="decimal"/>
      <w:lvlText w:val="%1.%2.%3.%4.%5.%6.%7.%8.%9."/>
      <w:lvlJc w:val="left"/>
      <w:pPr>
        <w:ind w:left="7512" w:hanging="1800"/>
      </w:pPr>
      <w:rPr>
        <w:rFonts w:hint="default"/>
        <w:sz w:val="28"/>
      </w:rPr>
    </w:lvl>
  </w:abstractNum>
  <w:abstractNum w:abstractNumId="16" w15:restartNumberingAfterBreak="0">
    <w:nsid w:val="49824539"/>
    <w:multiLevelType w:val="hybridMultilevel"/>
    <w:tmpl w:val="3230C182"/>
    <w:lvl w:ilvl="0" w:tplc="A6D6E706">
      <w:start w:val="1"/>
      <w:numFmt w:val="decimal"/>
      <w:lvlText w:val="%1."/>
      <w:lvlJc w:val="left"/>
      <w:pPr>
        <w:ind w:left="720" w:hanging="360"/>
      </w:pPr>
      <w:rPr>
        <w:i w:val="0"/>
        <w:sz w:val="28"/>
        <w:szCs w:val="28"/>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830B7E"/>
    <w:multiLevelType w:val="hybridMultilevel"/>
    <w:tmpl w:val="76F28026"/>
    <w:lvl w:ilvl="0" w:tplc="0C0218B2">
      <w:start w:val="1"/>
      <w:numFmt w:val="decimal"/>
      <w:lvlText w:val="%1."/>
      <w:lvlJc w:val="left"/>
      <w:pPr>
        <w:ind w:left="720" w:hanging="360"/>
      </w:pPr>
      <w:rPr>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10FACD0A">
      <w:start w:val="1"/>
      <w:numFmt w:val="decimal"/>
      <w:lvlText w:val="%4."/>
      <w:lvlJc w:val="left"/>
      <w:pPr>
        <w:ind w:left="2880" w:hanging="360"/>
      </w:pPr>
      <w:rPr>
        <w:rFonts w:ascii="Times New Roman" w:eastAsia="Calibr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E9488B"/>
    <w:multiLevelType w:val="hybridMultilevel"/>
    <w:tmpl w:val="7CA89D08"/>
    <w:lvl w:ilvl="0" w:tplc="A95E1C44">
      <w:start w:val="1"/>
      <w:numFmt w:val="decimal"/>
      <w:lvlText w:val="%1)"/>
      <w:lvlJc w:val="left"/>
      <w:pPr>
        <w:ind w:left="1080" w:hanging="360"/>
      </w:pPr>
      <w:rPr>
        <w:rFonts w:ascii="Times New Roman" w:eastAsia="Calibri"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6123E0E"/>
    <w:multiLevelType w:val="multilevel"/>
    <w:tmpl w:val="D1D0C1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7C4375"/>
    <w:multiLevelType w:val="hybridMultilevel"/>
    <w:tmpl w:val="2E8E69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223162"/>
    <w:multiLevelType w:val="hybridMultilevel"/>
    <w:tmpl w:val="4F96C616"/>
    <w:lvl w:ilvl="0" w:tplc="0426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284EC8"/>
    <w:multiLevelType w:val="hybridMultilevel"/>
    <w:tmpl w:val="AE8EF3E8"/>
    <w:lvl w:ilvl="0" w:tplc="9312905C">
      <w:start w:val="1"/>
      <w:numFmt w:val="decimal"/>
      <w:lvlText w:val="%1."/>
      <w:lvlJc w:val="left"/>
      <w:pPr>
        <w:ind w:left="927"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D47F11"/>
    <w:multiLevelType w:val="hybridMultilevel"/>
    <w:tmpl w:val="5B5C7660"/>
    <w:lvl w:ilvl="0" w:tplc="DBF274F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77361F3"/>
    <w:multiLevelType w:val="hybridMultilevel"/>
    <w:tmpl w:val="A566E126"/>
    <w:lvl w:ilvl="0" w:tplc="ED28CD88">
      <w:start w:val="1"/>
      <w:numFmt w:val="decimal"/>
      <w:lvlText w:val="%1)"/>
      <w:lvlJc w:val="left"/>
      <w:pPr>
        <w:ind w:left="1080" w:hanging="360"/>
      </w:pPr>
      <w:rPr>
        <w:rFonts w:hint="default"/>
        <w:b w:val="0"/>
        <w:bCs/>
        <w:i w:val="0"/>
        <w:i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F124485"/>
    <w:multiLevelType w:val="hybridMultilevel"/>
    <w:tmpl w:val="AF84DB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FAF67E6"/>
    <w:multiLevelType w:val="hybridMultilevel"/>
    <w:tmpl w:val="FC70E250"/>
    <w:lvl w:ilvl="0" w:tplc="AB8A7336">
      <w:start w:val="1"/>
      <w:numFmt w:val="decimal"/>
      <w:lvlText w:val="%1)"/>
      <w:lvlJc w:val="left"/>
      <w:pPr>
        <w:ind w:left="720" w:hanging="360"/>
      </w:pPr>
      <w:rPr>
        <w:rFonts w:ascii="Times New Roman" w:eastAsiaTheme="minorHAnsi" w:hAnsi="Times New Roman" w:cstheme="minorBidi"/>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012FB7"/>
    <w:multiLevelType w:val="hybridMultilevel"/>
    <w:tmpl w:val="93AE1A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00C3D5B"/>
    <w:multiLevelType w:val="hybridMultilevel"/>
    <w:tmpl w:val="F35470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E6081F"/>
    <w:multiLevelType w:val="hybridMultilevel"/>
    <w:tmpl w:val="71F418D4"/>
    <w:lvl w:ilvl="0" w:tplc="04260001">
      <w:start w:val="1"/>
      <w:numFmt w:val="bullet"/>
      <w:lvlText w:val=""/>
      <w:lvlJc w:val="left"/>
      <w:pPr>
        <w:ind w:left="1440" w:hanging="360"/>
      </w:pPr>
      <w:rPr>
        <w:rFonts w:ascii="Symbol" w:hAnsi="Symbol" w:hint="default"/>
      </w:rPr>
    </w:lvl>
    <w:lvl w:ilvl="1" w:tplc="F7889D16">
      <w:numFmt w:val="bullet"/>
      <w:lvlText w:val="-"/>
      <w:lvlJc w:val="left"/>
      <w:pPr>
        <w:ind w:left="2160" w:hanging="360"/>
      </w:pPr>
      <w:rPr>
        <w:rFonts w:ascii="Times New Roman" w:eastAsiaTheme="minorEastAsia"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78D146FC"/>
    <w:multiLevelType w:val="hybridMultilevel"/>
    <w:tmpl w:val="CE74D1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7CA923FD"/>
    <w:multiLevelType w:val="hybridMultilevel"/>
    <w:tmpl w:val="546C4A86"/>
    <w:lvl w:ilvl="0" w:tplc="FFFFFFFF">
      <w:start w:val="1"/>
      <w:numFmt w:val="decimal"/>
      <w:lvlText w:val="%1."/>
      <w:lvlJc w:val="left"/>
      <w:pPr>
        <w:ind w:left="2934"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7ECD4C3B"/>
    <w:multiLevelType w:val="hybridMultilevel"/>
    <w:tmpl w:val="85F0C990"/>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138646856">
    <w:abstractNumId w:val="9"/>
  </w:num>
  <w:num w:numId="2" w16cid:durableId="751511019">
    <w:abstractNumId w:val="10"/>
  </w:num>
  <w:num w:numId="3" w16cid:durableId="1429622086">
    <w:abstractNumId w:val="22"/>
  </w:num>
  <w:num w:numId="4" w16cid:durableId="1189029574">
    <w:abstractNumId w:val="28"/>
  </w:num>
  <w:num w:numId="5" w16cid:durableId="746607760">
    <w:abstractNumId w:val="21"/>
  </w:num>
  <w:num w:numId="6" w16cid:durableId="334921369">
    <w:abstractNumId w:val="13"/>
  </w:num>
  <w:num w:numId="7" w16cid:durableId="933636678">
    <w:abstractNumId w:val="23"/>
  </w:num>
  <w:num w:numId="8" w16cid:durableId="959261784">
    <w:abstractNumId w:val="26"/>
  </w:num>
  <w:num w:numId="9" w16cid:durableId="897863876">
    <w:abstractNumId w:val="11"/>
  </w:num>
  <w:num w:numId="10" w16cid:durableId="8651867">
    <w:abstractNumId w:val="20"/>
  </w:num>
  <w:num w:numId="11" w16cid:durableId="862790140">
    <w:abstractNumId w:val="17"/>
  </w:num>
  <w:num w:numId="12" w16cid:durableId="1911769045">
    <w:abstractNumId w:val="3"/>
  </w:num>
  <w:num w:numId="13" w16cid:durableId="62023939">
    <w:abstractNumId w:val="2"/>
  </w:num>
  <w:num w:numId="14" w16cid:durableId="1528441592">
    <w:abstractNumId w:val="14"/>
  </w:num>
  <w:num w:numId="15" w16cid:durableId="888688523">
    <w:abstractNumId w:val="25"/>
  </w:num>
  <w:num w:numId="16" w16cid:durableId="1052075197">
    <w:abstractNumId w:val="7"/>
  </w:num>
  <w:num w:numId="17" w16cid:durableId="2097242035">
    <w:abstractNumId w:val="27"/>
  </w:num>
  <w:num w:numId="18" w16cid:durableId="607199046">
    <w:abstractNumId w:val="12"/>
  </w:num>
  <w:num w:numId="19" w16cid:durableId="1769885508">
    <w:abstractNumId w:val="29"/>
  </w:num>
  <w:num w:numId="20" w16cid:durableId="412318209">
    <w:abstractNumId w:val="30"/>
  </w:num>
  <w:num w:numId="21" w16cid:durableId="1203635757">
    <w:abstractNumId w:val="4"/>
  </w:num>
  <w:num w:numId="22" w16cid:durableId="461268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7191312">
    <w:abstractNumId w:val="16"/>
  </w:num>
  <w:num w:numId="24" w16cid:durableId="1539321995">
    <w:abstractNumId w:val="5"/>
  </w:num>
  <w:num w:numId="25" w16cid:durableId="1266227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320957">
    <w:abstractNumId w:val="9"/>
    <w:lvlOverride w:ilvl="0">
      <w:startOverride w:val="6"/>
    </w:lvlOverride>
  </w:num>
  <w:num w:numId="27" w16cid:durableId="322972196">
    <w:abstractNumId w:val="0"/>
  </w:num>
  <w:num w:numId="28" w16cid:durableId="1114053543">
    <w:abstractNumId w:val="32"/>
  </w:num>
  <w:num w:numId="29" w16cid:durableId="1531794097">
    <w:abstractNumId w:val="6"/>
  </w:num>
  <w:num w:numId="30" w16cid:durableId="1187600055">
    <w:abstractNumId w:val="9"/>
  </w:num>
  <w:num w:numId="31" w16cid:durableId="164714269">
    <w:abstractNumId w:val="19"/>
  </w:num>
  <w:num w:numId="32" w16cid:durableId="1719091468">
    <w:abstractNumId w:val="31"/>
  </w:num>
  <w:num w:numId="33" w16cid:durableId="563376728">
    <w:abstractNumId w:val="15"/>
  </w:num>
  <w:num w:numId="34" w16cid:durableId="109321933">
    <w:abstractNumId w:val="1"/>
  </w:num>
  <w:num w:numId="35" w16cid:durableId="1564484213">
    <w:abstractNumId w:val="8"/>
  </w:num>
  <w:num w:numId="36" w16cid:durableId="963343481">
    <w:abstractNumId w:val="18"/>
  </w:num>
  <w:num w:numId="37" w16cid:durableId="169568635">
    <w:abstractNumId w:val="9"/>
  </w:num>
  <w:num w:numId="38" w16cid:durableId="111563919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95"/>
    <w:rsid w:val="00003DBC"/>
    <w:rsid w:val="00006604"/>
    <w:rsid w:val="0001357D"/>
    <w:rsid w:val="0001442E"/>
    <w:rsid w:val="00014584"/>
    <w:rsid w:val="00014BD8"/>
    <w:rsid w:val="00016BE0"/>
    <w:rsid w:val="00016DC5"/>
    <w:rsid w:val="0001729F"/>
    <w:rsid w:val="0001732F"/>
    <w:rsid w:val="0001762D"/>
    <w:rsid w:val="00017774"/>
    <w:rsid w:val="00017C7B"/>
    <w:rsid w:val="0002163E"/>
    <w:rsid w:val="00021AC4"/>
    <w:rsid w:val="00021FDA"/>
    <w:rsid w:val="00023A74"/>
    <w:rsid w:val="00024979"/>
    <w:rsid w:val="0003089D"/>
    <w:rsid w:val="0003150A"/>
    <w:rsid w:val="0003311F"/>
    <w:rsid w:val="00033500"/>
    <w:rsid w:val="00033640"/>
    <w:rsid w:val="00033772"/>
    <w:rsid w:val="00033E8A"/>
    <w:rsid w:val="000348BA"/>
    <w:rsid w:val="000348D7"/>
    <w:rsid w:val="00034FA8"/>
    <w:rsid w:val="00035A91"/>
    <w:rsid w:val="00037B8E"/>
    <w:rsid w:val="00042CB7"/>
    <w:rsid w:val="00043218"/>
    <w:rsid w:val="00046225"/>
    <w:rsid w:val="000471E1"/>
    <w:rsid w:val="00047B17"/>
    <w:rsid w:val="00047DD8"/>
    <w:rsid w:val="00050670"/>
    <w:rsid w:val="00051B1E"/>
    <w:rsid w:val="00053507"/>
    <w:rsid w:val="00053525"/>
    <w:rsid w:val="0005447E"/>
    <w:rsid w:val="00054574"/>
    <w:rsid w:val="000546FB"/>
    <w:rsid w:val="000550FF"/>
    <w:rsid w:val="0005515D"/>
    <w:rsid w:val="000552D2"/>
    <w:rsid w:val="00055316"/>
    <w:rsid w:val="00056DDB"/>
    <w:rsid w:val="00060C0F"/>
    <w:rsid w:val="000619F5"/>
    <w:rsid w:val="00061D8D"/>
    <w:rsid w:val="00065587"/>
    <w:rsid w:val="000656C6"/>
    <w:rsid w:val="0006744D"/>
    <w:rsid w:val="000678EB"/>
    <w:rsid w:val="00071E47"/>
    <w:rsid w:val="00072CC4"/>
    <w:rsid w:val="0007311A"/>
    <w:rsid w:val="00073183"/>
    <w:rsid w:val="00073D49"/>
    <w:rsid w:val="00074F1B"/>
    <w:rsid w:val="00075306"/>
    <w:rsid w:val="000760D9"/>
    <w:rsid w:val="0007650E"/>
    <w:rsid w:val="0007720E"/>
    <w:rsid w:val="00077A89"/>
    <w:rsid w:val="00083EB1"/>
    <w:rsid w:val="000840BA"/>
    <w:rsid w:val="00086DA9"/>
    <w:rsid w:val="000871CE"/>
    <w:rsid w:val="00091993"/>
    <w:rsid w:val="00092EE3"/>
    <w:rsid w:val="00093591"/>
    <w:rsid w:val="000977FC"/>
    <w:rsid w:val="000A1CF7"/>
    <w:rsid w:val="000A25F2"/>
    <w:rsid w:val="000A2C5B"/>
    <w:rsid w:val="000A647B"/>
    <w:rsid w:val="000A6ED3"/>
    <w:rsid w:val="000A7CA7"/>
    <w:rsid w:val="000B06BB"/>
    <w:rsid w:val="000B482E"/>
    <w:rsid w:val="000B7445"/>
    <w:rsid w:val="000C3C95"/>
    <w:rsid w:val="000C4A14"/>
    <w:rsid w:val="000C4B93"/>
    <w:rsid w:val="000C5374"/>
    <w:rsid w:val="000C7740"/>
    <w:rsid w:val="000D0C1F"/>
    <w:rsid w:val="000D2A10"/>
    <w:rsid w:val="000D2AEA"/>
    <w:rsid w:val="000D2B7A"/>
    <w:rsid w:val="000D3A42"/>
    <w:rsid w:val="000D3CBF"/>
    <w:rsid w:val="000D3F63"/>
    <w:rsid w:val="000D4788"/>
    <w:rsid w:val="000D4ED5"/>
    <w:rsid w:val="000D6CCD"/>
    <w:rsid w:val="000D731F"/>
    <w:rsid w:val="000E0615"/>
    <w:rsid w:val="000E10A1"/>
    <w:rsid w:val="000E197D"/>
    <w:rsid w:val="000E1CB3"/>
    <w:rsid w:val="000E22C0"/>
    <w:rsid w:val="000E296E"/>
    <w:rsid w:val="000E2E49"/>
    <w:rsid w:val="000E5004"/>
    <w:rsid w:val="000E6A0A"/>
    <w:rsid w:val="000E7920"/>
    <w:rsid w:val="000E7FD6"/>
    <w:rsid w:val="000F10E6"/>
    <w:rsid w:val="000F2299"/>
    <w:rsid w:val="000F43F3"/>
    <w:rsid w:val="000F5874"/>
    <w:rsid w:val="000F7313"/>
    <w:rsid w:val="000F7E92"/>
    <w:rsid w:val="00100AB4"/>
    <w:rsid w:val="0010112A"/>
    <w:rsid w:val="00101BED"/>
    <w:rsid w:val="0010205B"/>
    <w:rsid w:val="0010269F"/>
    <w:rsid w:val="001064EE"/>
    <w:rsid w:val="00106699"/>
    <w:rsid w:val="001072B4"/>
    <w:rsid w:val="00110606"/>
    <w:rsid w:val="00112AA4"/>
    <w:rsid w:val="00114A5D"/>
    <w:rsid w:val="001158A3"/>
    <w:rsid w:val="00115AF7"/>
    <w:rsid w:val="00116162"/>
    <w:rsid w:val="00121499"/>
    <w:rsid w:val="0012254A"/>
    <w:rsid w:val="001229DC"/>
    <w:rsid w:val="00123CE6"/>
    <w:rsid w:val="00124751"/>
    <w:rsid w:val="00124F7A"/>
    <w:rsid w:val="001262AC"/>
    <w:rsid w:val="00130505"/>
    <w:rsid w:val="00131DB4"/>
    <w:rsid w:val="0013226B"/>
    <w:rsid w:val="00132748"/>
    <w:rsid w:val="0013467D"/>
    <w:rsid w:val="00137E2E"/>
    <w:rsid w:val="00140805"/>
    <w:rsid w:val="00140AD0"/>
    <w:rsid w:val="00140F9E"/>
    <w:rsid w:val="001413AF"/>
    <w:rsid w:val="001414A9"/>
    <w:rsid w:val="00146825"/>
    <w:rsid w:val="00146EDF"/>
    <w:rsid w:val="00153A21"/>
    <w:rsid w:val="00154E61"/>
    <w:rsid w:val="00154F10"/>
    <w:rsid w:val="001571F4"/>
    <w:rsid w:val="00160035"/>
    <w:rsid w:val="00161109"/>
    <w:rsid w:val="00163D32"/>
    <w:rsid w:val="0016466F"/>
    <w:rsid w:val="001655EA"/>
    <w:rsid w:val="00166041"/>
    <w:rsid w:val="00166054"/>
    <w:rsid w:val="00171158"/>
    <w:rsid w:val="001717F9"/>
    <w:rsid w:val="00172009"/>
    <w:rsid w:val="001720F0"/>
    <w:rsid w:val="001729AF"/>
    <w:rsid w:val="00173F0C"/>
    <w:rsid w:val="00174092"/>
    <w:rsid w:val="00174A9D"/>
    <w:rsid w:val="00175039"/>
    <w:rsid w:val="00180135"/>
    <w:rsid w:val="00183A5E"/>
    <w:rsid w:val="00185678"/>
    <w:rsid w:val="00186EDF"/>
    <w:rsid w:val="0018741F"/>
    <w:rsid w:val="001878AB"/>
    <w:rsid w:val="0019035F"/>
    <w:rsid w:val="00191556"/>
    <w:rsid w:val="00192862"/>
    <w:rsid w:val="00193284"/>
    <w:rsid w:val="001946FA"/>
    <w:rsid w:val="00196533"/>
    <w:rsid w:val="0019794B"/>
    <w:rsid w:val="001A0AA2"/>
    <w:rsid w:val="001A2913"/>
    <w:rsid w:val="001A392D"/>
    <w:rsid w:val="001A52C5"/>
    <w:rsid w:val="001A60E2"/>
    <w:rsid w:val="001A6678"/>
    <w:rsid w:val="001A7AD7"/>
    <w:rsid w:val="001B01B7"/>
    <w:rsid w:val="001B1453"/>
    <w:rsid w:val="001B1B4B"/>
    <w:rsid w:val="001B2316"/>
    <w:rsid w:val="001B26B6"/>
    <w:rsid w:val="001B2DF8"/>
    <w:rsid w:val="001B46AD"/>
    <w:rsid w:val="001B4BB8"/>
    <w:rsid w:val="001B6C13"/>
    <w:rsid w:val="001B75AC"/>
    <w:rsid w:val="001B7D68"/>
    <w:rsid w:val="001C4676"/>
    <w:rsid w:val="001C52BD"/>
    <w:rsid w:val="001C542A"/>
    <w:rsid w:val="001C6D6A"/>
    <w:rsid w:val="001C7C5B"/>
    <w:rsid w:val="001D18D2"/>
    <w:rsid w:val="001D3DFB"/>
    <w:rsid w:val="001D3FB0"/>
    <w:rsid w:val="001D48B7"/>
    <w:rsid w:val="001D4B70"/>
    <w:rsid w:val="001D5DE9"/>
    <w:rsid w:val="001D6310"/>
    <w:rsid w:val="001D6DA4"/>
    <w:rsid w:val="001E00F1"/>
    <w:rsid w:val="001E2CFA"/>
    <w:rsid w:val="001E3D6B"/>
    <w:rsid w:val="001E4200"/>
    <w:rsid w:val="001E5FAE"/>
    <w:rsid w:val="001E697E"/>
    <w:rsid w:val="001F1561"/>
    <w:rsid w:val="001F16F5"/>
    <w:rsid w:val="001F1B5F"/>
    <w:rsid w:val="001F4187"/>
    <w:rsid w:val="001F43BC"/>
    <w:rsid w:val="001F4876"/>
    <w:rsid w:val="001F72BE"/>
    <w:rsid w:val="001F7F6A"/>
    <w:rsid w:val="00201B11"/>
    <w:rsid w:val="00202623"/>
    <w:rsid w:val="0020365C"/>
    <w:rsid w:val="00204BC4"/>
    <w:rsid w:val="002055FD"/>
    <w:rsid w:val="00212036"/>
    <w:rsid w:val="0021237F"/>
    <w:rsid w:val="00213596"/>
    <w:rsid w:val="00215A7F"/>
    <w:rsid w:val="0021735A"/>
    <w:rsid w:val="002174D2"/>
    <w:rsid w:val="002203AA"/>
    <w:rsid w:val="0022193F"/>
    <w:rsid w:val="00223BAD"/>
    <w:rsid w:val="00225C99"/>
    <w:rsid w:val="0022712C"/>
    <w:rsid w:val="00230360"/>
    <w:rsid w:val="00230A10"/>
    <w:rsid w:val="0023182D"/>
    <w:rsid w:val="002327A1"/>
    <w:rsid w:val="00234FB7"/>
    <w:rsid w:val="00243912"/>
    <w:rsid w:val="00245196"/>
    <w:rsid w:val="002465EA"/>
    <w:rsid w:val="00251765"/>
    <w:rsid w:val="00255E5B"/>
    <w:rsid w:val="00256648"/>
    <w:rsid w:val="002603F6"/>
    <w:rsid w:val="00261FC9"/>
    <w:rsid w:val="00262536"/>
    <w:rsid w:val="0026255D"/>
    <w:rsid w:val="0026289D"/>
    <w:rsid w:val="002635EB"/>
    <w:rsid w:val="00265550"/>
    <w:rsid w:val="002655BC"/>
    <w:rsid w:val="00267C4F"/>
    <w:rsid w:val="00270F88"/>
    <w:rsid w:val="002711AC"/>
    <w:rsid w:val="0027377E"/>
    <w:rsid w:val="00275ACB"/>
    <w:rsid w:val="002765BE"/>
    <w:rsid w:val="00276CB6"/>
    <w:rsid w:val="002776D2"/>
    <w:rsid w:val="00277F0E"/>
    <w:rsid w:val="00280003"/>
    <w:rsid w:val="002801C0"/>
    <w:rsid w:val="00282A55"/>
    <w:rsid w:val="00292B51"/>
    <w:rsid w:val="0029392C"/>
    <w:rsid w:val="00293A73"/>
    <w:rsid w:val="002946A0"/>
    <w:rsid w:val="002A1232"/>
    <w:rsid w:val="002A23E0"/>
    <w:rsid w:val="002A25A9"/>
    <w:rsid w:val="002A3A8A"/>
    <w:rsid w:val="002A4C23"/>
    <w:rsid w:val="002B23A5"/>
    <w:rsid w:val="002B34A2"/>
    <w:rsid w:val="002B435A"/>
    <w:rsid w:val="002B4B3C"/>
    <w:rsid w:val="002B506F"/>
    <w:rsid w:val="002B5212"/>
    <w:rsid w:val="002B6A9A"/>
    <w:rsid w:val="002C066A"/>
    <w:rsid w:val="002C16E3"/>
    <w:rsid w:val="002C283C"/>
    <w:rsid w:val="002C56D8"/>
    <w:rsid w:val="002C7308"/>
    <w:rsid w:val="002C779D"/>
    <w:rsid w:val="002C7830"/>
    <w:rsid w:val="002D012B"/>
    <w:rsid w:val="002D0A6E"/>
    <w:rsid w:val="002D0B67"/>
    <w:rsid w:val="002D1426"/>
    <w:rsid w:val="002D2C99"/>
    <w:rsid w:val="002D57A0"/>
    <w:rsid w:val="002D6873"/>
    <w:rsid w:val="002D7D76"/>
    <w:rsid w:val="002E0577"/>
    <w:rsid w:val="002E3A00"/>
    <w:rsid w:val="002E643D"/>
    <w:rsid w:val="002E696E"/>
    <w:rsid w:val="002E768B"/>
    <w:rsid w:val="002E7BD2"/>
    <w:rsid w:val="002F1162"/>
    <w:rsid w:val="002F16CF"/>
    <w:rsid w:val="002F21EB"/>
    <w:rsid w:val="002F2BDC"/>
    <w:rsid w:val="002F40B1"/>
    <w:rsid w:val="002F55A6"/>
    <w:rsid w:val="002F637C"/>
    <w:rsid w:val="002F65E3"/>
    <w:rsid w:val="002F694F"/>
    <w:rsid w:val="002F6D54"/>
    <w:rsid w:val="002F7FFC"/>
    <w:rsid w:val="0030039E"/>
    <w:rsid w:val="003037CF"/>
    <w:rsid w:val="00305849"/>
    <w:rsid w:val="00306832"/>
    <w:rsid w:val="003068EF"/>
    <w:rsid w:val="00313214"/>
    <w:rsid w:val="00313290"/>
    <w:rsid w:val="00314AF1"/>
    <w:rsid w:val="003154E7"/>
    <w:rsid w:val="003155C1"/>
    <w:rsid w:val="00316ABD"/>
    <w:rsid w:val="0031754C"/>
    <w:rsid w:val="00317AFA"/>
    <w:rsid w:val="00321FB5"/>
    <w:rsid w:val="003220ED"/>
    <w:rsid w:val="003231B7"/>
    <w:rsid w:val="003238FD"/>
    <w:rsid w:val="00325942"/>
    <w:rsid w:val="00326BE8"/>
    <w:rsid w:val="00327D75"/>
    <w:rsid w:val="0033073D"/>
    <w:rsid w:val="0033160A"/>
    <w:rsid w:val="00333561"/>
    <w:rsid w:val="00334E30"/>
    <w:rsid w:val="00335BED"/>
    <w:rsid w:val="00340C33"/>
    <w:rsid w:val="003421DE"/>
    <w:rsid w:val="00343B03"/>
    <w:rsid w:val="00345011"/>
    <w:rsid w:val="0034589E"/>
    <w:rsid w:val="00345965"/>
    <w:rsid w:val="003475EE"/>
    <w:rsid w:val="00351742"/>
    <w:rsid w:val="00352A94"/>
    <w:rsid w:val="00352ED0"/>
    <w:rsid w:val="00353FA8"/>
    <w:rsid w:val="00354D1A"/>
    <w:rsid w:val="00357D09"/>
    <w:rsid w:val="00357F4D"/>
    <w:rsid w:val="00357F80"/>
    <w:rsid w:val="00360884"/>
    <w:rsid w:val="00361468"/>
    <w:rsid w:val="0036169F"/>
    <w:rsid w:val="003622F9"/>
    <w:rsid w:val="003627A0"/>
    <w:rsid w:val="0036353B"/>
    <w:rsid w:val="00364987"/>
    <w:rsid w:val="00364E24"/>
    <w:rsid w:val="003670DB"/>
    <w:rsid w:val="0036758B"/>
    <w:rsid w:val="0037113B"/>
    <w:rsid w:val="003714E5"/>
    <w:rsid w:val="0037413E"/>
    <w:rsid w:val="00374AAF"/>
    <w:rsid w:val="0037512D"/>
    <w:rsid w:val="00375F29"/>
    <w:rsid w:val="00377CA0"/>
    <w:rsid w:val="00381BDA"/>
    <w:rsid w:val="00382303"/>
    <w:rsid w:val="003827A0"/>
    <w:rsid w:val="003827A9"/>
    <w:rsid w:val="00383816"/>
    <w:rsid w:val="0038540C"/>
    <w:rsid w:val="00385B86"/>
    <w:rsid w:val="00386517"/>
    <w:rsid w:val="00391D20"/>
    <w:rsid w:val="00393275"/>
    <w:rsid w:val="00393292"/>
    <w:rsid w:val="003939D9"/>
    <w:rsid w:val="00394386"/>
    <w:rsid w:val="0039478E"/>
    <w:rsid w:val="003952E5"/>
    <w:rsid w:val="003A0176"/>
    <w:rsid w:val="003A0ADE"/>
    <w:rsid w:val="003A1074"/>
    <w:rsid w:val="003A2018"/>
    <w:rsid w:val="003A4135"/>
    <w:rsid w:val="003A5AA7"/>
    <w:rsid w:val="003A5F20"/>
    <w:rsid w:val="003B0328"/>
    <w:rsid w:val="003B0442"/>
    <w:rsid w:val="003B1933"/>
    <w:rsid w:val="003B3630"/>
    <w:rsid w:val="003B55F5"/>
    <w:rsid w:val="003B5AA2"/>
    <w:rsid w:val="003C1802"/>
    <w:rsid w:val="003C2413"/>
    <w:rsid w:val="003C4F1A"/>
    <w:rsid w:val="003C74AA"/>
    <w:rsid w:val="003D6507"/>
    <w:rsid w:val="003E23DA"/>
    <w:rsid w:val="003E266E"/>
    <w:rsid w:val="003E2800"/>
    <w:rsid w:val="003E3163"/>
    <w:rsid w:val="003E3BBF"/>
    <w:rsid w:val="003E565F"/>
    <w:rsid w:val="003E5E45"/>
    <w:rsid w:val="003E7032"/>
    <w:rsid w:val="003E77CA"/>
    <w:rsid w:val="003F4251"/>
    <w:rsid w:val="003F4753"/>
    <w:rsid w:val="003F4D34"/>
    <w:rsid w:val="003F6C1B"/>
    <w:rsid w:val="00400397"/>
    <w:rsid w:val="00400ECC"/>
    <w:rsid w:val="00402385"/>
    <w:rsid w:val="004040ED"/>
    <w:rsid w:val="004058CC"/>
    <w:rsid w:val="004100CE"/>
    <w:rsid w:val="00410426"/>
    <w:rsid w:val="004111D1"/>
    <w:rsid w:val="00411678"/>
    <w:rsid w:val="00412905"/>
    <w:rsid w:val="00413516"/>
    <w:rsid w:val="00413760"/>
    <w:rsid w:val="00414E6A"/>
    <w:rsid w:val="004161BA"/>
    <w:rsid w:val="004229DB"/>
    <w:rsid w:val="00422CD1"/>
    <w:rsid w:val="004248B6"/>
    <w:rsid w:val="00424AC6"/>
    <w:rsid w:val="004255AC"/>
    <w:rsid w:val="00425A71"/>
    <w:rsid w:val="00426556"/>
    <w:rsid w:val="00427EBB"/>
    <w:rsid w:val="0043034D"/>
    <w:rsid w:val="00433B1D"/>
    <w:rsid w:val="004350A4"/>
    <w:rsid w:val="0043608C"/>
    <w:rsid w:val="00436665"/>
    <w:rsid w:val="00436817"/>
    <w:rsid w:val="00441170"/>
    <w:rsid w:val="004414C2"/>
    <w:rsid w:val="00442597"/>
    <w:rsid w:val="00445456"/>
    <w:rsid w:val="00452536"/>
    <w:rsid w:val="004525D4"/>
    <w:rsid w:val="0045403A"/>
    <w:rsid w:val="00454159"/>
    <w:rsid w:val="004550BC"/>
    <w:rsid w:val="0045554B"/>
    <w:rsid w:val="0045573A"/>
    <w:rsid w:val="00460582"/>
    <w:rsid w:val="00463080"/>
    <w:rsid w:val="0046451C"/>
    <w:rsid w:val="00464759"/>
    <w:rsid w:val="0046565F"/>
    <w:rsid w:val="00475274"/>
    <w:rsid w:val="00475EA0"/>
    <w:rsid w:val="004773A0"/>
    <w:rsid w:val="004805D0"/>
    <w:rsid w:val="004827CC"/>
    <w:rsid w:val="004828D5"/>
    <w:rsid w:val="00485EBB"/>
    <w:rsid w:val="00487989"/>
    <w:rsid w:val="0049001B"/>
    <w:rsid w:val="00491065"/>
    <w:rsid w:val="00493AD4"/>
    <w:rsid w:val="00493E27"/>
    <w:rsid w:val="0049419C"/>
    <w:rsid w:val="0049438C"/>
    <w:rsid w:val="004943BC"/>
    <w:rsid w:val="0049539B"/>
    <w:rsid w:val="00495E5B"/>
    <w:rsid w:val="0049617E"/>
    <w:rsid w:val="004961F5"/>
    <w:rsid w:val="004A2E66"/>
    <w:rsid w:val="004A6880"/>
    <w:rsid w:val="004A68F9"/>
    <w:rsid w:val="004B112D"/>
    <w:rsid w:val="004B15F2"/>
    <w:rsid w:val="004B300C"/>
    <w:rsid w:val="004B30FC"/>
    <w:rsid w:val="004B43B5"/>
    <w:rsid w:val="004B5FDD"/>
    <w:rsid w:val="004B6061"/>
    <w:rsid w:val="004B6B5C"/>
    <w:rsid w:val="004B6E65"/>
    <w:rsid w:val="004C14E6"/>
    <w:rsid w:val="004C1B95"/>
    <w:rsid w:val="004C1CAD"/>
    <w:rsid w:val="004C51D4"/>
    <w:rsid w:val="004C5A53"/>
    <w:rsid w:val="004C7A32"/>
    <w:rsid w:val="004D30DB"/>
    <w:rsid w:val="004D4571"/>
    <w:rsid w:val="004D5E82"/>
    <w:rsid w:val="004D62CB"/>
    <w:rsid w:val="004D647E"/>
    <w:rsid w:val="004D68B8"/>
    <w:rsid w:val="004D720F"/>
    <w:rsid w:val="004F02B8"/>
    <w:rsid w:val="004F3062"/>
    <w:rsid w:val="004F482C"/>
    <w:rsid w:val="004F4F2F"/>
    <w:rsid w:val="004F5DAB"/>
    <w:rsid w:val="004F6862"/>
    <w:rsid w:val="004F756F"/>
    <w:rsid w:val="004F7EC3"/>
    <w:rsid w:val="0050080F"/>
    <w:rsid w:val="00500AAB"/>
    <w:rsid w:val="005024B0"/>
    <w:rsid w:val="00511E4F"/>
    <w:rsid w:val="00512708"/>
    <w:rsid w:val="0051484E"/>
    <w:rsid w:val="005159F7"/>
    <w:rsid w:val="00516562"/>
    <w:rsid w:val="00516C4B"/>
    <w:rsid w:val="00517A93"/>
    <w:rsid w:val="0052013B"/>
    <w:rsid w:val="0052320A"/>
    <w:rsid w:val="0052535C"/>
    <w:rsid w:val="00526F27"/>
    <w:rsid w:val="00527C70"/>
    <w:rsid w:val="00533284"/>
    <w:rsid w:val="005344EB"/>
    <w:rsid w:val="005345AD"/>
    <w:rsid w:val="005361F1"/>
    <w:rsid w:val="00537BCB"/>
    <w:rsid w:val="005402EA"/>
    <w:rsid w:val="00540841"/>
    <w:rsid w:val="00540DD8"/>
    <w:rsid w:val="00540E8C"/>
    <w:rsid w:val="00542A69"/>
    <w:rsid w:val="00542E18"/>
    <w:rsid w:val="00542E84"/>
    <w:rsid w:val="005437D4"/>
    <w:rsid w:val="00545E8E"/>
    <w:rsid w:val="00550DCC"/>
    <w:rsid w:val="00551416"/>
    <w:rsid w:val="00552758"/>
    <w:rsid w:val="00553194"/>
    <w:rsid w:val="00553819"/>
    <w:rsid w:val="00557C7F"/>
    <w:rsid w:val="00557F7C"/>
    <w:rsid w:val="00564ED8"/>
    <w:rsid w:val="00565001"/>
    <w:rsid w:val="0056659D"/>
    <w:rsid w:val="005700B6"/>
    <w:rsid w:val="005715AA"/>
    <w:rsid w:val="00571D85"/>
    <w:rsid w:val="00572A55"/>
    <w:rsid w:val="00572C1B"/>
    <w:rsid w:val="0057415A"/>
    <w:rsid w:val="00574301"/>
    <w:rsid w:val="005753C9"/>
    <w:rsid w:val="00575531"/>
    <w:rsid w:val="00576D1F"/>
    <w:rsid w:val="005778D4"/>
    <w:rsid w:val="00577BDD"/>
    <w:rsid w:val="005854EF"/>
    <w:rsid w:val="005865A6"/>
    <w:rsid w:val="00590F3A"/>
    <w:rsid w:val="005913C7"/>
    <w:rsid w:val="00591C1E"/>
    <w:rsid w:val="005922CA"/>
    <w:rsid w:val="005922DE"/>
    <w:rsid w:val="005929B5"/>
    <w:rsid w:val="00594018"/>
    <w:rsid w:val="00594E33"/>
    <w:rsid w:val="005954F3"/>
    <w:rsid w:val="00595DC7"/>
    <w:rsid w:val="00596949"/>
    <w:rsid w:val="005977A6"/>
    <w:rsid w:val="005A0525"/>
    <w:rsid w:val="005A0A50"/>
    <w:rsid w:val="005A2459"/>
    <w:rsid w:val="005A30DB"/>
    <w:rsid w:val="005A3253"/>
    <w:rsid w:val="005A7AFF"/>
    <w:rsid w:val="005B1259"/>
    <w:rsid w:val="005B1278"/>
    <w:rsid w:val="005B288E"/>
    <w:rsid w:val="005B3D38"/>
    <w:rsid w:val="005B3DA9"/>
    <w:rsid w:val="005B466B"/>
    <w:rsid w:val="005B63E4"/>
    <w:rsid w:val="005B72C2"/>
    <w:rsid w:val="005B7C71"/>
    <w:rsid w:val="005C0587"/>
    <w:rsid w:val="005C06ED"/>
    <w:rsid w:val="005C302F"/>
    <w:rsid w:val="005C37DA"/>
    <w:rsid w:val="005C3AFE"/>
    <w:rsid w:val="005C5C42"/>
    <w:rsid w:val="005C6D02"/>
    <w:rsid w:val="005D014F"/>
    <w:rsid w:val="005D0688"/>
    <w:rsid w:val="005D10EA"/>
    <w:rsid w:val="005D5E03"/>
    <w:rsid w:val="005E05F9"/>
    <w:rsid w:val="005E2A45"/>
    <w:rsid w:val="005E2D6D"/>
    <w:rsid w:val="005E2E80"/>
    <w:rsid w:val="005E369E"/>
    <w:rsid w:val="005E4570"/>
    <w:rsid w:val="005E5C2A"/>
    <w:rsid w:val="005E69B6"/>
    <w:rsid w:val="005E6FD6"/>
    <w:rsid w:val="005E777F"/>
    <w:rsid w:val="005E779E"/>
    <w:rsid w:val="005F19E0"/>
    <w:rsid w:val="005F1E51"/>
    <w:rsid w:val="005F2194"/>
    <w:rsid w:val="005F21D7"/>
    <w:rsid w:val="005F4CA2"/>
    <w:rsid w:val="005F638E"/>
    <w:rsid w:val="005F67A6"/>
    <w:rsid w:val="005F7872"/>
    <w:rsid w:val="005F7C2B"/>
    <w:rsid w:val="00600564"/>
    <w:rsid w:val="00600D63"/>
    <w:rsid w:val="00603C53"/>
    <w:rsid w:val="0060460E"/>
    <w:rsid w:val="00604F9B"/>
    <w:rsid w:val="006128F1"/>
    <w:rsid w:val="0061348E"/>
    <w:rsid w:val="00613499"/>
    <w:rsid w:val="00613CB5"/>
    <w:rsid w:val="00614D67"/>
    <w:rsid w:val="00615057"/>
    <w:rsid w:val="006152E0"/>
    <w:rsid w:val="006164C8"/>
    <w:rsid w:val="00617C79"/>
    <w:rsid w:val="00622435"/>
    <w:rsid w:val="00622C39"/>
    <w:rsid w:val="00622ED8"/>
    <w:rsid w:val="0062337F"/>
    <w:rsid w:val="0062445A"/>
    <w:rsid w:val="006249DA"/>
    <w:rsid w:val="00627462"/>
    <w:rsid w:val="006314B4"/>
    <w:rsid w:val="006336B6"/>
    <w:rsid w:val="0063475B"/>
    <w:rsid w:val="0063523F"/>
    <w:rsid w:val="00637198"/>
    <w:rsid w:val="006426B3"/>
    <w:rsid w:val="006432D9"/>
    <w:rsid w:val="006437F9"/>
    <w:rsid w:val="0064512A"/>
    <w:rsid w:val="00645EE7"/>
    <w:rsid w:val="00646260"/>
    <w:rsid w:val="00650798"/>
    <w:rsid w:val="00650F44"/>
    <w:rsid w:val="0065343A"/>
    <w:rsid w:val="00655CC0"/>
    <w:rsid w:val="006574D7"/>
    <w:rsid w:val="006608DF"/>
    <w:rsid w:val="006626C7"/>
    <w:rsid w:val="0066332A"/>
    <w:rsid w:val="0066649A"/>
    <w:rsid w:val="00666568"/>
    <w:rsid w:val="00667BD5"/>
    <w:rsid w:val="00670F90"/>
    <w:rsid w:val="006723E4"/>
    <w:rsid w:val="00673EEE"/>
    <w:rsid w:val="00674703"/>
    <w:rsid w:val="00674C1C"/>
    <w:rsid w:val="00682304"/>
    <w:rsid w:val="006824FC"/>
    <w:rsid w:val="0068270C"/>
    <w:rsid w:val="0068453F"/>
    <w:rsid w:val="00691E26"/>
    <w:rsid w:val="00694725"/>
    <w:rsid w:val="00696604"/>
    <w:rsid w:val="00696F50"/>
    <w:rsid w:val="00697B5F"/>
    <w:rsid w:val="006A0242"/>
    <w:rsid w:val="006A07BE"/>
    <w:rsid w:val="006A1118"/>
    <w:rsid w:val="006A502B"/>
    <w:rsid w:val="006A5502"/>
    <w:rsid w:val="006A7261"/>
    <w:rsid w:val="006B0DF9"/>
    <w:rsid w:val="006B167C"/>
    <w:rsid w:val="006B1B83"/>
    <w:rsid w:val="006B3507"/>
    <w:rsid w:val="006B5F40"/>
    <w:rsid w:val="006C2607"/>
    <w:rsid w:val="006C2C05"/>
    <w:rsid w:val="006C33AE"/>
    <w:rsid w:val="006C4857"/>
    <w:rsid w:val="006C6B7C"/>
    <w:rsid w:val="006C7E4A"/>
    <w:rsid w:val="006D19C6"/>
    <w:rsid w:val="006D1BF5"/>
    <w:rsid w:val="006D21AE"/>
    <w:rsid w:val="006D2716"/>
    <w:rsid w:val="006D2DCA"/>
    <w:rsid w:val="006D4E3C"/>
    <w:rsid w:val="006D58B9"/>
    <w:rsid w:val="006D5F83"/>
    <w:rsid w:val="006D7BC2"/>
    <w:rsid w:val="006E0164"/>
    <w:rsid w:val="006E144E"/>
    <w:rsid w:val="006E189E"/>
    <w:rsid w:val="006E4106"/>
    <w:rsid w:val="006E4A17"/>
    <w:rsid w:val="006E6A20"/>
    <w:rsid w:val="006E72BA"/>
    <w:rsid w:val="006F0243"/>
    <w:rsid w:val="006F3CBF"/>
    <w:rsid w:val="006F3F0D"/>
    <w:rsid w:val="006F42CA"/>
    <w:rsid w:val="006F75FD"/>
    <w:rsid w:val="006F782A"/>
    <w:rsid w:val="006F7F16"/>
    <w:rsid w:val="00700009"/>
    <w:rsid w:val="00702E77"/>
    <w:rsid w:val="00705297"/>
    <w:rsid w:val="007071D4"/>
    <w:rsid w:val="007106BF"/>
    <w:rsid w:val="00711547"/>
    <w:rsid w:val="00712187"/>
    <w:rsid w:val="00713E33"/>
    <w:rsid w:val="007156B3"/>
    <w:rsid w:val="00715F59"/>
    <w:rsid w:val="007160BB"/>
    <w:rsid w:val="00716B93"/>
    <w:rsid w:val="0071757C"/>
    <w:rsid w:val="00717822"/>
    <w:rsid w:val="00720AC5"/>
    <w:rsid w:val="00721B10"/>
    <w:rsid w:val="0072401C"/>
    <w:rsid w:val="007260A1"/>
    <w:rsid w:val="00731A84"/>
    <w:rsid w:val="0073260D"/>
    <w:rsid w:val="00733FE8"/>
    <w:rsid w:val="007343B2"/>
    <w:rsid w:val="00736AD3"/>
    <w:rsid w:val="00737313"/>
    <w:rsid w:val="00740A15"/>
    <w:rsid w:val="007417D0"/>
    <w:rsid w:val="00741EED"/>
    <w:rsid w:val="007422FA"/>
    <w:rsid w:val="007424CD"/>
    <w:rsid w:val="007447CC"/>
    <w:rsid w:val="007458A9"/>
    <w:rsid w:val="00754CCE"/>
    <w:rsid w:val="00757043"/>
    <w:rsid w:val="0076471E"/>
    <w:rsid w:val="0076503C"/>
    <w:rsid w:val="00766ABC"/>
    <w:rsid w:val="00770348"/>
    <w:rsid w:val="007719B1"/>
    <w:rsid w:val="00771EE8"/>
    <w:rsid w:val="0077256E"/>
    <w:rsid w:val="00772992"/>
    <w:rsid w:val="00774B1C"/>
    <w:rsid w:val="00777F6A"/>
    <w:rsid w:val="00781E2C"/>
    <w:rsid w:val="007821C5"/>
    <w:rsid w:val="00783B0F"/>
    <w:rsid w:val="007840F5"/>
    <w:rsid w:val="007841BC"/>
    <w:rsid w:val="00784505"/>
    <w:rsid w:val="00784A7B"/>
    <w:rsid w:val="0078567C"/>
    <w:rsid w:val="0078750D"/>
    <w:rsid w:val="00787EE4"/>
    <w:rsid w:val="007933A0"/>
    <w:rsid w:val="007949F5"/>
    <w:rsid w:val="00796636"/>
    <w:rsid w:val="007A10E2"/>
    <w:rsid w:val="007A2A39"/>
    <w:rsid w:val="007A324F"/>
    <w:rsid w:val="007A4AFA"/>
    <w:rsid w:val="007A5244"/>
    <w:rsid w:val="007A5AA9"/>
    <w:rsid w:val="007B1024"/>
    <w:rsid w:val="007B253E"/>
    <w:rsid w:val="007B2C65"/>
    <w:rsid w:val="007B2FBF"/>
    <w:rsid w:val="007B66FB"/>
    <w:rsid w:val="007B6871"/>
    <w:rsid w:val="007B6A8C"/>
    <w:rsid w:val="007C0D85"/>
    <w:rsid w:val="007C2042"/>
    <w:rsid w:val="007C2718"/>
    <w:rsid w:val="007C2EB9"/>
    <w:rsid w:val="007C314C"/>
    <w:rsid w:val="007C32E3"/>
    <w:rsid w:val="007C4388"/>
    <w:rsid w:val="007C45DB"/>
    <w:rsid w:val="007C5CA4"/>
    <w:rsid w:val="007C6097"/>
    <w:rsid w:val="007C678C"/>
    <w:rsid w:val="007C6FA4"/>
    <w:rsid w:val="007D2774"/>
    <w:rsid w:val="007D681B"/>
    <w:rsid w:val="007D76E2"/>
    <w:rsid w:val="007E0098"/>
    <w:rsid w:val="007E08EE"/>
    <w:rsid w:val="007E0A9F"/>
    <w:rsid w:val="007E0E15"/>
    <w:rsid w:val="007E2E4E"/>
    <w:rsid w:val="007E34B1"/>
    <w:rsid w:val="007E417B"/>
    <w:rsid w:val="007E42B5"/>
    <w:rsid w:val="007E641C"/>
    <w:rsid w:val="007E7B0D"/>
    <w:rsid w:val="007E7CBB"/>
    <w:rsid w:val="007F10B2"/>
    <w:rsid w:val="007F117D"/>
    <w:rsid w:val="007F2887"/>
    <w:rsid w:val="007F3EAB"/>
    <w:rsid w:val="007F60AA"/>
    <w:rsid w:val="007F72CF"/>
    <w:rsid w:val="007F75CA"/>
    <w:rsid w:val="007F7674"/>
    <w:rsid w:val="00800CBC"/>
    <w:rsid w:val="00802324"/>
    <w:rsid w:val="008033EE"/>
    <w:rsid w:val="00803E3E"/>
    <w:rsid w:val="008069AD"/>
    <w:rsid w:val="00807BF3"/>
    <w:rsid w:val="00812977"/>
    <w:rsid w:val="00813490"/>
    <w:rsid w:val="00813B15"/>
    <w:rsid w:val="0081448D"/>
    <w:rsid w:val="00814D12"/>
    <w:rsid w:val="00815EAE"/>
    <w:rsid w:val="008166D9"/>
    <w:rsid w:val="00817795"/>
    <w:rsid w:val="008178D1"/>
    <w:rsid w:val="00822D29"/>
    <w:rsid w:val="00822F87"/>
    <w:rsid w:val="008230DE"/>
    <w:rsid w:val="0082556C"/>
    <w:rsid w:val="00831519"/>
    <w:rsid w:val="00831BB1"/>
    <w:rsid w:val="008328F2"/>
    <w:rsid w:val="00833245"/>
    <w:rsid w:val="00834C52"/>
    <w:rsid w:val="0083515C"/>
    <w:rsid w:val="00835622"/>
    <w:rsid w:val="00835CEF"/>
    <w:rsid w:val="0083634D"/>
    <w:rsid w:val="008369EF"/>
    <w:rsid w:val="00840954"/>
    <w:rsid w:val="00840C5A"/>
    <w:rsid w:val="00840E03"/>
    <w:rsid w:val="008417FB"/>
    <w:rsid w:val="00843A04"/>
    <w:rsid w:val="00843A92"/>
    <w:rsid w:val="00843D60"/>
    <w:rsid w:val="00844932"/>
    <w:rsid w:val="0084619B"/>
    <w:rsid w:val="008478B8"/>
    <w:rsid w:val="008523F4"/>
    <w:rsid w:val="008528CD"/>
    <w:rsid w:val="008554DD"/>
    <w:rsid w:val="00855D8A"/>
    <w:rsid w:val="008573E9"/>
    <w:rsid w:val="00860E19"/>
    <w:rsid w:val="00862CE6"/>
    <w:rsid w:val="00863CF2"/>
    <w:rsid w:val="0086445A"/>
    <w:rsid w:val="00864A9B"/>
    <w:rsid w:val="008654AD"/>
    <w:rsid w:val="00865795"/>
    <w:rsid w:val="00867CCB"/>
    <w:rsid w:val="00870603"/>
    <w:rsid w:val="00873870"/>
    <w:rsid w:val="00874F32"/>
    <w:rsid w:val="00875C23"/>
    <w:rsid w:val="0087701D"/>
    <w:rsid w:val="00880610"/>
    <w:rsid w:val="00880613"/>
    <w:rsid w:val="008813B8"/>
    <w:rsid w:val="00881C30"/>
    <w:rsid w:val="008834DF"/>
    <w:rsid w:val="008838BD"/>
    <w:rsid w:val="00883DFA"/>
    <w:rsid w:val="00884F4A"/>
    <w:rsid w:val="00884FC9"/>
    <w:rsid w:val="008852F6"/>
    <w:rsid w:val="008863AC"/>
    <w:rsid w:val="0088711A"/>
    <w:rsid w:val="00890A5F"/>
    <w:rsid w:val="00891456"/>
    <w:rsid w:val="00891A7A"/>
    <w:rsid w:val="00892E9C"/>
    <w:rsid w:val="00894C1E"/>
    <w:rsid w:val="008962D9"/>
    <w:rsid w:val="008A064C"/>
    <w:rsid w:val="008A20AE"/>
    <w:rsid w:val="008A2933"/>
    <w:rsid w:val="008A406D"/>
    <w:rsid w:val="008A4AAF"/>
    <w:rsid w:val="008A626C"/>
    <w:rsid w:val="008A7003"/>
    <w:rsid w:val="008B4EFE"/>
    <w:rsid w:val="008B508B"/>
    <w:rsid w:val="008B50D6"/>
    <w:rsid w:val="008B59AC"/>
    <w:rsid w:val="008C07C3"/>
    <w:rsid w:val="008C08A2"/>
    <w:rsid w:val="008C2A5C"/>
    <w:rsid w:val="008C4884"/>
    <w:rsid w:val="008C536F"/>
    <w:rsid w:val="008C63F6"/>
    <w:rsid w:val="008D1B72"/>
    <w:rsid w:val="008D1C41"/>
    <w:rsid w:val="008D1D6B"/>
    <w:rsid w:val="008D34B7"/>
    <w:rsid w:val="008D47C3"/>
    <w:rsid w:val="008D4970"/>
    <w:rsid w:val="008D6EB0"/>
    <w:rsid w:val="008E0304"/>
    <w:rsid w:val="008E08C0"/>
    <w:rsid w:val="008E0FFD"/>
    <w:rsid w:val="008E110E"/>
    <w:rsid w:val="008E5743"/>
    <w:rsid w:val="008E5D1D"/>
    <w:rsid w:val="008E6B68"/>
    <w:rsid w:val="008E7DDE"/>
    <w:rsid w:val="008F0C29"/>
    <w:rsid w:val="008F132B"/>
    <w:rsid w:val="008F1658"/>
    <w:rsid w:val="008F2113"/>
    <w:rsid w:val="008F3B89"/>
    <w:rsid w:val="008F6119"/>
    <w:rsid w:val="008F6FBD"/>
    <w:rsid w:val="009005A2"/>
    <w:rsid w:val="00902B01"/>
    <w:rsid w:val="00902E7C"/>
    <w:rsid w:val="00906173"/>
    <w:rsid w:val="00907163"/>
    <w:rsid w:val="00910211"/>
    <w:rsid w:val="00914406"/>
    <w:rsid w:val="00915391"/>
    <w:rsid w:val="009157CD"/>
    <w:rsid w:val="009160F9"/>
    <w:rsid w:val="00917F86"/>
    <w:rsid w:val="009244ED"/>
    <w:rsid w:val="0092615A"/>
    <w:rsid w:val="0093024E"/>
    <w:rsid w:val="009306F9"/>
    <w:rsid w:val="00931115"/>
    <w:rsid w:val="00934A29"/>
    <w:rsid w:val="00937A76"/>
    <w:rsid w:val="00941065"/>
    <w:rsid w:val="0094183F"/>
    <w:rsid w:val="009433D8"/>
    <w:rsid w:val="00944AA2"/>
    <w:rsid w:val="00944B51"/>
    <w:rsid w:val="009459DA"/>
    <w:rsid w:val="00945B5F"/>
    <w:rsid w:val="00945DF3"/>
    <w:rsid w:val="00945E3A"/>
    <w:rsid w:val="00945E68"/>
    <w:rsid w:val="009502FD"/>
    <w:rsid w:val="00950A78"/>
    <w:rsid w:val="00953C22"/>
    <w:rsid w:val="00953D7A"/>
    <w:rsid w:val="00960145"/>
    <w:rsid w:val="009626B5"/>
    <w:rsid w:val="00963A08"/>
    <w:rsid w:val="0096417C"/>
    <w:rsid w:val="00964CAC"/>
    <w:rsid w:val="00965E15"/>
    <w:rsid w:val="0096612F"/>
    <w:rsid w:val="0097202C"/>
    <w:rsid w:val="009728D3"/>
    <w:rsid w:val="009735E6"/>
    <w:rsid w:val="00974B6B"/>
    <w:rsid w:val="00974C6A"/>
    <w:rsid w:val="00975F71"/>
    <w:rsid w:val="009771C1"/>
    <w:rsid w:val="009812F0"/>
    <w:rsid w:val="00983904"/>
    <w:rsid w:val="00987EDF"/>
    <w:rsid w:val="0099160E"/>
    <w:rsid w:val="00991853"/>
    <w:rsid w:val="009919E6"/>
    <w:rsid w:val="009930F8"/>
    <w:rsid w:val="00994ABA"/>
    <w:rsid w:val="00994F25"/>
    <w:rsid w:val="0099519B"/>
    <w:rsid w:val="00995488"/>
    <w:rsid w:val="00995E36"/>
    <w:rsid w:val="00996134"/>
    <w:rsid w:val="0099717F"/>
    <w:rsid w:val="009A2E34"/>
    <w:rsid w:val="009A32C3"/>
    <w:rsid w:val="009A522B"/>
    <w:rsid w:val="009A5249"/>
    <w:rsid w:val="009A6A99"/>
    <w:rsid w:val="009A6D45"/>
    <w:rsid w:val="009A7F95"/>
    <w:rsid w:val="009B0C41"/>
    <w:rsid w:val="009B1649"/>
    <w:rsid w:val="009B1C84"/>
    <w:rsid w:val="009B5BCA"/>
    <w:rsid w:val="009B7199"/>
    <w:rsid w:val="009B7B50"/>
    <w:rsid w:val="009C1108"/>
    <w:rsid w:val="009C1250"/>
    <w:rsid w:val="009C20A6"/>
    <w:rsid w:val="009C4DD4"/>
    <w:rsid w:val="009C4ECE"/>
    <w:rsid w:val="009C4FBA"/>
    <w:rsid w:val="009D121B"/>
    <w:rsid w:val="009D13E2"/>
    <w:rsid w:val="009D176D"/>
    <w:rsid w:val="009D18DE"/>
    <w:rsid w:val="009D1E2E"/>
    <w:rsid w:val="009D2706"/>
    <w:rsid w:val="009D3AFD"/>
    <w:rsid w:val="009D459F"/>
    <w:rsid w:val="009D5506"/>
    <w:rsid w:val="009D6686"/>
    <w:rsid w:val="009D6A84"/>
    <w:rsid w:val="009D6ACC"/>
    <w:rsid w:val="009D6FB1"/>
    <w:rsid w:val="009E1C32"/>
    <w:rsid w:val="009E57D7"/>
    <w:rsid w:val="009E6438"/>
    <w:rsid w:val="009E7575"/>
    <w:rsid w:val="009F0FD7"/>
    <w:rsid w:val="009F3CED"/>
    <w:rsid w:val="009F3F7B"/>
    <w:rsid w:val="009F44BA"/>
    <w:rsid w:val="009F51AF"/>
    <w:rsid w:val="009F53E8"/>
    <w:rsid w:val="009F5663"/>
    <w:rsid w:val="009F6A7F"/>
    <w:rsid w:val="009F6D00"/>
    <w:rsid w:val="00A01C7C"/>
    <w:rsid w:val="00A02B60"/>
    <w:rsid w:val="00A03165"/>
    <w:rsid w:val="00A0438C"/>
    <w:rsid w:val="00A04547"/>
    <w:rsid w:val="00A05835"/>
    <w:rsid w:val="00A069DD"/>
    <w:rsid w:val="00A0791E"/>
    <w:rsid w:val="00A1128A"/>
    <w:rsid w:val="00A12632"/>
    <w:rsid w:val="00A15E0B"/>
    <w:rsid w:val="00A175DC"/>
    <w:rsid w:val="00A17D7B"/>
    <w:rsid w:val="00A2041D"/>
    <w:rsid w:val="00A2075F"/>
    <w:rsid w:val="00A21C1E"/>
    <w:rsid w:val="00A23EEF"/>
    <w:rsid w:val="00A25184"/>
    <w:rsid w:val="00A25912"/>
    <w:rsid w:val="00A27CDD"/>
    <w:rsid w:val="00A30566"/>
    <w:rsid w:val="00A32F1E"/>
    <w:rsid w:val="00A33F4E"/>
    <w:rsid w:val="00A34448"/>
    <w:rsid w:val="00A3556C"/>
    <w:rsid w:val="00A3684A"/>
    <w:rsid w:val="00A416F2"/>
    <w:rsid w:val="00A47392"/>
    <w:rsid w:val="00A4770E"/>
    <w:rsid w:val="00A50859"/>
    <w:rsid w:val="00A51E64"/>
    <w:rsid w:val="00A5448F"/>
    <w:rsid w:val="00A54F38"/>
    <w:rsid w:val="00A61FA2"/>
    <w:rsid w:val="00A63CAE"/>
    <w:rsid w:val="00A648D3"/>
    <w:rsid w:val="00A64D14"/>
    <w:rsid w:val="00A66799"/>
    <w:rsid w:val="00A66B81"/>
    <w:rsid w:val="00A707EC"/>
    <w:rsid w:val="00A7263B"/>
    <w:rsid w:val="00A72D7A"/>
    <w:rsid w:val="00A73009"/>
    <w:rsid w:val="00A73B20"/>
    <w:rsid w:val="00A74AE6"/>
    <w:rsid w:val="00A74D1D"/>
    <w:rsid w:val="00A75D55"/>
    <w:rsid w:val="00A766AC"/>
    <w:rsid w:val="00A7702F"/>
    <w:rsid w:val="00A8295B"/>
    <w:rsid w:val="00A83AAD"/>
    <w:rsid w:val="00A840E6"/>
    <w:rsid w:val="00A85876"/>
    <w:rsid w:val="00A86A32"/>
    <w:rsid w:val="00A86FF9"/>
    <w:rsid w:val="00A90872"/>
    <w:rsid w:val="00A96A0D"/>
    <w:rsid w:val="00A96F9C"/>
    <w:rsid w:val="00AA1561"/>
    <w:rsid w:val="00AA1CD6"/>
    <w:rsid w:val="00AA3BB4"/>
    <w:rsid w:val="00AA3D6D"/>
    <w:rsid w:val="00AA4CC2"/>
    <w:rsid w:val="00AA4E8A"/>
    <w:rsid w:val="00AA50C1"/>
    <w:rsid w:val="00AA57B4"/>
    <w:rsid w:val="00AB127D"/>
    <w:rsid w:val="00AB2128"/>
    <w:rsid w:val="00AB3B68"/>
    <w:rsid w:val="00AB555E"/>
    <w:rsid w:val="00AB5A1F"/>
    <w:rsid w:val="00AB5AEA"/>
    <w:rsid w:val="00AB6320"/>
    <w:rsid w:val="00AB7CF3"/>
    <w:rsid w:val="00AC042E"/>
    <w:rsid w:val="00AC2B6C"/>
    <w:rsid w:val="00AC5328"/>
    <w:rsid w:val="00AC55E4"/>
    <w:rsid w:val="00AC5F18"/>
    <w:rsid w:val="00AC6185"/>
    <w:rsid w:val="00AC7276"/>
    <w:rsid w:val="00AD19DB"/>
    <w:rsid w:val="00AD2E32"/>
    <w:rsid w:val="00AD4588"/>
    <w:rsid w:val="00AD5A28"/>
    <w:rsid w:val="00AD63B1"/>
    <w:rsid w:val="00AD6B0A"/>
    <w:rsid w:val="00AE03D8"/>
    <w:rsid w:val="00AE0CDE"/>
    <w:rsid w:val="00AE113E"/>
    <w:rsid w:val="00AE4C7E"/>
    <w:rsid w:val="00AE51FA"/>
    <w:rsid w:val="00AE543F"/>
    <w:rsid w:val="00AE6136"/>
    <w:rsid w:val="00AF2E30"/>
    <w:rsid w:val="00AF3171"/>
    <w:rsid w:val="00AF7289"/>
    <w:rsid w:val="00AF74C3"/>
    <w:rsid w:val="00B00457"/>
    <w:rsid w:val="00B008E5"/>
    <w:rsid w:val="00B042F9"/>
    <w:rsid w:val="00B07828"/>
    <w:rsid w:val="00B1196F"/>
    <w:rsid w:val="00B11A50"/>
    <w:rsid w:val="00B13C44"/>
    <w:rsid w:val="00B14F2A"/>
    <w:rsid w:val="00B1547D"/>
    <w:rsid w:val="00B15B93"/>
    <w:rsid w:val="00B16063"/>
    <w:rsid w:val="00B17B89"/>
    <w:rsid w:val="00B20253"/>
    <w:rsid w:val="00B20512"/>
    <w:rsid w:val="00B20883"/>
    <w:rsid w:val="00B21621"/>
    <w:rsid w:val="00B22397"/>
    <w:rsid w:val="00B22C9F"/>
    <w:rsid w:val="00B23700"/>
    <w:rsid w:val="00B26DA4"/>
    <w:rsid w:val="00B26DBF"/>
    <w:rsid w:val="00B27D9B"/>
    <w:rsid w:val="00B3179A"/>
    <w:rsid w:val="00B3512B"/>
    <w:rsid w:val="00B35A50"/>
    <w:rsid w:val="00B35D8C"/>
    <w:rsid w:val="00B40E3B"/>
    <w:rsid w:val="00B412A2"/>
    <w:rsid w:val="00B43CA5"/>
    <w:rsid w:val="00B43CE1"/>
    <w:rsid w:val="00B46534"/>
    <w:rsid w:val="00B47634"/>
    <w:rsid w:val="00B50620"/>
    <w:rsid w:val="00B5181E"/>
    <w:rsid w:val="00B51B78"/>
    <w:rsid w:val="00B51C01"/>
    <w:rsid w:val="00B535B1"/>
    <w:rsid w:val="00B56632"/>
    <w:rsid w:val="00B56C99"/>
    <w:rsid w:val="00B57FC2"/>
    <w:rsid w:val="00B61211"/>
    <w:rsid w:val="00B61511"/>
    <w:rsid w:val="00B62206"/>
    <w:rsid w:val="00B62734"/>
    <w:rsid w:val="00B63881"/>
    <w:rsid w:val="00B63ACE"/>
    <w:rsid w:val="00B63F36"/>
    <w:rsid w:val="00B64AED"/>
    <w:rsid w:val="00B67358"/>
    <w:rsid w:val="00B705BA"/>
    <w:rsid w:val="00B70958"/>
    <w:rsid w:val="00B70C8F"/>
    <w:rsid w:val="00B70CF8"/>
    <w:rsid w:val="00B724CB"/>
    <w:rsid w:val="00B7344B"/>
    <w:rsid w:val="00B73A11"/>
    <w:rsid w:val="00B7536F"/>
    <w:rsid w:val="00B77AEE"/>
    <w:rsid w:val="00B83965"/>
    <w:rsid w:val="00B85DA6"/>
    <w:rsid w:val="00B861B6"/>
    <w:rsid w:val="00B870EA"/>
    <w:rsid w:val="00B87BD6"/>
    <w:rsid w:val="00B9017C"/>
    <w:rsid w:val="00B90EA4"/>
    <w:rsid w:val="00B90F50"/>
    <w:rsid w:val="00B90F95"/>
    <w:rsid w:val="00B93FA6"/>
    <w:rsid w:val="00B9536B"/>
    <w:rsid w:val="00BA1885"/>
    <w:rsid w:val="00BA18D4"/>
    <w:rsid w:val="00BA20B8"/>
    <w:rsid w:val="00BA34F1"/>
    <w:rsid w:val="00BA72FC"/>
    <w:rsid w:val="00BB0308"/>
    <w:rsid w:val="00BB5AE3"/>
    <w:rsid w:val="00BB6E0C"/>
    <w:rsid w:val="00BB7057"/>
    <w:rsid w:val="00BB729F"/>
    <w:rsid w:val="00BC41CB"/>
    <w:rsid w:val="00BC59F4"/>
    <w:rsid w:val="00BC5A8C"/>
    <w:rsid w:val="00BC690A"/>
    <w:rsid w:val="00BC6F38"/>
    <w:rsid w:val="00BC7260"/>
    <w:rsid w:val="00BC769E"/>
    <w:rsid w:val="00BC7A1F"/>
    <w:rsid w:val="00BC7EB5"/>
    <w:rsid w:val="00BD1200"/>
    <w:rsid w:val="00BD1670"/>
    <w:rsid w:val="00BD1B41"/>
    <w:rsid w:val="00BD2801"/>
    <w:rsid w:val="00BD40B2"/>
    <w:rsid w:val="00BD4DAA"/>
    <w:rsid w:val="00BD57BA"/>
    <w:rsid w:val="00BD5C20"/>
    <w:rsid w:val="00BD5C8E"/>
    <w:rsid w:val="00BD5F81"/>
    <w:rsid w:val="00BD6FBB"/>
    <w:rsid w:val="00BD765D"/>
    <w:rsid w:val="00BE0CC6"/>
    <w:rsid w:val="00BE11FF"/>
    <w:rsid w:val="00BE2CAA"/>
    <w:rsid w:val="00BE446A"/>
    <w:rsid w:val="00BE56E3"/>
    <w:rsid w:val="00BE6193"/>
    <w:rsid w:val="00BE7BC1"/>
    <w:rsid w:val="00BF00F7"/>
    <w:rsid w:val="00BF0240"/>
    <w:rsid w:val="00BF14DB"/>
    <w:rsid w:val="00BF1F94"/>
    <w:rsid w:val="00BF4369"/>
    <w:rsid w:val="00BF4879"/>
    <w:rsid w:val="00BF50AA"/>
    <w:rsid w:val="00BF5E06"/>
    <w:rsid w:val="00BF6744"/>
    <w:rsid w:val="00C00369"/>
    <w:rsid w:val="00C011C5"/>
    <w:rsid w:val="00C012DA"/>
    <w:rsid w:val="00C0214A"/>
    <w:rsid w:val="00C030ED"/>
    <w:rsid w:val="00C0433D"/>
    <w:rsid w:val="00C04D14"/>
    <w:rsid w:val="00C1151A"/>
    <w:rsid w:val="00C11683"/>
    <w:rsid w:val="00C11CA8"/>
    <w:rsid w:val="00C1285B"/>
    <w:rsid w:val="00C158D2"/>
    <w:rsid w:val="00C17BB5"/>
    <w:rsid w:val="00C17F02"/>
    <w:rsid w:val="00C240DC"/>
    <w:rsid w:val="00C24BF5"/>
    <w:rsid w:val="00C25E44"/>
    <w:rsid w:val="00C264EB"/>
    <w:rsid w:val="00C26623"/>
    <w:rsid w:val="00C314EA"/>
    <w:rsid w:val="00C31E87"/>
    <w:rsid w:val="00C33828"/>
    <w:rsid w:val="00C338C8"/>
    <w:rsid w:val="00C34219"/>
    <w:rsid w:val="00C36121"/>
    <w:rsid w:val="00C37808"/>
    <w:rsid w:val="00C415D5"/>
    <w:rsid w:val="00C417A7"/>
    <w:rsid w:val="00C43D48"/>
    <w:rsid w:val="00C456BD"/>
    <w:rsid w:val="00C45C16"/>
    <w:rsid w:val="00C46348"/>
    <w:rsid w:val="00C46522"/>
    <w:rsid w:val="00C46BBB"/>
    <w:rsid w:val="00C50325"/>
    <w:rsid w:val="00C51AF0"/>
    <w:rsid w:val="00C530BD"/>
    <w:rsid w:val="00C53A90"/>
    <w:rsid w:val="00C55657"/>
    <w:rsid w:val="00C57FA0"/>
    <w:rsid w:val="00C60391"/>
    <w:rsid w:val="00C60723"/>
    <w:rsid w:val="00C61C6C"/>
    <w:rsid w:val="00C63777"/>
    <w:rsid w:val="00C64664"/>
    <w:rsid w:val="00C64BC9"/>
    <w:rsid w:val="00C64DA8"/>
    <w:rsid w:val="00C64FC9"/>
    <w:rsid w:val="00C6797C"/>
    <w:rsid w:val="00C70259"/>
    <w:rsid w:val="00C708A7"/>
    <w:rsid w:val="00C71FAC"/>
    <w:rsid w:val="00C72B0A"/>
    <w:rsid w:val="00C73497"/>
    <w:rsid w:val="00C73888"/>
    <w:rsid w:val="00C7426B"/>
    <w:rsid w:val="00C745CA"/>
    <w:rsid w:val="00C755C1"/>
    <w:rsid w:val="00C75EFD"/>
    <w:rsid w:val="00C75F65"/>
    <w:rsid w:val="00C7792D"/>
    <w:rsid w:val="00C77954"/>
    <w:rsid w:val="00C77E0B"/>
    <w:rsid w:val="00C80A5F"/>
    <w:rsid w:val="00C82983"/>
    <w:rsid w:val="00C83279"/>
    <w:rsid w:val="00C832FF"/>
    <w:rsid w:val="00C84FF3"/>
    <w:rsid w:val="00C87137"/>
    <w:rsid w:val="00C90586"/>
    <w:rsid w:val="00C91852"/>
    <w:rsid w:val="00C91CA1"/>
    <w:rsid w:val="00C920AC"/>
    <w:rsid w:val="00C92D5D"/>
    <w:rsid w:val="00C94C7B"/>
    <w:rsid w:val="00C9565F"/>
    <w:rsid w:val="00C956D7"/>
    <w:rsid w:val="00C970BA"/>
    <w:rsid w:val="00CA10B2"/>
    <w:rsid w:val="00CA2430"/>
    <w:rsid w:val="00CA2D3D"/>
    <w:rsid w:val="00CA30D2"/>
    <w:rsid w:val="00CA49B1"/>
    <w:rsid w:val="00CA648F"/>
    <w:rsid w:val="00CA7CBE"/>
    <w:rsid w:val="00CB000E"/>
    <w:rsid w:val="00CB301E"/>
    <w:rsid w:val="00CB5C81"/>
    <w:rsid w:val="00CC1DE8"/>
    <w:rsid w:val="00CC221B"/>
    <w:rsid w:val="00CC4153"/>
    <w:rsid w:val="00CC5D65"/>
    <w:rsid w:val="00CD1649"/>
    <w:rsid w:val="00CD2F78"/>
    <w:rsid w:val="00CD3368"/>
    <w:rsid w:val="00CD36C7"/>
    <w:rsid w:val="00CD4822"/>
    <w:rsid w:val="00CD4F8D"/>
    <w:rsid w:val="00CD5528"/>
    <w:rsid w:val="00CD626F"/>
    <w:rsid w:val="00CE1087"/>
    <w:rsid w:val="00CE1CA8"/>
    <w:rsid w:val="00CE1FBD"/>
    <w:rsid w:val="00CE3696"/>
    <w:rsid w:val="00CE4C32"/>
    <w:rsid w:val="00CE5580"/>
    <w:rsid w:val="00CE6103"/>
    <w:rsid w:val="00CE6321"/>
    <w:rsid w:val="00CE6B38"/>
    <w:rsid w:val="00CF0E51"/>
    <w:rsid w:val="00CF1EF1"/>
    <w:rsid w:val="00CF25B6"/>
    <w:rsid w:val="00CF2834"/>
    <w:rsid w:val="00CF3215"/>
    <w:rsid w:val="00CF3406"/>
    <w:rsid w:val="00CF4097"/>
    <w:rsid w:val="00CF45C7"/>
    <w:rsid w:val="00CF4B49"/>
    <w:rsid w:val="00CF523E"/>
    <w:rsid w:val="00CF7F05"/>
    <w:rsid w:val="00D023CA"/>
    <w:rsid w:val="00D0283D"/>
    <w:rsid w:val="00D0291F"/>
    <w:rsid w:val="00D029A7"/>
    <w:rsid w:val="00D053A5"/>
    <w:rsid w:val="00D05E8B"/>
    <w:rsid w:val="00D072FE"/>
    <w:rsid w:val="00D14659"/>
    <w:rsid w:val="00D1498B"/>
    <w:rsid w:val="00D160EE"/>
    <w:rsid w:val="00D16868"/>
    <w:rsid w:val="00D20E96"/>
    <w:rsid w:val="00D21319"/>
    <w:rsid w:val="00D21586"/>
    <w:rsid w:val="00D2329D"/>
    <w:rsid w:val="00D23CB7"/>
    <w:rsid w:val="00D24127"/>
    <w:rsid w:val="00D24589"/>
    <w:rsid w:val="00D25AC4"/>
    <w:rsid w:val="00D3036C"/>
    <w:rsid w:val="00D315CD"/>
    <w:rsid w:val="00D31602"/>
    <w:rsid w:val="00D33E06"/>
    <w:rsid w:val="00D350A9"/>
    <w:rsid w:val="00D36B51"/>
    <w:rsid w:val="00D4179B"/>
    <w:rsid w:val="00D4231E"/>
    <w:rsid w:val="00D42EA7"/>
    <w:rsid w:val="00D43845"/>
    <w:rsid w:val="00D44744"/>
    <w:rsid w:val="00D455FB"/>
    <w:rsid w:val="00D45CC5"/>
    <w:rsid w:val="00D515BE"/>
    <w:rsid w:val="00D53FFE"/>
    <w:rsid w:val="00D61B82"/>
    <w:rsid w:val="00D61DE9"/>
    <w:rsid w:val="00D653F5"/>
    <w:rsid w:val="00D663D4"/>
    <w:rsid w:val="00D66569"/>
    <w:rsid w:val="00D66AD1"/>
    <w:rsid w:val="00D67F05"/>
    <w:rsid w:val="00D71818"/>
    <w:rsid w:val="00D73807"/>
    <w:rsid w:val="00D739DB"/>
    <w:rsid w:val="00D769EE"/>
    <w:rsid w:val="00D76DDA"/>
    <w:rsid w:val="00D814D0"/>
    <w:rsid w:val="00D84524"/>
    <w:rsid w:val="00D84CB3"/>
    <w:rsid w:val="00D8549C"/>
    <w:rsid w:val="00D86186"/>
    <w:rsid w:val="00D91682"/>
    <w:rsid w:val="00D93829"/>
    <w:rsid w:val="00D939A2"/>
    <w:rsid w:val="00D96D41"/>
    <w:rsid w:val="00DA3985"/>
    <w:rsid w:val="00DA79AD"/>
    <w:rsid w:val="00DA7EC7"/>
    <w:rsid w:val="00DB02E4"/>
    <w:rsid w:val="00DB073C"/>
    <w:rsid w:val="00DB13F3"/>
    <w:rsid w:val="00DB19CF"/>
    <w:rsid w:val="00DB3FBD"/>
    <w:rsid w:val="00DB539D"/>
    <w:rsid w:val="00DB710B"/>
    <w:rsid w:val="00DC0147"/>
    <w:rsid w:val="00DC01BB"/>
    <w:rsid w:val="00DC21A3"/>
    <w:rsid w:val="00DC2ECB"/>
    <w:rsid w:val="00DC2FD8"/>
    <w:rsid w:val="00DC4129"/>
    <w:rsid w:val="00DC61D9"/>
    <w:rsid w:val="00DD0F64"/>
    <w:rsid w:val="00DD260E"/>
    <w:rsid w:val="00DD3889"/>
    <w:rsid w:val="00DD3A90"/>
    <w:rsid w:val="00DD4C2A"/>
    <w:rsid w:val="00DD5336"/>
    <w:rsid w:val="00DD66E6"/>
    <w:rsid w:val="00DD7565"/>
    <w:rsid w:val="00DD7AC9"/>
    <w:rsid w:val="00DE0048"/>
    <w:rsid w:val="00DE100D"/>
    <w:rsid w:val="00DE3B2D"/>
    <w:rsid w:val="00DE6C2A"/>
    <w:rsid w:val="00DE794A"/>
    <w:rsid w:val="00DE7B05"/>
    <w:rsid w:val="00DF2698"/>
    <w:rsid w:val="00DF45A1"/>
    <w:rsid w:val="00E01F39"/>
    <w:rsid w:val="00E02680"/>
    <w:rsid w:val="00E02999"/>
    <w:rsid w:val="00E0497D"/>
    <w:rsid w:val="00E06827"/>
    <w:rsid w:val="00E07751"/>
    <w:rsid w:val="00E115C6"/>
    <w:rsid w:val="00E12BF2"/>
    <w:rsid w:val="00E15707"/>
    <w:rsid w:val="00E16293"/>
    <w:rsid w:val="00E16932"/>
    <w:rsid w:val="00E20FC8"/>
    <w:rsid w:val="00E218EF"/>
    <w:rsid w:val="00E225B0"/>
    <w:rsid w:val="00E22FBA"/>
    <w:rsid w:val="00E23F13"/>
    <w:rsid w:val="00E246C9"/>
    <w:rsid w:val="00E2549F"/>
    <w:rsid w:val="00E2717D"/>
    <w:rsid w:val="00E312A3"/>
    <w:rsid w:val="00E3538E"/>
    <w:rsid w:val="00E35F81"/>
    <w:rsid w:val="00E36CC2"/>
    <w:rsid w:val="00E37498"/>
    <w:rsid w:val="00E37CEC"/>
    <w:rsid w:val="00E37DCA"/>
    <w:rsid w:val="00E40863"/>
    <w:rsid w:val="00E408C9"/>
    <w:rsid w:val="00E423EE"/>
    <w:rsid w:val="00E43322"/>
    <w:rsid w:val="00E4507C"/>
    <w:rsid w:val="00E45886"/>
    <w:rsid w:val="00E47E75"/>
    <w:rsid w:val="00E50E8A"/>
    <w:rsid w:val="00E52188"/>
    <w:rsid w:val="00E54B33"/>
    <w:rsid w:val="00E54DED"/>
    <w:rsid w:val="00E5574C"/>
    <w:rsid w:val="00E56A61"/>
    <w:rsid w:val="00E600BE"/>
    <w:rsid w:val="00E63AF8"/>
    <w:rsid w:val="00E64405"/>
    <w:rsid w:val="00E64685"/>
    <w:rsid w:val="00E653CD"/>
    <w:rsid w:val="00E658DD"/>
    <w:rsid w:val="00E65B76"/>
    <w:rsid w:val="00E672D8"/>
    <w:rsid w:val="00E716C6"/>
    <w:rsid w:val="00E73124"/>
    <w:rsid w:val="00E73727"/>
    <w:rsid w:val="00E74824"/>
    <w:rsid w:val="00E75332"/>
    <w:rsid w:val="00E7761A"/>
    <w:rsid w:val="00E803F0"/>
    <w:rsid w:val="00E805DA"/>
    <w:rsid w:val="00E80F34"/>
    <w:rsid w:val="00E84C40"/>
    <w:rsid w:val="00E84E68"/>
    <w:rsid w:val="00E84F3D"/>
    <w:rsid w:val="00E867D9"/>
    <w:rsid w:val="00E871CD"/>
    <w:rsid w:val="00E9112D"/>
    <w:rsid w:val="00E9232F"/>
    <w:rsid w:val="00E92BC1"/>
    <w:rsid w:val="00E937C6"/>
    <w:rsid w:val="00E95377"/>
    <w:rsid w:val="00E9597C"/>
    <w:rsid w:val="00E96403"/>
    <w:rsid w:val="00E967E2"/>
    <w:rsid w:val="00E96CDD"/>
    <w:rsid w:val="00E9769B"/>
    <w:rsid w:val="00E97C84"/>
    <w:rsid w:val="00EA0153"/>
    <w:rsid w:val="00EA015A"/>
    <w:rsid w:val="00EA126F"/>
    <w:rsid w:val="00EA2CC1"/>
    <w:rsid w:val="00EB0A50"/>
    <w:rsid w:val="00EB1A54"/>
    <w:rsid w:val="00EB2218"/>
    <w:rsid w:val="00EB241E"/>
    <w:rsid w:val="00EB3674"/>
    <w:rsid w:val="00EB36B8"/>
    <w:rsid w:val="00EB6371"/>
    <w:rsid w:val="00EB6782"/>
    <w:rsid w:val="00EB7152"/>
    <w:rsid w:val="00EB7A3E"/>
    <w:rsid w:val="00EC075D"/>
    <w:rsid w:val="00EC18BE"/>
    <w:rsid w:val="00EC1B76"/>
    <w:rsid w:val="00EC544D"/>
    <w:rsid w:val="00EC735C"/>
    <w:rsid w:val="00ED1E93"/>
    <w:rsid w:val="00ED378F"/>
    <w:rsid w:val="00ED3FF5"/>
    <w:rsid w:val="00ED7772"/>
    <w:rsid w:val="00EE1BEA"/>
    <w:rsid w:val="00EE5E38"/>
    <w:rsid w:val="00EE6B00"/>
    <w:rsid w:val="00EF1710"/>
    <w:rsid w:val="00EF1AB2"/>
    <w:rsid w:val="00EF1BF3"/>
    <w:rsid w:val="00EF56D4"/>
    <w:rsid w:val="00EF5BDA"/>
    <w:rsid w:val="00EF6F8C"/>
    <w:rsid w:val="00EF73A2"/>
    <w:rsid w:val="00F02C8F"/>
    <w:rsid w:val="00F02D39"/>
    <w:rsid w:val="00F0505E"/>
    <w:rsid w:val="00F06325"/>
    <w:rsid w:val="00F13A8F"/>
    <w:rsid w:val="00F155C8"/>
    <w:rsid w:val="00F159BA"/>
    <w:rsid w:val="00F16011"/>
    <w:rsid w:val="00F17120"/>
    <w:rsid w:val="00F17266"/>
    <w:rsid w:val="00F17BBE"/>
    <w:rsid w:val="00F20378"/>
    <w:rsid w:val="00F21891"/>
    <w:rsid w:val="00F21BC9"/>
    <w:rsid w:val="00F25226"/>
    <w:rsid w:val="00F258FE"/>
    <w:rsid w:val="00F25905"/>
    <w:rsid w:val="00F25B8A"/>
    <w:rsid w:val="00F2617A"/>
    <w:rsid w:val="00F26616"/>
    <w:rsid w:val="00F272E0"/>
    <w:rsid w:val="00F30679"/>
    <w:rsid w:val="00F36DD0"/>
    <w:rsid w:val="00F36FF6"/>
    <w:rsid w:val="00F40A32"/>
    <w:rsid w:val="00F41FE2"/>
    <w:rsid w:val="00F4443A"/>
    <w:rsid w:val="00F447DB"/>
    <w:rsid w:val="00F44836"/>
    <w:rsid w:val="00F44FB5"/>
    <w:rsid w:val="00F47596"/>
    <w:rsid w:val="00F50017"/>
    <w:rsid w:val="00F508F2"/>
    <w:rsid w:val="00F50F4C"/>
    <w:rsid w:val="00F5179E"/>
    <w:rsid w:val="00F51ED8"/>
    <w:rsid w:val="00F522CA"/>
    <w:rsid w:val="00F53524"/>
    <w:rsid w:val="00F55244"/>
    <w:rsid w:val="00F55C45"/>
    <w:rsid w:val="00F56849"/>
    <w:rsid w:val="00F569F6"/>
    <w:rsid w:val="00F5702E"/>
    <w:rsid w:val="00F61E10"/>
    <w:rsid w:val="00F6297B"/>
    <w:rsid w:val="00F656B9"/>
    <w:rsid w:val="00F65849"/>
    <w:rsid w:val="00F65F62"/>
    <w:rsid w:val="00F67BBB"/>
    <w:rsid w:val="00F70CA8"/>
    <w:rsid w:val="00F73A72"/>
    <w:rsid w:val="00F73E06"/>
    <w:rsid w:val="00F73FD2"/>
    <w:rsid w:val="00F76B06"/>
    <w:rsid w:val="00F76DCB"/>
    <w:rsid w:val="00F8153B"/>
    <w:rsid w:val="00F8186D"/>
    <w:rsid w:val="00F823D1"/>
    <w:rsid w:val="00F82624"/>
    <w:rsid w:val="00F82B56"/>
    <w:rsid w:val="00F82C35"/>
    <w:rsid w:val="00F83883"/>
    <w:rsid w:val="00F84F09"/>
    <w:rsid w:val="00F856A0"/>
    <w:rsid w:val="00F86E73"/>
    <w:rsid w:val="00F87F48"/>
    <w:rsid w:val="00F90AEB"/>
    <w:rsid w:val="00F92193"/>
    <w:rsid w:val="00F95886"/>
    <w:rsid w:val="00F9660E"/>
    <w:rsid w:val="00F968BD"/>
    <w:rsid w:val="00F97E35"/>
    <w:rsid w:val="00FA0FC1"/>
    <w:rsid w:val="00FA2AC6"/>
    <w:rsid w:val="00FA2C77"/>
    <w:rsid w:val="00FA388D"/>
    <w:rsid w:val="00FA68BA"/>
    <w:rsid w:val="00FA7708"/>
    <w:rsid w:val="00FA77C4"/>
    <w:rsid w:val="00FB005A"/>
    <w:rsid w:val="00FB071C"/>
    <w:rsid w:val="00FB080C"/>
    <w:rsid w:val="00FB1FBF"/>
    <w:rsid w:val="00FB3148"/>
    <w:rsid w:val="00FB48BA"/>
    <w:rsid w:val="00FB4F3A"/>
    <w:rsid w:val="00FB51E2"/>
    <w:rsid w:val="00FB5D7C"/>
    <w:rsid w:val="00FB6DA3"/>
    <w:rsid w:val="00FB76EC"/>
    <w:rsid w:val="00FC2060"/>
    <w:rsid w:val="00FC3E8C"/>
    <w:rsid w:val="00FC686A"/>
    <w:rsid w:val="00FC6C3B"/>
    <w:rsid w:val="00FD2577"/>
    <w:rsid w:val="00FD2957"/>
    <w:rsid w:val="00FD2E6B"/>
    <w:rsid w:val="00FD42B4"/>
    <w:rsid w:val="00FD48C9"/>
    <w:rsid w:val="00FD62A3"/>
    <w:rsid w:val="00FD62D8"/>
    <w:rsid w:val="00FD68A8"/>
    <w:rsid w:val="00FD7CC9"/>
    <w:rsid w:val="00FE0109"/>
    <w:rsid w:val="00FE0DFC"/>
    <w:rsid w:val="00FE3024"/>
    <w:rsid w:val="00FE33EC"/>
    <w:rsid w:val="00FE4826"/>
    <w:rsid w:val="00FE4882"/>
    <w:rsid w:val="00FE4C87"/>
    <w:rsid w:val="00FE50AE"/>
    <w:rsid w:val="00FE5301"/>
    <w:rsid w:val="00FE7ABB"/>
    <w:rsid w:val="00FF34D8"/>
    <w:rsid w:val="00FF6011"/>
    <w:rsid w:val="00FF7D26"/>
    <w:rsid w:val="00FF7E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05EDA"/>
  <w15:docId w15:val="{9D278873-7330-4354-BF71-9C98E292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18"/>
    <w:pPr>
      <w:spacing w:before="120" w:after="120"/>
      <w:ind w:firstLine="720"/>
      <w:jc w:val="both"/>
    </w:pPr>
  </w:style>
  <w:style w:type="paragraph" w:styleId="Heading1">
    <w:name w:val="heading 1"/>
    <w:basedOn w:val="Normal"/>
    <w:next w:val="Normal"/>
    <w:link w:val="Heading1Char"/>
    <w:uiPriority w:val="9"/>
    <w:qFormat/>
    <w:rsid w:val="00043218"/>
    <w:pPr>
      <w:keepNext/>
      <w:keepLines/>
      <w:numPr>
        <w:numId w:val="1"/>
      </w:num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nhideWhenUsed/>
    <w:qFormat/>
    <w:rsid w:val="00043218"/>
    <w:pPr>
      <w:keepNext/>
      <w:numPr>
        <w:numId w:val="2"/>
      </w:numPr>
      <w:spacing w:before="240" w:after="60"/>
      <w:jc w:val="center"/>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8F611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18"/>
    <w:rPr>
      <w:rFonts w:eastAsiaTheme="majorEastAsia" w:cstheme="majorBidi"/>
      <w:b/>
      <w:sz w:val="32"/>
      <w:szCs w:val="32"/>
    </w:rPr>
  </w:style>
  <w:style w:type="character" w:customStyle="1" w:styleId="Heading2Char">
    <w:name w:val="Heading 2 Char"/>
    <w:basedOn w:val="DefaultParagraphFont"/>
    <w:link w:val="Heading2"/>
    <w:rsid w:val="00043218"/>
    <w:rPr>
      <w:rFonts w:eastAsia="Times New Roman" w:cs="Times New Roman"/>
      <w:b/>
      <w:bCs/>
      <w:iCs/>
      <w:szCs w:val="28"/>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Akapit z listą BS"/>
    <w:basedOn w:val="Normal"/>
    <w:link w:val="ListParagraphChar"/>
    <w:uiPriority w:val="34"/>
    <w:qFormat/>
    <w:rsid w:val="00043218"/>
    <w:pPr>
      <w:ind w:left="720"/>
      <w:contextualSpacing/>
    </w:pPr>
  </w:style>
  <w:style w:type="paragraph" w:styleId="BalloonText">
    <w:name w:val="Balloon Text"/>
    <w:basedOn w:val="Normal"/>
    <w:link w:val="BalloonTextChar"/>
    <w:uiPriority w:val="99"/>
    <w:semiHidden/>
    <w:unhideWhenUsed/>
    <w:rsid w:val="00043218"/>
    <w:rPr>
      <w:rFonts w:ascii="Tahoma" w:hAnsi="Tahoma" w:cs="Tahoma"/>
      <w:sz w:val="16"/>
      <w:szCs w:val="16"/>
    </w:rPr>
  </w:style>
  <w:style w:type="character" w:customStyle="1" w:styleId="BalloonTextChar">
    <w:name w:val="Balloon Text Char"/>
    <w:basedOn w:val="DefaultParagraphFont"/>
    <w:link w:val="BalloonText"/>
    <w:uiPriority w:val="99"/>
    <w:semiHidden/>
    <w:rsid w:val="00043218"/>
    <w:rPr>
      <w:rFonts w:ascii="Tahoma" w:hAnsi="Tahoma" w:cs="Tahoma"/>
      <w:sz w:val="16"/>
      <w:szCs w:val="16"/>
    </w:rPr>
  </w:style>
  <w:style w:type="paragraph" w:styleId="BodyTextIndent">
    <w:name w:val="Body Text Indent"/>
    <w:basedOn w:val="Normal"/>
    <w:link w:val="BodyTextIndentChar"/>
    <w:rsid w:val="00043218"/>
    <w:pPr>
      <w:ind w:left="283"/>
    </w:pPr>
    <w:rPr>
      <w:rFonts w:eastAsia="Times New Roman" w:cs="Times New Roman"/>
      <w:szCs w:val="24"/>
      <w:lang w:eastAsia="lv-LV"/>
    </w:rPr>
  </w:style>
  <w:style w:type="character" w:customStyle="1" w:styleId="BodyTextIndentChar">
    <w:name w:val="Body Text Indent Char"/>
    <w:basedOn w:val="DefaultParagraphFont"/>
    <w:link w:val="BodyTextIndent"/>
    <w:rsid w:val="00043218"/>
    <w:rPr>
      <w:rFonts w:eastAsia="Times New Roman" w:cs="Times New Roman"/>
      <w:szCs w:val="24"/>
      <w:lang w:eastAsia="lv-LV"/>
    </w:rPr>
  </w:style>
  <w:style w:type="character" w:customStyle="1" w:styleId="spelle">
    <w:name w:val="spelle"/>
    <w:basedOn w:val="DefaultParagraphFont"/>
    <w:rsid w:val="00043218"/>
  </w:style>
  <w:style w:type="paragraph" w:styleId="FootnoteText">
    <w:name w:val="footnote text"/>
    <w:aliases w:val="Footnote,Fußnote,Fußnote Char Char Char,single space,ft Rakstz. Rakstz.,ft Rakstz.,ft,-E Fußnotentext,Fußnotentext Ursprung,Vēres teksts Char Char Char Char Char,Char Char Char Char Char Char Char Char Char Char Char Char,footnote tex,Char"/>
    <w:basedOn w:val="Normal"/>
    <w:link w:val="FootnoteTextChar"/>
    <w:uiPriority w:val="99"/>
    <w:unhideWhenUsed/>
    <w:qFormat/>
    <w:rsid w:val="00043218"/>
    <w:rPr>
      <w:rFonts w:eastAsia="Times New Roman" w:cs="Times New Roman"/>
      <w:sz w:val="20"/>
      <w:szCs w:val="20"/>
    </w:rPr>
  </w:style>
  <w:style w:type="character" w:customStyle="1" w:styleId="FootnoteTextChar">
    <w:name w:val="Footnote Text Char"/>
    <w:aliases w:val="Footnote Char,Fußnote Char,Fußnote Char Char Char Char,single space Char,ft Rakstz. Rakstz. Char,ft Rakstz. Char,ft Char,-E Fußnotentext Char,Fußnotentext Ursprung Char,Vēres teksts Char Char Char Char Char Char,footnote tex Char"/>
    <w:basedOn w:val="DefaultParagraphFont"/>
    <w:link w:val="FootnoteText"/>
    <w:uiPriority w:val="99"/>
    <w:rsid w:val="00043218"/>
    <w:rPr>
      <w:rFonts w:eastAsia="Times New Roman" w:cs="Times New Roman"/>
      <w:sz w:val="20"/>
      <w:szCs w:val="20"/>
    </w:rPr>
  </w:style>
  <w:style w:type="character" w:styleId="FootnoteReference">
    <w:name w:val="footnote reference"/>
    <w:aliases w:val="Footnote Reference Number,Footnote symbol,Footnote Reference Superscript,ftref,Footnote Refernece,Odwołanie przypisu,BVI fnr,Footnotes refss,SUPERS,Ref,de nota al pie,-E Fußnotenzeichen,Footnote reference number,Times 10 Point,E,E FNZ"/>
    <w:basedOn w:val="DefaultParagraphFont"/>
    <w:link w:val="Char2"/>
    <w:unhideWhenUsed/>
    <w:qFormat/>
    <w:rsid w:val="00043218"/>
    <w:rPr>
      <w:vertAlign w:val="superscript"/>
    </w:rPr>
  </w:style>
  <w:style w:type="paragraph" w:styleId="Header">
    <w:name w:val="header"/>
    <w:basedOn w:val="Normal"/>
    <w:link w:val="HeaderChar"/>
    <w:uiPriority w:val="99"/>
    <w:unhideWhenUsed/>
    <w:rsid w:val="00043218"/>
    <w:pPr>
      <w:tabs>
        <w:tab w:val="center" w:pos="4153"/>
        <w:tab w:val="right" w:pos="8306"/>
      </w:tabs>
    </w:pPr>
  </w:style>
  <w:style w:type="character" w:customStyle="1" w:styleId="HeaderChar">
    <w:name w:val="Header Char"/>
    <w:basedOn w:val="DefaultParagraphFont"/>
    <w:link w:val="Header"/>
    <w:uiPriority w:val="99"/>
    <w:rsid w:val="00043218"/>
    <w:rPr>
      <w:sz w:val="28"/>
    </w:rPr>
  </w:style>
  <w:style w:type="paragraph" w:styleId="Footer">
    <w:name w:val="footer"/>
    <w:basedOn w:val="Normal"/>
    <w:link w:val="FooterChar"/>
    <w:uiPriority w:val="99"/>
    <w:unhideWhenUsed/>
    <w:rsid w:val="00043218"/>
    <w:pPr>
      <w:tabs>
        <w:tab w:val="center" w:pos="4153"/>
        <w:tab w:val="right" w:pos="8306"/>
      </w:tabs>
    </w:pPr>
  </w:style>
  <w:style w:type="character" w:customStyle="1" w:styleId="FooterChar">
    <w:name w:val="Footer Char"/>
    <w:basedOn w:val="DefaultParagraphFont"/>
    <w:link w:val="Footer"/>
    <w:uiPriority w:val="99"/>
    <w:rsid w:val="00043218"/>
    <w:rPr>
      <w:sz w:val="28"/>
    </w:rPr>
  </w:style>
  <w:style w:type="paragraph" w:customStyle="1" w:styleId="H1">
    <w:name w:val="H1"/>
    <w:rsid w:val="00043218"/>
    <w:pPr>
      <w:spacing w:before="120" w:after="120"/>
      <w:ind w:left="284" w:firstLine="720"/>
      <w:jc w:val="center"/>
      <w:outlineLvl w:val="0"/>
    </w:pPr>
    <w:rPr>
      <w:rFonts w:eastAsia="Times New Roman" w:cs="Times New Roman"/>
      <w:b/>
      <w:sz w:val="44"/>
      <w:szCs w:val="20"/>
    </w:rPr>
  </w:style>
  <w:style w:type="paragraph" w:customStyle="1" w:styleId="H2">
    <w:name w:val="H2"/>
    <w:rsid w:val="00043218"/>
    <w:pPr>
      <w:spacing w:before="120" w:after="120"/>
      <w:ind w:left="284" w:firstLine="720"/>
      <w:jc w:val="center"/>
      <w:outlineLvl w:val="1"/>
    </w:pPr>
    <w:rPr>
      <w:rFonts w:eastAsia="Times New Roman" w:cs="Times New Roman"/>
      <w:b/>
      <w:sz w:val="36"/>
      <w:szCs w:val="20"/>
    </w:rPr>
  </w:style>
  <w:style w:type="table" w:styleId="TableGrid">
    <w:name w:val="Table Grid"/>
    <w:basedOn w:val="TableNormal"/>
    <w:uiPriority w:val="39"/>
    <w:rsid w:val="00043218"/>
    <w:pPr>
      <w:spacing w:before="120" w:after="120"/>
      <w:ind w:left="284" w:firstLine="720"/>
      <w:jc w:val="both"/>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3218"/>
    <w:rPr>
      <w:rFonts w:ascii="Garamond" w:hAnsi="Garamond"/>
      <w:noProof w:val="0"/>
      <w:color w:val="0000FF"/>
      <w:u w:val="single"/>
      <w:lang w:val="lv-LV"/>
    </w:rPr>
  </w:style>
  <w:style w:type="paragraph" w:customStyle="1" w:styleId="Default">
    <w:name w:val="Default"/>
    <w:rsid w:val="00043218"/>
    <w:pPr>
      <w:autoSpaceDE w:val="0"/>
      <w:autoSpaceDN w:val="0"/>
      <w:adjustRightInd w:val="0"/>
      <w:spacing w:before="120" w:after="120"/>
      <w:ind w:left="284" w:firstLine="720"/>
      <w:jc w:val="both"/>
    </w:pPr>
    <w:rPr>
      <w:rFonts w:eastAsia="Times New Roman" w:cs="Times New Roman"/>
      <w:color w:val="000000"/>
      <w:szCs w:val="24"/>
      <w:lang w:eastAsia="lv-LV"/>
    </w:rPr>
  </w:style>
  <w:style w:type="paragraph" w:customStyle="1" w:styleId="teksts">
    <w:name w:val="teksts"/>
    <w:rsid w:val="00043218"/>
    <w:pPr>
      <w:spacing w:before="120" w:after="120"/>
      <w:ind w:left="284" w:firstLine="720"/>
      <w:jc w:val="both"/>
    </w:pPr>
    <w:rPr>
      <w:rFonts w:ascii="Garamond" w:eastAsia="Times New Roman" w:hAnsi="Garamond" w:cs="Times New Roman"/>
      <w:szCs w:val="20"/>
    </w:rPr>
  </w:style>
  <w:style w:type="paragraph" w:customStyle="1" w:styleId="CM1">
    <w:name w:val="CM1"/>
    <w:basedOn w:val="Default"/>
    <w:next w:val="Default"/>
    <w:uiPriority w:val="99"/>
    <w:rsid w:val="00043218"/>
    <w:rPr>
      <w:rFonts w:ascii="EUAlbertina" w:eastAsia="Calibri" w:hAnsi="EUAlbertina"/>
      <w:color w:val="auto"/>
      <w:lang w:val="en-GB" w:eastAsia="en-GB"/>
    </w:rPr>
  </w:style>
  <w:style w:type="character" w:styleId="CommentReference">
    <w:name w:val="annotation reference"/>
    <w:basedOn w:val="DefaultParagraphFont"/>
    <w:uiPriority w:val="99"/>
    <w:semiHidden/>
    <w:unhideWhenUsed/>
    <w:rsid w:val="00043218"/>
    <w:rPr>
      <w:sz w:val="16"/>
      <w:szCs w:val="16"/>
    </w:rPr>
  </w:style>
  <w:style w:type="paragraph" w:styleId="CommentText">
    <w:name w:val="annotation text"/>
    <w:basedOn w:val="Normal"/>
    <w:link w:val="CommentTextChar"/>
    <w:uiPriority w:val="99"/>
    <w:unhideWhenUsed/>
    <w:rsid w:val="00043218"/>
    <w:rPr>
      <w:sz w:val="20"/>
      <w:szCs w:val="20"/>
    </w:rPr>
  </w:style>
  <w:style w:type="character" w:customStyle="1" w:styleId="CommentTextChar">
    <w:name w:val="Comment Text Char"/>
    <w:basedOn w:val="DefaultParagraphFont"/>
    <w:link w:val="CommentText"/>
    <w:uiPriority w:val="99"/>
    <w:rsid w:val="00043218"/>
    <w:rPr>
      <w:sz w:val="20"/>
      <w:szCs w:val="20"/>
    </w:rPr>
  </w:style>
  <w:style w:type="paragraph" w:styleId="CommentSubject">
    <w:name w:val="annotation subject"/>
    <w:basedOn w:val="CommentText"/>
    <w:next w:val="CommentText"/>
    <w:link w:val="CommentSubjectChar"/>
    <w:uiPriority w:val="99"/>
    <w:semiHidden/>
    <w:unhideWhenUsed/>
    <w:rsid w:val="00043218"/>
    <w:rPr>
      <w:b/>
      <w:bCs/>
    </w:rPr>
  </w:style>
  <w:style w:type="character" w:customStyle="1" w:styleId="CommentSubjectChar">
    <w:name w:val="Comment Subject Char"/>
    <w:basedOn w:val="CommentTextChar"/>
    <w:link w:val="CommentSubject"/>
    <w:uiPriority w:val="99"/>
    <w:semiHidden/>
    <w:rsid w:val="00043218"/>
    <w:rPr>
      <w:b/>
      <w:bCs/>
      <w:sz w:val="20"/>
      <w:szCs w:val="20"/>
    </w:rPr>
  </w:style>
  <w:style w:type="paragraph" w:styleId="NormalWeb">
    <w:name w:val="Normal (Web)"/>
    <w:basedOn w:val="Normal"/>
    <w:uiPriority w:val="99"/>
    <w:unhideWhenUsed/>
    <w:rsid w:val="00043218"/>
    <w:pPr>
      <w:spacing w:before="100" w:beforeAutospacing="1" w:after="100" w:afterAutospacing="1"/>
    </w:pPr>
    <w:rPr>
      <w:rFonts w:eastAsia="Times New Roman" w:cs="Times New Roman"/>
      <w:szCs w:val="24"/>
      <w:lang w:eastAsia="lv-LV"/>
    </w:rPr>
  </w:style>
  <w:style w:type="paragraph" w:styleId="TOC2">
    <w:name w:val="toc 2"/>
    <w:basedOn w:val="Normal"/>
    <w:next w:val="Normal"/>
    <w:autoRedefine/>
    <w:uiPriority w:val="39"/>
    <w:unhideWhenUsed/>
    <w:rsid w:val="00043218"/>
    <w:pPr>
      <w:tabs>
        <w:tab w:val="right" w:pos="1701"/>
        <w:tab w:val="right" w:leader="dot" w:pos="9061"/>
      </w:tabs>
      <w:ind w:left="1134" w:firstLine="0"/>
    </w:pPr>
  </w:style>
  <w:style w:type="paragraph" w:styleId="TOC1">
    <w:name w:val="toc 1"/>
    <w:basedOn w:val="Normal"/>
    <w:next w:val="Normal"/>
    <w:autoRedefine/>
    <w:uiPriority w:val="39"/>
    <w:unhideWhenUsed/>
    <w:rsid w:val="00571D85"/>
    <w:pPr>
      <w:tabs>
        <w:tab w:val="right" w:pos="1134"/>
        <w:tab w:val="right" w:leader="dot" w:pos="9061"/>
      </w:tabs>
      <w:spacing w:after="100"/>
      <w:ind w:firstLine="0"/>
    </w:pPr>
  </w:style>
  <w:style w:type="paragraph" w:styleId="NoSpacing">
    <w:name w:val="No Spacing"/>
    <w:link w:val="NoSpacingChar"/>
    <w:uiPriority w:val="1"/>
    <w:qFormat/>
    <w:rsid w:val="00043218"/>
    <w:pPr>
      <w:ind w:firstLine="567"/>
      <w:jc w:val="both"/>
    </w:pPr>
    <w:rPr>
      <w:rFonts w:eastAsia="Times New Roman" w:cs="Times New Roman"/>
      <w:szCs w:val="20"/>
    </w:rPr>
  </w:style>
  <w:style w:type="character" w:customStyle="1" w:styleId="NoSpacingChar">
    <w:name w:val="No Spacing Char"/>
    <w:basedOn w:val="DefaultParagraphFont"/>
    <w:link w:val="NoSpacing"/>
    <w:uiPriority w:val="1"/>
    <w:rsid w:val="00043218"/>
    <w:rPr>
      <w:rFonts w:eastAsia="Times New Roman" w:cs="Times New Roman"/>
      <w:szCs w:val="20"/>
    </w:rPr>
  </w:style>
  <w:style w:type="paragraph" w:styleId="BodyText2">
    <w:name w:val="Body Text 2"/>
    <w:basedOn w:val="Normal"/>
    <w:link w:val="BodyText2Char"/>
    <w:uiPriority w:val="99"/>
    <w:semiHidden/>
    <w:unhideWhenUsed/>
    <w:rsid w:val="00043218"/>
    <w:pPr>
      <w:spacing w:line="480" w:lineRule="auto"/>
    </w:pPr>
  </w:style>
  <w:style w:type="character" w:customStyle="1" w:styleId="BodyText2Char">
    <w:name w:val="Body Text 2 Char"/>
    <w:basedOn w:val="DefaultParagraphFont"/>
    <w:link w:val="BodyText2"/>
    <w:uiPriority w:val="99"/>
    <w:semiHidden/>
    <w:rsid w:val="00043218"/>
    <w:rPr>
      <w:sz w:val="28"/>
    </w:rPr>
  </w:style>
  <w:style w:type="character" w:styleId="Strong">
    <w:name w:val="Strong"/>
    <w:uiPriority w:val="22"/>
    <w:qFormat/>
    <w:rsid w:val="006C6B7C"/>
    <w:rPr>
      <w:b/>
      <w:bCs/>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A0ADE"/>
    <w:rPr>
      <w:sz w:val="28"/>
    </w:rPr>
  </w:style>
  <w:style w:type="character" w:customStyle="1" w:styleId="Heading3Char">
    <w:name w:val="Heading 3 Char"/>
    <w:basedOn w:val="DefaultParagraphFont"/>
    <w:link w:val="Heading3"/>
    <w:uiPriority w:val="9"/>
    <w:rsid w:val="008F6119"/>
    <w:rPr>
      <w:rFonts w:asciiTheme="majorHAnsi" w:eastAsiaTheme="majorEastAsia" w:hAnsiTheme="majorHAnsi" w:cstheme="majorBidi"/>
      <w:color w:val="1F4D78" w:themeColor="accent1" w:themeShade="7F"/>
      <w:szCs w:val="24"/>
    </w:rPr>
  </w:style>
  <w:style w:type="table" w:customStyle="1" w:styleId="GridTable6Colorful-Accent11">
    <w:name w:val="Grid Table 6 Colorful - Accent 11"/>
    <w:basedOn w:val="TableNormal"/>
    <w:uiPriority w:val="51"/>
    <w:rsid w:val="008F2113"/>
    <w:rPr>
      <w:rFonts w:asciiTheme="minorHAnsi" w:eastAsiaTheme="minorEastAsia" w:hAnsiTheme="minorHAnsi"/>
      <w:color w:val="2E74B5" w:themeColor="accent1" w:themeShade="BF"/>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FA77C4"/>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B6B5C"/>
    <w:pPr>
      <w:spacing w:before="100" w:beforeAutospacing="1" w:after="100" w:afterAutospacing="1"/>
      <w:ind w:firstLine="0"/>
      <w:jc w:val="left"/>
    </w:pPr>
    <w:rPr>
      <w:rFonts w:eastAsia="Times New Roman" w:cs="Times New Roman"/>
      <w:szCs w:val="24"/>
      <w:lang w:eastAsia="lv-LV"/>
    </w:rPr>
  </w:style>
  <w:style w:type="table" w:customStyle="1" w:styleId="TableGrid2">
    <w:name w:val="Table Grid2"/>
    <w:basedOn w:val="TableNormal"/>
    <w:next w:val="TableGrid"/>
    <w:uiPriority w:val="39"/>
    <w:rsid w:val="008B59AC"/>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Revision">
    <w:name w:val="Revision"/>
    <w:hidden/>
    <w:uiPriority w:val="99"/>
    <w:semiHidden/>
    <w:rsid w:val="008B59AC"/>
    <w:rPr>
      <w:sz w:val="28"/>
    </w:rPr>
  </w:style>
  <w:style w:type="paragraph" w:customStyle="1" w:styleId="Char2">
    <w:name w:val="Char2"/>
    <w:aliases w:val="Char Char Char Char"/>
    <w:basedOn w:val="Normal"/>
    <w:next w:val="Normal"/>
    <w:link w:val="FootnoteReference"/>
    <w:rsid w:val="008B59AC"/>
    <w:pPr>
      <w:spacing w:before="0" w:after="160" w:line="240" w:lineRule="exact"/>
      <w:ind w:firstLine="0"/>
      <w:textAlignment w:val="baseline"/>
    </w:pPr>
    <w:rPr>
      <w:vertAlign w:val="superscript"/>
    </w:rPr>
  </w:style>
  <w:style w:type="table" w:styleId="ListTable2-Accent1">
    <w:name w:val="List Table 2 Accent 1"/>
    <w:basedOn w:val="TableNormal"/>
    <w:uiPriority w:val="47"/>
    <w:rsid w:val="008B59AC"/>
    <w:rPr>
      <w:rFonts w:asciiTheme="minorHAnsi" w:eastAsiaTheme="minorEastAsia" w:hAnsiTheme="minorHAnsi"/>
      <w:sz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v2131">
    <w:name w:val="tv2131"/>
    <w:basedOn w:val="Normal"/>
    <w:rsid w:val="008E7DDE"/>
    <w:pPr>
      <w:spacing w:before="0" w:after="0" w:line="360" w:lineRule="auto"/>
      <w:ind w:firstLine="300"/>
      <w:jc w:val="left"/>
    </w:pPr>
    <w:rPr>
      <w:rFonts w:eastAsia="Times New Roman" w:cs="Times New Roman"/>
      <w:color w:val="414142"/>
      <w:sz w:val="20"/>
      <w:szCs w:val="20"/>
      <w:lang w:eastAsia="lv-LV"/>
    </w:rPr>
  </w:style>
  <w:style w:type="paragraph" w:customStyle="1" w:styleId="Tabulasvirsraksts">
    <w:name w:val="Tabulas virsraksts"/>
    <w:basedOn w:val="Normal"/>
    <w:link w:val="TabulasvirsrakstsChar"/>
    <w:qFormat/>
    <w:rsid w:val="00FA2AC6"/>
    <w:pPr>
      <w:ind w:firstLine="0"/>
      <w:jc w:val="center"/>
    </w:pPr>
    <w:rPr>
      <w:rFonts w:eastAsia="Times New Roman" w:cs="Times New Roman"/>
      <w:b/>
      <w:iCs/>
      <w:szCs w:val="24"/>
    </w:rPr>
  </w:style>
  <w:style w:type="character" w:customStyle="1" w:styleId="TabulasvirsrakstsChar">
    <w:name w:val="Tabulas virsraksts Char"/>
    <w:basedOn w:val="DefaultParagraphFont"/>
    <w:link w:val="Tabulasvirsraksts"/>
    <w:rsid w:val="00FA2AC6"/>
    <w:rPr>
      <w:rFonts w:eastAsia="Times New Roman" w:cs="Times New Roman"/>
      <w:b/>
      <w:iCs/>
      <w:szCs w:val="24"/>
    </w:rPr>
  </w:style>
  <w:style w:type="paragraph" w:customStyle="1" w:styleId="H4">
    <w:name w:val="H4"/>
    <w:uiPriority w:val="99"/>
    <w:rsid w:val="00565001"/>
    <w:pPr>
      <w:spacing w:before="120" w:after="120"/>
      <w:ind w:left="567"/>
      <w:outlineLvl w:val="3"/>
    </w:pPr>
    <w:rPr>
      <w:rFonts w:ascii="Calibri" w:eastAsia="Times New Roman" w:hAnsi="Calibri" w:cs="Times New Roman"/>
      <w:b/>
      <w:sz w:val="28"/>
      <w:szCs w:val="20"/>
    </w:rPr>
  </w:style>
  <w:style w:type="table" w:customStyle="1" w:styleId="GridTable6Colorful-Accent1131">
    <w:name w:val="Grid Table 6 Colorful - Accent 1131"/>
    <w:basedOn w:val="TableNormal"/>
    <w:uiPriority w:val="51"/>
    <w:rsid w:val="00AA4CC2"/>
    <w:rPr>
      <w:rFonts w:ascii="Calibri" w:eastAsia="Times New Roman" w:hAnsi="Calibri"/>
      <w:color w:val="2E74B5"/>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1D1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046">
      <w:bodyDiv w:val="1"/>
      <w:marLeft w:val="0"/>
      <w:marRight w:val="0"/>
      <w:marTop w:val="0"/>
      <w:marBottom w:val="0"/>
      <w:divBdr>
        <w:top w:val="none" w:sz="0" w:space="0" w:color="auto"/>
        <w:left w:val="none" w:sz="0" w:space="0" w:color="auto"/>
        <w:bottom w:val="none" w:sz="0" w:space="0" w:color="auto"/>
        <w:right w:val="none" w:sz="0" w:space="0" w:color="auto"/>
      </w:divBdr>
      <w:divsChild>
        <w:div w:id="56322290">
          <w:marLeft w:val="547"/>
          <w:marRight w:val="0"/>
          <w:marTop w:val="0"/>
          <w:marBottom w:val="0"/>
          <w:divBdr>
            <w:top w:val="none" w:sz="0" w:space="0" w:color="auto"/>
            <w:left w:val="none" w:sz="0" w:space="0" w:color="auto"/>
            <w:bottom w:val="none" w:sz="0" w:space="0" w:color="auto"/>
            <w:right w:val="none" w:sz="0" w:space="0" w:color="auto"/>
          </w:divBdr>
        </w:div>
        <w:div w:id="729618049">
          <w:marLeft w:val="547"/>
          <w:marRight w:val="0"/>
          <w:marTop w:val="0"/>
          <w:marBottom w:val="0"/>
          <w:divBdr>
            <w:top w:val="none" w:sz="0" w:space="0" w:color="auto"/>
            <w:left w:val="none" w:sz="0" w:space="0" w:color="auto"/>
            <w:bottom w:val="none" w:sz="0" w:space="0" w:color="auto"/>
            <w:right w:val="none" w:sz="0" w:space="0" w:color="auto"/>
          </w:divBdr>
        </w:div>
        <w:div w:id="1444423293">
          <w:marLeft w:val="547"/>
          <w:marRight w:val="0"/>
          <w:marTop w:val="0"/>
          <w:marBottom w:val="0"/>
          <w:divBdr>
            <w:top w:val="none" w:sz="0" w:space="0" w:color="auto"/>
            <w:left w:val="none" w:sz="0" w:space="0" w:color="auto"/>
            <w:bottom w:val="none" w:sz="0" w:space="0" w:color="auto"/>
            <w:right w:val="none" w:sz="0" w:space="0" w:color="auto"/>
          </w:divBdr>
        </w:div>
        <w:div w:id="1444642798">
          <w:marLeft w:val="547"/>
          <w:marRight w:val="0"/>
          <w:marTop w:val="0"/>
          <w:marBottom w:val="0"/>
          <w:divBdr>
            <w:top w:val="none" w:sz="0" w:space="0" w:color="auto"/>
            <w:left w:val="none" w:sz="0" w:space="0" w:color="auto"/>
            <w:bottom w:val="none" w:sz="0" w:space="0" w:color="auto"/>
            <w:right w:val="none" w:sz="0" w:space="0" w:color="auto"/>
          </w:divBdr>
        </w:div>
        <w:div w:id="2097483203">
          <w:marLeft w:val="547"/>
          <w:marRight w:val="0"/>
          <w:marTop w:val="0"/>
          <w:marBottom w:val="0"/>
          <w:divBdr>
            <w:top w:val="none" w:sz="0" w:space="0" w:color="auto"/>
            <w:left w:val="none" w:sz="0" w:space="0" w:color="auto"/>
            <w:bottom w:val="none" w:sz="0" w:space="0" w:color="auto"/>
            <w:right w:val="none" w:sz="0" w:space="0" w:color="auto"/>
          </w:divBdr>
        </w:div>
      </w:divsChild>
    </w:div>
    <w:div w:id="104889721">
      <w:bodyDiv w:val="1"/>
      <w:marLeft w:val="0"/>
      <w:marRight w:val="0"/>
      <w:marTop w:val="0"/>
      <w:marBottom w:val="0"/>
      <w:divBdr>
        <w:top w:val="none" w:sz="0" w:space="0" w:color="auto"/>
        <w:left w:val="none" w:sz="0" w:space="0" w:color="auto"/>
        <w:bottom w:val="none" w:sz="0" w:space="0" w:color="auto"/>
        <w:right w:val="none" w:sz="0" w:space="0" w:color="auto"/>
      </w:divBdr>
    </w:div>
    <w:div w:id="246424023">
      <w:bodyDiv w:val="1"/>
      <w:marLeft w:val="0"/>
      <w:marRight w:val="0"/>
      <w:marTop w:val="0"/>
      <w:marBottom w:val="0"/>
      <w:divBdr>
        <w:top w:val="none" w:sz="0" w:space="0" w:color="auto"/>
        <w:left w:val="none" w:sz="0" w:space="0" w:color="auto"/>
        <w:bottom w:val="none" w:sz="0" w:space="0" w:color="auto"/>
        <w:right w:val="none" w:sz="0" w:space="0" w:color="auto"/>
      </w:divBdr>
    </w:div>
    <w:div w:id="450705694">
      <w:bodyDiv w:val="1"/>
      <w:marLeft w:val="0"/>
      <w:marRight w:val="0"/>
      <w:marTop w:val="0"/>
      <w:marBottom w:val="0"/>
      <w:divBdr>
        <w:top w:val="none" w:sz="0" w:space="0" w:color="auto"/>
        <w:left w:val="none" w:sz="0" w:space="0" w:color="auto"/>
        <w:bottom w:val="none" w:sz="0" w:space="0" w:color="auto"/>
        <w:right w:val="none" w:sz="0" w:space="0" w:color="auto"/>
      </w:divBdr>
    </w:div>
    <w:div w:id="628122438">
      <w:bodyDiv w:val="1"/>
      <w:marLeft w:val="0"/>
      <w:marRight w:val="0"/>
      <w:marTop w:val="0"/>
      <w:marBottom w:val="0"/>
      <w:divBdr>
        <w:top w:val="none" w:sz="0" w:space="0" w:color="auto"/>
        <w:left w:val="none" w:sz="0" w:space="0" w:color="auto"/>
        <w:bottom w:val="none" w:sz="0" w:space="0" w:color="auto"/>
        <w:right w:val="none" w:sz="0" w:space="0" w:color="auto"/>
      </w:divBdr>
    </w:div>
    <w:div w:id="714161117">
      <w:bodyDiv w:val="1"/>
      <w:marLeft w:val="0"/>
      <w:marRight w:val="0"/>
      <w:marTop w:val="0"/>
      <w:marBottom w:val="0"/>
      <w:divBdr>
        <w:top w:val="none" w:sz="0" w:space="0" w:color="auto"/>
        <w:left w:val="none" w:sz="0" w:space="0" w:color="auto"/>
        <w:bottom w:val="none" w:sz="0" w:space="0" w:color="auto"/>
        <w:right w:val="none" w:sz="0" w:space="0" w:color="auto"/>
      </w:divBdr>
    </w:div>
    <w:div w:id="863059061">
      <w:bodyDiv w:val="1"/>
      <w:marLeft w:val="0"/>
      <w:marRight w:val="0"/>
      <w:marTop w:val="0"/>
      <w:marBottom w:val="0"/>
      <w:divBdr>
        <w:top w:val="none" w:sz="0" w:space="0" w:color="auto"/>
        <w:left w:val="none" w:sz="0" w:space="0" w:color="auto"/>
        <w:bottom w:val="none" w:sz="0" w:space="0" w:color="auto"/>
        <w:right w:val="none" w:sz="0" w:space="0" w:color="auto"/>
      </w:divBdr>
    </w:div>
    <w:div w:id="940918600">
      <w:bodyDiv w:val="1"/>
      <w:marLeft w:val="0"/>
      <w:marRight w:val="0"/>
      <w:marTop w:val="0"/>
      <w:marBottom w:val="0"/>
      <w:divBdr>
        <w:top w:val="none" w:sz="0" w:space="0" w:color="auto"/>
        <w:left w:val="none" w:sz="0" w:space="0" w:color="auto"/>
        <w:bottom w:val="none" w:sz="0" w:space="0" w:color="auto"/>
        <w:right w:val="none" w:sz="0" w:space="0" w:color="auto"/>
      </w:divBdr>
    </w:div>
    <w:div w:id="1120608448">
      <w:bodyDiv w:val="1"/>
      <w:marLeft w:val="0"/>
      <w:marRight w:val="0"/>
      <w:marTop w:val="0"/>
      <w:marBottom w:val="0"/>
      <w:divBdr>
        <w:top w:val="none" w:sz="0" w:space="0" w:color="auto"/>
        <w:left w:val="none" w:sz="0" w:space="0" w:color="auto"/>
        <w:bottom w:val="none" w:sz="0" w:space="0" w:color="auto"/>
        <w:right w:val="none" w:sz="0" w:space="0" w:color="auto"/>
      </w:divBdr>
    </w:div>
    <w:div w:id="1176923717">
      <w:bodyDiv w:val="1"/>
      <w:marLeft w:val="0"/>
      <w:marRight w:val="0"/>
      <w:marTop w:val="0"/>
      <w:marBottom w:val="0"/>
      <w:divBdr>
        <w:top w:val="none" w:sz="0" w:space="0" w:color="auto"/>
        <w:left w:val="none" w:sz="0" w:space="0" w:color="auto"/>
        <w:bottom w:val="none" w:sz="0" w:space="0" w:color="auto"/>
        <w:right w:val="none" w:sz="0" w:space="0" w:color="auto"/>
      </w:divBdr>
      <w:divsChild>
        <w:div w:id="786043279">
          <w:marLeft w:val="547"/>
          <w:marRight w:val="0"/>
          <w:marTop w:val="0"/>
          <w:marBottom w:val="0"/>
          <w:divBdr>
            <w:top w:val="none" w:sz="0" w:space="0" w:color="auto"/>
            <w:left w:val="none" w:sz="0" w:space="0" w:color="auto"/>
            <w:bottom w:val="none" w:sz="0" w:space="0" w:color="auto"/>
            <w:right w:val="none" w:sz="0" w:space="0" w:color="auto"/>
          </w:divBdr>
        </w:div>
        <w:div w:id="1671986151">
          <w:marLeft w:val="547"/>
          <w:marRight w:val="0"/>
          <w:marTop w:val="0"/>
          <w:marBottom w:val="0"/>
          <w:divBdr>
            <w:top w:val="none" w:sz="0" w:space="0" w:color="auto"/>
            <w:left w:val="none" w:sz="0" w:space="0" w:color="auto"/>
            <w:bottom w:val="none" w:sz="0" w:space="0" w:color="auto"/>
            <w:right w:val="none" w:sz="0" w:space="0" w:color="auto"/>
          </w:divBdr>
        </w:div>
        <w:div w:id="1878930635">
          <w:marLeft w:val="547"/>
          <w:marRight w:val="0"/>
          <w:marTop w:val="0"/>
          <w:marBottom w:val="0"/>
          <w:divBdr>
            <w:top w:val="none" w:sz="0" w:space="0" w:color="auto"/>
            <w:left w:val="none" w:sz="0" w:space="0" w:color="auto"/>
            <w:bottom w:val="none" w:sz="0" w:space="0" w:color="auto"/>
            <w:right w:val="none" w:sz="0" w:space="0" w:color="auto"/>
          </w:divBdr>
        </w:div>
        <w:div w:id="1174105188">
          <w:marLeft w:val="547"/>
          <w:marRight w:val="0"/>
          <w:marTop w:val="0"/>
          <w:marBottom w:val="0"/>
          <w:divBdr>
            <w:top w:val="none" w:sz="0" w:space="0" w:color="auto"/>
            <w:left w:val="none" w:sz="0" w:space="0" w:color="auto"/>
            <w:bottom w:val="none" w:sz="0" w:space="0" w:color="auto"/>
            <w:right w:val="none" w:sz="0" w:space="0" w:color="auto"/>
          </w:divBdr>
        </w:div>
        <w:div w:id="1506481869">
          <w:marLeft w:val="547"/>
          <w:marRight w:val="0"/>
          <w:marTop w:val="0"/>
          <w:marBottom w:val="0"/>
          <w:divBdr>
            <w:top w:val="none" w:sz="0" w:space="0" w:color="auto"/>
            <w:left w:val="none" w:sz="0" w:space="0" w:color="auto"/>
            <w:bottom w:val="none" w:sz="0" w:space="0" w:color="auto"/>
            <w:right w:val="none" w:sz="0" w:space="0" w:color="auto"/>
          </w:divBdr>
        </w:div>
      </w:divsChild>
    </w:div>
    <w:div w:id="1197162254">
      <w:bodyDiv w:val="1"/>
      <w:marLeft w:val="0"/>
      <w:marRight w:val="0"/>
      <w:marTop w:val="0"/>
      <w:marBottom w:val="0"/>
      <w:divBdr>
        <w:top w:val="none" w:sz="0" w:space="0" w:color="auto"/>
        <w:left w:val="none" w:sz="0" w:space="0" w:color="auto"/>
        <w:bottom w:val="none" w:sz="0" w:space="0" w:color="auto"/>
        <w:right w:val="none" w:sz="0" w:space="0" w:color="auto"/>
      </w:divBdr>
    </w:div>
    <w:div w:id="1249849514">
      <w:bodyDiv w:val="1"/>
      <w:marLeft w:val="0"/>
      <w:marRight w:val="0"/>
      <w:marTop w:val="0"/>
      <w:marBottom w:val="0"/>
      <w:divBdr>
        <w:top w:val="none" w:sz="0" w:space="0" w:color="auto"/>
        <w:left w:val="none" w:sz="0" w:space="0" w:color="auto"/>
        <w:bottom w:val="none" w:sz="0" w:space="0" w:color="auto"/>
        <w:right w:val="none" w:sz="0" w:space="0" w:color="auto"/>
      </w:divBdr>
    </w:div>
    <w:div w:id="1375305263">
      <w:bodyDiv w:val="1"/>
      <w:marLeft w:val="0"/>
      <w:marRight w:val="0"/>
      <w:marTop w:val="0"/>
      <w:marBottom w:val="0"/>
      <w:divBdr>
        <w:top w:val="none" w:sz="0" w:space="0" w:color="auto"/>
        <w:left w:val="none" w:sz="0" w:space="0" w:color="auto"/>
        <w:bottom w:val="none" w:sz="0" w:space="0" w:color="auto"/>
        <w:right w:val="none" w:sz="0" w:space="0" w:color="auto"/>
      </w:divBdr>
    </w:div>
    <w:div w:id="1382442991">
      <w:bodyDiv w:val="1"/>
      <w:marLeft w:val="0"/>
      <w:marRight w:val="0"/>
      <w:marTop w:val="0"/>
      <w:marBottom w:val="0"/>
      <w:divBdr>
        <w:top w:val="none" w:sz="0" w:space="0" w:color="auto"/>
        <w:left w:val="none" w:sz="0" w:space="0" w:color="auto"/>
        <w:bottom w:val="none" w:sz="0" w:space="0" w:color="auto"/>
        <w:right w:val="none" w:sz="0" w:space="0" w:color="auto"/>
      </w:divBdr>
    </w:div>
    <w:div w:id="1553039012">
      <w:bodyDiv w:val="1"/>
      <w:marLeft w:val="0"/>
      <w:marRight w:val="0"/>
      <w:marTop w:val="0"/>
      <w:marBottom w:val="0"/>
      <w:divBdr>
        <w:top w:val="none" w:sz="0" w:space="0" w:color="auto"/>
        <w:left w:val="none" w:sz="0" w:space="0" w:color="auto"/>
        <w:bottom w:val="none" w:sz="0" w:space="0" w:color="auto"/>
        <w:right w:val="none" w:sz="0" w:space="0" w:color="auto"/>
      </w:divBdr>
    </w:div>
    <w:div w:id="1608191670">
      <w:bodyDiv w:val="1"/>
      <w:marLeft w:val="0"/>
      <w:marRight w:val="0"/>
      <w:marTop w:val="0"/>
      <w:marBottom w:val="0"/>
      <w:divBdr>
        <w:top w:val="none" w:sz="0" w:space="0" w:color="auto"/>
        <w:left w:val="none" w:sz="0" w:space="0" w:color="auto"/>
        <w:bottom w:val="none" w:sz="0" w:space="0" w:color="auto"/>
        <w:right w:val="none" w:sz="0" w:space="0" w:color="auto"/>
      </w:divBdr>
    </w:div>
    <w:div w:id="1715545142">
      <w:bodyDiv w:val="1"/>
      <w:marLeft w:val="0"/>
      <w:marRight w:val="0"/>
      <w:marTop w:val="0"/>
      <w:marBottom w:val="0"/>
      <w:divBdr>
        <w:top w:val="none" w:sz="0" w:space="0" w:color="auto"/>
        <w:left w:val="none" w:sz="0" w:space="0" w:color="auto"/>
        <w:bottom w:val="none" w:sz="0" w:space="0" w:color="auto"/>
        <w:right w:val="none" w:sz="0" w:space="0" w:color="auto"/>
      </w:divBdr>
    </w:div>
    <w:div w:id="1837649734">
      <w:bodyDiv w:val="1"/>
      <w:marLeft w:val="0"/>
      <w:marRight w:val="0"/>
      <w:marTop w:val="0"/>
      <w:marBottom w:val="0"/>
      <w:divBdr>
        <w:top w:val="none" w:sz="0" w:space="0" w:color="auto"/>
        <w:left w:val="none" w:sz="0" w:space="0" w:color="auto"/>
        <w:bottom w:val="none" w:sz="0" w:space="0" w:color="auto"/>
        <w:right w:val="none" w:sz="0" w:space="0" w:color="auto"/>
      </w:divBdr>
    </w:div>
    <w:div w:id="1873104415">
      <w:bodyDiv w:val="1"/>
      <w:marLeft w:val="0"/>
      <w:marRight w:val="0"/>
      <w:marTop w:val="0"/>
      <w:marBottom w:val="0"/>
      <w:divBdr>
        <w:top w:val="none" w:sz="0" w:space="0" w:color="auto"/>
        <w:left w:val="none" w:sz="0" w:space="0" w:color="auto"/>
        <w:bottom w:val="none" w:sz="0" w:space="0" w:color="auto"/>
        <w:right w:val="none" w:sz="0" w:space="0" w:color="auto"/>
      </w:divBdr>
    </w:div>
    <w:div w:id="1891457403">
      <w:bodyDiv w:val="1"/>
      <w:marLeft w:val="0"/>
      <w:marRight w:val="0"/>
      <w:marTop w:val="0"/>
      <w:marBottom w:val="0"/>
      <w:divBdr>
        <w:top w:val="none" w:sz="0" w:space="0" w:color="auto"/>
        <w:left w:val="none" w:sz="0" w:space="0" w:color="auto"/>
        <w:bottom w:val="none" w:sz="0" w:space="0" w:color="auto"/>
        <w:right w:val="none" w:sz="0" w:space="0" w:color="auto"/>
      </w:divBdr>
    </w:div>
    <w:div w:id="2040934782">
      <w:bodyDiv w:val="1"/>
      <w:marLeft w:val="0"/>
      <w:marRight w:val="0"/>
      <w:marTop w:val="0"/>
      <w:marBottom w:val="0"/>
      <w:divBdr>
        <w:top w:val="none" w:sz="0" w:space="0" w:color="auto"/>
        <w:left w:val="none" w:sz="0" w:space="0" w:color="auto"/>
        <w:bottom w:val="none" w:sz="0" w:space="0" w:color="auto"/>
        <w:right w:val="none" w:sz="0" w:space="0" w:color="auto"/>
      </w:divBdr>
    </w:div>
    <w:div w:id="20494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Gavrovska@f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legal_acts/b75ce8f5-2802-4b1d-b2a6-5da803f494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262344936140619E-2"/>
          <c:y val="3.513908683873649E-2"/>
          <c:w val="0.86401097242757319"/>
          <c:h val="0.77747827402216196"/>
        </c:manualLayout>
      </c:layout>
      <c:barChart>
        <c:barDir val="col"/>
        <c:grouping val="stacked"/>
        <c:varyColors val="0"/>
        <c:ser>
          <c:idx val="0"/>
          <c:order val="0"/>
          <c:tx>
            <c:strRef>
              <c:f>Sheet1!$D$2</c:f>
              <c:strCache>
                <c:ptCount val="1"/>
                <c:pt idx="0">
                  <c:v>Valsts budžetā*</c:v>
                </c:pt>
              </c:strCache>
            </c:strRef>
          </c:tx>
          <c:spPr>
            <a:solidFill>
              <a:srgbClr val="FFC3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Sheet1!$B$3:$B$11</c:f>
              <c:numCache>
                <c:formatCode>General</c:formatCode>
                <c:ptCount val="9"/>
                <c:pt idx="0">
                  <c:v>2020</c:v>
                </c:pt>
                <c:pt idx="1">
                  <c:v>2021</c:v>
                </c:pt>
                <c:pt idx="2">
                  <c:v>2022</c:v>
                </c:pt>
                <c:pt idx="3">
                  <c:v>2023</c:v>
                </c:pt>
                <c:pt idx="4">
                  <c:v>2024</c:v>
                </c:pt>
                <c:pt idx="5">
                  <c:v>2025</c:v>
                </c:pt>
                <c:pt idx="6">
                  <c:v>2026</c:v>
                </c:pt>
                <c:pt idx="7">
                  <c:v>2027</c:v>
                </c:pt>
                <c:pt idx="8">
                  <c:v>2028</c:v>
                </c:pt>
              </c:numCache>
            </c:numRef>
          </c:cat>
          <c:val>
            <c:numRef>
              <c:f>Sheet1!$D$3:$D$11</c:f>
              <c:numCache>
                <c:formatCode>#,##0</c:formatCode>
                <c:ptCount val="9"/>
                <c:pt idx="0">
                  <c:v>7318.1315560000003</c:v>
                </c:pt>
                <c:pt idx="1">
                  <c:v>7732.1509465549998</c:v>
                </c:pt>
                <c:pt idx="2">
                  <c:v>9599.9230775899996</c:v>
                </c:pt>
                <c:pt idx="3">
                  <c:v>10513.582617210002</c:v>
                </c:pt>
                <c:pt idx="4">
                  <c:v>11367.299752000001</c:v>
                </c:pt>
                <c:pt idx="5">
                  <c:v>11990.541074999999</c:v>
                </c:pt>
                <c:pt idx="6">
                  <c:v>12612.986200999998</c:v>
                </c:pt>
                <c:pt idx="7">
                  <c:v>13169.183451000001</c:v>
                </c:pt>
                <c:pt idx="8">
                  <c:v>13731.426621999997</c:v>
                </c:pt>
              </c:numCache>
            </c:numRef>
          </c:val>
          <c:extLst>
            <c:ext xmlns:c16="http://schemas.microsoft.com/office/drawing/2014/chart" uri="{C3380CC4-5D6E-409C-BE32-E72D297353CC}">
              <c16:uniqueId val="{00000000-2BA4-4684-84A7-C0D728545CA1}"/>
            </c:ext>
          </c:extLst>
        </c:ser>
        <c:ser>
          <c:idx val="1"/>
          <c:order val="1"/>
          <c:tx>
            <c:strRef>
              <c:f>Sheet1!$E$2</c:f>
              <c:strCache>
                <c:ptCount val="1"/>
                <c:pt idx="0">
                  <c:v>Pašvaldības budžetā</c:v>
                </c:pt>
              </c:strCache>
            </c:strRef>
          </c:tx>
          <c:spPr>
            <a:solidFill>
              <a:srgbClr val="00BAAD"/>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Sheet1!$B$3:$B$11</c:f>
              <c:numCache>
                <c:formatCode>General</c:formatCode>
                <c:ptCount val="9"/>
                <c:pt idx="0">
                  <c:v>2020</c:v>
                </c:pt>
                <c:pt idx="1">
                  <c:v>2021</c:v>
                </c:pt>
                <c:pt idx="2">
                  <c:v>2022</c:v>
                </c:pt>
                <c:pt idx="3">
                  <c:v>2023</c:v>
                </c:pt>
                <c:pt idx="4">
                  <c:v>2024</c:v>
                </c:pt>
                <c:pt idx="5">
                  <c:v>2025</c:v>
                </c:pt>
                <c:pt idx="6">
                  <c:v>2026</c:v>
                </c:pt>
                <c:pt idx="7">
                  <c:v>2027</c:v>
                </c:pt>
                <c:pt idx="8">
                  <c:v>2028</c:v>
                </c:pt>
              </c:numCache>
            </c:numRef>
          </c:cat>
          <c:val>
            <c:numRef>
              <c:f>Sheet1!$E$3:$E$11</c:f>
              <c:numCache>
                <c:formatCode>#,##0</c:formatCode>
                <c:ptCount val="9"/>
                <c:pt idx="0">
                  <c:v>1688.4154659999999</c:v>
                </c:pt>
                <c:pt idx="1">
                  <c:v>1683.845198</c:v>
                </c:pt>
                <c:pt idx="2">
                  <c:v>1939.4870100000001</c:v>
                </c:pt>
                <c:pt idx="3">
                  <c:v>2125.6226320000001</c:v>
                </c:pt>
                <c:pt idx="4">
                  <c:v>2336.3589999999999</c:v>
                </c:pt>
                <c:pt idx="5">
                  <c:v>2468.002</c:v>
                </c:pt>
                <c:pt idx="6">
                  <c:v>2615.6909999999998</c:v>
                </c:pt>
                <c:pt idx="7">
                  <c:v>2740.06</c:v>
                </c:pt>
                <c:pt idx="8">
                  <c:v>2871.4829999999993</c:v>
                </c:pt>
              </c:numCache>
            </c:numRef>
          </c:val>
          <c:extLst>
            <c:ext xmlns:c16="http://schemas.microsoft.com/office/drawing/2014/chart" uri="{C3380CC4-5D6E-409C-BE32-E72D297353CC}">
              <c16:uniqueId val="{00000001-2BA4-4684-84A7-C0D728545CA1}"/>
            </c:ext>
          </c:extLst>
        </c:ser>
        <c:dLbls>
          <c:dLblPos val="ctr"/>
          <c:showLegendKey val="0"/>
          <c:showVal val="1"/>
          <c:showCatName val="0"/>
          <c:showSerName val="0"/>
          <c:showPercent val="0"/>
          <c:showBubbleSize val="0"/>
        </c:dLbls>
        <c:gapWidth val="80"/>
        <c:overlap val="100"/>
        <c:axId val="506518431"/>
        <c:axId val="633095663"/>
      </c:barChart>
      <c:lineChart>
        <c:grouping val="standard"/>
        <c:varyColors val="0"/>
        <c:ser>
          <c:idx val="2"/>
          <c:order val="2"/>
          <c:tx>
            <c:strRef>
              <c:f>Sheet1!$I$2</c:f>
              <c:strCache>
                <c:ptCount val="1"/>
                <c:pt idx="0">
                  <c:v>Pret IKP**, labā ass</c:v>
                </c:pt>
              </c:strCache>
            </c:strRef>
          </c:tx>
          <c:spPr>
            <a:ln w="28575" cap="rnd">
              <a:solidFill>
                <a:srgbClr val="2A7B9B"/>
              </a:solidFill>
              <a:round/>
            </a:ln>
            <a:effectLst/>
          </c:spPr>
          <c:marker>
            <c:symbol val="none"/>
          </c:marker>
          <c:dLbls>
            <c:spPr>
              <a:noFill/>
              <a:ln>
                <a:noFill/>
              </a:ln>
              <a:effectLst/>
            </c:spPr>
            <c:txPr>
              <a:bodyPr rot="0" spcFirstLastPara="1" vertOverflow="ellipsis" vert="horz" wrap="square" lIns="38100" tIns="19050" rIns="38100" bIns="19050" anchor="t" anchorCtr="0">
                <a:spAutoFit/>
              </a:bodyPr>
              <a:lstStyle/>
              <a:p>
                <a:pPr>
                  <a:defRPr sz="1100" b="0" i="0" u="none" strike="noStrike" kern="1200" baseline="0">
                    <a:solidFill>
                      <a:srgbClr val="404040"/>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Sheet1!$B$3:$B$11</c:f>
              <c:numCache>
                <c:formatCode>General</c:formatCode>
                <c:ptCount val="9"/>
                <c:pt idx="0">
                  <c:v>2020</c:v>
                </c:pt>
                <c:pt idx="1">
                  <c:v>2021</c:v>
                </c:pt>
                <c:pt idx="2">
                  <c:v>2022</c:v>
                </c:pt>
                <c:pt idx="3">
                  <c:v>2023</c:v>
                </c:pt>
                <c:pt idx="4">
                  <c:v>2024</c:v>
                </c:pt>
                <c:pt idx="5">
                  <c:v>2025</c:v>
                </c:pt>
                <c:pt idx="6">
                  <c:v>2026</c:v>
                </c:pt>
                <c:pt idx="7">
                  <c:v>2027</c:v>
                </c:pt>
                <c:pt idx="8">
                  <c:v>2028</c:v>
                </c:pt>
              </c:numCache>
            </c:numRef>
          </c:cat>
          <c:val>
            <c:numRef>
              <c:f>Sheet1!$I$3:$I$11</c:f>
              <c:numCache>
                <c:formatCode>0.0%</c:formatCode>
                <c:ptCount val="9"/>
                <c:pt idx="0">
                  <c:v>0.318026297613687</c:v>
                </c:pt>
                <c:pt idx="1">
                  <c:v>0.30027944224885528</c:v>
                </c:pt>
                <c:pt idx="2">
                  <c:v>0.31854016546603081</c:v>
                </c:pt>
                <c:pt idx="3">
                  <c:v>0.33246449431903113</c:v>
                </c:pt>
                <c:pt idx="4">
                  <c:v>0.347696856815291</c:v>
                </c:pt>
                <c:pt idx="5">
                  <c:v>0.34644327707400979</c:v>
                </c:pt>
                <c:pt idx="6">
                  <c:v>0.34593724104213786</c:v>
                </c:pt>
                <c:pt idx="7">
                  <c:v>0.34311865621240151</c:v>
                </c:pt>
                <c:pt idx="8">
                  <c:v>0.34087805523421294</c:v>
                </c:pt>
              </c:numCache>
            </c:numRef>
          </c:val>
          <c:smooth val="0"/>
          <c:extLst>
            <c:ext xmlns:c16="http://schemas.microsoft.com/office/drawing/2014/chart" uri="{C3380CC4-5D6E-409C-BE32-E72D297353CC}">
              <c16:uniqueId val="{00000002-2BA4-4684-84A7-C0D728545CA1}"/>
            </c:ext>
          </c:extLst>
        </c:ser>
        <c:dLbls>
          <c:dLblPos val="ctr"/>
          <c:showLegendKey val="0"/>
          <c:showVal val="1"/>
          <c:showCatName val="0"/>
          <c:showSerName val="0"/>
          <c:showPercent val="0"/>
          <c:showBubbleSize val="0"/>
        </c:dLbls>
        <c:marker val="1"/>
        <c:smooth val="0"/>
        <c:axId val="162896351"/>
        <c:axId val="162895391"/>
      </c:lineChart>
      <c:catAx>
        <c:axId val="50651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404040"/>
                </a:solidFill>
                <a:latin typeface="+mn-lt"/>
                <a:ea typeface="+mn-ea"/>
                <a:cs typeface="+mn-cs"/>
              </a:defRPr>
            </a:pPr>
            <a:endParaRPr lang="lv-LV"/>
          </a:p>
        </c:txPr>
        <c:crossAx val="633095663"/>
        <c:crosses val="autoZero"/>
        <c:auto val="1"/>
        <c:lblAlgn val="ctr"/>
        <c:lblOffset val="100"/>
        <c:noMultiLvlLbl val="0"/>
      </c:catAx>
      <c:valAx>
        <c:axId val="633095663"/>
        <c:scaling>
          <c:orientation val="minMax"/>
          <c:max val="2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404040"/>
                </a:solidFill>
                <a:latin typeface="+mn-lt"/>
                <a:ea typeface="+mn-ea"/>
                <a:cs typeface="+mn-cs"/>
              </a:defRPr>
            </a:pPr>
            <a:endParaRPr lang="lv-LV"/>
          </a:p>
        </c:txPr>
        <c:crossAx val="506518431"/>
        <c:crosses val="autoZero"/>
        <c:crossBetween val="between"/>
      </c:valAx>
      <c:valAx>
        <c:axId val="162895391"/>
        <c:scaling>
          <c:orientation val="minMax"/>
          <c:max val="0.36000000000000004"/>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404040"/>
                </a:solidFill>
                <a:latin typeface="+mn-lt"/>
                <a:ea typeface="+mn-ea"/>
                <a:cs typeface="+mn-cs"/>
              </a:defRPr>
            </a:pPr>
            <a:endParaRPr lang="lv-LV"/>
          </a:p>
        </c:txPr>
        <c:crossAx val="162896351"/>
        <c:crosses val="max"/>
        <c:crossBetween val="between"/>
      </c:valAx>
      <c:catAx>
        <c:axId val="162896351"/>
        <c:scaling>
          <c:orientation val="minMax"/>
        </c:scaling>
        <c:delete val="1"/>
        <c:axPos val="b"/>
        <c:numFmt formatCode="General" sourceLinked="1"/>
        <c:majorTickMark val="out"/>
        <c:minorTickMark val="none"/>
        <c:tickLblPos val="nextTo"/>
        <c:crossAx val="162895391"/>
        <c:crosses val="autoZero"/>
        <c:auto val="1"/>
        <c:lblAlgn val="ctr"/>
        <c:lblOffset val="100"/>
        <c:noMultiLvlLbl val="0"/>
      </c:catAx>
      <c:spPr>
        <a:noFill/>
        <a:ln>
          <a:noFill/>
        </a:ln>
        <a:effectLst/>
      </c:spPr>
    </c:plotArea>
    <c:legend>
      <c:legendPos val="b"/>
      <c:layout>
        <c:manualLayout>
          <c:xMode val="edge"/>
          <c:yMode val="edge"/>
          <c:x val="8.1155497462652576E-2"/>
          <c:y val="0.90885628333756663"/>
          <c:w val="0.83768900507469479"/>
          <c:h val="9.11437166624333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0.27123</cdr:x>
      <cdr:y>0.2733</cdr:y>
    </cdr:from>
    <cdr:to>
      <cdr:x>0.36389</cdr:x>
      <cdr:y>0.35464</cdr:y>
    </cdr:to>
    <cdr:sp macro="" textlink="">
      <cdr:nvSpPr>
        <cdr:cNvPr id="2" name="TextBox 4">
          <a:extLst xmlns:a="http://schemas.openxmlformats.org/drawingml/2006/main">
            <a:ext uri="{FF2B5EF4-FFF2-40B4-BE49-F238E27FC236}">
              <a16:creationId xmlns:a16="http://schemas.microsoft.com/office/drawing/2014/main" id="{ED94E25D-CCCD-7656-5C20-33FA04CF31B1}"/>
            </a:ext>
          </a:extLst>
        </cdr:cNvPr>
        <cdr:cNvSpPr txBox="1"/>
      </cdr:nvSpPr>
      <cdr:spPr>
        <a:xfrm xmlns:a="http://schemas.openxmlformats.org/drawingml/2006/main">
          <a:off x="1774825" y="889000"/>
          <a:ext cx="606384"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∑+2123</a:t>
          </a:r>
        </a:p>
      </cdr:txBody>
    </cdr:sp>
  </cdr:relSizeAnchor>
  <cdr:relSizeAnchor xmlns:cdr="http://schemas.openxmlformats.org/drawingml/2006/chartDrawing">
    <cdr:from>
      <cdr:x>0.37021</cdr:x>
      <cdr:y>0.23231</cdr:y>
    </cdr:from>
    <cdr:to>
      <cdr:x>0.46288</cdr:x>
      <cdr:y>0.31364</cdr:y>
    </cdr:to>
    <cdr:sp macro="" textlink="">
      <cdr:nvSpPr>
        <cdr:cNvPr id="3" name="TextBox 4">
          <a:extLst xmlns:a="http://schemas.openxmlformats.org/drawingml/2006/main">
            <a:ext uri="{FF2B5EF4-FFF2-40B4-BE49-F238E27FC236}">
              <a16:creationId xmlns:a16="http://schemas.microsoft.com/office/drawing/2014/main" id="{1DD79FEE-A56B-5195-7357-496567620B66}"/>
            </a:ext>
          </a:extLst>
        </cdr:cNvPr>
        <cdr:cNvSpPr txBox="1"/>
      </cdr:nvSpPr>
      <cdr:spPr>
        <a:xfrm xmlns:a="http://schemas.openxmlformats.org/drawingml/2006/main">
          <a:off x="2422525" y="755650"/>
          <a:ext cx="606384"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∑+1100</a:t>
          </a:r>
        </a:p>
      </cdr:txBody>
    </cdr:sp>
  </cdr:relSizeAnchor>
  <cdr:relSizeAnchor xmlns:cdr="http://schemas.openxmlformats.org/drawingml/2006/chartDrawing">
    <cdr:from>
      <cdr:x>0.46482</cdr:x>
      <cdr:y>0.18838</cdr:y>
    </cdr:from>
    <cdr:to>
      <cdr:x>0.55749</cdr:x>
      <cdr:y>0.26972</cdr:y>
    </cdr:to>
    <cdr:sp macro="" textlink="">
      <cdr:nvSpPr>
        <cdr:cNvPr id="4" name="TextBox 4">
          <a:extLst xmlns:a="http://schemas.openxmlformats.org/drawingml/2006/main">
            <a:ext uri="{FF2B5EF4-FFF2-40B4-BE49-F238E27FC236}">
              <a16:creationId xmlns:a16="http://schemas.microsoft.com/office/drawing/2014/main" id="{4D9D2950-4928-1762-D7BB-E61DD90B82F3}"/>
            </a:ext>
          </a:extLst>
        </cdr:cNvPr>
        <cdr:cNvSpPr txBox="1"/>
      </cdr:nvSpPr>
      <cdr:spPr>
        <a:xfrm xmlns:a="http://schemas.openxmlformats.org/drawingml/2006/main">
          <a:off x="3041650" y="612775"/>
          <a:ext cx="606384"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∑+1064</a:t>
          </a:r>
        </a:p>
      </cdr:txBody>
    </cdr:sp>
  </cdr:relSizeAnchor>
  <cdr:relSizeAnchor xmlns:cdr="http://schemas.openxmlformats.org/drawingml/2006/chartDrawing">
    <cdr:from>
      <cdr:x>0.56963</cdr:x>
      <cdr:y>0.1591</cdr:y>
    </cdr:from>
    <cdr:to>
      <cdr:x>0.65137</cdr:x>
      <cdr:y>0.24044</cdr:y>
    </cdr:to>
    <cdr:sp macro="" textlink="">
      <cdr:nvSpPr>
        <cdr:cNvPr id="5" name="TextBox 4">
          <a:extLst xmlns:a="http://schemas.openxmlformats.org/drawingml/2006/main">
            <a:ext uri="{FF2B5EF4-FFF2-40B4-BE49-F238E27FC236}">
              <a16:creationId xmlns:a16="http://schemas.microsoft.com/office/drawing/2014/main" id="{5B7412AB-7D6D-6E94-E5D6-DCCF0F9EA16E}"/>
            </a:ext>
          </a:extLst>
        </cdr:cNvPr>
        <cdr:cNvSpPr txBox="1"/>
      </cdr:nvSpPr>
      <cdr:spPr>
        <a:xfrm xmlns:a="http://schemas.openxmlformats.org/drawingml/2006/main">
          <a:off x="3727450" y="517525"/>
          <a:ext cx="53489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∑+755</a:t>
          </a:r>
        </a:p>
      </cdr:txBody>
    </cdr:sp>
  </cdr:relSizeAnchor>
  <cdr:relSizeAnchor xmlns:cdr="http://schemas.openxmlformats.org/drawingml/2006/chartDrawing">
    <cdr:from>
      <cdr:x>0.66424</cdr:x>
      <cdr:y>0.12982</cdr:y>
    </cdr:from>
    <cdr:to>
      <cdr:x>0.74598</cdr:x>
      <cdr:y>0.21115</cdr:y>
    </cdr:to>
    <cdr:sp macro="" textlink="">
      <cdr:nvSpPr>
        <cdr:cNvPr id="6" name="TextBox 1">
          <a:extLst xmlns:a="http://schemas.openxmlformats.org/drawingml/2006/main">
            <a:ext uri="{FF2B5EF4-FFF2-40B4-BE49-F238E27FC236}">
              <a16:creationId xmlns:a16="http://schemas.microsoft.com/office/drawing/2014/main" id="{3672135A-6DFD-1DF4-85DD-79D4ED01CC13}"/>
            </a:ext>
          </a:extLst>
        </cdr:cNvPr>
        <cdr:cNvSpPr txBox="1"/>
      </cdr:nvSpPr>
      <cdr:spPr>
        <a:xfrm xmlns:a="http://schemas.openxmlformats.org/drawingml/2006/main">
          <a:off x="4346575" y="422275"/>
          <a:ext cx="53489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∑+770</a:t>
          </a:r>
        </a:p>
      </cdr:txBody>
    </cdr:sp>
  </cdr:relSizeAnchor>
  <cdr:relSizeAnchor xmlns:cdr="http://schemas.openxmlformats.org/drawingml/2006/chartDrawing">
    <cdr:from>
      <cdr:x>0.75885</cdr:x>
      <cdr:y>0.10054</cdr:y>
    </cdr:from>
    <cdr:to>
      <cdr:x>0.8406</cdr:x>
      <cdr:y>0.18187</cdr:y>
    </cdr:to>
    <cdr:sp macro="" textlink="">
      <cdr:nvSpPr>
        <cdr:cNvPr id="7" name="TextBox 1">
          <a:extLst xmlns:a="http://schemas.openxmlformats.org/drawingml/2006/main">
            <a:ext uri="{FF2B5EF4-FFF2-40B4-BE49-F238E27FC236}">
              <a16:creationId xmlns:a16="http://schemas.microsoft.com/office/drawing/2014/main" id="{D6717D78-A956-0CFE-27B2-3109B677327B}"/>
            </a:ext>
          </a:extLst>
        </cdr:cNvPr>
        <cdr:cNvSpPr txBox="1"/>
      </cdr:nvSpPr>
      <cdr:spPr>
        <a:xfrm xmlns:a="http://schemas.openxmlformats.org/drawingml/2006/main">
          <a:off x="4965700" y="327025"/>
          <a:ext cx="53489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∑+681</a:t>
          </a:r>
        </a:p>
      </cdr:txBody>
    </cdr:sp>
  </cdr:relSizeAnchor>
  <cdr:relSizeAnchor xmlns:cdr="http://schemas.openxmlformats.org/drawingml/2006/chartDrawing">
    <cdr:from>
      <cdr:x>0.85492</cdr:x>
      <cdr:y>0.06833</cdr:y>
    </cdr:from>
    <cdr:to>
      <cdr:x>0.93667</cdr:x>
      <cdr:y>0.14966</cdr:y>
    </cdr:to>
    <cdr:sp macro="" textlink="">
      <cdr:nvSpPr>
        <cdr:cNvPr id="8" name="TextBox 1">
          <a:extLst xmlns:a="http://schemas.openxmlformats.org/drawingml/2006/main">
            <a:ext uri="{FF2B5EF4-FFF2-40B4-BE49-F238E27FC236}">
              <a16:creationId xmlns:a16="http://schemas.microsoft.com/office/drawing/2014/main" id="{EE8A2BC6-EDA6-5A31-220E-36029CE4EDB1}"/>
            </a:ext>
          </a:extLst>
        </cdr:cNvPr>
        <cdr:cNvSpPr txBox="1"/>
      </cdr:nvSpPr>
      <cdr:spPr>
        <a:xfrm xmlns:a="http://schemas.openxmlformats.org/drawingml/2006/main">
          <a:off x="5594350" y="222250"/>
          <a:ext cx="534890"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a:solidFill>
                <a:srgbClr val="404040"/>
              </a:solidFill>
            </a:rPr>
            <a:t>∑+694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5C71-7E6C-4712-B4D0-3CBD36A26B6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1718</TotalTime>
  <Pages>37</Pages>
  <Words>70035</Words>
  <Characters>39921</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Par makroekonomisko rādītāju, ieņēmumu un vispārējās valdības budžeta bilances prognozēm 2025., 2026., 2027. un 2028. gadā”</vt:lpstr>
    </vt:vector>
  </TitlesOfParts>
  <Company>Finanšu ministrija</Company>
  <LinksUpToDate>false</LinksUpToDate>
  <CharactersWithSpaces>109737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 makroekonomisko rādītāju, ieņēmumu un vispārējās valdības budžeta bilances prognozēm 2025., 2026., 2027. un 2028. gadā”</dc:title>
  <dc:subject>Informatīvais ziņojums</dc:subject>
  <dc:creator>Kristīne Gvarovska</dc:creator>
  <cp:keywords/>
  <dc:description>Kristīne Gavrovska_x000d_
26631915, Kristīne.Gavrovska@fm.gov.lv</dc:description>
  <cp:lastModifiedBy>TAND</cp:lastModifiedBy>
  <cp:revision>201</cp:revision>
  <cp:lastPrinted>2019-08-14T12:23:00Z</cp:lastPrinted>
  <dcterms:created xsi:type="dcterms:W3CDTF">2022-12-17T21:04:00Z</dcterms:created>
  <dcterms:modified xsi:type="dcterms:W3CDTF">2024-08-08T11:36:00Z</dcterms:modified>
</cp:coreProperties>
</file>